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9.png" ContentType="image/png"/>
  <Override PartName="/word/media/rId77.png" ContentType="image/png"/>
  <Override PartName="/word/media/rId121.jpg" ContentType="image/jpeg"/>
  <Override PartName="/word/media/rId134.png" ContentType="image/png"/>
  <Override PartName="/word/media/rId126.png" ContentType="image/png"/>
  <Override PartName="/word/media/rId108.png" ContentType="image/png"/>
  <Override PartName="/word/media/rId46.png" ContentType="image/png"/>
  <Override PartName="/word/media/rId93.png" ContentType="image/png"/>
  <Override PartName="/word/media/rId138.png" ContentType="image/png"/>
  <Override PartName="/word/media/rId58.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(12.09.2020)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vorwort"/>
    <w:p>
      <w:pPr>
        <w:pStyle w:val="Heading1"/>
      </w:pPr>
      <w:r>
        <w:rPr>
          <w:rStyle w:val="SectionNumber"/>
        </w:rPr>
        <w:t xml:space="preserve">1</w:t>
      </w:r>
      <w:r>
        <w:tab/>
      </w:r>
      <w:r>
        <w:t xml:space="preserve">Vorwort</w:t>
      </w:r>
    </w:p>
    <w:p>
      <w:pPr>
        <w:pStyle w:val="FirstParagraph"/>
      </w:pPr>
      <w:r>
        <w:t xml:space="preserve">Willkommen im</w:t>
      </w:r>
      <w:r>
        <w:t xml:space="preserve"> </w:t>
      </w:r>
      <w:r>
        <w:rPr>
          <w:bCs/>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Cs/>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Cs/>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0">
        <w:r>
          <w:rPr>
            <w:rStyle w:val="Hyperlink"/>
          </w:rPr>
          <w:t xml:space="preserve">Kategorie lernOS für Organisationen auf CONNECT</w:t>
        </w:r>
      </w:hyperlink>
      <w:r>
        <w:t xml:space="preserve"> </w:t>
      </w:r>
      <w:r>
        <w:t xml:space="preserve">können Erfahrungen bei der Umsetzung geteilt und Fragen gestellt werden. Viel Erfolg!</w:t>
      </w:r>
    </w:p>
    <w:bookmarkEnd w:id="21"/>
    <w:bookmarkStart w:id="29"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22">
        <w:r>
          <w:rPr>
            <w:rStyle w:val="Hyperlink"/>
          </w:rPr>
          <w:t xml:space="preserve">offenes System</w:t>
        </w:r>
      </w:hyperlink>
      <w:r>
        <w:t xml:space="preserve"> </w:t>
      </w:r>
      <w:r>
        <w:t xml:space="preserve">für</w:t>
      </w:r>
      <w:r>
        <w:t xml:space="preserve"> </w:t>
      </w:r>
      <w:hyperlink r:id="rId23">
        <w:r>
          <w:rPr>
            <w:rStyle w:val="Hyperlink"/>
          </w:rPr>
          <w:t xml:space="preserve">Lebenslanges Lernen</w:t>
        </w:r>
      </w:hyperlink>
      <w:r>
        <w:t xml:space="preserve"> </w:t>
      </w:r>
      <w:r>
        <w:t xml:space="preserve">und</w:t>
      </w:r>
      <w:r>
        <w:t xml:space="preserve"> </w:t>
      </w:r>
      <w:hyperlink r:id="rId24">
        <w:r>
          <w:rPr>
            <w:rStyle w:val="Hyperlink"/>
          </w:rPr>
          <w:t xml:space="preserve">Lernende Organisationen</w:t>
        </w:r>
      </w:hyperlink>
      <w:r>
        <w:t xml:space="preserve">. Die Funktionsweise von lernOS wird in</w:t>
      </w:r>
      <w:r>
        <w:t xml:space="preserve"> </w:t>
      </w:r>
      <w:hyperlink r:id="rId25">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6">
        <w:r>
          <w:rPr>
            <w:rStyle w:val="Hyperlink"/>
          </w:rPr>
          <w:t xml:space="preserve">lernos.org</w:t>
        </w:r>
      </w:hyperlink>
      <w:r>
        <w:t xml:space="preserve">. Mitstreiter findest du ganz einfach in der</w:t>
      </w:r>
      <w:r>
        <w:t xml:space="preserve"> </w:t>
      </w:r>
      <w:hyperlink r:id="rId27">
        <w:r>
          <w:rPr>
            <w:rStyle w:val="Hyperlink"/>
          </w:rPr>
          <w:t xml:space="preserve">lernOS Community CONNECT</w:t>
        </w:r>
      </w:hyperlink>
      <w:r>
        <w:t xml:space="preserve">. Dort gibt es auch den</w:t>
      </w:r>
      <w:r>
        <w:t xml:space="preserve"> </w:t>
      </w:r>
      <w:hyperlink r:id="rId28">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29"/>
    <w:bookmarkStart w:id="150" w:name="grundlagen"/>
    <w:p>
      <w:pPr>
        <w:pStyle w:val="Heading1"/>
      </w:pPr>
      <w:r>
        <w:rPr>
          <w:rStyle w:val="SectionNumber"/>
        </w:rPr>
        <w:t xml:space="preserve">3</w:t>
      </w:r>
      <w:r>
        <w:tab/>
      </w:r>
      <w:r>
        <w:t xml:space="preserve">Grundlagen</w:t>
      </w:r>
    </w:p>
    <w:bookmarkStart w:id="69" w:name="X69711e000cde81d119f118f2cbf6588385aa0ce"/>
    <w:p>
      <w:pPr>
        <w:pStyle w:val="Heading2"/>
      </w:pPr>
      <w:r>
        <w:rPr>
          <w:rStyle w:val="SectionNumber"/>
        </w:rPr>
        <w:t xml:space="preserve">3.1</w:t>
      </w:r>
      <w:r>
        <w:tab/>
      </w:r>
      <w:r>
        <w:t xml:space="preserve">Ein zeitgemäßes Verständnis von Organisationen</w:t>
      </w:r>
    </w:p>
    <w:p>
      <w:pPr>
        <w:pStyle w:val="FirstParagraph"/>
      </w:pPr>
      <w:hyperlink r:id="rId30">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bookmarkStart w:id="37" w:name="zweck-mitgliedschaft-und-hierarchie"/>
    <w:p>
      <w:pPr>
        <w:pStyle w:val="Heading3"/>
      </w:pPr>
      <w:r>
        <w:rPr>
          <w:rStyle w:val="SectionNumber"/>
        </w:rPr>
        <w:t xml:space="preserve">3.1.1</w:t>
      </w:r>
      <w:r>
        <w:tab/>
      </w:r>
      <w:r>
        <w:t xml:space="preserve">Zweck, Mitgliedschaft und Hierarchie</w:t>
      </w:r>
    </w:p>
    <w:p>
      <w:pPr>
        <w:pStyle w:val="FirstParagraph"/>
      </w:pPr>
      <w:r>
        <w:t xml:space="preserve">Für die Entwicklung Lernender Organisationen ist ein Grundverständnis von</w:t>
      </w:r>
      <w:r>
        <w:t xml:space="preserve"> </w:t>
      </w:r>
      <w:hyperlink r:id="rId31">
        <w:r>
          <w:rPr>
            <w:rStyle w:val="Hyperlink"/>
          </w:rPr>
          <w:t xml:space="preserve">Organisationstheorie</w:t>
        </w:r>
      </w:hyperlink>
      <w:r>
        <w:t xml:space="preserve"> </w:t>
      </w:r>
      <w:r>
        <w:t xml:space="preserve">und</w:t>
      </w:r>
      <w:r>
        <w:t xml:space="preserve"> </w:t>
      </w:r>
      <w:hyperlink r:id="rId32">
        <w:r>
          <w:rPr>
            <w:rStyle w:val="Hyperlink"/>
          </w:rPr>
          <w:t xml:space="preserve">Systemtheorie</w:t>
        </w:r>
      </w:hyperlink>
      <w:r>
        <w:t xml:space="preserve">, insbesondere</w:t>
      </w:r>
      <w:r>
        <w:t xml:space="preserve"> </w:t>
      </w:r>
      <w:hyperlink r:id="rId33">
        <w:r>
          <w:rPr>
            <w:rStyle w:val="Hyperlink"/>
          </w:rPr>
          <w:t xml:space="preserve">komplexe adaptive System</w:t>
        </w:r>
      </w:hyperlink>
      <w:r>
        <w:t xml:space="preserve"> </w:t>
      </w:r>
      <w:r>
        <w:t xml:space="preserve">und</w:t>
      </w:r>
      <w:r>
        <w:t xml:space="preserve"> </w:t>
      </w:r>
      <w:hyperlink r:id="rId34">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5">
        <w:r>
          <w:rPr>
            <w:rStyle w:val="Hyperlink"/>
          </w:rPr>
          <w:t xml:space="preserve">Organisationen - eine sehr kurze Einführung</w:t>
        </w:r>
      </w:hyperlink>
      <w:r>
        <w:t xml:space="preserve">):</w:t>
      </w:r>
    </w:p>
    <w:p>
      <w:pPr>
        <w:numPr>
          <w:ilvl w:val="0"/>
          <w:numId w:val="1001"/>
        </w:numPr>
        <w:pStyle w:val="Compact"/>
      </w:pPr>
      <w:r>
        <w:rPr>
          <w:bCs/>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Cs/>
          <w:b/>
        </w:rPr>
        <w:t xml:space="preserve">Mitgliedschaft:</w:t>
      </w:r>
      <w:r>
        <w:t xml:space="preserve"> </w:t>
      </w:r>
      <w:r>
        <w:t xml:space="preserve">die Organisation kann über den Ein- und Austritt von Mitglieder entscheiden.</w:t>
      </w:r>
    </w:p>
    <w:p>
      <w:pPr>
        <w:numPr>
          <w:ilvl w:val="0"/>
          <w:numId w:val="1001"/>
        </w:numPr>
        <w:pStyle w:val="Compact"/>
      </w:pPr>
      <w:r>
        <w:rPr>
          <w:bCs/>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6">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bookmarkEnd w:id="37"/>
    <w:bookmarkStart w:id="53" w:name="betriebssysteme-1-organisation"/>
    <w:p>
      <w:pPr>
        <w:pStyle w:val="Heading3"/>
      </w:pPr>
      <w:r>
        <w:rPr>
          <w:rStyle w:val="SectionNumber"/>
        </w:rPr>
        <w:t xml:space="preserve">3.1.2</w:t>
      </w:r>
      <w:r>
        <w:tab/>
      </w:r>
      <w:r>
        <w:t xml:space="preserve">2 Betriebssysteme, 1 Organisation</w:t>
      </w:r>
    </w:p>
    <w:p>
      <w:pPr>
        <w:pStyle w:val="FirstParagraph"/>
      </w:pPr>
      <w:r>
        <w:t xml:space="preserve">Die Ursprünge der Organisationtheorie liegen in der Organisation von bürokratischen und militärischen Systemen (z.B.</w:t>
      </w:r>
      <w:r>
        <w:t xml:space="preserve"> </w:t>
      </w:r>
      <w:hyperlink r:id="rId38">
        <w:r>
          <w:rPr>
            <w:rStyle w:val="Hyperlink"/>
          </w:rPr>
          <w:t xml:space="preserve">Max Weber</w:t>
        </w:r>
      </w:hyperlink>
      <w:r>
        <w:t xml:space="preserve">,</w:t>
      </w:r>
      <w:r>
        <w:t xml:space="preserve"> </w:t>
      </w:r>
      <w:hyperlink r:id="rId39">
        <w:r>
          <w:rPr>
            <w:rStyle w:val="Hyperlink"/>
          </w:rPr>
          <w:t xml:space="preserve">Henri Fayol</w:t>
        </w:r>
      </w:hyperlink>
      <w:r>
        <w:t xml:space="preserve">,</w:t>
      </w:r>
      <w:r>
        <w:t xml:space="preserve"> </w:t>
      </w:r>
      <w:hyperlink r:id="rId40">
        <w:r>
          <w:rPr>
            <w:rStyle w:val="Hyperlink"/>
          </w:rPr>
          <w:t xml:space="preserve">Frederick W. Taylor</w:t>
        </w:r>
      </w:hyperlink>
      <w:r>
        <w:t xml:space="preserve">,</w:t>
      </w:r>
      <w:r>
        <w:t xml:space="preserve"> </w:t>
      </w:r>
      <w:hyperlink r:id="rId41">
        <w:r>
          <w:rPr>
            <w:rStyle w:val="Hyperlink"/>
          </w:rPr>
          <w:t xml:space="preserve">Sunzi</w:t>
        </w:r>
      </w:hyperlink>
      <w:r>
        <w:t xml:space="preserve">).</w:t>
      </w:r>
      <w:r>
        <w:t xml:space="preserve"> </w:t>
      </w:r>
      <w:hyperlink r:id="rId42">
        <w:r>
          <w:rPr>
            <w:rStyle w:val="Hyperlink"/>
          </w:rPr>
          <w:t xml:space="preserve">Bürokratische Strukturen</w:t>
        </w:r>
      </w:hyperlink>
      <w:r>
        <w:t xml:space="preserve"> </w:t>
      </w:r>
      <w:r>
        <w:t xml:space="preserve">mit einfachen</w:t>
      </w:r>
      <w:r>
        <w:t xml:space="preserve"> </w:t>
      </w:r>
      <w:hyperlink r:id="rId43">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4">
        <w:r>
          <w:rPr>
            <w:rStyle w:val="Hyperlink"/>
          </w:rPr>
          <w:t xml:space="preserve">John Kotter</w:t>
        </w:r>
      </w:hyperlink>
      <w:r>
        <w:t xml:space="preserve"> </w:t>
      </w:r>
      <w:r>
        <w:t xml:space="preserve">sehr anschaulich im Video</w:t>
      </w:r>
      <w:r>
        <w:t xml:space="preserve"> </w:t>
      </w:r>
      <w:hyperlink r:id="rId45">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47" name="Picture"/>
            <a:graphic>
              <a:graphicData uri="http://schemas.openxmlformats.org/drawingml/2006/picture">
                <pic:pic>
                  <pic:nvPicPr>
                    <pic:cNvPr descr="images/kotter-dual-operating-system.png" id="48" name="Picture"/>
                    <pic:cNvPicPr>
                      <a:picLocks noChangeArrowheads="1" noChangeAspect="1"/>
                    </pic:cNvPicPr>
                  </pic:nvPicPr>
                  <pic:blipFill>
                    <a:blip r:embed="rId46"/>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49">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0">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1">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2">
        <w:r>
          <w:rPr>
            <w:rStyle w:val="Hyperlink"/>
          </w:rPr>
          <w:t xml:space="preserve">The Future of Management</w:t>
        </w:r>
      </w:hyperlink>
      <w:r>
        <w:t xml:space="preserve"> </w:t>
      </w:r>
      <w:r>
        <w:t xml:space="preserve">von Gary Hamel.</w:t>
      </w:r>
    </w:p>
    <w:bookmarkEnd w:id="53"/>
    <w:bookmarkStart w:id="61" w:name="Xa24094d116fb3bb06adb0f3bddc0c754d55877d"/>
    <w:p>
      <w:pPr>
        <w:pStyle w:val="Heading3"/>
      </w:pPr>
      <w:r>
        <w:rPr>
          <w:rStyle w:val="SectionNumber"/>
        </w:rPr>
        <w:t xml:space="preserve">3.1.3</w:t>
      </w:r>
      <w:r>
        <w:tab/>
      </w:r>
      <w:r>
        <w:t xml:space="preserve">Von der Maschine zu Gehirn und Organismus als Metapher</w:t>
      </w:r>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4">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5">
        <w:r>
          <w:rPr>
            <w:rStyle w:val="Hyperlink"/>
          </w:rPr>
          <w:t xml:space="preserve">Industriegesellschaft</w:t>
        </w:r>
      </w:hyperlink>
      <w:r>
        <w:t xml:space="preserve"> </w:t>
      </w:r>
      <w:r>
        <w:t xml:space="preserve">zu</w:t>
      </w:r>
      <w:r>
        <w:t xml:space="preserve"> </w:t>
      </w:r>
      <w:hyperlink r:id="rId56">
        <w:r>
          <w:rPr>
            <w:rStyle w:val="Hyperlink"/>
          </w:rPr>
          <w:t xml:space="preserve">Wissensgesellschaft</w:t>
        </w:r>
      </w:hyperlink>
      <w:r>
        <w:t xml:space="preserve"> </w:t>
      </w:r>
      <w:r>
        <w:t xml:space="preserve">wurden die Wissensarbeiter (</w:t>
      </w:r>
      <w:hyperlink r:id="rId57">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59" name="Picture"/>
            <a:graphic>
              <a:graphicData uri="http://schemas.openxmlformats.org/drawingml/2006/picture">
                <pic:pic>
                  <pic:nvPicPr>
                    <pic:cNvPr descr="images/organisation-als-organismus.png" id="60" name="Picture"/>
                    <pic:cNvPicPr>
                      <a:picLocks noChangeArrowheads="1" noChangeAspect="1"/>
                    </pic:cNvPicPr>
                  </pic:nvPicPr>
                  <pic:blipFill>
                    <a:blip r:embed="rId58"/>
                    <a:stretch>
                      <a:fillRect/>
                    </a:stretch>
                  </pic:blipFill>
                  <pic:spPr bwMode="auto">
                    <a:xfrm>
                      <a:off x="0" y="0"/>
                      <a:ext cx="5334000" cy="2432304"/>
                    </a:xfrm>
                    <a:prstGeom prst="rect">
                      <a:avLst/>
                    </a:prstGeom>
                    <a:noFill/>
                    <a:ln w="9525">
                      <a:noFill/>
                      <a:headEnd/>
                      <a:tailEnd/>
                    </a:ln>
                  </pic:spPr>
                </pic:pic>
              </a:graphicData>
            </a:graphic>
          </wp:inline>
        </w:drawing>
      </w:r>
    </w:p>
    <w:bookmarkEnd w:id="61"/>
    <w:bookmarkStart w:id="68" w:name="organisationskultur"/>
    <w:p>
      <w:pPr>
        <w:pStyle w:val="Heading3"/>
      </w:pPr>
      <w:r>
        <w:rPr>
          <w:rStyle w:val="SectionNumber"/>
        </w:rPr>
        <w:t xml:space="preserve">3.1.4</w:t>
      </w:r>
      <w:r>
        <w:tab/>
      </w:r>
      <w:r>
        <w:t xml:space="preserve">Organisationskultur</w:t>
      </w:r>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2">
        <w:r>
          <w:rPr>
            <w:rStyle w:val="Hyperlink"/>
          </w:rPr>
          <w:t xml:space="preserve">Edgar Schein</w:t>
        </w:r>
      </w:hyperlink>
      <w:r>
        <w:t xml:space="preserve"> </w:t>
      </w:r>
      <w:r>
        <w:t xml:space="preserve">hat mit seinem</w:t>
      </w:r>
      <w:r>
        <w:t xml:space="preserve"> </w:t>
      </w:r>
      <w:hyperlink r:id="rId63">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4">
        <w:r>
          <w:rPr>
            <w:rStyle w:val="Hyperlink"/>
          </w:rPr>
          <w:t xml:space="preserve">Organisationskultur</w:t>
        </w:r>
      </w:hyperlink>
      <w:r>
        <w:t xml:space="preserve">):</w:t>
      </w:r>
    </w:p>
    <w:p>
      <w:pPr>
        <w:numPr>
          <w:ilvl w:val="0"/>
          <w:numId w:val="1004"/>
        </w:numPr>
        <w:pStyle w:val="Compact"/>
      </w:pPr>
      <w:r>
        <w:rPr>
          <w:bCs/>
          <w:b/>
        </w:rPr>
        <w:t xml:space="preserve">Artefakte:</w:t>
      </w:r>
      <w:r>
        <w:t xml:space="preserve"> </w:t>
      </w:r>
      <w:r>
        <w:t xml:space="preserve">sichtbare Organisationsstrukturen und -prozesse</w:t>
      </w:r>
    </w:p>
    <w:p>
      <w:pPr>
        <w:numPr>
          <w:ilvl w:val="0"/>
          <w:numId w:val="1004"/>
        </w:numPr>
        <w:pStyle w:val="Compact"/>
      </w:pPr>
      <w:r>
        <w:rPr>
          <w:bCs/>
          <w:b/>
        </w:rPr>
        <w:t xml:space="preserve">Öffentlich probagierte Werte:</w:t>
      </w:r>
      <w:r>
        <w:t xml:space="preserve"> </w:t>
      </w:r>
      <w:r>
        <w:t xml:space="preserve">Strategien, Ziele Philosophien</w:t>
      </w:r>
    </w:p>
    <w:p>
      <w:pPr>
        <w:numPr>
          <w:ilvl w:val="0"/>
          <w:numId w:val="1004"/>
        </w:numPr>
        <w:pStyle w:val="Compact"/>
      </w:pPr>
      <w:r>
        <w:rPr>
          <w:bCs/>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66" name="Picture"/>
            <a:graphic>
              <a:graphicData uri="http://schemas.openxmlformats.org/drawingml/2006/picture">
                <pic:pic>
                  <pic:nvPicPr>
                    <pic:cNvPr descr="images/schein-drei-ebenen-der-unternehmenskultur.png" id="67" name="Picture"/>
                    <pic:cNvPicPr>
                      <a:picLocks noChangeArrowheads="1" noChangeAspect="1"/>
                    </pic:cNvPicPr>
                  </pic:nvPicPr>
                  <pic:blipFill>
                    <a:blip r:embed="rId65"/>
                    <a:stretch>
                      <a:fillRect/>
                    </a:stretch>
                  </pic:blipFill>
                  <pic:spPr bwMode="auto">
                    <a:xfrm>
                      <a:off x="0" y="0"/>
                      <a:ext cx="5334000" cy="2763012"/>
                    </a:xfrm>
                    <a:prstGeom prst="rect">
                      <a:avLst/>
                    </a:prstGeom>
                    <a:noFill/>
                    <a:ln w="9525">
                      <a:noFill/>
                      <a:headEnd/>
                      <a:tailEnd/>
                    </a:ln>
                  </pic:spPr>
                </pic:pic>
              </a:graphicData>
            </a:graphic>
          </wp:inline>
        </w:drawing>
      </w:r>
    </w:p>
    <w:bookmarkEnd w:id="68"/>
    <w:bookmarkEnd w:id="69"/>
    <w:bookmarkStart w:id="103" w:name="veränderung-von-organisationen"/>
    <w:p>
      <w:pPr>
        <w:pStyle w:val="Heading2"/>
      </w:pPr>
      <w:r>
        <w:rPr>
          <w:rStyle w:val="SectionNumber"/>
        </w:rPr>
        <w:t xml:space="preserve">3.2</w:t>
      </w:r>
      <w:r>
        <w:tab/>
      </w:r>
      <w:r>
        <w:t xml:space="preserve">Veränderung von Organisationen</w:t>
      </w:r>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70">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Cs/>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Cs/>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Cs/>
          <w:b/>
        </w:rPr>
        <w:t xml:space="preserve">ProTip:</w:t>
      </w:r>
      <w:r>
        <w:t xml:space="preserve"> </w:t>
      </w:r>
      <w:r>
        <w:t xml:space="preserve">Starte immer mit dem Warum (s.a. Sinek, S.:</w:t>
      </w:r>
      <w:r>
        <w:t xml:space="preserve"> </w:t>
      </w:r>
      <w:hyperlink r:id="rId71">
        <w:r>
          <w:rPr>
            <w:rStyle w:val="Hyperlink"/>
          </w:rPr>
          <w:t xml:space="preserve">Start With Why</w:t>
        </w:r>
      </w:hyperlink>
      <w:r>
        <w:t xml:space="preserve">, Video</w:t>
      </w:r>
      <w:r>
        <w:t xml:space="preserve"> </w:t>
      </w:r>
      <w:hyperlink r:id="rId72">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73">
        <w:r>
          <w:rPr>
            <w:rStyle w:val="Hyperlink"/>
          </w:rPr>
          <w:t xml:space="preserve">Megatrends</w:t>
        </w:r>
      </w:hyperlink>
      <w:r>
        <w:t xml:space="preserve">,</w:t>
      </w:r>
      <w:r>
        <w:t xml:space="preserve"> </w:t>
      </w:r>
      <w:hyperlink r:id="rId74">
        <w:r>
          <w:rPr>
            <w:rStyle w:val="Hyperlink"/>
          </w:rPr>
          <w:t xml:space="preserve">Kondratjew-Zyklen</w:t>
        </w:r>
      </w:hyperlink>
      <w:r>
        <w:t xml:space="preserve"> </w:t>
      </w:r>
      <w:r>
        <w:t xml:space="preserve">oder</w:t>
      </w:r>
      <w:r>
        <w:t xml:space="preserve"> </w:t>
      </w:r>
      <w:hyperlink r:id="rId75">
        <w:r>
          <w:rPr>
            <w:rStyle w:val="Hyperlink"/>
          </w:rPr>
          <w:t xml:space="preserve">gesellschaftlichem Wandel</w:t>
        </w:r>
      </w:hyperlink>
      <w:r>
        <w:t xml:space="preserve">)? Oder gibt es einen intern Grund, sich verändern zu wollen (z.B. Digitale Transformation, Agile Transformation)?</w:t>
      </w:r>
    </w:p>
    <w:bookmarkStart w:id="80" w:name="gleichers-formel-für-veränderung"/>
    <w:p>
      <w:pPr>
        <w:pStyle w:val="Heading3"/>
      </w:pPr>
      <w:r>
        <w:rPr>
          <w:rStyle w:val="SectionNumber"/>
        </w:rPr>
        <w:t xml:space="preserve">3.2.1</w:t>
      </w:r>
      <w:r>
        <w:tab/>
      </w:r>
      <w:r>
        <w:t xml:space="preserve">Gleicher’s Formel für Veränderung</w:t>
      </w:r>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6">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78" name="Picture"/>
            <a:graphic>
              <a:graphicData uri="http://schemas.openxmlformats.org/drawingml/2006/picture">
                <pic:pic>
                  <pic:nvPicPr>
                    <pic:cNvPr descr="./images/gleicher-formula-for-change.png" id="79" name="Picture"/>
                    <pic:cNvPicPr>
                      <a:picLocks noChangeArrowheads="1" noChangeAspect="1"/>
                    </pic:cNvPicPr>
                  </pic:nvPicPr>
                  <pic:blipFill>
                    <a:blip r:embed="rId77"/>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Cs/>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bookmarkEnd w:id="80"/>
    <w:bookmarkStart w:id="83" w:name="veränderung-top-down"/>
    <w:p>
      <w:pPr>
        <w:pStyle w:val="Heading3"/>
      </w:pPr>
      <w:r>
        <w:rPr>
          <w:rStyle w:val="SectionNumber"/>
        </w:rPr>
        <w:t xml:space="preserve">3.2.2</w:t>
      </w:r>
      <w:r>
        <w:tab/>
      </w:r>
      <w:r>
        <w:t xml:space="preserve">Veränderung Top-down</w:t>
      </w:r>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81">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Cs/>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82">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Cs/>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Cs/>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bookmarkEnd w:id="83"/>
    <w:bookmarkStart w:id="92" w:name="veränderung-bottom-up"/>
    <w:p>
      <w:pPr>
        <w:pStyle w:val="Heading3"/>
      </w:pPr>
      <w:r>
        <w:rPr>
          <w:rStyle w:val="SectionNumber"/>
        </w:rPr>
        <w:t xml:space="preserve">3.2.3</w:t>
      </w:r>
      <w:r>
        <w:tab/>
      </w:r>
      <w:r>
        <w:t xml:space="preserve">Veränderung Bottom-up</w:t>
      </w:r>
    </w:p>
    <w:p>
      <w:pPr>
        <w:pStyle w:val="FirstParagraph"/>
      </w:pPr>
      <w:r>
        <w:t xml:space="preserve">Neben der Veränderung vom oberen Ende der Hierarchie kann der Impuls zur Veränderung auch von unten kommen. In der Gesellschaft spricht man dabei von</w:t>
      </w:r>
      <w:r>
        <w:t xml:space="preserve"> </w:t>
      </w:r>
      <w:hyperlink r:id="rId84">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5">
        <w:r>
          <w:rPr>
            <w:rStyle w:val="Hyperlink"/>
          </w:rPr>
          <w:t xml:space="preserve">#gernperDu</w:t>
        </w:r>
      </w:hyperlink>
      <w:r>
        <w:t xml:space="preserve">,</w:t>
      </w:r>
      <w:r>
        <w:t xml:space="preserve"> </w:t>
      </w:r>
      <w:hyperlink r:id="rId86">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88" name="Picture"/>
            <a:graphic>
              <a:graphicData uri="http://schemas.openxmlformats.org/drawingml/2006/picture">
                <pic:pic>
                  <pic:nvPicPr>
                    <pic:cNvPr descr="./images/blumer-stufen-sozialer-bewegungen.png.png" id="89" name="Picture"/>
                    <pic:cNvPicPr>
                      <a:picLocks noChangeArrowheads="1" noChangeAspect="1"/>
                    </pic:cNvPicPr>
                  </pic:nvPicPr>
                  <pic:blipFill>
                    <a:blip r:embed="rId87"/>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90">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91">
        <w:r>
          <w:rPr>
            <w:rStyle w:val="Hyperlink"/>
          </w:rPr>
          <w:t xml:space="preserve">Kluges aus der Mitte</w:t>
        </w:r>
      </w:hyperlink>
      <w:r>
        <w:t xml:space="preserve">).</w:t>
      </w:r>
    </w:p>
    <w:bookmarkEnd w:id="92"/>
    <w:bookmarkStart w:id="96" w:name="veränderung-middle-up-down"/>
    <w:p>
      <w:pPr>
        <w:pStyle w:val="Heading3"/>
      </w:pPr>
      <w:r>
        <w:rPr>
          <w:rStyle w:val="SectionNumber"/>
        </w:rPr>
        <w:t xml:space="preserve">3.2.4</w:t>
      </w:r>
      <w:r>
        <w:tab/>
      </w:r>
      <w:r>
        <w:t xml:space="preserve">Veränderung Middle-Up-Down</w:t>
      </w:r>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94" name="Picture"/>
            <a:graphic>
              <a:graphicData uri="http://schemas.openxmlformats.org/drawingml/2006/picture">
                <pic:pic>
                  <pic:nvPicPr>
                    <pic:cNvPr descr="images/nonaka-middle-up-down-management.png" id="95" name="Picture"/>
                    <pic:cNvPicPr>
                      <a:picLocks noChangeArrowheads="1" noChangeAspect="1"/>
                    </pic:cNvPicPr>
                  </pic:nvPicPr>
                  <pic:blipFill>
                    <a:blip r:embed="rId93"/>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bookmarkEnd w:id="96"/>
    <w:bookmarkStart w:id="102" w:name="Xa1f95168b7763d8e6f1fd5a6e1a45d4ec7a57a6"/>
    <w:p>
      <w:pPr>
        <w:pStyle w:val="Heading3"/>
      </w:pPr>
      <w:r>
        <w:rPr>
          <w:rStyle w:val="SectionNumber"/>
        </w:rPr>
        <w:t xml:space="preserve">3.2.5</w:t>
      </w:r>
      <w:r>
        <w:tab/>
      </w:r>
      <w:r>
        <w:t xml:space="preserve">Lead by example - Mit gutem Beispiel vorangehen</w:t>
      </w:r>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97">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98">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00" name="Picture"/>
            <a:graphic>
              <a:graphicData uri="http://schemas.openxmlformats.org/drawingml/2006/picture">
                <pic:pic>
                  <pic:nvPicPr>
                    <pic:cNvPr descr="./images/change-vs-be-changed.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bookmarkEnd w:id="102"/>
    <w:bookmarkEnd w:id="103"/>
    <w:bookmarkStart w:id="131" w:name="X0d59f797b3404f6d69fd76dc7f9c7b6e7b471a9"/>
    <w:p>
      <w:pPr>
        <w:pStyle w:val="Heading2"/>
      </w:pPr>
      <w:r>
        <w:rPr>
          <w:rStyle w:val="SectionNumber"/>
        </w:rPr>
        <w:t xml:space="preserve">3.3</w:t>
      </w:r>
      <w:r>
        <w:tab/>
      </w:r>
      <w:r>
        <w:t xml:space="preserve">Die Lernende Organisation und ihre Feinde</w:t>
      </w:r>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104">
        <w:r>
          <w:rPr>
            <w:rStyle w:val="Hyperlink"/>
          </w:rPr>
          <w:t xml:space="preserve">Peter Senge</w:t>
        </w:r>
      </w:hyperlink>
      <w:r>
        <w:t xml:space="preserve"> </w:t>
      </w:r>
      <w:r>
        <w:t xml:space="preserve">als als Direktor sowie</w:t>
      </w:r>
      <w:r>
        <w:t xml:space="preserve"> </w:t>
      </w:r>
      <w:hyperlink r:id="rId62">
        <w:r>
          <w:rPr>
            <w:rStyle w:val="Hyperlink"/>
          </w:rPr>
          <w:t xml:space="preserve">Edgar Schein</w:t>
        </w:r>
      </w:hyperlink>
      <w:r>
        <w:t xml:space="preserve"> </w:t>
      </w:r>
      <w:r>
        <w:t xml:space="preserve">und</w:t>
      </w:r>
      <w:r>
        <w:t xml:space="preserve"> </w:t>
      </w:r>
      <w:hyperlink r:id="rId105">
        <w:r>
          <w:rPr>
            <w:rStyle w:val="Hyperlink"/>
          </w:rPr>
          <w:t xml:space="preserve">Chris Argyris</w:t>
        </w:r>
      </w:hyperlink>
      <w:r>
        <w:t xml:space="preserve"> </w:t>
      </w:r>
      <w:r>
        <w:t xml:space="preserve">als Schlüsselpersonen. Ähnlich wie das Konzept des</w:t>
      </w:r>
      <w:r>
        <w:t xml:space="preserve"> </w:t>
      </w:r>
      <w:hyperlink r:id="rId10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107">
        <w:r>
          <w:rPr>
            <w:rStyle w:val="Hyperlink"/>
          </w:rPr>
          <w:t xml:space="preserve">Survival of the Fittest</w:t>
        </w:r>
      </w:hyperlink>
      <w:r>
        <w:t xml:space="preserve">):</w:t>
      </w:r>
    </w:p>
    <w:p>
      <w:pPr>
        <w:pStyle w:val="BlockText"/>
      </w:pPr>
      <w:r>
        <w:t xml:space="preserve">Eine</w:t>
      </w:r>
      <w:r>
        <w:t xml:space="preserve"> </w:t>
      </w:r>
      <w:r>
        <w:rPr>
          <w:bCs/>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bookmarkStart w:id="111" w:name="die-2-schleifen-des-lernens"/>
    <w:p>
      <w:pPr>
        <w:pStyle w:val="Heading3"/>
      </w:pPr>
      <w:r>
        <w:rPr>
          <w:rStyle w:val="SectionNumber"/>
        </w:rPr>
        <w:t xml:space="preserve">3.3.1</w:t>
      </w:r>
      <w:r>
        <w:tab/>
      </w:r>
      <w:r>
        <w:t xml:space="preserve">Die 2 Schleifen des Lernens</w:t>
      </w:r>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09" name="Picture"/>
            <a:graphic>
              <a:graphicData uri="http://schemas.openxmlformats.org/drawingml/2006/picture">
                <pic:pic>
                  <pic:nvPicPr>
                    <pic:cNvPr descr="./images/schoen-doppelschleifen-lernen.png" id="110" name="Picture"/>
                    <pic:cNvPicPr>
                      <a:picLocks noChangeArrowheads="1" noChangeAspect="1"/>
                    </pic:cNvPicPr>
                  </pic:nvPicPr>
                  <pic:blipFill>
                    <a:blip r:embed="rId108"/>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bookmarkEnd w:id="111"/>
    <w:bookmarkStart w:id="114" w:name="X4d003cea141f55273db7b149bbc6c1b21c1c991"/>
    <w:p>
      <w:pPr>
        <w:pStyle w:val="Heading3"/>
      </w:pPr>
      <w:r>
        <w:rPr>
          <w:rStyle w:val="SectionNumber"/>
        </w:rPr>
        <w:t xml:space="preserve">3.3.2</w:t>
      </w:r>
      <w:r>
        <w:tab/>
      </w:r>
      <w:r>
        <w:t xml:space="preserve">Die 5 Disziplinen der Lernenden Organisation</w:t>
      </w:r>
    </w:p>
    <w:p>
      <w:pPr>
        <w:pStyle w:val="FirstParagraph"/>
      </w:pPr>
      <w:r>
        <w:t xml:space="preserve">Wohl der bekannteste Ansatz für Lernende Organisationen sind die fünf Disziplinen von Peter Senge (s.a.</w:t>
      </w:r>
      <w:r>
        <w:t xml:space="preserve"> </w:t>
      </w:r>
      <w:hyperlink r:id="rId112">
        <w:r>
          <w:rPr>
            <w:rStyle w:val="Hyperlink"/>
          </w:rPr>
          <w:t xml:space="preserve">Peter Senge and the learning organization</w:t>
        </w:r>
      </w:hyperlink>
      <w:r>
        <w:t xml:space="preserve">) aus dem Buch</w:t>
      </w:r>
      <w:r>
        <w:t xml:space="preserve"> </w:t>
      </w:r>
      <w:hyperlink r:id="rId113">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Cs/>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Cs/>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Cs/>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Cs/>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Cs/>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bookmarkEnd w:id="114"/>
    <w:bookmarkStart w:id="116" w:name="X6d019ce7931b0eb6a824fb4fd0cd2e9d95a5497"/>
    <w:p>
      <w:pPr>
        <w:pStyle w:val="Heading3"/>
      </w:pPr>
      <w:r>
        <w:rPr>
          <w:rStyle w:val="SectionNumber"/>
        </w:rPr>
        <w:t xml:space="preserve">3.3.3</w:t>
      </w:r>
      <w:r>
        <w:tab/>
      </w:r>
      <w:r>
        <w:t xml:space="preserve">Die 3 Bausteine der Lernenden Organisation</w:t>
      </w:r>
    </w:p>
    <w:p>
      <w:pPr>
        <w:pStyle w:val="FirstParagraph"/>
      </w:pPr>
      <w:r>
        <w:t xml:space="preserve">Nach der Einschätzung David Garvin und Amy Edmondson (s.a.</w:t>
      </w:r>
      <w:r>
        <w:t xml:space="preserve"> </w:t>
      </w:r>
      <w:hyperlink r:id="rId115">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Cs/>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Cs/>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Cs/>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bookmarkEnd w:id="116"/>
    <w:bookmarkStart w:id="118" w:name="die-13-feinde-der-lernenden-organisation"/>
    <w:p>
      <w:pPr>
        <w:pStyle w:val="Heading3"/>
      </w:pPr>
      <w:r>
        <w:rPr>
          <w:rStyle w:val="SectionNumber"/>
        </w:rPr>
        <w:t xml:space="preserve">3.3.4</w:t>
      </w:r>
      <w:r>
        <w:tab/>
      </w:r>
      <w:r>
        <w:t xml:space="preserve">Die 13 Feinde der Lernenden Organisation</w:t>
      </w:r>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17">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Cs/>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Cs/>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Cs/>
          <w:b/>
        </w:rPr>
        <w:t xml:space="preserve">Die anhaltende Ansicht, dass</w:t>
      </w:r>
      <w:r>
        <w:rPr>
          <w:bCs/>
          <w:b/>
        </w:rPr>
        <w:t xml:space="preserve"> </w:t>
      </w:r>
      <w:r>
        <w:rPr>
          <w:bCs/>
          <w:b/>
        </w:rPr>
        <w:t xml:space="preserve">“</w:t>
      </w:r>
      <w:r>
        <w:rPr>
          <w:bCs/>
          <w:b/>
        </w:rPr>
        <w:t xml:space="preserve">Wissen Macht ist</w:t>
      </w:r>
      <w:r>
        <w:rPr>
          <w:bCs/>
          <w:b/>
        </w:rPr>
        <w:t xml:space="preserve">”</w:t>
      </w:r>
      <w:r>
        <w:rPr>
          <w:bCs/>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Cs/>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Cs/>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Cs/>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Cs/>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Cs/>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Cs/>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Cs/>
          <w:b/>
        </w:rPr>
        <w:t xml:space="preserve">Organisationaler</w:t>
      </w:r>
      <w:r>
        <w:rPr>
          <w:bCs/>
          <w:b/>
        </w:rPr>
        <w:t xml:space="preserve"> </w:t>
      </w:r>
      <w:r>
        <w:rPr>
          <w:bCs/>
          <w:b/>
        </w:rPr>
        <w:t xml:space="preserve">“</w:t>
      </w:r>
      <w:r>
        <w:rPr>
          <w:bCs/>
          <w:b/>
        </w:rPr>
        <w:t xml:space="preserve">Gedächtnisverlust</w:t>
      </w:r>
      <w:r>
        <w:rPr>
          <w:bCs/>
          <w:b/>
        </w:rPr>
        <w:t xml:space="preserve">”</w:t>
      </w:r>
      <w:r>
        <w:rPr>
          <w:bCs/>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Cs/>
          <w:b/>
        </w:rPr>
        <w:t xml:space="preserve">Anstieg der</w:t>
      </w:r>
      <w:r>
        <w:rPr>
          <w:bCs/>
          <w:b/>
        </w:rPr>
        <w:t xml:space="preserve"> </w:t>
      </w:r>
      <w:r>
        <w:rPr>
          <w:bCs/>
          <w:b/>
        </w:rPr>
        <w:t xml:space="preserve">“</w:t>
      </w:r>
      <w:r>
        <w:rPr>
          <w:bCs/>
          <w:b/>
        </w:rPr>
        <w:t xml:space="preserve">virtuellen</w:t>
      </w:r>
      <w:r>
        <w:rPr>
          <w:bCs/>
          <w:b/>
        </w:rPr>
        <w:t xml:space="preserve">”</w:t>
      </w:r>
      <w:r>
        <w:rPr>
          <w:bCs/>
          <w:b/>
        </w:rPr>
        <w:t xml:space="preserve"> </w:t>
      </w:r>
      <w:r>
        <w:rPr>
          <w:bCs/>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Cs/>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Cs/>
          <w:b/>
        </w:rPr>
        <w:t xml:space="preserve">Wissen wächst nicht ewig:</w:t>
      </w:r>
      <w:r>
        <w:t xml:space="preserve"> </w:t>
      </w:r>
      <w:r>
        <w:t xml:space="preserve">Das Verlernen und das Ablassen von alten Denkgewohnheiten, ja sogar das Ausscheiden ganzer Wissensbestände, tragen zur Vitalität und Evolution von Wissen bei.</w:t>
      </w:r>
    </w:p>
    <w:bookmarkEnd w:id="118"/>
    <w:bookmarkStart w:id="124" w:name="X3a1a133f29c9f22b53e6e4bcf8a643471ea2b57"/>
    <w:p>
      <w:pPr>
        <w:pStyle w:val="Heading3"/>
      </w:pPr>
      <w:r>
        <w:rPr>
          <w:rStyle w:val="SectionNumber"/>
        </w:rPr>
        <w:t xml:space="preserve">3.3.5</w:t>
      </w:r>
      <w:r>
        <w:tab/>
      </w:r>
      <w:r>
        <w:t xml:space="preserve">Die ISO 30401:2018 als Standard für die Lernende Organisation</w:t>
      </w:r>
    </w:p>
    <w:p>
      <w:pPr>
        <w:pStyle w:val="FirstParagraph"/>
      </w:pPr>
      <w:r>
        <w:t xml:space="preserve">Der Standard</w:t>
      </w:r>
      <w:r>
        <w:t xml:space="preserve"> </w:t>
      </w:r>
      <w:hyperlink r:id="rId119">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Cs/>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20">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22" name="Picture"/>
            <a:graphic>
              <a:graphicData uri="http://schemas.openxmlformats.org/drawingml/2006/picture">
                <pic:pic>
                  <pic:nvPicPr>
                    <pic:cNvPr descr="./images/km-chefs-canvas-v10.jpg" id="123" name="Picture"/>
                    <pic:cNvPicPr>
                      <a:picLocks noChangeArrowheads="1" noChangeAspect="1"/>
                    </pic:cNvPicPr>
                  </pic:nvPicPr>
                  <pic:blipFill>
                    <a:blip r:embed="rId121"/>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Cs/>
          <w:b/>
        </w:rPr>
        <w:t xml:space="preserve">Hinweis:</w:t>
      </w:r>
      <w:r>
        <w:t xml:space="preserve"> </w:t>
      </w:r>
      <w:r>
        <w:t xml:space="preserve">Mit dem Durchlaufen des Lernpfades in diesem Leitfaden entwickelt man einen Ansatz der Lernenden Organisation, der alle Anforderungen der ISO 30401:2018 erfüllt.</w:t>
      </w:r>
    </w:p>
    <w:bookmarkEnd w:id="124"/>
    <w:bookmarkStart w:id="130" w:name="der-lernos-canvas-für-organisationen"/>
    <w:p>
      <w:pPr>
        <w:pStyle w:val="Heading3"/>
      </w:pPr>
      <w:r>
        <w:rPr>
          <w:rStyle w:val="SectionNumber"/>
        </w:rPr>
        <w:t xml:space="preserve">3.3.6</w:t>
      </w:r>
      <w:r>
        <w:tab/>
      </w:r>
      <w:r>
        <w:t xml:space="preserve">Der lernOS Canvas für Organisationen</w:t>
      </w:r>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25">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27" name="Picture"/>
            <a:graphic>
              <a:graphicData uri="http://schemas.openxmlformats.org/drawingml/2006/picture">
                <pic:pic>
                  <pic:nvPicPr>
                    <pic:cNvPr descr="./images/lernOS-Canvas-for-Organizations-de.png" id="128" name="Picture"/>
                    <pic:cNvPicPr>
                      <a:picLocks noChangeArrowheads="1" noChangeAspect="1"/>
                    </pic:cNvPicPr>
                  </pic:nvPicPr>
                  <pic:blipFill>
                    <a:blip r:embed="rId126"/>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29">
        <w:r>
          <w:rPr>
            <w:rStyle w:val="Hyperlink"/>
          </w:rPr>
          <w:t xml:space="preserve">intellektuelle Kapital</w:t>
        </w:r>
      </w:hyperlink>
      <w:r>
        <w:t xml:space="preserve"> </w:t>
      </w:r>
      <w:r>
        <w:t xml:space="preserve">der Organisation gemeint.</w:t>
      </w:r>
    </w:p>
    <w:p>
      <w:pPr>
        <w:pStyle w:val="BodyText"/>
      </w:pPr>
      <w:r>
        <w:rPr>
          <w:bCs/>
          <w:b/>
        </w:rPr>
        <w:t xml:space="preserve">ProTip:</w:t>
      </w:r>
      <w:r>
        <w:t xml:space="preserve"> </w:t>
      </w:r>
      <w:r>
        <w:t xml:space="preserve">die Grafik des lernOS Canvas kann für die virtuelle Zusammenarbeit ganz einfach in digitale Whiteboards wie z.B. Microsoft Whiteboard, Mural, Miro oder Conceptboard kopiert werden.</w:t>
      </w:r>
    </w:p>
    <w:bookmarkEnd w:id="130"/>
    <w:bookmarkEnd w:id="131"/>
    <w:bookmarkStart w:id="149" w:name="eine-lernende-organisation-kultivieren"/>
    <w:p>
      <w:pPr>
        <w:pStyle w:val="Heading2"/>
      </w:pPr>
      <w:r>
        <w:rPr>
          <w:rStyle w:val="SectionNumber"/>
        </w:rPr>
        <w:t xml:space="preserve">3.4</w:t>
      </w:r>
      <w:r>
        <w:tab/>
      </w:r>
      <w:r>
        <w:t xml:space="preserve">Eine Lernende Organisation kultivieren</w:t>
      </w:r>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Cs/>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Cs/>
          <w:b/>
        </w:rPr>
        <w:t xml:space="preserve">Open Space des Lernens:</w:t>
      </w:r>
      <w:r>
        <w:t xml:space="preserve"> </w:t>
      </w:r>
      <w:r>
        <w:t xml:space="preserve">Das bewährte</w:t>
      </w:r>
      <w:r>
        <w:t xml:space="preserve"> </w:t>
      </w:r>
      <w:hyperlink r:id="rId132">
        <w:r>
          <w:rPr>
            <w:rStyle w:val="Hyperlink"/>
          </w:rPr>
          <w:t xml:space="preserve">Open Space Format</w:t>
        </w:r>
      </w:hyperlink>
      <w:r>
        <w:t xml:space="preserve"> </w:t>
      </w:r>
      <w:r>
        <w:t xml:space="preserve">von Harrison Owen hat Daniel Mezick unter dem Namen</w:t>
      </w:r>
      <w:r>
        <w:t xml:space="preserve"> </w:t>
      </w:r>
      <w:hyperlink r:id="rId13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bookmarkStart w:id="137" w:name="koalition-des-lernens-kdl"/>
    <w:p>
      <w:pPr>
        <w:pStyle w:val="Heading3"/>
      </w:pPr>
      <w:r>
        <w:rPr>
          <w:rStyle w:val="SectionNumber"/>
        </w:rPr>
        <w:t xml:space="preserve">3.4.1</w:t>
      </w:r>
      <w:r>
        <w:tab/>
      </w:r>
      <w:r>
        <w:t xml:space="preserve">Koalition des Lernens (KdL)</w:t>
      </w:r>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35" name="Picture"/>
            <a:graphic>
              <a:graphicData uri="http://schemas.openxmlformats.org/drawingml/2006/picture">
                <pic:pic>
                  <pic:nvPicPr>
                    <pic:cNvPr descr="./images/koalition-des-lernens.png" id="136" name="Picture"/>
                    <pic:cNvPicPr>
                      <a:picLocks noChangeArrowheads="1" noChangeAspect="1"/>
                    </pic:cNvPicPr>
                  </pic:nvPicPr>
                  <pic:blipFill>
                    <a:blip r:embed="rId134"/>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Cs/>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Cs/>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bookmarkEnd w:id="137"/>
    <w:bookmarkStart w:id="142" w:name="open-space-des-lernens-osdl"/>
    <w:p>
      <w:pPr>
        <w:pStyle w:val="Heading3"/>
      </w:pPr>
      <w:r>
        <w:rPr>
          <w:rStyle w:val="SectionNumber"/>
        </w:rPr>
        <w:t xml:space="preserve">3.4.2</w:t>
      </w:r>
      <w:r>
        <w:tab/>
      </w:r>
      <w:r>
        <w:t xml:space="preserve">Open Space des Lernens (OSdL)</w:t>
      </w:r>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Cs/>
          <w:b/>
        </w:rPr>
        <w:t xml:space="preserve">Prinzip 1:</w:t>
      </w:r>
      <w:r>
        <w:t xml:space="preserve"> </w:t>
      </w:r>
      <w:r>
        <w:t xml:space="preserve">Wer auch immer kommt, es sind die richtigen Leute</w:t>
      </w:r>
    </w:p>
    <w:p>
      <w:pPr>
        <w:numPr>
          <w:ilvl w:val="0"/>
          <w:numId w:val="1016"/>
        </w:numPr>
        <w:pStyle w:val="Compact"/>
      </w:pPr>
      <w:r>
        <w:rPr>
          <w:bCs/>
          <w:b/>
        </w:rPr>
        <w:t xml:space="preserve">Prinzip 2:</w:t>
      </w:r>
      <w:r>
        <w:t xml:space="preserve"> </w:t>
      </w:r>
      <w:r>
        <w:t xml:space="preserve">Was auch immer geschieht, es ist das Einzige, was geschehen konnte.</w:t>
      </w:r>
    </w:p>
    <w:p>
      <w:pPr>
        <w:numPr>
          <w:ilvl w:val="0"/>
          <w:numId w:val="1016"/>
        </w:numPr>
        <w:pStyle w:val="Compact"/>
      </w:pPr>
      <w:r>
        <w:rPr>
          <w:bCs/>
          <w:b/>
        </w:rPr>
        <w:t xml:space="preserve">Prinzip 3:</w:t>
      </w:r>
      <w:r>
        <w:t xml:space="preserve"> </w:t>
      </w:r>
      <w:r>
        <w:t xml:space="preserve">Es beginnt, wenn die Zeit reif ist.</w:t>
      </w:r>
    </w:p>
    <w:p>
      <w:pPr>
        <w:numPr>
          <w:ilvl w:val="0"/>
          <w:numId w:val="1016"/>
        </w:numPr>
        <w:pStyle w:val="Compact"/>
      </w:pPr>
      <w:r>
        <w:rPr>
          <w:bCs/>
          <w:b/>
        </w:rPr>
        <w:t xml:space="preserve">Prinzip 4:</w:t>
      </w:r>
      <w:r>
        <w:t xml:space="preserve"> </w:t>
      </w:r>
      <w:r>
        <w:t xml:space="preserve">Vorbei ist vorbei - nicht vorbei ist nicht vorbei.</w:t>
      </w:r>
    </w:p>
    <w:p>
      <w:pPr>
        <w:numPr>
          <w:ilvl w:val="0"/>
          <w:numId w:val="1016"/>
        </w:numPr>
        <w:pStyle w:val="Compact"/>
      </w:pPr>
      <w:r>
        <w:rPr>
          <w:bCs/>
          <w:b/>
        </w:rPr>
        <w:t xml:space="preserve">Prinzip 5:</w:t>
      </w:r>
      <w:r>
        <w:t xml:space="preserve"> </w:t>
      </w:r>
      <w:r>
        <w:t xml:space="preserve">Wo auch immer es geschieht, es ist der richtige Ort.</w:t>
      </w:r>
    </w:p>
    <w:p>
      <w:pPr>
        <w:numPr>
          <w:ilvl w:val="0"/>
          <w:numId w:val="1016"/>
        </w:numPr>
        <w:pStyle w:val="Compact"/>
      </w:pPr>
      <w:r>
        <w:rPr>
          <w:bCs/>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Cs/>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Cs/>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Cs/>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Cs/>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Cs/>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39" name="Picture"/>
            <a:graphic>
              <a:graphicData uri="http://schemas.openxmlformats.org/drawingml/2006/picture">
                <pic:pic>
                  <pic:nvPicPr>
                    <pic:cNvPr descr="images/open-space-learning.png" id="140" name="Picture"/>
                    <pic:cNvPicPr>
                      <a:picLocks noChangeArrowheads="1" noChangeAspect="1"/>
                    </pic:cNvPicPr>
                  </pic:nvPicPr>
                  <pic:blipFill>
                    <a:blip r:embed="rId138"/>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41">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Zeit</w:t>
            </w:r>
          </w:p>
        </w:tc>
        <w:tc>
          <w:tcPr/>
          <w:p>
            <w:pPr>
              <w:pStyle w:val="Compact"/>
              <w:jc w:val="left"/>
            </w:pPr>
            <w:r>
              <w:t xml:space="preserve">Agendapunkt</w:t>
            </w:r>
          </w:p>
        </w:tc>
      </w:tr>
      <w:tr>
        <w:tc>
          <w:tcPr/>
          <w:p>
            <w:pPr>
              <w:pStyle w:val="Compact"/>
              <w:jc w:val="left"/>
            </w:pPr>
            <w:r>
              <w:t xml:space="preserve">09:00-10:30 Uhr</w:t>
            </w:r>
          </w:p>
        </w:tc>
        <w:tc>
          <w:tcPr/>
          <w:p>
            <w:pPr>
              <w:pStyle w:val="Compact"/>
              <w:jc w:val="left"/>
            </w:pPr>
            <w:r>
              <w:t xml:space="preserve">Eröffnung und Erstellung der Agenda</w:t>
            </w:r>
          </w:p>
        </w:tc>
      </w:tr>
      <w:tr>
        <w:tc>
          <w:tcPr/>
          <w:p>
            <w:pPr>
              <w:pStyle w:val="Compact"/>
              <w:jc w:val="left"/>
            </w:pPr>
            <w:r>
              <w:t xml:space="preserve">10:30-12:00 Uhr</w:t>
            </w:r>
          </w:p>
        </w:tc>
        <w:tc>
          <w:tcPr/>
          <w:p>
            <w:pPr>
              <w:pStyle w:val="Compact"/>
              <w:jc w:val="left"/>
            </w:pPr>
            <w:r>
              <w:t xml:space="preserve">Session 1</w:t>
            </w:r>
          </w:p>
        </w:tc>
      </w:tr>
      <w:tr>
        <w:tc>
          <w:tcPr/>
          <w:p>
            <w:pPr>
              <w:pStyle w:val="Compact"/>
              <w:jc w:val="left"/>
            </w:pPr>
            <w:r>
              <w:t xml:space="preserve">12:00-13:00 Uhr</w:t>
            </w:r>
          </w:p>
        </w:tc>
        <w:tc>
          <w:tcPr/>
          <w:p>
            <w:pPr>
              <w:pStyle w:val="Compact"/>
              <w:jc w:val="left"/>
            </w:pPr>
            <w:r>
              <w:t xml:space="preserve">Mittagspause</w:t>
            </w:r>
          </w:p>
        </w:tc>
      </w:tr>
      <w:tr>
        <w:tc>
          <w:tcPr/>
          <w:p>
            <w:pPr>
              <w:pStyle w:val="Compact"/>
              <w:jc w:val="left"/>
            </w:pPr>
            <w:r>
              <w:t xml:space="preserve">13:00-14:30 Uhr</w:t>
            </w:r>
          </w:p>
        </w:tc>
        <w:tc>
          <w:tcPr/>
          <w:p>
            <w:pPr>
              <w:pStyle w:val="Compact"/>
              <w:jc w:val="left"/>
            </w:pPr>
            <w:r>
              <w:t xml:space="preserve">Session 2</w:t>
            </w:r>
          </w:p>
        </w:tc>
      </w:tr>
      <w:tr>
        <w:tc>
          <w:tcPr/>
          <w:p>
            <w:pPr>
              <w:pStyle w:val="Compact"/>
              <w:jc w:val="left"/>
            </w:pPr>
            <w:r>
              <w:t xml:space="preserve">14:30-16:00 Uhr</w:t>
            </w:r>
          </w:p>
        </w:tc>
        <w:tc>
          <w:tcPr/>
          <w:p>
            <w:pPr>
              <w:pStyle w:val="Compact"/>
              <w:jc w:val="left"/>
            </w:pPr>
            <w:r>
              <w:t xml:space="preserve">Session 3</w:t>
            </w:r>
          </w:p>
        </w:tc>
      </w:tr>
      <w:tr>
        <w:tc>
          <w:tcPr/>
          <w:p>
            <w:pPr>
              <w:pStyle w:val="Compact"/>
              <w:jc w:val="left"/>
            </w:pPr>
            <w:r>
              <w:t xml:space="preserve">16:00-16:30 Uhr</w:t>
            </w:r>
          </w:p>
        </w:tc>
        <w:tc>
          <w:tcPr/>
          <w:p>
            <w:pPr>
              <w:pStyle w:val="Compact"/>
              <w:jc w:val="left"/>
            </w:pPr>
            <w:r>
              <w:t xml:space="preserve">Dokumentation (Erstellung des Protokolls)</w:t>
            </w:r>
          </w:p>
        </w:tc>
      </w:tr>
      <w:tr>
        <w:tc>
          <w:tcPr/>
          <w:p>
            <w:pPr>
              <w:pStyle w:val="Compact"/>
              <w:jc w:val="left"/>
            </w:pPr>
            <w:r>
              <w:t xml:space="preserve">16:30-17:00 Uhr</w:t>
            </w:r>
          </w:p>
        </w:tc>
        <w:tc>
          <w:tcPr/>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5000"/>
        <w:tblLook w:firstRow="1" w:lastRow="0" w:firstColumn="0" w:lastColumn="0" w:noHBand="0" w:noVBand="0" w:val="0020"/>
        <w:jc w:val="start"/>
      </w:tblPr>
      <w:tblGrid>
        <w:gridCol w:w="1102"/>
        <w:gridCol w:w="1303"/>
        <w:gridCol w:w="1102"/>
        <w:gridCol w:w="1102"/>
        <w:gridCol w:w="1102"/>
        <w:gridCol w:w="1102"/>
        <w:gridCol w:w="1102"/>
      </w:tblGrid>
      <w:tr>
        <w:trPr>
          <w:tblHeader w:val="true"/>
        </w:trPr>
        <w:tc>
          <w:tcPr/>
          <w:p>
            <w:pPr>
              <w:pStyle w:val="Compact"/>
              <w:jc w:val="left"/>
            </w:pPr>
            <w:r>
              <w:t xml:space="preserve">Zeit</w:t>
            </w:r>
          </w:p>
        </w:tc>
        <w:tc>
          <w:tcPr/>
          <w:p>
            <w:pPr>
              <w:pStyle w:val="Compact"/>
              <w:jc w:val="left"/>
            </w:pPr>
            <w:r>
              <w:t xml:space="preserve">Plenum</w:t>
            </w:r>
          </w:p>
        </w:tc>
        <w:tc>
          <w:tcPr/>
          <w:p>
            <w:pPr>
              <w:pStyle w:val="Compact"/>
              <w:jc w:val="left"/>
            </w:pPr>
            <w:r>
              <w:t xml:space="preserve">Raum 1</w:t>
            </w:r>
          </w:p>
        </w:tc>
        <w:tc>
          <w:tcPr/>
          <w:p>
            <w:pPr>
              <w:pStyle w:val="Compact"/>
              <w:jc w:val="left"/>
            </w:pPr>
            <w:r>
              <w:t xml:space="preserve">Raum 2</w:t>
            </w:r>
          </w:p>
        </w:tc>
        <w:tc>
          <w:tcPr/>
          <w:p>
            <w:pPr>
              <w:pStyle w:val="Compact"/>
              <w:jc w:val="left"/>
            </w:pPr>
            <w:r>
              <w:t xml:space="preserve">Raum 3</w:t>
            </w:r>
          </w:p>
        </w:tc>
        <w:tc>
          <w:tcPr/>
          <w:p>
            <w:pPr>
              <w:pStyle w:val="Compact"/>
              <w:jc w:val="left"/>
            </w:pPr>
            <w:r>
              <w:t xml:space="preserve">Raum 4</w:t>
            </w:r>
          </w:p>
        </w:tc>
        <w:tc>
          <w:tcPr/>
          <w:p>
            <w:pPr>
              <w:pStyle w:val="Compact"/>
              <w:jc w:val="left"/>
            </w:pPr>
            <w:r>
              <w:t xml:space="preserve">Raum 5</w:t>
            </w:r>
          </w:p>
        </w:tc>
      </w:tr>
      <w:tr>
        <w:tc>
          <w:tcPr/>
          <w:p>
            <w:pPr>
              <w:pStyle w:val="Compact"/>
              <w:jc w:val="left"/>
            </w:pPr>
            <w:r>
              <w:t xml:space="preserve">09:00-10:30</w:t>
            </w:r>
          </w:p>
        </w:tc>
        <w:tc>
          <w:tcPr/>
          <w:p>
            <w:pPr>
              <w:pStyle w:val="Compact"/>
              <w:jc w:val="left"/>
            </w:pPr>
            <w:r>
              <w:t xml:space="preserve">Eröffnung</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10:30-12:00</w:t>
            </w:r>
          </w:p>
        </w:tc>
        <w:tc>
          <w:tcPr/>
          <w:p>
            <w:pPr>
              <w:pStyle w:val="Compact"/>
            </w:pPr>
          </w:p>
        </w:tc>
        <w:tc>
          <w:tcPr/>
          <w:p>
            <w:pPr>
              <w:pStyle w:val="Compact"/>
              <w:jc w:val="left"/>
            </w:pPr>
            <w:r>
              <w:t xml:space="preserve">Session 1.1</w:t>
            </w:r>
          </w:p>
        </w:tc>
        <w:tc>
          <w:tcPr/>
          <w:p>
            <w:pPr>
              <w:pStyle w:val="Compact"/>
              <w:jc w:val="left"/>
            </w:pPr>
            <w:r>
              <w:t xml:space="preserve">Session 2.1</w:t>
            </w:r>
          </w:p>
        </w:tc>
        <w:tc>
          <w:tcPr/>
          <w:p>
            <w:pPr>
              <w:pStyle w:val="Compact"/>
              <w:jc w:val="left"/>
            </w:pPr>
            <w:r>
              <w:t xml:space="preserve">Session 3.1</w:t>
            </w:r>
          </w:p>
        </w:tc>
        <w:tc>
          <w:tcPr/>
          <w:p>
            <w:pPr>
              <w:pStyle w:val="Compact"/>
              <w:jc w:val="left"/>
            </w:pPr>
            <w:r>
              <w:t xml:space="preserve">Session 4.1</w:t>
            </w:r>
          </w:p>
        </w:tc>
        <w:tc>
          <w:tcPr/>
          <w:p>
            <w:pPr>
              <w:pStyle w:val="Compact"/>
              <w:jc w:val="left"/>
            </w:pPr>
            <w:r>
              <w:t xml:space="preserve">Session 5.1</w:t>
            </w:r>
          </w:p>
        </w:tc>
      </w:tr>
      <w:tr>
        <w:tc>
          <w:tcPr/>
          <w:p>
            <w:pPr>
              <w:pStyle w:val="Compact"/>
              <w:jc w:val="left"/>
            </w:pPr>
            <w:r>
              <w:t xml:space="preserve">12:00-13:00</w:t>
            </w:r>
          </w:p>
        </w:tc>
        <w:tc>
          <w:tcPr/>
          <w:p>
            <w:pPr>
              <w:pStyle w:val="Compact"/>
              <w:jc w:val="left"/>
            </w:pPr>
            <w:r>
              <w:t xml:space="preserve">Mittagspause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13:00-14:30</w:t>
            </w:r>
          </w:p>
        </w:tc>
        <w:tc>
          <w:tcPr/>
          <w:p>
            <w:pPr>
              <w:pStyle w:val="Compact"/>
            </w:pPr>
          </w:p>
        </w:tc>
        <w:tc>
          <w:tcPr/>
          <w:p>
            <w:pPr>
              <w:pStyle w:val="Compact"/>
              <w:jc w:val="left"/>
            </w:pPr>
            <w:r>
              <w:t xml:space="preserve">Session 1.2</w:t>
            </w:r>
          </w:p>
        </w:tc>
        <w:tc>
          <w:tcPr/>
          <w:p>
            <w:pPr>
              <w:pStyle w:val="Compact"/>
              <w:jc w:val="left"/>
            </w:pPr>
            <w:r>
              <w:t xml:space="preserve">Session 2.2</w:t>
            </w:r>
          </w:p>
        </w:tc>
        <w:tc>
          <w:tcPr/>
          <w:p>
            <w:pPr>
              <w:pStyle w:val="Compact"/>
              <w:jc w:val="left"/>
            </w:pPr>
            <w:r>
              <w:t xml:space="preserve">Session 3.2</w:t>
            </w:r>
          </w:p>
        </w:tc>
        <w:tc>
          <w:tcPr/>
          <w:p>
            <w:pPr>
              <w:pStyle w:val="Compact"/>
              <w:jc w:val="left"/>
            </w:pPr>
            <w:r>
              <w:t xml:space="preserve">Session 4.2</w:t>
            </w:r>
          </w:p>
        </w:tc>
        <w:tc>
          <w:tcPr/>
          <w:p>
            <w:pPr>
              <w:pStyle w:val="Compact"/>
              <w:jc w:val="left"/>
            </w:pPr>
            <w:r>
              <w:t xml:space="preserve">Session 5.2</w:t>
            </w:r>
          </w:p>
        </w:tc>
      </w:tr>
      <w:tr>
        <w:tc>
          <w:tcPr/>
          <w:p>
            <w:pPr>
              <w:pStyle w:val="Compact"/>
              <w:jc w:val="left"/>
            </w:pPr>
            <w:r>
              <w:t xml:space="preserve">14:30-16:00</w:t>
            </w:r>
          </w:p>
        </w:tc>
        <w:tc>
          <w:tcPr/>
          <w:p>
            <w:pPr>
              <w:pStyle w:val="Compact"/>
            </w:pPr>
          </w:p>
        </w:tc>
        <w:tc>
          <w:tcPr/>
          <w:p>
            <w:pPr>
              <w:pStyle w:val="Compact"/>
              <w:jc w:val="left"/>
            </w:pPr>
            <w:r>
              <w:t xml:space="preserve">Session 1.3</w:t>
            </w:r>
          </w:p>
        </w:tc>
        <w:tc>
          <w:tcPr/>
          <w:p>
            <w:pPr>
              <w:pStyle w:val="Compact"/>
              <w:jc w:val="left"/>
            </w:pPr>
            <w:r>
              <w:t xml:space="preserve">Session 2.3</w:t>
            </w:r>
          </w:p>
        </w:tc>
        <w:tc>
          <w:tcPr/>
          <w:p>
            <w:pPr>
              <w:pStyle w:val="Compact"/>
              <w:jc w:val="left"/>
            </w:pPr>
            <w:r>
              <w:t xml:space="preserve">Session 3.3</w:t>
            </w:r>
          </w:p>
        </w:tc>
        <w:tc>
          <w:tcPr/>
          <w:p>
            <w:pPr>
              <w:pStyle w:val="Compact"/>
              <w:jc w:val="left"/>
            </w:pPr>
            <w:r>
              <w:t xml:space="preserve">Session 4.3</w:t>
            </w:r>
          </w:p>
        </w:tc>
        <w:tc>
          <w:tcPr/>
          <w:p>
            <w:pPr>
              <w:pStyle w:val="Compact"/>
              <w:jc w:val="left"/>
            </w:pPr>
            <w:r>
              <w:t xml:space="preserve">Session 5.3</w:t>
            </w:r>
          </w:p>
        </w:tc>
      </w:tr>
      <w:tr>
        <w:tc>
          <w:tcPr/>
          <w:p>
            <w:pPr>
              <w:pStyle w:val="Compact"/>
              <w:jc w:val="left"/>
            </w:pPr>
            <w:r>
              <w:t xml:space="preserve">16:00-16:30</w:t>
            </w:r>
          </w:p>
        </w:tc>
        <w:tc>
          <w:tcPr/>
          <w:p>
            <w:pPr>
              <w:pStyle w:val="Compact"/>
              <w:jc w:val="left"/>
            </w:pPr>
            <w:r>
              <w:t xml:space="preserve">Dokumentation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16:30-17:00</w:t>
            </w:r>
          </w:p>
        </w:tc>
        <w:tc>
          <w:tcPr/>
          <w:p>
            <w:pPr>
              <w:pStyle w:val="Compact"/>
              <w:jc w:val="left"/>
            </w:pPr>
            <w:r>
              <w:t xml:space="preserve">Abschluss</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Im</w:t>
      </w:r>
      <w:r>
        <w:t xml:space="preserve"> </w:t>
      </w:r>
      <w:r>
        <w:rPr>
          <w:bCs/>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bookmarkEnd w:id="142"/>
    <w:bookmarkStart w:id="148" w:name="werkzeugkasten-des-lernens-wdl"/>
    <w:p>
      <w:pPr>
        <w:pStyle w:val="Heading3"/>
      </w:pPr>
      <w:r>
        <w:rPr>
          <w:rStyle w:val="SectionNumber"/>
        </w:rPr>
        <w:t xml:space="preserve">3.4.3</w:t>
      </w:r>
      <w:r>
        <w:tab/>
      </w:r>
      <w:r>
        <w:t xml:space="preserve">Werkzeugkasten des Lernens (WdL)</w:t>
      </w:r>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Cs/>
          <w:b/>
        </w:rPr>
        <w:t xml:space="preserve">lernOS Toolbox</w:t>
      </w:r>
      <w:r>
        <w:t xml:space="preserve">:</w:t>
      </w:r>
    </w:p>
    <w:p>
      <w:pPr>
        <w:numPr>
          <w:ilvl w:val="0"/>
          <w:numId w:val="1020"/>
        </w:numPr>
        <w:pStyle w:val="Compact"/>
      </w:pPr>
      <w:r>
        <w:rPr>
          <w:bCs/>
          <w:b/>
        </w:rPr>
        <w:t xml:space="preserve">BarCamp:</w:t>
      </w:r>
      <w:r>
        <w:t xml:space="preserve"> </w:t>
      </w:r>
      <w:r>
        <w:t xml:space="preserve">Ein BarCamp (auch Unkonferenz) ist eine Konferenz, bei der die Inhalte von den Teilehmern innerhalb eines vorgegebenen Rahmens selber gestaltet werden (</w:t>
      </w:r>
      <w:hyperlink r:id="rId143">
        <w:r>
          <w:rPr>
            <w:rStyle w:val="Hyperlink"/>
          </w:rPr>
          <w:t xml:space="preserve">lernOS BarCamp Leitfaden</w:t>
        </w:r>
      </w:hyperlink>
      <w:r>
        <w:t xml:space="preserve">).</w:t>
      </w:r>
    </w:p>
    <w:p>
      <w:pPr>
        <w:numPr>
          <w:ilvl w:val="0"/>
          <w:numId w:val="1020"/>
        </w:numPr>
        <w:pStyle w:val="Compact"/>
      </w:pPr>
      <w:r>
        <w:rPr>
          <w:bCs/>
          <w:b/>
        </w:rPr>
        <w:t xml:space="preserve">Community of Practice:</w:t>
      </w:r>
      <w:r>
        <w:t xml:space="preserve"> </w:t>
      </w:r>
      <w:r>
        <w:t xml:space="preserve">Eine Community of Practice (CoP) ist eine Gruppe von Personen mit einem gemeinsamen Interesse, die durch regelmäßige Interaktion voneinander lernen (</w:t>
      </w:r>
      <w:hyperlink r:id="rId144">
        <w:r>
          <w:rPr>
            <w:rStyle w:val="Hyperlink"/>
          </w:rPr>
          <w:t xml:space="preserve">lernOS Community Management Leitfaden</w:t>
        </w:r>
      </w:hyperlink>
      <w:r>
        <w:t xml:space="preserve">).</w:t>
      </w:r>
    </w:p>
    <w:p>
      <w:pPr>
        <w:numPr>
          <w:ilvl w:val="0"/>
          <w:numId w:val="1020"/>
        </w:numPr>
        <w:pStyle w:val="Compact"/>
      </w:pPr>
      <w:r>
        <w:rPr>
          <w:bCs/>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45">
        <w:r>
          <w:rPr>
            <w:rStyle w:val="Hyperlink"/>
          </w:rPr>
          <w:t xml:space="preserve">lernOS Expert Debriefing Leitfaden</w:t>
        </w:r>
      </w:hyperlink>
      <w:r>
        <w:t xml:space="preserve">).</w:t>
      </w:r>
    </w:p>
    <w:p>
      <w:pPr>
        <w:numPr>
          <w:ilvl w:val="0"/>
          <w:numId w:val="1020"/>
        </w:numPr>
        <w:pStyle w:val="Compact"/>
      </w:pPr>
      <w:r>
        <w:rPr>
          <w:bCs/>
          <w:b/>
        </w:rPr>
        <w:t xml:space="preserve">Getting Things Done:</w:t>
      </w:r>
      <w:r>
        <w:t xml:space="preserve"> </w:t>
      </w:r>
      <w:r>
        <w:t xml:space="preserve">Getting Things Done (GTD) ist eine Selbstmanagement-Methode für Wissensarbeiter (GTD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Podcast:</w:t>
      </w:r>
      <w:r>
        <w:t xml:space="preserve"> </w:t>
      </w:r>
      <w:r>
        <w:t xml:space="preserve">Ein Podcast besteht aus einer Sammlung von Audio-Dateien, die auf einer Webseite zum automatischen Download zur Verfügung gestellt wird (</w:t>
      </w:r>
      <w:hyperlink r:id="rId147">
        <w:r>
          <w:rPr>
            <w:rStyle w:val="Hyperlink"/>
          </w:rPr>
          <w:t xml:space="preserve">lernOS Podcasting Leitfaden</w:t>
        </w:r>
      </w:hyperlink>
      <w:r>
        <w:t xml:space="preserve">).</w:t>
      </w:r>
    </w:p>
    <w:p>
      <w:pPr>
        <w:numPr>
          <w:ilvl w:val="0"/>
          <w:numId w:val="1020"/>
        </w:numPr>
        <w:pStyle w:val="Compact"/>
      </w:pPr>
      <w:r>
        <w:rPr>
          <w:bCs/>
          <w:b/>
        </w:rPr>
        <w:t xml:space="preserve">Erklärvideo/Screencast:</w:t>
      </w:r>
      <w:r>
        <w:t xml:space="preserve"> </w:t>
      </w:r>
      <w:r>
        <w:t xml:space="preserve">Ein Screencast ist ein Video, das die Interaktion auf einem Computerbildschirm wahlweise mit oder ohne Ton darstellt (der</w:t>
      </w:r>
      <w:r>
        <w:t xml:space="preserve"> </w:t>
      </w:r>
      <w:hyperlink r:id="rId147">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Cs/>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Wissenslandkarte:</w:t>
      </w:r>
      <w:r>
        <w:t xml:space="preserve"> </w:t>
      </w:r>
      <w:r>
        <w:t xml:space="preserve">Eine Wissenslandkarte ist eine graphische Darstellung von Wissensgebieten und deren Zusammenhängen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Working Out Loud:</w:t>
      </w:r>
      <w:r>
        <w:t xml:space="preserve"> </w:t>
      </w:r>
      <w:r>
        <w:t xml:space="preserve">Working Out Loud (WOL) ist eine Methode zum strategischen Netzwerken und offenen Teilen von Inhalten (WOL Lernpfad im</w:t>
      </w:r>
      <w:r>
        <w:t xml:space="preserve"> </w:t>
      </w:r>
      <w:hyperlink r:id="rId146">
        <w:r>
          <w:rPr>
            <w:rStyle w:val="Hyperlink"/>
          </w:rPr>
          <w:t xml:space="preserve">lernOS für Dich Leitfaden</w:t>
        </w:r>
      </w:hyperlink>
      <w:r>
        <w:t xml:space="preserve"> </w:t>
      </w:r>
      <w:r>
        <w:t xml:space="preserve">oder</w:t>
      </w:r>
      <w:r>
        <w:t xml:space="preserve"> </w:t>
      </w:r>
      <w:hyperlink r:id="rId86">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bookmarkEnd w:id="148"/>
    <w:bookmarkEnd w:id="149"/>
    <w:bookmarkEnd w:id="150"/>
    <w:bookmarkStart w:id="151" w:name="lernpfad"/>
    <w:p>
      <w:pPr>
        <w:pStyle w:val="Heading1"/>
      </w:pPr>
      <w:r>
        <w:rPr>
          <w:rStyle w:val="SectionNumber"/>
        </w:rPr>
        <w:t xml:space="preserve">4</w:t>
      </w:r>
      <w:r>
        <w:tab/>
      </w:r>
      <w:r>
        <w:t xml:space="preserve">Lernpfad</w:t>
      </w:r>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Cs/>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Cs/>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Cs/>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Cs/>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Cs/>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Cs/>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Cs/>
          <w:b/>
        </w:rPr>
        <w:t xml:space="preserve">Initiativen, Communities, Netzwerke und informelle</w:t>
      </w:r>
      <w:r>
        <w:rPr>
          <w:bCs/>
          <w:b/>
        </w:rPr>
        <w:t xml:space="preserve"> </w:t>
      </w:r>
      <w:r>
        <w:rPr>
          <w:bCs/>
          <w:b/>
        </w:rPr>
        <w:t xml:space="preserve">“</w:t>
      </w:r>
      <w:r>
        <w:rPr>
          <w:bCs/>
          <w:b/>
        </w:rPr>
        <w:t xml:space="preserve">Leader</w:t>
      </w:r>
      <w:r>
        <w:rPr>
          <w:bCs/>
          <w:b/>
        </w:rPr>
        <w:t xml:space="preserve">”</w:t>
      </w:r>
      <w:r>
        <w:rPr>
          <w:bCs/>
          <w:b/>
        </w:rPr>
        <w:t xml:space="preserve"> </w:t>
      </w:r>
      <w:r>
        <w:rPr>
          <w:bCs/>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Cs/>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Cs/>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Cs/>
          <w:b/>
        </w:rPr>
        <w:t xml:space="preserve">Ein letzter</w:t>
      </w:r>
      <w:r>
        <w:rPr>
          <w:bCs/>
          <w:b/>
        </w:rPr>
        <w:t xml:space="preserve"> </w:t>
      </w:r>
      <w:r>
        <w:rPr>
          <w:bCs/>
          <w:b/>
        </w:rPr>
        <w:t xml:space="preserve">“</w:t>
      </w:r>
      <w:r>
        <w:rPr>
          <w:bCs/>
          <w:b/>
        </w:rPr>
        <w:t xml:space="preserve">Call for Participation</w:t>
      </w:r>
      <w:r>
        <w:rPr>
          <w:bCs/>
          <w:b/>
        </w:rPr>
        <w:t xml:space="preserve">”</w:t>
      </w:r>
      <w:r>
        <w:rPr>
          <w:bCs/>
          <w:b/>
        </w:rPr>
        <w:t xml:space="preserve"> </w:t>
      </w:r>
      <w:r>
        <w:rPr>
          <w:bCs/>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Cs/>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bookmarkEnd w:id="151"/>
    <w:bookmarkStart w:id="156" w:name="anhang"/>
    <w:p>
      <w:pPr>
        <w:pStyle w:val="Heading1"/>
      </w:pPr>
      <w:r>
        <w:rPr>
          <w:rStyle w:val="SectionNumber"/>
        </w:rPr>
        <w:t xml:space="preserve">5</w:t>
      </w:r>
      <w:r>
        <w:tab/>
      </w:r>
      <w:r>
        <w:t xml:space="preserve">Anhang</w:t>
      </w:r>
    </w:p>
    <w:bookmarkStart w:id="154" w:name="danksagungen"/>
    <w:p>
      <w:pPr>
        <w:pStyle w:val="Heading2"/>
      </w:pPr>
      <w:r>
        <w:rPr>
          <w:rStyle w:val="SectionNumber"/>
        </w:rPr>
        <w:t xml:space="preserve">5.1</w:t>
      </w:r>
      <w:r>
        <w:tab/>
      </w:r>
      <w:r>
        <w:t xml:space="preserve">Danksagungen</w:t>
      </w:r>
    </w:p>
    <w:p>
      <w:pPr>
        <w:pStyle w:val="FirstParagraph"/>
      </w:pPr>
      <w:r>
        <w:t xml:space="preserve">lernOS ist von vielen Personen und Quellen inspiriert und steht daher</w:t>
      </w:r>
      <w:r>
        <w:t xml:space="preserve"> </w:t>
      </w:r>
      <w:hyperlink r:id="rId152">
        <w:r>
          <w:rPr>
            <w:rStyle w:val="Hyperlink"/>
          </w:rPr>
          <w:t xml:space="preserve">auf den Schultern von Riesen</w:t>
        </w:r>
      </w:hyperlink>
      <w:r>
        <w:t xml:space="preserve">. Ein Überblick über die Wurzeln und Inspirationen habe ich</w:t>
      </w:r>
      <w:r>
        <w:t xml:space="preserve"> </w:t>
      </w:r>
      <w:hyperlink r:id="rId153">
        <w:r>
          <w:rPr>
            <w:rStyle w:val="Hyperlink"/>
          </w:rPr>
          <w:t xml:space="preserve">im lernOS Wiki</w:t>
        </w:r>
      </w:hyperlink>
      <w:r>
        <w:t xml:space="preserve"> </w:t>
      </w:r>
      <w:r>
        <w:t xml:space="preserve">zusammengestellt.</w:t>
      </w:r>
    </w:p>
    <w:bookmarkEnd w:id="154"/>
    <w:bookmarkStart w:id="15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14"/>
        <w:gridCol w:w="1645"/>
        <w:gridCol w:w="4731"/>
        <w:gridCol w:w="1028"/>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Erstellung der ersten Version des lernOS Handbuchs</w:t>
            </w:r>
          </w:p>
        </w:tc>
        <w:tc>
          <w:tcPr/>
          <w:p>
            <w:pPr>
              <w:pStyle w:val="Compact"/>
              <w:jc w:val="left"/>
            </w:pPr>
            <w:r>
              <w:t xml:space="preserve">12.06.2017</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tcPr/>
          <w:p>
            <w:pPr>
              <w:pStyle w:val="Compact"/>
              <w:jc w:val="left"/>
            </w:pPr>
            <w:r>
              <w:t xml:space="preserve">20.09.2017</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tcPr/>
          <w:p>
            <w:pPr>
              <w:pStyle w:val="Compact"/>
              <w:jc w:val="left"/>
            </w:pPr>
            <w:r>
              <w:t xml:space="preserve">15.10.2017</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Ergänzung des Kapitels „Erfolgsfaktoren” mit der ganzheitlichen Perspektive Mindset, Skillset, Toolset aus dem Cogneon Guide Netzwerk Konzept.</w:t>
            </w:r>
          </w:p>
        </w:tc>
        <w:tc>
          <w:tcPr/>
          <w:p>
            <w:pPr>
              <w:pStyle w:val="Compact"/>
              <w:jc w:val="left"/>
            </w:pPr>
            <w:r>
              <w:t xml:space="preserve">03.11.2017</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„Apps” durch „Toolbox” und „App” durch „Tool” ersetzt; wg. Feedback und KnowTouch Talk zu Framework – Toolbox – Tool ()</w:t>
            </w:r>
          </w:p>
        </w:tc>
        <w:tc>
          <w:tcPr/>
          <w:p>
            <w:pPr>
              <w:pStyle w:val="Compact"/>
              <w:jc w:val="left"/>
            </w:pPr>
            <w:r>
              <w:t xml:space="preserve">18.03.2018</w:t>
            </w:r>
          </w:p>
        </w:tc>
      </w:tr>
      <w:tr>
        <w:tc>
          <w:tcPr/>
          <w:p>
            <w:pPr>
              <w:pStyle w:val="Compact"/>
              <w:jc w:val="left"/>
            </w:pPr>
            <w:r>
              <w:t xml:space="preserve">0.6</w:t>
            </w:r>
          </w:p>
        </w:tc>
        <w:tc>
          <w:tcPr/>
          <w:p>
            <w:pPr>
              <w:pStyle w:val="Compact"/>
              <w:jc w:val="left"/>
            </w:pPr>
            <w:r>
              <w:t xml:space="preserve">Simon Dückert</w:t>
            </w:r>
          </w:p>
        </w:tc>
        <w:tc>
          <w:tcPr/>
          <w:p>
            <w:pPr>
              <w:pStyle w:val="Compact"/>
              <w:jc w:val="left"/>
            </w:pPr>
            <w:r>
              <w:t xml:space="preserve">Word-Version des lernOS für Organisationen Leitfaden in Markdown überführt.</w:t>
            </w:r>
          </w:p>
        </w:tc>
        <w:tc>
          <w:tcPr/>
          <w:p>
            <w:pPr>
              <w:pStyle w:val="Compact"/>
              <w:jc w:val="left"/>
            </w:pPr>
            <w:r>
              <w:t xml:space="preserve">21.07.2019</w:t>
            </w:r>
          </w:p>
        </w:tc>
      </w:tr>
      <w:tr>
        <w:tc>
          <w:tcPr/>
          <w:p>
            <w:pPr>
              <w:pStyle w:val="Compact"/>
              <w:jc w:val="left"/>
            </w:pPr>
            <w:r>
              <w:t xml:space="preserve">0.7</w:t>
            </w:r>
          </w:p>
        </w:tc>
        <w:tc>
          <w:tcPr/>
          <w:p>
            <w:pPr>
              <w:pStyle w:val="Compact"/>
              <w:jc w:val="left"/>
            </w:pPr>
            <w:r>
              <w:t xml:space="preserve">Simon Dückert</w:t>
            </w:r>
          </w:p>
        </w:tc>
        <w:tc>
          <w:tcPr/>
          <w:p>
            <w:pPr>
              <w:pStyle w:val="Compact"/>
              <w:jc w:val="left"/>
            </w:pPr>
            <w:r>
              <w:t xml:space="preserve">Grundlagen-Kapitel vollständig überarbeitet</w:t>
            </w:r>
          </w:p>
        </w:tc>
        <w:tc>
          <w:tcPr/>
          <w:p>
            <w:pPr>
              <w:pStyle w:val="Compact"/>
              <w:jc w:val="left"/>
            </w:pPr>
            <w:r>
              <w:t xml:space="preserve">12.09.2020</w:t>
            </w:r>
          </w:p>
        </w:tc>
      </w:tr>
    </w:tbl>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121" Target="media/rId121.jp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8" Target="media/rId138.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_rels/footnotes.xml.rels><?xml version="1.0" encoding="UTF-8"?><Relationships xmlns="http://schemas.openxmlformats.org/package/2006/relationships"><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2024-01-09T16:06:50Z</dcterms:created>
  <dcterms:modified xsi:type="dcterms:W3CDTF">2024-01-09T16:06:50Z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(12.09.2020)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