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99.png" ContentType="image/png"/>
  <Override PartName="/word/media/rId77.png" ContentType="image/png"/>
  <Override PartName="/word/media/rId121.jpg" ContentType="image/jpeg"/>
  <Override PartName="/word/media/rId134.png" ContentType="image/png"/>
  <Override PartName="/word/media/rId126.png" ContentType="image/png"/>
  <Override PartName="/word/media/rId108.png" ContentType="image/png"/>
  <Override PartName="/word/media/rId46.png" ContentType="image/png"/>
  <Override PartName="/word/media/rId93.png" ContentType="image/png"/>
  <Override PartName="/word/media/rId138.png" ContentType="image/png"/>
  <Override PartName="/word/media/rId58.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für Organisationen Leitfaden</w:t>
      </w:r>
    </w:p>
    <w:p>
      <w:pPr>
        <w:pStyle w:val="Subtitle"/>
      </w:pPr>
      <w:r>
        <w:t xml:space="preserve">Gemeinsam Lernende Organisationen entwickeln</w:t>
      </w:r>
    </w:p>
    <w:p>
      <w:pPr>
        <w:pStyle w:val="Author"/>
      </w:pPr>
      <w:r>
        <w:t xml:space="preserve">Simon Dückert</w:t>
      </w:r>
    </w:p>
    <w:p>
      <w:pPr>
        <w:pStyle w:val="Date"/>
      </w:pPr>
      <w:r>
        <w:t xml:space="preserve">Version 0.7 (12.09.2020)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vorwort"/>
    <w:p>
      <w:pPr>
        <w:pStyle w:val="Heading1"/>
      </w:pPr>
      <w:r>
        <w:rPr>
          <w:rStyle w:val="SectionNumber"/>
        </w:rPr>
        <w:t xml:space="preserve">1</w:t>
      </w:r>
      <w:r>
        <w:tab/>
      </w:r>
      <w:r>
        <w:t xml:space="preserve">Vorwort</w:t>
      </w:r>
    </w:p>
    <w:p>
      <w:pPr>
        <w:pStyle w:val="FirstParagraph"/>
      </w:pPr>
      <w:r>
        <w:t xml:space="preserve">Willkommen im</w:t>
      </w:r>
      <w:r>
        <w:t xml:space="preserve"> </w:t>
      </w:r>
      <w:r>
        <w:rPr>
          <w:b/>
          <w:bCs/>
        </w:rPr>
        <w:t xml:space="preserve">lernOS für Organisationen Leitfaden</w:t>
      </w:r>
      <w:r>
        <w:t xml:space="preserve">. Dass du hier bist zeigt, dass du dich für das Bestehen und den Erfolg deiner Organisation interessierst und einsetzen möchtest. Der Übergang von Industrie- zu Wissensgesellschaft erfordert einen neuen Blickwinkel auf Organisationen. Wissen und Lernen sind schon die zentralen Erfolgsfaktoren geworden. Daher sollte sich die Haltung von</w:t>
      </w:r>
      <w:r>
        <w:t xml:space="preserve"> </w:t>
      </w:r>
      <w:r>
        <w:t xml:space="preserve">“Wissen ist Macht”</w:t>
      </w:r>
      <w:r>
        <w:t xml:space="preserve"> </w:t>
      </w:r>
      <w:r>
        <w:t xml:space="preserve">zu</w:t>
      </w:r>
      <w:r>
        <w:t xml:space="preserve"> </w:t>
      </w:r>
      <w:r>
        <w:t xml:space="preserve">“Wissen teilen ist Macht”</w:t>
      </w:r>
      <w:r>
        <w:t xml:space="preserve"> </w:t>
      </w:r>
      <w:r>
        <w:t xml:space="preserve">wandeln.</w:t>
      </w:r>
    </w:p>
    <w:p>
      <w:pPr>
        <w:pStyle w:val="BodyText"/>
      </w:pPr>
      <w:r>
        <w:t xml:space="preserve">Dafür vermittelt dieser Leitfaden im</w:t>
      </w:r>
      <w:r>
        <w:t xml:space="preserve"> </w:t>
      </w:r>
      <w:r>
        <w:rPr>
          <w:b/>
          <w:bCs/>
        </w:rPr>
        <w:t xml:space="preserve">Kapitel Grundlagen</w:t>
      </w:r>
      <w:r>
        <w:t xml:space="preserve"> </w:t>
      </w:r>
      <w:r>
        <w:t xml:space="preserve">einen Einblick in zentrale Konzepte der Organisationstheorie und der zeitgemäßen Veränderung von Organisationen. Die Theorien werden kompakt vorgestellt, weiterführende Informationen sowie interessante Persönlichkeiten sind an vielen Stellen verlinkt.</w:t>
      </w:r>
    </w:p>
    <w:p>
      <w:pPr>
        <w:pStyle w:val="BodyText"/>
      </w:pPr>
      <w:r>
        <w:t xml:space="preserve">Das</w:t>
      </w:r>
      <w:r>
        <w:t xml:space="preserve"> </w:t>
      </w:r>
      <w:r>
        <w:rPr>
          <w:b/>
          <w:bCs/>
        </w:rPr>
        <w:t xml:space="preserve">Kapitel Lernpfad</w:t>
      </w:r>
      <w:r>
        <w:t xml:space="preserve"> </w:t>
      </w:r>
      <w:r>
        <w:t xml:space="preserve">dient dem Einstieg in die Praxis. Gemeinsam mit einigen Mitstreitern gründest du eine</w:t>
      </w:r>
      <w:r>
        <w:t xml:space="preserve"> </w:t>
      </w:r>
      <w:r>
        <w:t xml:space="preserve">“Koalition des Lernens”</w:t>
      </w:r>
      <w:r>
        <w:t xml:space="preserve"> </w:t>
      </w:r>
      <w:r>
        <w:t xml:space="preserve">in deiner Organisation. Ihr identifiziert gemeinsam die wichtigsten Handlungsfelder und startet mit dem</w:t>
      </w:r>
      <w:r>
        <w:t xml:space="preserve"> </w:t>
      </w:r>
      <w:r>
        <w:t xml:space="preserve">“Open Space des Lernens”</w:t>
      </w:r>
      <w:r>
        <w:t xml:space="preserve"> </w:t>
      </w:r>
      <w:r>
        <w:t xml:space="preserve">einen Entwicklungsprozess, der in 3-monatigen Zeitabschnitten (Sprints) konkrete Schritte zur Entwicklung einer Lernende Organisation unternimmt. Eine wachsende Gruppe Freiwilliger (</w:t>
      </w:r>
      <w:r>
        <w:t xml:space="preserve">“army of volunteers”</w:t>
      </w:r>
      <w:r>
        <w:t xml:space="preserve">) hilft im Lauf der Zeit dabei, die Lernende Organisation zum neuen Normal werden zu lassen.</w:t>
      </w:r>
    </w:p>
    <w:p>
      <w:pPr>
        <w:pStyle w:val="BodyText"/>
      </w:pPr>
      <w:r>
        <w:t xml:space="preserve">In der</w:t>
      </w:r>
      <w:r>
        <w:t xml:space="preserve"> </w:t>
      </w:r>
      <w:hyperlink r:id="rId20">
        <w:r>
          <w:rPr>
            <w:rStyle w:val="Hyperlink"/>
          </w:rPr>
          <w:t xml:space="preserve">Kategorie lernOS für Organisationen auf CONNECT</w:t>
        </w:r>
      </w:hyperlink>
      <w:r>
        <w:t xml:space="preserve"> </w:t>
      </w:r>
      <w:r>
        <w:t xml:space="preserve">können Erfahrungen bei der Umsetzung geteilt und Fragen gestellt werden. Viel Erfolg!</w:t>
      </w:r>
    </w:p>
    <w:bookmarkEnd w:id="21"/>
    <w:bookmarkStart w:id="29" w:name="über-lernos"/>
    <w:p>
      <w:pPr>
        <w:pStyle w:val="Heading1"/>
      </w:pPr>
      <w:r>
        <w:rPr>
          <w:rStyle w:val="SectionNumber"/>
        </w:rPr>
        <w:t xml:space="preserve">2</w:t>
      </w:r>
      <w:r>
        <w:tab/>
      </w:r>
      <w:r>
        <w:t xml:space="preserve">Über lernOS</w:t>
      </w:r>
    </w:p>
    <w:p>
      <w:pPr>
        <w:pStyle w:val="FirstParagraph"/>
      </w:pPr>
      <w:r>
        <w:rPr>
          <w:b/>
          <w:bCs/>
        </w:rPr>
        <w:t xml:space="preserve">lernOS</w:t>
      </w:r>
      <w:r>
        <w:t xml:space="preserve"> </w:t>
      </w:r>
      <w:r>
        <w:t xml:space="preserve">ist ein</w:t>
      </w:r>
      <w:r>
        <w:t xml:space="preserve"> </w:t>
      </w:r>
      <w:hyperlink r:id="rId22">
        <w:r>
          <w:rPr>
            <w:rStyle w:val="Hyperlink"/>
          </w:rPr>
          <w:t xml:space="preserve">offenes System</w:t>
        </w:r>
      </w:hyperlink>
      <w:r>
        <w:t xml:space="preserve"> </w:t>
      </w:r>
      <w:r>
        <w:t xml:space="preserve">für</w:t>
      </w:r>
      <w:r>
        <w:t xml:space="preserve"> </w:t>
      </w:r>
      <w:hyperlink r:id="rId23">
        <w:r>
          <w:rPr>
            <w:rStyle w:val="Hyperlink"/>
          </w:rPr>
          <w:t xml:space="preserve">Lebenslanges Lernen</w:t>
        </w:r>
      </w:hyperlink>
      <w:r>
        <w:t xml:space="preserve"> </w:t>
      </w:r>
      <w:r>
        <w:t xml:space="preserve">und</w:t>
      </w:r>
      <w:r>
        <w:t xml:space="preserve"> </w:t>
      </w:r>
      <w:hyperlink r:id="rId24">
        <w:r>
          <w:rPr>
            <w:rStyle w:val="Hyperlink"/>
          </w:rPr>
          <w:t xml:space="preserve">Lernende Organisationen</w:t>
        </w:r>
      </w:hyperlink>
      <w:r>
        <w:t xml:space="preserve">. Die Funktionsweise von lernOS wird in</w:t>
      </w:r>
      <w:r>
        <w:t xml:space="preserve"> </w:t>
      </w:r>
      <w:hyperlink r:id="rId25">
        <w:r>
          <w:rPr>
            <w:rStyle w:val="Hyperlink"/>
          </w:rPr>
          <w:t xml:space="preserve">offen</w:t>
        </w:r>
      </w:hyperlink>
      <w:r>
        <w:t xml:space="preserve"> </w:t>
      </w:r>
      <w:r>
        <w:t xml:space="preserve">verfügbaren</w:t>
      </w:r>
      <w:r>
        <w:t xml:space="preserve"> </w:t>
      </w:r>
      <w:r>
        <w:rPr>
          <w:b/>
          <w:bCs/>
        </w:rPr>
        <w:t xml:space="preserve">Leitfäden</w:t>
      </w:r>
      <w:r>
        <w:t xml:space="preserve"> </w:t>
      </w:r>
      <w:r>
        <w:t xml:space="preserve">beschrieben. lernOS kann ganz einfach als</w:t>
      </w:r>
      <w:r>
        <w:t xml:space="preserve"> </w:t>
      </w:r>
      <w:r>
        <w:rPr>
          <w:b/>
          <w:bCs/>
        </w:rPr>
        <w:t xml:space="preserve">Einzelperson</w:t>
      </w:r>
      <w:r>
        <w:t xml:space="preserve">, im</w:t>
      </w:r>
      <w:r>
        <w:t xml:space="preserve"> </w:t>
      </w:r>
      <w:r>
        <w:rPr>
          <w:b/>
          <w:bCs/>
        </w:rPr>
        <w:t xml:space="preserve">Team</w:t>
      </w:r>
      <w:r>
        <w:t xml:space="preserve"> </w:t>
      </w:r>
      <w:r>
        <w:t xml:space="preserve">oder in der gesamten</w:t>
      </w:r>
      <w:r>
        <w:t xml:space="preserve"> </w:t>
      </w:r>
      <w:r>
        <w:rPr>
          <w:b/>
          <w:bCs/>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
          <w:bCs/>
        </w:rPr>
        <w:t xml:space="preserve">Circle</w:t>
      </w:r>
      <w:r>
        <w:t xml:space="preserve"> </w:t>
      </w:r>
      <w:r>
        <w:t xml:space="preserve">(4-5 Personen) oder zumindest in einem</w:t>
      </w:r>
      <w:r>
        <w:t xml:space="preserve"> </w:t>
      </w:r>
      <w:r>
        <w:rPr>
          <w:b/>
          <w:bCs/>
        </w:rPr>
        <w:t xml:space="preserve">Lerntandem</w:t>
      </w:r>
      <w:r>
        <w:t xml:space="preserve"> </w:t>
      </w:r>
      <w:r>
        <w:t xml:space="preserve">(2 Personen) zu starten. Weitere Informationen findest du auf der Seite</w:t>
      </w:r>
      <w:r>
        <w:t xml:space="preserve"> </w:t>
      </w:r>
      <w:hyperlink r:id="rId26">
        <w:r>
          <w:rPr>
            <w:rStyle w:val="Hyperlink"/>
          </w:rPr>
          <w:t xml:space="preserve">lernos.org</w:t>
        </w:r>
      </w:hyperlink>
      <w:r>
        <w:t xml:space="preserve">. Mitstreiter findest du ganz einfach in der</w:t>
      </w:r>
      <w:r>
        <w:t xml:space="preserve"> </w:t>
      </w:r>
      <w:hyperlink r:id="rId27">
        <w:r>
          <w:rPr>
            <w:rStyle w:val="Hyperlink"/>
          </w:rPr>
          <w:t xml:space="preserve">lernOS Community CONNECT</w:t>
        </w:r>
      </w:hyperlink>
      <w:r>
        <w:t xml:space="preserve">. Dort gibt es auch den</w:t>
      </w:r>
      <w:r>
        <w:t xml:space="preserve"> </w:t>
      </w:r>
      <w:hyperlink r:id="rId28">
        <w:r>
          <w:rPr>
            <w:rStyle w:val="Hyperlink"/>
          </w:rPr>
          <w:t xml:space="preserve">lernOS Circlefinder</w:t>
        </w:r>
      </w:hyperlink>
      <w:r>
        <w:t xml:space="preserve"> </w:t>
      </w:r>
      <w:r>
        <w:t xml:space="preserve">als Marktplatz für Circle-Angebote und -Gesuche.</w:t>
      </w:r>
    </w:p>
    <w:p>
      <w:pPr>
        <w:pStyle w:val="BodyText"/>
      </w:pPr>
      <w:r>
        <w:rPr>
          <w:b/>
          <w:bCs/>
        </w:rPr>
        <w:t xml:space="preserve">KEEP CALM &amp; LEARN ON!</w:t>
      </w:r>
    </w:p>
    <w:bookmarkEnd w:id="29"/>
    <w:bookmarkStart w:id="150" w:name="grundlagen"/>
    <w:p>
      <w:pPr>
        <w:pStyle w:val="Heading1"/>
      </w:pPr>
      <w:r>
        <w:rPr>
          <w:rStyle w:val="SectionNumber"/>
        </w:rPr>
        <w:t xml:space="preserve">3</w:t>
      </w:r>
      <w:r>
        <w:tab/>
      </w:r>
      <w:r>
        <w:t xml:space="preserve">Grundlagen</w:t>
      </w:r>
    </w:p>
    <w:bookmarkStart w:id="69" w:name="X69711e000cde81d119f118f2cbf6588385aa0ce"/>
    <w:p>
      <w:pPr>
        <w:pStyle w:val="Heading2"/>
      </w:pPr>
      <w:r>
        <w:rPr>
          <w:rStyle w:val="SectionNumber"/>
        </w:rPr>
        <w:t xml:space="preserve">3.1</w:t>
      </w:r>
      <w:r>
        <w:tab/>
      </w:r>
      <w:r>
        <w:t xml:space="preserve">Ein zeitgemäßes Verständnis von Organisationen</w:t>
      </w:r>
    </w:p>
    <w:p>
      <w:pPr>
        <w:pStyle w:val="FirstParagraph"/>
      </w:pPr>
      <w:hyperlink r:id="rId30">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bookmarkStart w:id="37" w:name="zweck-mitgliedschaft-und-hierarchie"/>
    <w:p>
      <w:pPr>
        <w:pStyle w:val="Heading3"/>
      </w:pPr>
      <w:r>
        <w:rPr>
          <w:rStyle w:val="SectionNumber"/>
        </w:rPr>
        <w:t xml:space="preserve">3.1.1</w:t>
      </w:r>
      <w:r>
        <w:tab/>
      </w:r>
      <w:r>
        <w:t xml:space="preserve">Zweck, Mitgliedschaft und Hierarchie</w:t>
      </w:r>
    </w:p>
    <w:p>
      <w:pPr>
        <w:pStyle w:val="FirstParagraph"/>
      </w:pPr>
      <w:r>
        <w:t xml:space="preserve">Für die Entwicklung Lernender Organisationen ist ein Grundverständnis von</w:t>
      </w:r>
      <w:r>
        <w:t xml:space="preserve"> </w:t>
      </w:r>
      <w:hyperlink r:id="rId31">
        <w:r>
          <w:rPr>
            <w:rStyle w:val="Hyperlink"/>
          </w:rPr>
          <w:t xml:space="preserve">Organisationstheorie</w:t>
        </w:r>
      </w:hyperlink>
      <w:r>
        <w:t xml:space="preserve"> </w:t>
      </w:r>
      <w:r>
        <w:t xml:space="preserve">und</w:t>
      </w:r>
      <w:r>
        <w:t xml:space="preserve"> </w:t>
      </w:r>
      <w:hyperlink r:id="rId32">
        <w:r>
          <w:rPr>
            <w:rStyle w:val="Hyperlink"/>
          </w:rPr>
          <w:t xml:space="preserve">Systemtheorie</w:t>
        </w:r>
      </w:hyperlink>
      <w:r>
        <w:t xml:space="preserve">, insbesondere</w:t>
      </w:r>
      <w:r>
        <w:t xml:space="preserve"> </w:t>
      </w:r>
      <w:hyperlink r:id="rId33">
        <w:r>
          <w:rPr>
            <w:rStyle w:val="Hyperlink"/>
          </w:rPr>
          <w:t xml:space="preserve">komplexe adaptive System</w:t>
        </w:r>
      </w:hyperlink>
      <w:r>
        <w:t xml:space="preserve"> </w:t>
      </w:r>
      <w:r>
        <w:t xml:space="preserve">und</w:t>
      </w:r>
      <w:r>
        <w:t xml:space="preserve"> </w:t>
      </w:r>
      <w:hyperlink r:id="rId34">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5">
        <w:r>
          <w:rPr>
            <w:rStyle w:val="Hyperlink"/>
          </w:rPr>
          <w:t xml:space="preserve">Organisationen - eine sehr kurze Einführung</w:t>
        </w:r>
      </w:hyperlink>
      <w:r>
        <w:t xml:space="preserve">):</w:t>
      </w:r>
    </w:p>
    <w:p>
      <w:pPr>
        <w:pStyle w:val="Compact"/>
        <w:numPr>
          <w:ilvl w:val="0"/>
          <w:numId w:val="1001"/>
        </w:numPr>
      </w:pPr>
      <w:r>
        <w:rPr>
          <w:b/>
          <w:bCs/>
        </w:rPr>
        <w:t xml:space="preserve">Zweck:</w:t>
      </w:r>
      <w:r>
        <w:t xml:space="preserve"> </w:t>
      </w:r>
      <w:r>
        <w:t xml:space="preserve">der selbst gegebene Zweck der Organisation dient als roter Faden für alles organisatorische Handeln.</w:t>
      </w:r>
    </w:p>
    <w:p>
      <w:pPr>
        <w:pStyle w:val="Compact"/>
        <w:numPr>
          <w:ilvl w:val="0"/>
          <w:numId w:val="1001"/>
        </w:numPr>
      </w:pPr>
      <w:r>
        <w:rPr>
          <w:b/>
          <w:bCs/>
        </w:rPr>
        <w:t xml:space="preserve">Mitgliedschaft:</w:t>
      </w:r>
      <w:r>
        <w:t xml:space="preserve"> </w:t>
      </w:r>
      <w:r>
        <w:t xml:space="preserve">die Organisation kann über den Ein- und Austritt von Mitglieder entscheiden.</w:t>
      </w:r>
    </w:p>
    <w:p>
      <w:pPr>
        <w:pStyle w:val="Compact"/>
        <w:numPr>
          <w:ilvl w:val="0"/>
          <w:numId w:val="1001"/>
        </w:numPr>
      </w:pPr>
      <w:r>
        <w:rPr>
          <w:b/>
          <w:bCs/>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6">
        <w:r>
          <w:rPr>
            <w:rStyle w:val="Hyperlink"/>
          </w:rPr>
          <w:t xml:space="preserve">Stefan Kühl</w:t>
        </w:r>
      </w:hyperlink>
      <w:r>
        <w:t xml:space="preserve"> </w:t>
      </w:r>
      <w:r>
        <w:t xml:space="preserve">unterscheidet mit</w:t>
      </w:r>
      <w:r>
        <w:t xml:space="preserve"> </w:t>
      </w:r>
      <w:r>
        <w:t xml:space="preserve">“Maschine”</w:t>
      </w:r>
      <w:r>
        <w:t xml:space="preserve">,</w:t>
      </w:r>
      <w:r>
        <w:t xml:space="preserve"> </w:t>
      </w:r>
      <w:r>
        <w:t xml:space="preserve">“Spiel”</w:t>
      </w:r>
      <w:r>
        <w:t xml:space="preserve"> </w:t>
      </w:r>
      <w:r>
        <w:t xml:space="preserve">und</w:t>
      </w:r>
      <w:r>
        <w:t xml:space="preserve"> </w:t>
      </w:r>
      <w:r>
        <w:t xml:space="preserve">“Fassade”</w:t>
      </w:r>
      <w:r>
        <w:t xml:space="preserve"> </w:t>
      </w:r>
      <w:r>
        <w:t xml:space="preserve">drei Seiten der Organisation. Die Fassade beschreibt die Schauseite der Organisation in Richtung ihrer Umwelt (</w:t>
      </w:r>
      <w:r>
        <w:t xml:space="preserve">“Wir sind die Besten”</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bookmarkEnd w:id="37"/>
    <w:bookmarkStart w:id="53" w:name="betriebssysteme-1-organisation"/>
    <w:p>
      <w:pPr>
        <w:pStyle w:val="Heading3"/>
      </w:pPr>
      <w:r>
        <w:rPr>
          <w:rStyle w:val="SectionNumber"/>
        </w:rPr>
        <w:t xml:space="preserve">3.1.2</w:t>
      </w:r>
      <w:r>
        <w:tab/>
      </w:r>
      <w:r>
        <w:t xml:space="preserve">2 Betriebssysteme, 1 Organisation</w:t>
      </w:r>
    </w:p>
    <w:p>
      <w:pPr>
        <w:pStyle w:val="FirstParagraph"/>
      </w:pPr>
      <w:r>
        <w:t xml:space="preserve">Die Ursprünge der Organisationtheorie liegen in der Organisation von bürokratischen und militärischen Systemen (z.B.</w:t>
      </w:r>
      <w:r>
        <w:t xml:space="preserve"> </w:t>
      </w:r>
      <w:hyperlink r:id="rId38">
        <w:r>
          <w:rPr>
            <w:rStyle w:val="Hyperlink"/>
          </w:rPr>
          <w:t xml:space="preserve">Max Weber</w:t>
        </w:r>
      </w:hyperlink>
      <w:r>
        <w:t xml:space="preserve">,</w:t>
      </w:r>
      <w:r>
        <w:t xml:space="preserve"> </w:t>
      </w:r>
      <w:hyperlink r:id="rId39">
        <w:r>
          <w:rPr>
            <w:rStyle w:val="Hyperlink"/>
          </w:rPr>
          <w:t xml:space="preserve">Henri Fayol</w:t>
        </w:r>
      </w:hyperlink>
      <w:r>
        <w:t xml:space="preserve">,</w:t>
      </w:r>
      <w:r>
        <w:t xml:space="preserve"> </w:t>
      </w:r>
      <w:hyperlink r:id="rId40">
        <w:r>
          <w:rPr>
            <w:rStyle w:val="Hyperlink"/>
          </w:rPr>
          <w:t xml:space="preserve">Frederick W. Taylor</w:t>
        </w:r>
      </w:hyperlink>
      <w:r>
        <w:t xml:space="preserve">,</w:t>
      </w:r>
      <w:r>
        <w:t xml:space="preserve"> </w:t>
      </w:r>
      <w:hyperlink r:id="rId41">
        <w:r>
          <w:rPr>
            <w:rStyle w:val="Hyperlink"/>
          </w:rPr>
          <w:t xml:space="preserve">Sunzi</w:t>
        </w:r>
      </w:hyperlink>
      <w:r>
        <w:t xml:space="preserve">).</w:t>
      </w:r>
      <w:r>
        <w:t xml:space="preserve"> </w:t>
      </w:r>
      <w:hyperlink r:id="rId42">
        <w:r>
          <w:rPr>
            <w:rStyle w:val="Hyperlink"/>
          </w:rPr>
          <w:t xml:space="preserve">Bürokratische Strukturen</w:t>
        </w:r>
      </w:hyperlink>
      <w:r>
        <w:t xml:space="preserve"> </w:t>
      </w:r>
      <w:r>
        <w:t xml:space="preserve">mit einfachen</w:t>
      </w:r>
      <w:r>
        <w:t xml:space="preserve"> </w:t>
      </w:r>
      <w:hyperlink r:id="rId43">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44">
        <w:r>
          <w:rPr>
            <w:rStyle w:val="Hyperlink"/>
          </w:rPr>
          <w:t xml:space="preserve">John Kotter</w:t>
        </w:r>
      </w:hyperlink>
      <w:r>
        <w:t xml:space="preserve"> </w:t>
      </w:r>
      <w:r>
        <w:t xml:space="preserve">sehr anschaulich im Video</w:t>
      </w:r>
      <w:r>
        <w:t xml:space="preserve"> </w:t>
      </w:r>
      <w:hyperlink r:id="rId45">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3557976" cy="1882169"/>
            <wp:effectExtent b="0" l="0" r="0" t="0"/>
            <wp:docPr descr="Dual Operating System nach John Kotter, eigene Darstellung" title="" id="47" name="Picture"/>
            <a:graphic>
              <a:graphicData uri="http://schemas.openxmlformats.org/drawingml/2006/picture">
                <pic:pic>
                  <pic:nvPicPr>
                    <pic:cNvPr descr="images/kotter-dual-operating-system.png" id="48" name="Picture"/>
                    <pic:cNvPicPr>
                      <a:picLocks noChangeArrowheads="1" noChangeAspect="1"/>
                    </pic:cNvPicPr>
                  </pic:nvPicPr>
                  <pic:blipFill>
                    <a:blip r:embed="rId46"/>
                    <a:stretch>
                      <a:fillRect/>
                    </a:stretch>
                  </pic:blipFill>
                  <pic:spPr bwMode="auto">
                    <a:xfrm>
                      <a:off x="0" y="0"/>
                      <a:ext cx="3557976" cy="1882169"/>
                    </a:xfrm>
                    <a:prstGeom prst="rect">
                      <a:avLst/>
                    </a:prstGeom>
                    <a:noFill/>
                    <a:ln w="9525">
                      <a:noFill/>
                      <a:headEnd/>
                      <a:tailEnd/>
                    </a:ln>
                  </pic:spPr>
                </pic:pic>
              </a:graphicData>
            </a:graphic>
          </wp:inline>
        </w:drawing>
      </w:r>
    </w:p>
    <w:p>
      <w:pPr>
        <w:pStyle w:val="ImageCaption"/>
      </w:pPr>
      <w:r>
        <w:t xml:space="preserve">Dual Operating System nach John Kotter, eigene Darstellung</w:t>
      </w:r>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pStyle w:val="Compact"/>
        <w:numPr>
          <w:ilvl w:val="0"/>
          <w:numId w:val="1002"/>
        </w:numPr>
      </w:pPr>
      <w:r>
        <w:t xml:space="preserve">Wichtige Veränderungen werden von vielen Mitarbeitenden aus allen Bereichen vorangetrieben und nicht nur von den üblichen Auserwählten</w:t>
      </w:r>
    </w:p>
    <w:p>
      <w:pPr>
        <w:pStyle w:val="Compact"/>
        <w:numPr>
          <w:ilvl w:val="0"/>
          <w:numId w:val="1002"/>
        </w:numPr>
      </w:pPr>
      <w:r>
        <w:t xml:space="preserve">Es herrscht eine Haltung des Wollens und nicht des Müssens</w:t>
      </w:r>
    </w:p>
    <w:p>
      <w:pPr>
        <w:pStyle w:val="Compact"/>
        <w:numPr>
          <w:ilvl w:val="0"/>
          <w:numId w:val="1002"/>
        </w:numPr>
      </w:pPr>
      <w:r>
        <w:t xml:space="preserve">Der Antrieb kommt aus dem Herzen und dem Kopf, nicht nur aus dem Kopf</w:t>
      </w:r>
    </w:p>
    <w:p>
      <w:pPr>
        <w:pStyle w:val="Compact"/>
        <w:numPr>
          <w:ilvl w:val="0"/>
          <w:numId w:val="1002"/>
        </w:numPr>
      </w:pPr>
      <w:r>
        <w:t xml:space="preserve">Es findet viel mehr Führung statt und nicht nur mehr Management</w:t>
      </w:r>
    </w:p>
    <w:p>
      <w:pPr>
        <w:pStyle w:val="Compact"/>
        <w:numPr>
          <w:ilvl w:val="0"/>
          <w:numId w:val="1002"/>
        </w:numPr>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pStyle w:val="Compact"/>
        <w:numPr>
          <w:ilvl w:val="0"/>
          <w:numId w:val="1003"/>
        </w:numPr>
      </w:pPr>
      <w:r>
        <w:t xml:space="preserve">Agilität und Stabilität in</w:t>
      </w:r>
      <w:r>
        <w:t xml:space="preserve"> </w:t>
      </w:r>
      <w:hyperlink r:id="rId49">
        <w:r>
          <w:rPr>
            <w:rStyle w:val="Hyperlink"/>
          </w:rPr>
          <w:t xml:space="preserve">Agility: It rhymes with stability</w:t>
        </w:r>
      </w:hyperlink>
      <w:r>
        <w:t xml:space="preserve"> </w:t>
      </w:r>
      <w:r>
        <w:t xml:space="preserve">von McKinsey.</w:t>
      </w:r>
    </w:p>
    <w:p>
      <w:pPr>
        <w:pStyle w:val="Compact"/>
        <w:numPr>
          <w:ilvl w:val="0"/>
          <w:numId w:val="1003"/>
        </w:numPr>
      </w:pPr>
      <w:r>
        <w:t xml:space="preserve">Dynamikrobuste Organisationen mit blauer und roter Seite in</w:t>
      </w:r>
      <w:r>
        <w:t xml:space="preserve"> </w:t>
      </w:r>
      <w:hyperlink r:id="rId50">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pStyle w:val="Compact"/>
        <w:numPr>
          <w:ilvl w:val="0"/>
          <w:numId w:val="1003"/>
        </w:numPr>
      </w:pPr>
      <w:r>
        <w:t xml:space="preserve">Organisationale Ambidextrie mit Exploitation (Ausbeuten &amp; Effizienz) und Exploration (Lernen &amp; Innovation) in</w:t>
      </w:r>
      <w:r>
        <w:t xml:space="preserve"> </w:t>
      </w:r>
      <w:hyperlink r:id="rId51">
        <w:r>
          <w:rPr>
            <w:rStyle w:val="Hyperlink"/>
          </w:rPr>
          <w:t xml:space="preserve">Organizational Ambidexterity: Past, Present and Future</w:t>
        </w:r>
      </w:hyperlink>
      <w:r>
        <w:t xml:space="preserve">.</w:t>
      </w:r>
    </w:p>
    <w:p>
      <w:pPr>
        <w:pStyle w:val="Compact"/>
        <w:numPr>
          <w:ilvl w:val="0"/>
          <w:numId w:val="1003"/>
        </w:numPr>
      </w:pPr>
      <w:r>
        <w:t xml:space="preserve">Management 2.0 in</w:t>
      </w:r>
      <w:r>
        <w:t xml:space="preserve"> </w:t>
      </w:r>
      <w:hyperlink r:id="rId52">
        <w:r>
          <w:rPr>
            <w:rStyle w:val="Hyperlink"/>
          </w:rPr>
          <w:t xml:space="preserve">The Future of Management</w:t>
        </w:r>
      </w:hyperlink>
      <w:r>
        <w:t xml:space="preserve"> </w:t>
      </w:r>
      <w:r>
        <w:t xml:space="preserve">von Gary Hamel.</w:t>
      </w:r>
    </w:p>
    <w:bookmarkEnd w:id="53"/>
    <w:bookmarkStart w:id="61" w:name="Xa24094d116fb3bb06adb0f3bddc0c754d55877d"/>
    <w:p>
      <w:pPr>
        <w:pStyle w:val="Heading3"/>
      </w:pPr>
      <w:r>
        <w:rPr>
          <w:rStyle w:val="SectionNumber"/>
        </w:rPr>
        <w:t xml:space="preserve">3.1.3</w:t>
      </w:r>
      <w:r>
        <w:tab/>
      </w:r>
      <w:r>
        <w:t xml:space="preserve">Von der Maschine zu Gehirn und Organismus als Metapher</w:t>
      </w:r>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54">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55">
        <w:r>
          <w:rPr>
            <w:rStyle w:val="Hyperlink"/>
          </w:rPr>
          <w:t xml:space="preserve">Industriegesellschaft</w:t>
        </w:r>
      </w:hyperlink>
      <w:r>
        <w:t xml:space="preserve"> </w:t>
      </w:r>
      <w:r>
        <w:t xml:space="preserve">zu</w:t>
      </w:r>
      <w:r>
        <w:t xml:space="preserve"> </w:t>
      </w:r>
      <w:hyperlink r:id="rId56">
        <w:r>
          <w:rPr>
            <w:rStyle w:val="Hyperlink"/>
          </w:rPr>
          <w:t xml:space="preserve">Wissensgesellschaft</w:t>
        </w:r>
      </w:hyperlink>
      <w:r>
        <w:t xml:space="preserve"> </w:t>
      </w:r>
      <w:r>
        <w:t xml:space="preserve">wurden die Wissensarbeiter (</w:t>
      </w:r>
      <w:hyperlink r:id="rId57">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“Re-Humanisierung”</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2432304"/>
            <wp:effectExtent b="0" l="0" r="0" t="0"/>
            <wp:docPr descr="" title="" id="59" name="Picture"/>
            <a:graphic>
              <a:graphicData uri="http://schemas.openxmlformats.org/drawingml/2006/picture">
                <pic:pic>
                  <pic:nvPicPr>
                    <pic:cNvPr descr="images/organisation-als-organismus.png" id="60" name="Picture"/>
                    <pic:cNvPicPr>
                      <a:picLocks noChangeArrowheads="1" noChangeAspect="1"/>
                    </pic:cNvPicPr>
                  </pic:nvPicPr>
                  <pic:blipFill>
                    <a:blip r:embed="rId58"/>
                    <a:stretch>
                      <a:fillRect/>
                    </a:stretch>
                  </pic:blipFill>
                  <pic:spPr bwMode="auto">
                    <a:xfrm>
                      <a:off x="0" y="0"/>
                      <a:ext cx="5334000" cy="2432304"/>
                    </a:xfrm>
                    <a:prstGeom prst="rect">
                      <a:avLst/>
                    </a:prstGeom>
                    <a:noFill/>
                    <a:ln w="9525">
                      <a:noFill/>
                      <a:headEnd/>
                      <a:tailEnd/>
                    </a:ln>
                  </pic:spPr>
                </pic:pic>
              </a:graphicData>
            </a:graphic>
          </wp:inline>
        </w:drawing>
      </w:r>
    </w:p>
    <w:bookmarkEnd w:id="61"/>
    <w:bookmarkStart w:id="68" w:name="organisationskultur"/>
    <w:p>
      <w:pPr>
        <w:pStyle w:val="Heading3"/>
      </w:pPr>
      <w:r>
        <w:rPr>
          <w:rStyle w:val="SectionNumber"/>
        </w:rPr>
        <w:t xml:space="preserve">3.1.4</w:t>
      </w:r>
      <w:r>
        <w:tab/>
      </w:r>
      <w:r>
        <w:t xml:space="preserve">Organisationskultur</w:t>
      </w:r>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“Wie wir hier arbeiten”</w:t>
      </w:r>
      <w:r>
        <w:t xml:space="preserve">,</w:t>
      </w:r>
      <w:r>
        <w:t xml:space="preserve"> </w:t>
      </w:r>
      <w:r>
        <w:t xml:space="preserve">“Unsere Werte”</w:t>
      </w:r>
      <w:r>
        <w:t xml:space="preserve">,</w:t>
      </w:r>
      <w:r>
        <w:t xml:space="preserve"> </w:t>
      </w:r>
      <w:r>
        <w:t xml:space="preserve">“Mentalität und Mindset”</w:t>
      </w:r>
      <w:r>
        <w:t xml:space="preserve"> </w:t>
      </w:r>
      <w:r>
        <w:t xml:space="preserve">etc.).</w:t>
      </w:r>
    </w:p>
    <w:p>
      <w:pPr>
        <w:pStyle w:val="BodyText"/>
      </w:pPr>
      <w:r>
        <w:t xml:space="preserve">Der Sozialwissenschaftler</w:t>
      </w:r>
      <w:r>
        <w:t xml:space="preserve"> </w:t>
      </w:r>
      <w:hyperlink r:id="rId62">
        <w:r>
          <w:rPr>
            <w:rStyle w:val="Hyperlink"/>
          </w:rPr>
          <w:t xml:space="preserve">Edgar Schein</w:t>
        </w:r>
      </w:hyperlink>
      <w:r>
        <w:t xml:space="preserve"> </w:t>
      </w:r>
      <w:r>
        <w:t xml:space="preserve">hat mit seinem</w:t>
      </w:r>
      <w:r>
        <w:t xml:space="preserve"> </w:t>
      </w:r>
      <w:hyperlink r:id="rId63">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64">
        <w:r>
          <w:rPr>
            <w:rStyle w:val="Hyperlink"/>
          </w:rPr>
          <w:t xml:space="preserve">Organisationskultur</w:t>
        </w:r>
      </w:hyperlink>
      <w:r>
        <w:t xml:space="preserve">):</w:t>
      </w:r>
    </w:p>
    <w:p>
      <w:pPr>
        <w:pStyle w:val="Compact"/>
        <w:numPr>
          <w:ilvl w:val="0"/>
          <w:numId w:val="1004"/>
        </w:numPr>
      </w:pPr>
      <w:r>
        <w:rPr>
          <w:b/>
          <w:bCs/>
        </w:rPr>
        <w:t xml:space="preserve">Artefakte:</w:t>
      </w:r>
      <w:r>
        <w:t xml:space="preserve"> </w:t>
      </w:r>
      <w:r>
        <w:t xml:space="preserve">sichtbare Organisationsstrukturen und -prozesse</w:t>
      </w:r>
    </w:p>
    <w:p>
      <w:pPr>
        <w:pStyle w:val="Compact"/>
        <w:numPr>
          <w:ilvl w:val="0"/>
          <w:numId w:val="1004"/>
        </w:numPr>
      </w:pPr>
      <w:r>
        <w:rPr>
          <w:b/>
          <w:bCs/>
        </w:rPr>
        <w:t xml:space="preserve">Öffentlich probagierte Werte:</w:t>
      </w:r>
      <w:r>
        <w:t xml:space="preserve"> </w:t>
      </w:r>
      <w:r>
        <w:t xml:space="preserve">Strategien, Ziele Philosophien</w:t>
      </w:r>
    </w:p>
    <w:p>
      <w:pPr>
        <w:pStyle w:val="Compact"/>
        <w:numPr>
          <w:ilvl w:val="0"/>
          <w:numId w:val="1004"/>
        </w:numPr>
      </w:pPr>
      <w:r>
        <w:rPr>
          <w:b/>
          <w:bCs/>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“Manifestationen von Kultur”</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2763012"/>
            <wp:effectExtent b="0" l="0" r="0" t="0"/>
            <wp:docPr descr="" title="" id="66" name="Picture"/>
            <a:graphic>
              <a:graphicData uri="http://schemas.openxmlformats.org/drawingml/2006/picture">
                <pic:pic>
                  <pic:nvPicPr>
                    <pic:cNvPr descr="images/schein-drei-ebenen-der-unternehmenskultur.png" id="67" name="Picture"/>
                    <pic:cNvPicPr>
                      <a:picLocks noChangeArrowheads="1" noChangeAspect="1"/>
                    </pic:cNvPicPr>
                  </pic:nvPicPr>
                  <pic:blipFill>
                    <a:blip r:embed="rId65"/>
                    <a:stretch>
                      <a:fillRect/>
                    </a:stretch>
                  </pic:blipFill>
                  <pic:spPr bwMode="auto">
                    <a:xfrm>
                      <a:off x="0" y="0"/>
                      <a:ext cx="5334000" cy="2763012"/>
                    </a:xfrm>
                    <a:prstGeom prst="rect">
                      <a:avLst/>
                    </a:prstGeom>
                    <a:noFill/>
                    <a:ln w="9525">
                      <a:noFill/>
                      <a:headEnd/>
                      <a:tailEnd/>
                    </a:ln>
                  </pic:spPr>
                </pic:pic>
              </a:graphicData>
            </a:graphic>
          </wp:inline>
        </w:drawing>
      </w:r>
    </w:p>
    <w:bookmarkEnd w:id="68"/>
    <w:bookmarkEnd w:id="69"/>
    <w:bookmarkStart w:id="103" w:name="veränderung-von-organisationen"/>
    <w:p>
      <w:pPr>
        <w:pStyle w:val="Heading2"/>
      </w:pPr>
      <w:r>
        <w:rPr>
          <w:rStyle w:val="SectionNumber"/>
        </w:rPr>
        <w:t xml:space="preserve">3.2</w:t>
      </w:r>
      <w:r>
        <w:tab/>
      </w:r>
      <w:r>
        <w:t xml:space="preserve">Veränderung von Organisationen</w:t>
      </w:r>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70">
        <w:r>
          <w:rPr>
            <w:rStyle w:val="Hyperlink"/>
          </w:rPr>
          <w:t xml:space="preserve">The Mortality of Companies</w:t>
        </w:r>
      </w:hyperlink>
      <w:r>
        <w:t xml:space="preserve">). In ihrer Lebenszeit durchläuft eine Organisation viele Veränderungsprozesse, die einen von zwei Ausgangspunkte haben kann:</w:t>
      </w:r>
    </w:p>
    <w:p>
      <w:pPr>
        <w:pStyle w:val="Compact"/>
        <w:numPr>
          <w:ilvl w:val="0"/>
          <w:numId w:val="1005"/>
        </w:numPr>
      </w:pPr>
      <w:r>
        <w:rPr>
          <w:b/>
          <w:bCs/>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pStyle w:val="Compact"/>
        <w:numPr>
          <w:ilvl w:val="0"/>
          <w:numId w:val="1005"/>
        </w:numPr>
      </w:pPr>
      <w:r>
        <w:rPr>
          <w:b/>
          <w:bCs/>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
          <w:bCs/>
        </w:rPr>
        <w:t xml:space="preserve">ProTip:</w:t>
      </w:r>
      <w:r>
        <w:t xml:space="preserve"> </w:t>
      </w:r>
      <w:r>
        <w:t xml:space="preserve">Starte immer mit dem Warum (s.a. Sinek, S.:</w:t>
      </w:r>
      <w:r>
        <w:t xml:space="preserve"> </w:t>
      </w:r>
      <w:hyperlink r:id="rId71">
        <w:r>
          <w:rPr>
            <w:rStyle w:val="Hyperlink"/>
          </w:rPr>
          <w:t xml:space="preserve">Start With Why</w:t>
        </w:r>
      </w:hyperlink>
      <w:r>
        <w:t xml:space="preserve">, Video</w:t>
      </w:r>
      <w:r>
        <w:t xml:space="preserve"> </w:t>
      </w:r>
      <w:hyperlink r:id="rId72">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73">
        <w:r>
          <w:rPr>
            <w:rStyle w:val="Hyperlink"/>
          </w:rPr>
          <w:t xml:space="preserve">Megatrends</w:t>
        </w:r>
      </w:hyperlink>
      <w:r>
        <w:t xml:space="preserve">,</w:t>
      </w:r>
      <w:r>
        <w:t xml:space="preserve"> </w:t>
      </w:r>
      <w:hyperlink r:id="rId74">
        <w:r>
          <w:rPr>
            <w:rStyle w:val="Hyperlink"/>
          </w:rPr>
          <w:t xml:space="preserve">Kondratjew-Zyklen</w:t>
        </w:r>
      </w:hyperlink>
      <w:r>
        <w:t xml:space="preserve"> </w:t>
      </w:r>
      <w:r>
        <w:t xml:space="preserve">oder</w:t>
      </w:r>
      <w:r>
        <w:t xml:space="preserve"> </w:t>
      </w:r>
      <w:hyperlink r:id="rId75">
        <w:r>
          <w:rPr>
            <w:rStyle w:val="Hyperlink"/>
          </w:rPr>
          <w:t xml:space="preserve">gesellschaftlichem Wandel</w:t>
        </w:r>
      </w:hyperlink>
      <w:r>
        <w:t xml:space="preserve">)? Oder gibt es einen intern Grund, sich verändern zu wollen (z.B. Digitale Transformation, Agile Transformation)?</w:t>
      </w:r>
    </w:p>
    <w:bookmarkStart w:id="80" w:name="gleichers-formel-für-veränderung"/>
    <w:p>
      <w:pPr>
        <w:pStyle w:val="Heading3"/>
      </w:pPr>
      <w:r>
        <w:rPr>
          <w:rStyle w:val="SectionNumber"/>
        </w:rPr>
        <w:t xml:space="preserve">3.2.1</w:t>
      </w:r>
      <w:r>
        <w:tab/>
      </w:r>
      <w:r>
        <w:t xml:space="preserve">Gleicher’s Formel für Veränderung</w:t>
      </w:r>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76">
        <w:r>
          <w:rPr>
            <w:rStyle w:val="Hyperlink"/>
          </w:rPr>
          <w:t xml:space="preserve">Formula for Change</w:t>
        </w:r>
      </w:hyperlink>
      <w:r>
        <w:t xml:space="preserve">) zusammengefasst:</w:t>
      </w:r>
    </w:p>
    <w:p>
      <w:pPr>
        <w:pStyle w:val="CaptionedFigure"/>
      </w:pPr>
      <w:r>
        <w:drawing>
          <wp:inline>
            <wp:extent cx="5334000" cy="3461766"/>
            <wp:effectExtent b="0" l="0" r="0" t="0"/>
            <wp:docPr descr="Arbeitsvorlage Gleicher’s Formel für Veränderung" title="" id="78" name="Picture"/>
            <a:graphic>
              <a:graphicData uri="http://schemas.openxmlformats.org/drawingml/2006/picture">
                <pic:pic>
                  <pic:nvPicPr>
                    <pic:cNvPr descr="./images/gleicher-formula-for-change.png" id="79" name="Picture"/>
                    <pic:cNvPicPr>
                      <a:picLocks noChangeArrowheads="1" noChangeAspect="1"/>
                    </pic:cNvPicPr>
                  </pic:nvPicPr>
                  <pic:blipFill>
                    <a:blip r:embed="rId77"/>
                    <a:stretch>
                      <a:fillRect/>
                    </a:stretch>
                  </pic:blipFill>
                  <pic:spPr bwMode="auto">
                    <a:xfrm>
                      <a:off x="0" y="0"/>
                      <a:ext cx="5334000" cy="3461766"/>
                    </a:xfrm>
                    <a:prstGeom prst="rect">
                      <a:avLst/>
                    </a:prstGeom>
                    <a:noFill/>
                    <a:ln w="9525">
                      <a:noFill/>
                      <a:headEnd/>
                      <a:tailEnd/>
                    </a:ln>
                  </pic:spPr>
                </pic:pic>
              </a:graphicData>
            </a:graphic>
          </wp:inline>
        </w:drawing>
      </w:r>
    </w:p>
    <w:p>
      <w:pPr>
        <w:pStyle w:val="ImageCaption"/>
      </w:pPr>
      <w:r>
        <w:t xml:space="preserve">Arbeitsvorlage Gleicher’s Formel für Veränderung</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
          <w:bCs/>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“Womit sind wir unzufrieden?”</w:t>
      </w:r>
      <w:r>
        <w:t xml:space="preserve">,</w:t>
      </w:r>
      <w:r>
        <w:t xml:space="preserve"> </w:t>
      </w:r>
      <w:r>
        <w:t xml:space="preserve">“Wo wollen wir in?”</w:t>
      </w:r>
      <w:r>
        <w:t xml:space="preserve">,</w:t>
      </w:r>
      <w:r>
        <w:t xml:space="preserve"> </w:t>
      </w:r>
      <w:r>
        <w:t xml:space="preserve">“Welche konkreten Schritte können wir uns vorstellen?”</w:t>
      </w:r>
      <w:r>
        <w:t xml:space="preserve">,</w:t>
      </w:r>
      <w:r>
        <w:t xml:space="preserve"> </w:t>
      </w:r>
      <w:r>
        <w:t xml:space="preserve">“Mit welchen Widerständen müssen wir rechen?”</w:t>
      </w:r>
      <w:r>
        <w:t xml:space="preserve">).</w:t>
      </w:r>
    </w:p>
    <w:bookmarkEnd w:id="80"/>
    <w:bookmarkStart w:id="83" w:name="veränderung-top-down"/>
    <w:p>
      <w:pPr>
        <w:pStyle w:val="Heading3"/>
      </w:pPr>
      <w:r>
        <w:rPr>
          <w:rStyle w:val="SectionNumber"/>
        </w:rPr>
        <w:t xml:space="preserve">3.2.2</w:t>
      </w:r>
      <w:r>
        <w:tab/>
      </w:r>
      <w:r>
        <w:t xml:space="preserve">Veränderung Top-down</w:t>
      </w:r>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81">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
          <w:bCs/>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82">
        <w:r>
          <w:rPr>
            <w:rStyle w:val="Hyperlink"/>
          </w:rPr>
          <w:t xml:space="preserve">Accelerate!</w:t>
        </w:r>
      </w:hyperlink>
      <w:r>
        <w:t xml:space="preserve">). Der neue Ansatz besteht jetzt aus fünf Prinzipien und acht</w:t>
      </w:r>
      <w:r>
        <w:t xml:space="preserve"> </w:t>
      </w:r>
      <w:r>
        <w:t xml:space="preserve">“Beschleunigern”</w:t>
      </w:r>
      <w:r>
        <w:t xml:space="preserve">:</w:t>
      </w:r>
    </w:p>
    <w:p>
      <w:pPr>
        <w:pStyle w:val="BodyText"/>
      </w:pPr>
      <w:r>
        <w:rPr>
          <w:b/>
          <w:bCs/>
        </w:rPr>
        <w:t xml:space="preserve">Die 5 Prinzipien des Dual Operating System:</w:t>
      </w:r>
    </w:p>
    <w:p>
      <w:pPr>
        <w:pStyle w:val="Compact"/>
        <w:numPr>
          <w:ilvl w:val="0"/>
          <w:numId w:val="1006"/>
        </w:numPr>
      </w:pPr>
      <w:r>
        <w:t xml:space="preserve">Viele Change Agents, nicht nur die üblichen wenigen Ernannten.</w:t>
      </w:r>
    </w:p>
    <w:p>
      <w:pPr>
        <w:pStyle w:val="Compact"/>
        <w:numPr>
          <w:ilvl w:val="0"/>
          <w:numId w:val="1006"/>
        </w:numPr>
      </w:pPr>
      <w:r>
        <w:t xml:space="preserve">Ein Mindset des Wollens und nicht des Müssens.</w:t>
      </w:r>
    </w:p>
    <w:p>
      <w:pPr>
        <w:pStyle w:val="Compact"/>
        <w:numPr>
          <w:ilvl w:val="0"/>
          <w:numId w:val="1006"/>
        </w:numPr>
      </w:pPr>
      <w:r>
        <w:t xml:space="preserve">Kopf und Herz, nicht nur Kopf.</w:t>
      </w:r>
    </w:p>
    <w:p>
      <w:pPr>
        <w:pStyle w:val="Compact"/>
        <w:numPr>
          <w:ilvl w:val="0"/>
          <w:numId w:val="1006"/>
        </w:numPr>
      </w:pPr>
      <w:r>
        <w:t xml:space="preserve">Viel mehr Führung, nicht nur mehr Management.</w:t>
      </w:r>
    </w:p>
    <w:p>
      <w:pPr>
        <w:pStyle w:val="Compact"/>
        <w:numPr>
          <w:ilvl w:val="0"/>
          <w:numId w:val="1006"/>
        </w:numPr>
      </w:pPr>
      <w:r>
        <w:t xml:space="preserve">Zwei Systeme, eine Organisation.</w:t>
      </w:r>
    </w:p>
    <w:p>
      <w:pPr>
        <w:pStyle w:val="FirstParagraph"/>
      </w:pPr>
      <w:r>
        <w:rPr>
          <w:b/>
          <w:bCs/>
        </w:rPr>
        <w:t xml:space="preserve">Die 8 Beschleuniger des Dual Operating System:</w:t>
      </w:r>
    </w:p>
    <w:p>
      <w:pPr>
        <w:pStyle w:val="Compact"/>
        <w:numPr>
          <w:ilvl w:val="0"/>
          <w:numId w:val="1007"/>
        </w:numPr>
      </w:pPr>
      <w:r>
        <w:t xml:space="preserve">Ein Gefühl der Dringlichkeit rund um eine große Chance erzeugen</w:t>
      </w:r>
    </w:p>
    <w:p>
      <w:pPr>
        <w:pStyle w:val="Compact"/>
        <w:numPr>
          <w:ilvl w:val="0"/>
          <w:numId w:val="1007"/>
        </w:numPr>
      </w:pPr>
      <w:r>
        <w:t xml:space="preserve">Eine Führungskoalition (en: Guiding Coalition) aufbauen und dauerhaft unterstützen</w:t>
      </w:r>
    </w:p>
    <w:p>
      <w:pPr>
        <w:pStyle w:val="Compact"/>
        <w:numPr>
          <w:ilvl w:val="0"/>
          <w:numId w:val="1007"/>
        </w:numPr>
      </w:pPr>
      <w:r>
        <w:t xml:space="preserve">Eine strategische Vision und Veränderungsinitiativen rund um die große Chance entwickeln</w:t>
      </w:r>
    </w:p>
    <w:p>
      <w:pPr>
        <w:pStyle w:val="Compact"/>
        <w:numPr>
          <w:ilvl w:val="0"/>
          <w:numId w:val="1007"/>
        </w:numPr>
      </w:pPr>
      <w:r>
        <w:t xml:space="preserve">Vision und die Strategie kommunizieren, um Buy-in zu erzeugen und eine wachsende Gruppe Freiwilliger (en: army of volunteers) zu aktivieren</w:t>
      </w:r>
    </w:p>
    <w:p>
      <w:pPr>
        <w:pStyle w:val="Compact"/>
        <w:numPr>
          <w:ilvl w:val="0"/>
          <w:numId w:val="1007"/>
        </w:numPr>
      </w:pPr>
      <w:r>
        <w:t xml:space="preserve">Die Bewegung hin zur Vision und zur großen Chance beschleunigen, indem Sie dafür sorgen, dass das Netzwerk Barrieren beseitigt</w:t>
      </w:r>
    </w:p>
    <w:p>
      <w:pPr>
        <w:pStyle w:val="Compact"/>
        <w:numPr>
          <w:ilvl w:val="0"/>
          <w:numId w:val="1007"/>
        </w:numPr>
      </w:pPr>
      <w:r>
        <w:t xml:space="preserve">Sichtbare, bedeutende kurzfristige Siege feiern</w:t>
      </w:r>
    </w:p>
    <w:p>
      <w:pPr>
        <w:pStyle w:val="Compact"/>
        <w:numPr>
          <w:ilvl w:val="0"/>
          <w:numId w:val="1007"/>
        </w:numPr>
      </w:pPr>
      <w:r>
        <w:t xml:space="preserve">Niemals aufgeben. Lernen Sie weiter aus Erfahrungen. Erklären Sie den Sieg nicht zu früh</w:t>
      </w:r>
    </w:p>
    <w:p>
      <w:pPr>
        <w:pStyle w:val="Compact"/>
        <w:numPr>
          <w:ilvl w:val="0"/>
          <w:numId w:val="1007"/>
        </w:numPr>
      </w:pPr>
      <w:r>
        <w:t xml:space="preserve">Strategische Veränderungen in der Kultur institutionalisieren</w:t>
      </w:r>
    </w:p>
    <w:bookmarkEnd w:id="83"/>
    <w:bookmarkStart w:id="92" w:name="veränderung-bottom-up"/>
    <w:p>
      <w:pPr>
        <w:pStyle w:val="Heading3"/>
      </w:pPr>
      <w:r>
        <w:rPr>
          <w:rStyle w:val="SectionNumber"/>
        </w:rPr>
        <w:t xml:space="preserve">3.2.3</w:t>
      </w:r>
      <w:r>
        <w:tab/>
      </w:r>
      <w:r>
        <w:t xml:space="preserve">Veränderung Bottom-up</w:t>
      </w:r>
    </w:p>
    <w:p>
      <w:pPr>
        <w:pStyle w:val="FirstParagraph"/>
      </w:pPr>
      <w:r>
        <w:t xml:space="preserve">Neben der Veränderung vom oberen Ende der Hierarchie kann der Impuls zur Veränderung auch von unten kommen. In der Gesellschaft spricht man dabei von</w:t>
      </w:r>
      <w:r>
        <w:t xml:space="preserve"> </w:t>
      </w:r>
      <w:hyperlink r:id="rId84">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85">
        <w:r>
          <w:rPr>
            <w:rStyle w:val="Hyperlink"/>
          </w:rPr>
          <w:t xml:space="preserve">#gernperDu</w:t>
        </w:r>
      </w:hyperlink>
      <w:r>
        <w:t xml:space="preserve">,</w:t>
      </w:r>
      <w:r>
        <w:t xml:space="preserve"> </w:t>
      </w:r>
      <w:hyperlink r:id="rId86">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 vom Auftauchen (emergence) bis zum Rückgang (decline):</w:t>
      </w:r>
    </w:p>
    <w:p>
      <w:pPr>
        <w:pStyle w:val="CaptionedFigure"/>
      </w:pPr>
      <w:r>
        <w:drawing>
          <wp:inline>
            <wp:extent cx="5334000" cy="2250947"/>
            <wp:effectExtent b="0" l="0" r="0" t="0"/>
            <wp:docPr descr="Stufen sozialer Bewegungen nach Blumer, eigene Darstellung" title="" id="88" name="Picture"/>
            <a:graphic>
              <a:graphicData uri="http://schemas.openxmlformats.org/drawingml/2006/picture">
                <pic:pic>
                  <pic:nvPicPr>
                    <pic:cNvPr descr="./images/blumer-stufen-sozialer-bewegungen.png.png" id="89" name="Picture"/>
                    <pic:cNvPicPr>
                      <a:picLocks noChangeArrowheads="1" noChangeAspect="1"/>
                    </pic:cNvPicPr>
                  </pic:nvPicPr>
                  <pic:blipFill>
                    <a:blip r:embed="rId87"/>
                    <a:stretch>
                      <a:fillRect/>
                    </a:stretch>
                  </pic:blipFill>
                  <pic:spPr bwMode="auto">
                    <a:xfrm>
                      <a:off x="0" y="0"/>
                      <a:ext cx="5334000" cy="2250947"/>
                    </a:xfrm>
                    <a:prstGeom prst="rect">
                      <a:avLst/>
                    </a:prstGeom>
                    <a:noFill/>
                    <a:ln w="9525">
                      <a:noFill/>
                      <a:headEnd/>
                      <a:tailEnd/>
                    </a:ln>
                  </pic:spPr>
                </pic:pic>
              </a:graphicData>
            </a:graphic>
          </wp:inline>
        </w:drawing>
      </w:r>
    </w:p>
    <w:p>
      <w:pPr>
        <w:pStyle w:val="ImageCaption"/>
      </w:pPr>
      <w:r>
        <w:t xml:space="preserve">Stufen sozialer Bewegungen nach Blumer, eigene Darstellung</w:t>
      </w:r>
    </w:p>
    <w:p>
      <w:pPr>
        <w:pStyle w:val="BodyText"/>
      </w:pPr>
      <w:r>
        <w:t xml:space="preserve">Eine Übersicht aktueller Graswurzelbewegungen in Organisationen sind im Buch</w:t>
      </w:r>
      <w:r>
        <w:t xml:space="preserve"> </w:t>
      </w:r>
      <w:hyperlink r:id="rId90">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91">
        <w:r>
          <w:rPr>
            <w:rStyle w:val="Hyperlink"/>
          </w:rPr>
          <w:t xml:space="preserve">Kluges aus der Mitte</w:t>
        </w:r>
      </w:hyperlink>
      <w:r>
        <w:t xml:space="preserve">).</w:t>
      </w:r>
    </w:p>
    <w:bookmarkEnd w:id="92"/>
    <w:bookmarkStart w:id="96" w:name="veränderung-middle-up-down"/>
    <w:p>
      <w:pPr>
        <w:pStyle w:val="Heading3"/>
      </w:pPr>
      <w:r>
        <w:rPr>
          <w:rStyle w:val="SectionNumber"/>
        </w:rPr>
        <w:t xml:space="preserve">3.2.4</w:t>
      </w:r>
      <w:r>
        <w:tab/>
      </w:r>
      <w:r>
        <w:t xml:space="preserve">Veränderung Middle-Up-Down</w:t>
      </w:r>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“gläserne Decke”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“Lähmschicht mittleres Management”</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CaptionedFigure"/>
      </w:pPr>
      <w:r>
        <w:drawing>
          <wp:inline>
            <wp:extent cx="5334000" cy="3104387"/>
            <wp:effectExtent b="0" l="0" r="0" t="0"/>
            <wp:docPr descr="Middle-up-down Management nach Nonaka, eigene Darstellung" title="" id="94" name="Picture"/>
            <a:graphic>
              <a:graphicData uri="http://schemas.openxmlformats.org/drawingml/2006/picture">
                <pic:pic>
                  <pic:nvPicPr>
                    <pic:cNvPr descr="images/nonaka-middle-up-down-management.png" id="95" name="Picture"/>
                    <pic:cNvPicPr>
                      <a:picLocks noChangeArrowheads="1" noChangeAspect="1"/>
                    </pic:cNvPicPr>
                  </pic:nvPicPr>
                  <pic:blipFill>
                    <a:blip r:embed="rId93"/>
                    <a:stretch>
                      <a:fillRect/>
                    </a:stretch>
                  </pic:blipFill>
                  <pic:spPr bwMode="auto">
                    <a:xfrm>
                      <a:off x="0" y="0"/>
                      <a:ext cx="5334000" cy="3104387"/>
                    </a:xfrm>
                    <a:prstGeom prst="rect">
                      <a:avLst/>
                    </a:prstGeom>
                    <a:noFill/>
                    <a:ln w="9525">
                      <a:noFill/>
                      <a:headEnd/>
                      <a:tailEnd/>
                    </a:ln>
                  </pic:spPr>
                </pic:pic>
              </a:graphicData>
            </a:graphic>
          </wp:inline>
        </w:drawing>
      </w:r>
    </w:p>
    <w:p>
      <w:pPr>
        <w:pStyle w:val="ImageCaption"/>
      </w:pPr>
      <w:r>
        <w:t xml:space="preserve">Middle-up-down Management nach Nonaka, eigene Darstellung</w:t>
      </w:r>
    </w:p>
    <w:bookmarkEnd w:id="96"/>
    <w:bookmarkStart w:id="102" w:name="Xa1f95168b7763d8e6f1fd5a6e1a45d4ec7a57a6"/>
    <w:p>
      <w:pPr>
        <w:pStyle w:val="Heading3"/>
      </w:pPr>
      <w:r>
        <w:rPr>
          <w:rStyle w:val="SectionNumber"/>
        </w:rPr>
        <w:t xml:space="preserve">3.2.5</w:t>
      </w:r>
      <w:r>
        <w:tab/>
      </w:r>
      <w:r>
        <w:t xml:space="preserve">Lead by example - Mit gutem Beispiel vorangehen</w:t>
      </w:r>
    </w:p>
    <w:p>
      <w:pPr>
        <w:pStyle w:val="FirstParagraph"/>
      </w:pPr>
      <w:r>
        <w:t xml:space="preserve">Im Veränderungsmanagement gibt es den schönen Spruch</w:t>
      </w:r>
      <w:r>
        <w:t xml:space="preserve"> </w:t>
      </w:r>
      <w:r>
        <w:t xml:space="preserve">“Leading by example is not only a change method but the only one”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97">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“Lone Nut”</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98">
        <w:r>
          <w:rPr>
            <w:rStyle w:val="Hyperlink"/>
          </w:rPr>
          <w:t xml:space="preserve">Video zum Continental GUIDE Kick-off</w:t>
        </w:r>
      </w:hyperlink>
      <w:r>
        <w:t xml:space="preserve"> </w:t>
      </w:r>
      <w:r>
        <w:t xml:space="preserve">mit</w:t>
      </w:r>
      <w:r>
        <w:t xml:space="preserve"> </w:t>
      </w:r>
      <w:r>
        <w:t xml:space="preserve">“I’m not alone!”</w:t>
      </w:r>
      <w:r>
        <w:t xml:space="preserve"> </w:t>
      </w:r>
      <w:r>
        <w:t xml:space="preserve">schön in Worte gekleidet.</w:t>
      </w:r>
    </w:p>
    <w:p>
      <w:pPr>
        <w:pStyle w:val="CaptionedFigure"/>
      </w:pPr>
      <w:r>
        <w:drawing>
          <wp:inline>
            <wp:extent cx="5334000" cy="3000375"/>
            <wp:effectExtent b="0" l="0" r="0" t="0"/>
            <wp:docPr descr="Who wants change von Alan O’Rourke auf Flickr (CC BY 2.0)" title="" id="100" name="Picture"/>
            <a:graphic>
              <a:graphicData uri="http://schemas.openxmlformats.org/drawingml/2006/picture">
                <pic:pic>
                  <pic:nvPicPr>
                    <pic:cNvPr descr="./images/change-vs-be-changed.pn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Who wants change von Alan O’Rourke auf Flickr (CC BY 2.0)</w:t>
      </w:r>
    </w:p>
    <w:bookmarkEnd w:id="102"/>
    <w:bookmarkEnd w:id="103"/>
    <w:bookmarkStart w:id="131" w:name="X0d59f797b3404f6d69fd76dc7f9c7b6e7b471a9"/>
    <w:p>
      <w:pPr>
        <w:pStyle w:val="Heading2"/>
      </w:pPr>
      <w:r>
        <w:rPr>
          <w:rStyle w:val="SectionNumber"/>
        </w:rPr>
        <w:t xml:space="preserve">3.3</w:t>
      </w:r>
      <w:r>
        <w:tab/>
      </w:r>
      <w:r>
        <w:t xml:space="preserve">Die Lernende Organisation und ihre Feinde</w:t>
      </w:r>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104">
        <w:r>
          <w:rPr>
            <w:rStyle w:val="Hyperlink"/>
          </w:rPr>
          <w:t xml:space="preserve">Peter Senge</w:t>
        </w:r>
      </w:hyperlink>
      <w:r>
        <w:t xml:space="preserve"> </w:t>
      </w:r>
      <w:r>
        <w:t xml:space="preserve">als als Direktor sowie</w:t>
      </w:r>
      <w:r>
        <w:t xml:space="preserve"> </w:t>
      </w:r>
      <w:hyperlink r:id="rId62">
        <w:r>
          <w:rPr>
            <w:rStyle w:val="Hyperlink"/>
          </w:rPr>
          <w:t xml:space="preserve">Edgar Schein</w:t>
        </w:r>
      </w:hyperlink>
      <w:r>
        <w:t xml:space="preserve"> </w:t>
      </w:r>
      <w:r>
        <w:t xml:space="preserve">und</w:t>
      </w:r>
      <w:r>
        <w:t xml:space="preserve"> </w:t>
      </w:r>
      <w:hyperlink r:id="rId105">
        <w:r>
          <w:rPr>
            <w:rStyle w:val="Hyperlink"/>
          </w:rPr>
          <w:t xml:space="preserve">Chris Argyris</w:t>
        </w:r>
      </w:hyperlink>
      <w:r>
        <w:t xml:space="preserve"> </w:t>
      </w:r>
      <w:r>
        <w:t xml:space="preserve">als Schlüsselpersonen. Ähnlich wie das Konzept des</w:t>
      </w:r>
      <w:r>
        <w:t xml:space="preserve"> </w:t>
      </w:r>
      <w:hyperlink r:id="rId106">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107">
        <w:r>
          <w:rPr>
            <w:rStyle w:val="Hyperlink"/>
          </w:rPr>
          <w:t xml:space="preserve">Survival of the Fittest</w:t>
        </w:r>
      </w:hyperlink>
      <w:r>
        <w:t xml:space="preserve">):</w:t>
      </w:r>
    </w:p>
    <w:p>
      <w:pPr>
        <w:pStyle w:val="BlockText"/>
      </w:pPr>
      <w:r>
        <w:t xml:space="preserve">Eine</w:t>
      </w:r>
      <w:r>
        <w:t xml:space="preserve"> </w:t>
      </w:r>
      <w:r>
        <w:rPr>
          <w:b/>
          <w:bCs/>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“Glaubst Du wirklich, dass Du mit den Turnschuhen schneller laufen kannst, als der Löwe?”</w:t>
      </w:r>
      <w:r>
        <w:t xml:space="preserve"> </w:t>
      </w:r>
      <w:r>
        <w:t xml:space="preserve">Sagt der andere:</w:t>
      </w:r>
      <w:r>
        <w:t xml:space="preserve"> </w:t>
      </w:r>
      <w:r>
        <w:t xml:space="preserve">“Nein, aber schneller, als Du.”</w:t>
      </w:r>
      <w:r>
        <w:t xml:space="preserve">.</w:t>
      </w:r>
    </w:p>
    <w:bookmarkStart w:id="111" w:name="die-2-schleifen-des-lernens"/>
    <w:p>
      <w:pPr>
        <w:pStyle w:val="Heading3"/>
      </w:pPr>
      <w:r>
        <w:rPr>
          <w:rStyle w:val="SectionNumber"/>
        </w:rPr>
        <w:t xml:space="preserve">3.3.1</w:t>
      </w:r>
      <w:r>
        <w:tab/>
      </w:r>
      <w:r>
        <w:t xml:space="preserve">Die 2 Schleifen des Lernens</w:t>
      </w:r>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Doppelschleifen-Lernen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402841"/>
            <wp:effectExtent b="0" l="0" r="0" t="0"/>
            <wp:docPr descr="Doppelschleifen-Lernen nach Schön, eigene Darstellung" title="" id="109" name="Picture"/>
            <a:graphic>
              <a:graphicData uri="http://schemas.openxmlformats.org/drawingml/2006/picture">
                <pic:pic>
                  <pic:nvPicPr>
                    <pic:cNvPr descr="./images/schoen-doppelschleifen-lernen.png" id="110" name="Picture"/>
                    <pic:cNvPicPr>
                      <a:picLocks noChangeArrowheads="1" noChangeAspect="1"/>
                    </pic:cNvPicPr>
                  </pic:nvPicPr>
                  <pic:blipFill>
                    <a:blip r:embed="rId108"/>
                    <a:stretch>
                      <a:fillRect/>
                    </a:stretch>
                  </pic:blipFill>
                  <pic:spPr bwMode="auto">
                    <a:xfrm>
                      <a:off x="0" y="0"/>
                      <a:ext cx="5334000" cy="1402841"/>
                    </a:xfrm>
                    <a:prstGeom prst="rect">
                      <a:avLst/>
                    </a:prstGeom>
                    <a:noFill/>
                    <a:ln w="9525">
                      <a:noFill/>
                      <a:headEnd/>
                      <a:tailEnd/>
                    </a:ln>
                  </pic:spPr>
                </pic:pic>
              </a:graphicData>
            </a:graphic>
          </wp:inline>
        </w:drawing>
      </w:r>
    </w:p>
    <w:p>
      <w:pPr>
        <w:pStyle w:val="ImageCaption"/>
      </w:pPr>
      <w:r>
        <w:t xml:space="preserve">Doppelschleifen-Lernen nach Schön, eigene Darstellung</w:t>
      </w:r>
    </w:p>
    <w:bookmarkEnd w:id="111"/>
    <w:bookmarkStart w:id="114" w:name="X4d003cea141f55273db7b149bbc6c1b21c1c991"/>
    <w:p>
      <w:pPr>
        <w:pStyle w:val="Heading3"/>
      </w:pPr>
      <w:r>
        <w:rPr>
          <w:rStyle w:val="SectionNumber"/>
        </w:rPr>
        <w:t xml:space="preserve">3.3.2</w:t>
      </w:r>
      <w:r>
        <w:tab/>
      </w:r>
      <w:r>
        <w:t xml:space="preserve">Die 5 Disziplinen der Lernenden Organisation</w:t>
      </w:r>
    </w:p>
    <w:p>
      <w:pPr>
        <w:pStyle w:val="FirstParagraph"/>
      </w:pPr>
      <w:r>
        <w:t xml:space="preserve">Wohl der bekannteste Ansatz für Lernende Organisationen sind die fünf Disziplinen von Peter Senge (s.a.</w:t>
      </w:r>
      <w:r>
        <w:t xml:space="preserve"> </w:t>
      </w:r>
      <w:hyperlink r:id="rId112">
        <w:r>
          <w:rPr>
            <w:rStyle w:val="Hyperlink"/>
          </w:rPr>
          <w:t xml:space="preserve">Peter Senge and the learning organization</w:t>
        </w:r>
      </w:hyperlink>
      <w:r>
        <w:t xml:space="preserve">) aus dem Buch</w:t>
      </w:r>
      <w:r>
        <w:t xml:space="preserve"> </w:t>
      </w:r>
      <w:hyperlink r:id="rId113">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pStyle w:val="Compact"/>
        <w:numPr>
          <w:ilvl w:val="0"/>
          <w:numId w:val="1008"/>
        </w:numPr>
      </w:pPr>
      <w:r>
        <w:rPr>
          <w:b/>
          <w:bCs/>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“Landkarte des Systems”</w:t>
      </w:r>
      <w:r>
        <w:t xml:space="preserve"> </w:t>
      </w:r>
      <w:r>
        <w:t xml:space="preserve">(system map) kann helfen, die Kernelemente des Systems und ihre Verbindungen wahrzunehmen.</w:t>
      </w:r>
    </w:p>
    <w:p>
      <w:pPr>
        <w:pStyle w:val="Compact"/>
        <w:numPr>
          <w:ilvl w:val="0"/>
          <w:numId w:val="1008"/>
        </w:numPr>
      </w:pPr>
      <w:r>
        <w:rPr>
          <w:b/>
          <w:bCs/>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“ankommt”</w:t>
      </w:r>
      <w:r>
        <w:t xml:space="preserve">, sondern sich kontinuierlich weiterentwickelt. Das Ziel ist die Reise des Lernens.</w:t>
      </w:r>
    </w:p>
    <w:p>
      <w:pPr>
        <w:pStyle w:val="Compact"/>
        <w:numPr>
          <w:ilvl w:val="0"/>
          <w:numId w:val="1008"/>
        </w:numPr>
      </w:pPr>
      <w:r>
        <w:rPr>
          <w:b/>
          <w:bCs/>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pStyle w:val="Compact"/>
        <w:numPr>
          <w:ilvl w:val="0"/>
          <w:numId w:val="1008"/>
        </w:numPr>
      </w:pPr>
      <w:r>
        <w:rPr>
          <w:b/>
          <w:bCs/>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pStyle w:val="Compact"/>
        <w:numPr>
          <w:ilvl w:val="0"/>
          <w:numId w:val="1008"/>
        </w:numPr>
      </w:pPr>
      <w:r>
        <w:rPr>
          <w:b/>
          <w:bCs/>
        </w:rPr>
        <w:t xml:space="preserve">Lernen im Team</w:t>
      </w:r>
      <w:r>
        <w:t xml:space="preserve"> </w:t>
      </w:r>
      <w:r>
        <w:t xml:space="preserve">- das Lernen im Team startet mit dem Dialog und dem</w:t>
      </w:r>
      <w:r>
        <w:t xml:space="preserve"> </w:t>
      </w:r>
      <w:r>
        <w:t xml:space="preserve">“gemeinsamen Denken”</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‘good idea’</w:t>
      </w:r>
      <w:r>
        <w:t xml:space="preserve">… until people take a stand for building such organizations. Taking this stand is the first leadership act, the start of inspiring (literally</w:t>
      </w:r>
      <w:r>
        <w:t xml:space="preserve"> </w:t>
      </w:r>
      <w:r>
        <w:t xml:space="preserve">‘to breathe life into’</w:t>
      </w:r>
      <w:r>
        <w:t xml:space="preserve">) the vision of the learning organization.</w:t>
      </w:r>
    </w:p>
    <w:bookmarkEnd w:id="114"/>
    <w:bookmarkStart w:id="116" w:name="X6d019ce7931b0eb6a824fb4fd0cd2e9d95a5497"/>
    <w:p>
      <w:pPr>
        <w:pStyle w:val="Heading3"/>
      </w:pPr>
      <w:r>
        <w:rPr>
          <w:rStyle w:val="SectionNumber"/>
        </w:rPr>
        <w:t xml:space="preserve">3.3.3</w:t>
      </w:r>
      <w:r>
        <w:tab/>
      </w:r>
      <w:r>
        <w:t xml:space="preserve">Die 3 Bausteine der Lernenden Organisation</w:t>
      </w:r>
    </w:p>
    <w:p>
      <w:pPr>
        <w:pStyle w:val="FirstParagraph"/>
      </w:pPr>
      <w:r>
        <w:t xml:space="preserve">Nach der Einschätzung David Garvin und Amy Edmondson (s.a.</w:t>
      </w:r>
      <w:r>
        <w:t xml:space="preserve"> </w:t>
      </w:r>
      <w:hyperlink r:id="rId115">
        <w:r>
          <w:rPr>
            <w:rStyle w:val="Hyperlink"/>
          </w:rPr>
          <w:t xml:space="preserve">Is Your’s a Learning Organization?</w:t>
        </w:r>
      </w:hyperlink>
      <w:r>
        <w:t xml:space="preserve">) sind die fünf Disziplinen von Senge nicht konkret genug, um Handlung in Organisationen zu erzeugen (</w:t>
      </w:r>
      <w:r>
        <w:t xml:space="preserve">“They overemphasized the forest and paid little attention to the trees”</w:t>
      </w:r>
      <w:r>
        <w:t xml:space="preserve">). Aus der Forschung zu Organisation über zwei Jahrzehnte haben sie drei Bausteine (Building Blocks) für die Entwicklung einer Lernenden Organisation identifiziert:</w:t>
      </w:r>
    </w:p>
    <w:p>
      <w:pPr>
        <w:pStyle w:val="Compact"/>
        <w:numPr>
          <w:ilvl w:val="0"/>
          <w:numId w:val="1009"/>
        </w:numPr>
      </w:pPr>
      <w:r>
        <w:rPr>
          <w:b/>
          <w:bCs/>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pStyle w:val="Compact"/>
        <w:numPr>
          <w:ilvl w:val="0"/>
          <w:numId w:val="1009"/>
        </w:numPr>
      </w:pPr>
      <w:r>
        <w:rPr>
          <w:b/>
          <w:bCs/>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pStyle w:val="Compact"/>
        <w:numPr>
          <w:ilvl w:val="0"/>
          <w:numId w:val="1009"/>
        </w:numPr>
      </w:pPr>
      <w:r>
        <w:rPr>
          <w:b/>
          <w:bCs/>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bookmarkEnd w:id="116"/>
    <w:bookmarkStart w:id="118" w:name="die-13-feinde-der-lernenden-organisation"/>
    <w:p>
      <w:pPr>
        <w:pStyle w:val="Heading3"/>
      </w:pPr>
      <w:r>
        <w:rPr>
          <w:rStyle w:val="SectionNumber"/>
        </w:rPr>
        <w:t xml:space="preserve">3.3.4</w:t>
      </w:r>
      <w:r>
        <w:tab/>
      </w:r>
      <w:r>
        <w:t xml:space="preserve">Die 13 Feinde der Lernenden Organisation</w:t>
      </w:r>
    </w:p>
    <w:p>
      <w:pPr>
        <w:pStyle w:val="FirstParagraph"/>
      </w:pPr>
      <w:r>
        <w:t xml:space="preserve">Spricht man über Wissen und Lernen als Erfolgsfaktoren für die Zukunft gibt es meist keine offensichtliche</w:t>
      </w:r>
      <w:r>
        <w:t xml:space="preserve"> </w:t>
      </w:r>
      <w:r>
        <w:t xml:space="preserve">“Feinde”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117">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pStyle w:val="Compact"/>
        <w:numPr>
          <w:ilvl w:val="0"/>
          <w:numId w:val="1010"/>
        </w:numPr>
      </w:pPr>
      <w:r>
        <w:rPr>
          <w:b/>
          <w:bCs/>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pStyle w:val="Compact"/>
        <w:numPr>
          <w:ilvl w:val="0"/>
          <w:numId w:val="1010"/>
        </w:numPr>
      </w:pPr>
      <w:r>
        <w:rPr>
          <w:b/>
          <w:bCs/>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pStyle w:val="Compact"/>
        <w:numPr>
          <w:ilvl w:val="0"/>
          <w:numId w:val="1010"/>
        </w:numPr>
      </w:pPr>
      <w:r>
        <w:rPr>
          <w:b/>
          <w:bCs/>
        </w:rPr>
        <w:t xml:space="preserve">Die anhaltende Ansicht, dass</w:t>
      </w:r>
      <w:r>
        <w:rPr>
          <w:b/>
          <w:bCs/>
        </w:rPr>
        <w:t xml:space="preserve"> </w:t>
      </w:r>
      <w:r>
        <w:rPr>
          <w:b/>
          <w:bCs/>
        </w:rPr>
        <w:t xml:space="preserve">“Wissen Macht ist”</w:t>
      </w:r>
      <w:r>
        <w:rPr>
          <w:b/>
          <w:bCs/>
        </w:rPr>
        <w:t xml:space="preserve">:</w:t>
      </w:r>
      <w:r>
        <w:t xml:space="preserve"> </w:t>
      </w:r>
      <w:r>
        <w:t xml:space="preserve">Interner Wettbewerb fördert in vielen Organisationen das Horten von Wissen; der alleinige Besitz von Wissen wird als Macht und Jobabsicherung betrachtet.</w:t>
      </w:r>
    </w:p>
    <w:p>
      <w:pPr>
        <w:pStyle w:val="Compact"/>
        <w:numPr>
          <w:ilvl w:val="0"/>
          <w:numId w:val="1010"/>
        </w:numPr>
      </w:pPr>
      <w:r>
        <w:rPr>
          <w:b/>
          <w:bCs/>
        </w:rPr>
        <w:t xml:space="preserve">Gleichgültigkeit in Bezug auf Wissensteilung:</w:t>
      </w:r>
      <w:r>
        <w:t xml:space="preserve"> </w:t>
      </w:r>
      <w:r>
        <w:t xml:space="preserve">Die Werte und Verhaltensweisen des Topmanagements können die Bereitschaft der Mitarbeiter zum Teilen wesentlich beeinflussen.</w:t>
      </w:r>
    </w:p>
    <w:p>
      <w:pPr>
        <w:pStyle w:val="Compact"/>
        <w:numPr>
          <w:ilvl w:val="0"/>
          <w:numId w:val="1010"/>
        </w:numPr>
      </w:pPr>
      <w:r>
        <w:rPr>
          <w:b/>
          <w:bCs/>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“Funktionssilos”</w:t>
      </w:r>
      <w:r>
        <w:t xml:space="preserve"> </w:t>
      </w:r>
      <w:r>
        <w:t xml:space="preserve">oft eine Barriere zur Wissensteilung dar.</w:t>
      </w:r>
    </w:p>
    <w:p>
      <w:pPr>
        <w:pStyle w:val="Compact"/>
        <w:numPr>
          <w:ilvl w:val="0"/>
          <w:numId w:val="1010"/>
        </w:numPr>
      </w:pPr>
      <w:r>
        <w:rPr>
          <w:b/>
          <w:bCs/>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pStyle w:val="Compact"/>
        <w:numPr>
          <w:ilvl w:val="0"/>
          <w:numId w:val="1010"/>
        </w:numPr>
      </w:pPr>
      <w:r>
        <w:rPr>
          <w:b/>
          <w:bCs/>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pStyle w:val="Compact"/>
        <w:numPr>
          <w:ilvl w:val="0"/>
          <w:numId w:val="1010"/>
        </w:numPr>
      </w:pPr>
      <w:r>
        <w:rPr>
          <w:b/>
          <w:bCs/>
        </w:rPr>
        <w:t xml:space="preserve">Wissen verbreitet sich mit der Sprache:</w:t>
      </w:r>
      <w:r>
        <w:t xml:space="preserve"> </w:t>
      </w:r>
      <w:r>
        <w:t xml:space="preserve">Ohne eine organisationsweit einheitliche Sprache können Wissen und Erfahrungen nicht kommuniziert werden.</w:t>
      </w:r>
    </w:p>
    <w:p>
      <w:pPr>
        <w:pStyle w:val="Compact"/>
        <w:numPr>
          <w:ilvl w:val="0"/>
          <w:numId w:val="1010"/>
        </w:numPr>
      </w:pPr>
      <w:r>
        <w:rPr>
          <w:b/>
          <w:bCs/>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pStyle w:val="Compact"/>
        <w:numPr>
          <w:ilvl w:val="0"/>
          <w:numId w:val="1010"/>
        </w:numPr>
      </w:pPr>
      <w:r>
        <w:rPr>
          <w:b/>
          <w:bCs/>
        </w:rPr>
        <w:t xml:space="preserve">Organisationaler</w:t>
      </w:r>
      <w:r>
        <w:rPr>
          <w:b/>
          <w:bCs/>
        </w:rPr>
        <w:t xml:space="preserve"> </w:t>
      </w:r>
      <w:r>
        <w:rPr>
          <w:b/>
          <w:bCs/>
        </w:rPr>
        <w:t xml:space="preserve">“Gedächtnisverlust”</w:t>
      </w:r>
      <w:r>
        <w:rPr>
          <w:b/>
          <w:bCs/>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pStyle w:val="Compact"/>
        <w:numPr>
          <w:ilvl w:val="0"/>
          <w:numId w:val="1010"/>
        </w:numPr>
      </w:pPr>
      <w:r>
        <w:rPr>
          <w:b/>
          <w:bCs/>
        </w:rPr>
        <w:t xml:space="preserve">Anstieg der</w:t>
      </w:r>
      <w:r>
        <w:rPr>
          <w:b/>
          <w:bCs/>
        </w:rPr>
        <w:t xml:space="preserve"> </w:t>
      </w:r>
      <w:r>
        <w:rPr>
          <w:b/>
          <w:bCs/>
        </w:rPr>
        <w:t xml:space="preserve">“virtuellen”</w:t>
      </w:r>
      <w:r>
        <w:rPr>
          <w:b/>
          <w:bCs/>
        </w:rPr>
        <w:t xml:space="preserve"> </w:t>
      </w:r>
      <w:r>
        <w:rPr>
          <w:b/>
          <w:bCs/>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pStyle w:val="Compact"/>
        <w:numPr>
          <w:ilvl w:val="0"/>
          <w:numId w:val="1010"/>
        </w:numPr>
      </w:pPr>
      <w:r>
        <w:rPr>
          <w:b/>
          <w:bCs/>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pStyle w:val="Compact"/>
        <w:numPr>
          <w:ilvl w:val="0"/>
          <w:numId w:val="1010"/>
        </w:numPr>
      </w:pPr>
      <w:r>
        <w:rPr>
          <w:b/>
          <w:bCs/>
        </w:rPr>
        <w:t xml:space="preserve">Wissen wächst nicht ewig:</w:t>
      </w:r>
      <w:r>
        <w:t xml:space="preserve"> </w:t>
      </w:r>
      <w:r>
        <w:t xml:space="preserve">Das Verlernen und das Ablassen von alten Denkgewohnheiten, ja sogar das Ausscheiden ganzer Wissensbestände, tragen zur Vitalität und Evolution von Wissen bei.</w:t>
      </w:r>
    </w:p>
    <w:bookmarkEnd w:id="118"/>
    <w:bookmarkStart w:id="124" w:name="X3a1a133f29c9f22b53e6e4bcf8a643471ea2b57"/>
    <w:p>
      <w:pPr>
        <w:pStyle w:val="Heading3"/>
      </w:pPr>
      <w:r>
        <w:rPr>
          <w:rStyle w:val="SectionNumber"/>
        </w:rPr>
        <w:t xml:space="preserve">3.3.5</w:t>
      </w:r>
      <w:r>
        <w:tab/>
      </w:r>
      <w:r>
        <w:t xml:space="preserve">Die ISO 30401:2018 als Standard für die Lernende Organisation</w:t>
      </w:r>
    </w:p>
    <w:p>
      <w:pPr>
        <w:pStyle w:val="FirstParagraph"/>
      </w:pPr>
      <w:r>
        <w:t xml:space="preserve">Der Standard</w:t>
      </w:r>
      <w:r>
        <w:t xml:space="preserve"> </w:t>
      </w:r>
      <w:hyperlink r:id="rId119">
        <w:r>
          <w:rPr>
            <w:rStyle w:val="Hyperlink"/>
          </w:rPr>
          <w:t xml:space="preserve">ISO 30401:2018</w:t>
        </w:r>
      </w:hyperlink>
      <w:r>
        <w:t xml:space="preserve"> </w:t>
      </w:r>
      <w:r>
        <w:t xml:space="preserve">wurde vom Technische Kommittee 260</w:t>
      </w:r>
      <w:r>
        <w:t xml:space="preserve"> </w:t>
      </w:r>
      <w:r>
        <w:t xml:space="preserve">“Human Resource Management”</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pStyle w:val="Compact"/>
        <w:numPr>
          <w:ilvl w:val="0"/>
          <w:numId w:val="1011"/>
        </w:numPr>
      </w:pPr>
      <w:r>
        <w:t xml:space="preserve">Wissen ist immateriell, komplex und wird von Menschen geschaffen</w:t>
      </w:r>
    </w:p>
    <w:p>
      <w:pPr>
        <w:pStyle w:val="Compact"/>
        <w:numPr>
          <w:ilvl w:val="0"/>
          <w:numId w:val="1011"/>
        </w:numPr>
      </w:pPr>
      <w:r>
        <w:t xml:space="preserve">Wissen ist die wichtigste Quelle der Wertschöpfung für Organisationen, um ihre Ziele zu erreichen</w:t>
      </w:r>
    </w:p>
    <w:p>
      <w:pPr>
        <w:pStyle w:val="Compact"/>
        <w:numPr>
          <w:ilvl w:val="0"/>
          <w:numId w:val="1011"/>
        </w:numPr>
      </w:pPr>
      <w:r>
        <w:t xml:space="preserve">Wissensmanagement dient organisationalen Zielen, Strategien und Bedürfnissen.</w:t>
      </w:r>
    </w:p>
    <w:p>
      <w:pPr>
        <w:pStyle w:val="Compact"/>
        <w:numPr>
          <w:ilvl w:val="0"/>
          <w:numId w:val="1011"/>
        </w:numPr>
      </w:pPr>
      <w:r>
        <w:t xml:space="preserve">Es gibt keine One-Size-Fits-All-Lösung. Organisationen müssen ihren eigenen Ansatz entwickeln.</w:t>
      </w:r>
    </w:p>
    <w:p>
      <w:pPr>
        <w:pStyle w:val="Compact"/>
        <w:numPr>
          <w:ilvl w:val="0"/>
          <w:numId w:val="1011"/>
        </w:numPr>
      </w:pPr>
      <w:r>
        <w:t xml:space="preserve">Menschen schaffen ihr eigenes Wissen durch das persönliche Verständnis von Informationen und Ereignissen. Gemeinsames Verständnis kann durch Interaktion zwischen Menschen im physischen und virtuellen Raum gefördert werden.</w:t>
      </w:r>
    </w:p>
    <w:p>
      <w:pPr>
        <w:pStyle w:val="Compact"/>
        <w:numPr>
          <w:ilvl w:val="0"/>
          <w:numId w:val="1011"/>
        </w:numPr>
      </w:pPr>
      <w:r>
        <w:t xml:space="preserve">Wissen kann man nicht direkt managen. Wissensmanagement fokussiert auf die Schaffung förderlicher Rahmenbedingungen (Arbeitsumgebung), die Einfluss auf den Lebenszyklus des Wissens haben.</w:t>
      </w:r>
    </w:p>
    <w:p>
      <w:pPr>
        <w:pStyle w:val="Compact"/>
        <w:numPr>
          <w:ilvl w:val="0"/>
          <w:numId w:val="1011"/>
        </w:numPr>
      </w:pPr>
      <w:r>
        <w:t xml:space="preserve">Die Kultur der Organisation ist ein kritischer Faktor für die Effektivität des Wissensmanagements.</w:t>
      </w:r>
    </w:p>
    <w:p>
      <w:pPr>
        <w:pStyle w:val="Compact"/>
        <w:numPr>
          <w:ilvl w:val="0"/>
          <w:numId w:val="1011"/>
        </w:numPr>
      </w:pPr>
      <w:r>
        <w:t xml:space="preserve">Wissensmanagement sollte in Iterationen mit Lern- und Feedbackschleifen organisiert sein.</w:t>
      </w:r>
    </w:p>
    <w:p>
      <w:pPr>
        <w:pStyle w:val="FirstParagraph"/>
      </w:pPr>
      <w:r>
        <w:rPr>
          <w:b/>
          <w:bCs/>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120">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CaptionedFigure"/>
      </w:pPr>
      <w:r>
        <w:drawing>
          <wp:inline>
            <wp:extent cx="5334000" cy="3698378"/>
            <wp:effectExtent b="0" l="0" r="0" t="0"/>
            <wp:docPr descr="KM Chef’s Canvas 1.0 (CC BY NC ND)" title="" id="122" name="Picture"/>
            <a:graphic>
              <a:graphicData uri="http://schemas.openxmlformats.org/drawingml/2006/picture">
                <pic:pic>
                  <pic:nvPicPr>
                    <pic:cNvPr descr="./images/km-chefs-canvas-v10.jpg" id="123" name="Picture"/>
                    <pic:cNvPicPr>
                      <a:picLocks noChangeArrowheads="1" noChangeAspect="1"/>
                    </pic:cNvPicPr>
                  </pic:nvPicPr>
                  <pic:blipFill>
                    <a:blip r:embed="rId121"/>
                    <a:stretch>
                      <a:fillRect/>
                    </a:stretch>
                  </pic:blipFill>
                  <pic:spPr bwMode="auto">
                    <a:xfrm>
                      <a:off x="0" y="0"/>
                      <a:ext cx="5334000" cy="3698378"/>
                    </a:xfrm>
                    <a:prstGeom prst="rect">
                      <a:avLst/>
                    </a:prstGeom>
                    <a:noFill/>
                    <a:ln w="9525">
                      <a:noFill/>
                      <a:headEnd/>
                      <a:tailEnd/>
                    </a:ln>
                  </pic:spPr>
                </pic:pic>
              </a:graphicData>
            </a:graphic>
          </wp:inline>
        </w:drawing>
      </w:r>
    </w:p>
    <w:p>
      <w:pPr>
        <w:pStyle w:val="ImageCaption"/>
      </w:pPr>
      <w:r>
        <w:t xml:space="preserve">KM Chef’s Canvas 1.0 (CC BY NC ND)</w:t>
      </w:r>
    </w:p>
    <w:p>
      <w:pPr>
        <w:pStyle w:val="BodyText"/>
      </w:pPr>
      <w:r>
        <w:rPr>
          <w:b/>
          <w:bCs/>
        </w:rPr>
        <w:t xml:space="preserve">Hinweis:</w:t>
      </w:r>
      <w:r>
        <w:t xml:space="preserve"> </w:t>
      </w:r>
      <w:r>
        <w:t xml:space="preserve">Mit dem Durchlaufen des Lernpfades in diesem Leitfaden entwickelt man einen Ansatz der Lernenden Organisation, der alle Anforderungen der ISO 30401:2018 erfüllt.</w:t>
      </w:r>
    </w:p>
    <w:bookmarkEnd w:id="124"/>
    <w:bookmarkStart w:id="130" w:name="der-lernos-canvas-für-organisationen"/>
    <w:p>
      <w:pPr>
        <w:pStyle w:val="Heading3"/>
      </w:pPr>
      <w:r>
        <w:rPr>
          <w:rStyle w:val="SectionNumber"/>
        </w:rPr>
        <w:t xml:space="preserve">3.3.6</w:t>
      </w:r>
      <w:r>
        <w:tab/>
      </w:r>
      <w:r>
        <w:t xml:space="preserve">Der lernOS Canvas für Organisationen</w:t>
      </w:r>
    </w:p>
    <w:p>
      <w:pPr>
        <w:pStyle w:val="FirstParagraph"/>
      </w:pPr>
      <w:r>
        <w:t xml:space="preserve">Der lernOS Canvas hilft, das</w:t>
      </w:r>
      <w:r>
        <w:t xml:space="preserve"> </w:t>
      </w:r>
      <w:r>
        <w:t xml:space="preserve">“Systemdenken”</w:t>
      </w:r>
      <w:r>
        <w:t xml:space="preserve"> </w:t>
      </w:r>
      <w:r>
        <w:t xml:space="preserve">über die eigene Organisation zu entwickeln. Mit ihm können die wichtigsten Elemente des</w:t>
      </w:r>
      <w:r>
        <w:t xml:space="preserve"> </w:t>
      </w:r>
      <w:r>
        <w:t xml:space="preserve">“Lernenden Systems”</w:t>
      </w:r>
      <w:r>
        <w:t xml:space="preserve"> </w:t>
      </w:r>
      <w:r>
        <w:t xml:space="preserve">der eigenen Organisation identifiziert, Verbesserungspotentiale benannt und bewertet werden.</w:t>
      </w:r>
    </w:p>
    <w:p>
      <w:pPr>
        <w:pStyle w:val="BodyText"/>
      </w:pPr>
      <w:r>
        <w:t xml:space="preserve">Wie auch beim</w:t>
      </w:r>
      <w:r>
        <w:t xml:space="preserve"> </w:t>
      </w:r>
      <w:hyperlink r:id="rId125">
        <w:r>
          <w:rPr>
            <w:rStyle w:val="Hyperlink"/>
          </w:rPr>
          <w:t xml:space="preserve">Business Model Canvas</w:t>
        </w:r>
      </w:hyperlink>
      <w:r>
        <w:t xml:space="preserve"> </w:t>
      </w:r>
      <w:r>
        <w:t xml:space="preserve">von Alexander Osterwald dient der lernOS Canvas als Arbeitsinstrument, um am Whiteboard (physisch oder digital) mit einer Gruppe von Personen über die einzelnen Felder des Canvas reden zu können. Sind Systemelemente identifiziert, können diese als Haftnotiz in den Canvas geklebt werden. Man sollte nie auf den Canvas schreiben, da das den Prozess unflexibel macht.</w:t>
      </w:r>
    </w:p>
    <w:p>
      <w:pPr>
        <w:pStyle w:val="CaptionedFigure"/>
      </w:pPr>
      <w:r>
        <w:drawing>
          <wp:inline>
            <wp:extent cx="5334000" cy="3770900"/>
            <wp:effectExtent b="0" l="0" r="0" t="0"/>
            <wp:docPr descr="lernOS Canvas für Organisationen" title="" id="127" name="Picture"/>
            <a:graphic>
              <a:graphicData uri="http://schemas.openxmlformats.org/drawingml/2006/picture">
                <pic:pic>
                  <pic:nvPicPr>
                    <pic:cNvPr descr="./images/lernOS-Canvas-for-Organizations-de.png" id="128" name="Picture"/>
                    <pic:cNvPicPr>
                      <a:picLocks noChangeArrowheads="1" noChangeAspect="1"/>
                    </pic:cNvPicPr>
                  </pic:nvPicPr>
                  <pic:blipFill>
                    <a:blip r:embed="rId126"/>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pStyle w:val="BodyText"/>
      </w:pPr>
      <w:r>
        <w:t xml:space="preserve">Mit zwei verschiedenen Farben von Haftnotizen kann der Ist-Zustand und das Verbesserungspotential nebeneinander dargestellt werden. Es können z.B. gelbe Haftnotizen für den Ist-Zustand und orange Haftnotizen für mögliche Initiativen zur Verbesserung. Ist die Sammlung der Elemente in allen Bereichen abgeschlossen, können diese mit Punkten bewertet werden, um die wichtigsten Handlungsfelder zu identifizieren.</w:t>
      </w:r>
    </w:p>
    <w:p>
      <w:pPr>
        <w:pStyle w:val="BodyText"/>
      </w:pPr>
      <w:r>
        <w:t xml:space="preserve">Der lernOS Canvas für Organisationen besteht aus vier Bereichen. Zentrales Elemente ist der Zweck oder der Organisation, also was die Organisation wirklich, wirklich will. Die vier quadratischen Kästen im linken Teil stellen dar, wer in der Organisation wie handelt (Hierarchie, Prozesse, Netzwerke, Communities) und was für die Ausführung der Handlungen benötigt wird (Menschen, Fähigkeiten, Technik, Infrastruktur).</w:t>
      </w:r>
    </w:p>
    <w:p>
      <w:pPr>
        <w:pStyle w:val="BodyText"/>
      </w:pPr>
      <w:r>
        <w:t xml:space="preserve">In den vier Kästen im rechten Teil wird abgebildet, für wen was gemacht wird (Kunden, Zielgruppen, Produkte, Ergebnisse), in welche Richtung die Reise gehen soll (Vision, Strategie, Ziele) und welche kulturellen Rahmenbedingungen zu beachten sind (Kultur, Werte).</w:t>
      </w:r>
    </w:p>
    <w:p>
      <w:pPr>
        <w:pStyle w:val="BodyText"/>
      </w:pPr>
      <w:r>
        <w:t xml:space="preserve">Im unteren Bereich des Canvas befindet sich jeweils ein Rechteck für Potentiale (Stärken, Kapital) und Risikofaktoren (Schwächen, Risiken). Mit dem Begriff Kapital ist dabei nicht nur das finanzielle Kapital, sondern auch das</w:t>
      </w:r>
      <w:r>
        <w:t xml:space="preserve"> </w:t>
      </w:r>
      <w:hyperlink r:id="rId129">
        <w:r>
          <w:rPr>
            <w:rStyle w:val="Hyperlink"/>
          </w:rPr>
          <w:t xml:space="preserve">intellektuelle Kapital</w:t>
        </w:r>
      </w:hyperlink>
      <w:r>
        <w:t xml:space="preserve"> </w:t>
      </w:r>
      <w:r>
        <w:t xml:space="preserve">der Organisation gemeint.</w:t>
      </w:r>
    </w:p>
    <w:p>
      <w:pPr>
        <w:pStyle w:val="BodyText"/>
      </w:pPr>
      <w:r>
        <w:rPr>
          <w:b/>
          <w:bCs/>
        </w:rPr>
        <w:t xml:space="preserve">ProTip:</w:t>
      </w:r>
      <w:r>
        <w:t xml:space="preserve"> </w:t>
      </w:r>
      <w:r>
        <w:t xml:space="preserve">die Grafik des lernOS Canvas kann für die virtuelle Zusammenarbeit ganz einfach in digitale Whiteboards wie z.B. Microsoft Whiteboard, Mural, Miro oder Conceptboard kopiert werden.</w:t>
      </w:r>
    </w:p>
    <w:bookmarkEnd w:id="130"/>
    <w:bookmarkEnd w:id="131"/>
    <w:bookmarkStart w:id="149" w:name="eine-lernende-organisation-kultivieren"/>
    <w:p>
      <w:pPr>
        <w:pStyle w:val="Heading2"/>
      </w:pPr>
      <w:r>
        <w:rPr>
          <w:rStyle w:val="SectionNumber"/>
        </w:rPr>
        <w:t xml:space="preserve">3.4</w:t>
      </w:r>
      <w:r>
        <w:tab/>
      </w:r>
      <w:r>
        <w:t xml:space="preserve">Eine Lernende Organisation kultivieren</w:t>
      </w:r>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“einführen”</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“Kultivierung der Lernenden Organisation”</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pStyle w:val="Compact"/>
        <w:numPr>
          <w:ilvl w:val="0"/>
          <w:numId w:val="1012"/>
        </w:numPr>
      </w:pPr>
      <w:r>
        <w:rPr>
          <w:b/>
          <w:bCs/>
        </w:rPr>
        <w:t xml:space="preserve">Koalition des Lernens:</w:t>
      </w:r>
      <w:r>
        <w:t xml:space="preserve"> </w:t>
      </w:r>
      <w:r>
        <w:t xml:space="preserve">Die</w:t>
      </w:r>
      <w:r>
        <w:t xml:space="preserve"> </w:t>
      </w:r>
      <w:r>
        <w:t xml:space="preserve">“Guiding Coalition”</w:t>
      </w:r>
      <w:r>
        <w:t xml:space="preserve"> </w:t>
      </w:r>
      <w:r>
        <w:t xml:space="preserve">nach Kotter als zentralem Akteur, bestehend aus einer Gruppe von Personen, die das Leitbild der Lernenden Organisation als</w:t>
      </w:r>
      <w:r>
        <w:t xml:space="preserve"> </w:t>
      </w:r>
      <w:r>
        <w:t xml:space="preserve">“Nordstern”</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pStyle w:val="Compact"/>
        <w:numPr>
          <w:ilvl w:val="0"/>
          <w:numId w:val="1012"/>
        </w:numPr>
      </w:pPr>
      <w:r>
        <w:rPr>
          <w:b/>
          <w:bCs/>
        </w:rPr>
        <w:t xml:space="preserve">Open Space des Lernens:</w:t>
      </w:r>
      <w:r>
        <w:t xml:space="preserve"> </w:t>
      </w:r>
      <w:r>
        <w:t xml:space="preserve">Das bewährte</w:t>
      </w:r>
      <w:r>
        <w:t xml:space="preserve"> </w:t>
      </w:r>
      <w:hyperlink r:id="rId132">
        <w:r>
          <w:rPr>
            <w:rStyle w:val="Hyperlink"/>
          </w:rPr>
          <w:t xml:space="preserve">Open Space Format</w:t>
        </w:r>
      </w:hyperlink>
      <w:r>
        <w:t xml:space="preserve"> </w:t>
      </w:r>
      <w:r>
        <w:t xml:space="preserve">von Harrison Owen hat Daniel Mezick unter dem Namen</w:t>
      </w:r>
      <w:r>
        <w:t xml:space="preserve"> </w:t>
      </w:r>
      <w:hyperlink r:id="rId133">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bookmarkStart w:id="137" w:name="koalition-des-lernens-kdl"/>
    <w:p>
      <w:pPr>
        <w:pStyle w:val="Heading3"/>
      </w:pPr>
      <w:r>
        <w:rPr>
          <w:rStyle w:val="SectionNumber"/>
        </w:rPr>
        <w:t xml:space="preserve">3.4.1</w:t>
      </w:r>
      <w:r>
        <w:tab/>
      </w:r>
      <w:r>
        <w:t xml:space="preserve">Koalition des Lernens (KdL)</w:t>
      </w:r>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“Kästchen im Organigramm”</w:t>
      </w:r>
      <w:r>
        <w:t xml:space="preserve"> </w:t>
      </w:r>
      <w:r>
        <w:t xml:space="preserve">verortet, sondern bildet den Kern der Netzwerkstruktur der Organisation (Wie bei Kotter die</w:t>
      </w:r>
      <w:r>
        <w:t xml:space="preserve"> </w:t>
      </w:r>
      <w:r>
        <w:t xml:space="preserve">“Guiding Coalition”</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3672289" cy="1876539"/>
            <wp:effectExtent b="0" l="0" r="0" t="0"/>
            <wp:docPr descr="Koalition des Lernens in Anlehnung an Kotters Guiding Coalition" title="" id="135" name="Picture"/>
            <a:graphic>
              <a:graphicData uri="http://schemas.openxmlformats.org/drawingml/2006/picture">
                <pic:pic>
                  <pic:nvPicPr>
                    <pic:cNvPr descr="./images/koalition-des-lernens.png" id="136" name="Picture"/>
                    <pic:cNvPicPr>
                      <a:picLocks noChangeArrowheads="1" noChangeAspect="1"/>
                    </pic:cNvPicPr>
                  </pic:nvPicPr>
                  <pic:blipFill>
                    <a:blip r:embed="rId134"/>
                    <a:stretch>
                      <a:fillRect/>
                    </a:stretch>
                  </pic:blipFill>
                  <pic:spPr bwMode="auto">
                    <a:xfrm>
                      <a:off x="0" y="0"/>
                      <a:ext cx="3672289" cy="1876539"/>
                    </a:xfrm>
                    <a:prstGeom prst="rect">
                      <a:avLst/>
                    </a:prstGeom>
                    <a:noFill/>
                    <a:ln w="9525">
                      <a:noFill/>
                      <a:headEnd/>
                      <a:tailEnd/>
                    </a:ln>
                  </pic:spPr>
                </pic:pic>
              </a:graphicData>
            </a:graphic>
          </wp:inline>
        </w:drawing>
      </w:r>
    </w:p>
    <w:p>
      <w:pPr>
        <w:pStyle w:val="ImageCaption"/>
      </w:pPr>
      <w:r>
        <w:t xml:space="preserve">Koalition des Lernens in Anlehnung an Kotters Guiding Coalition</w:t>
      </w:r>
    </w:p>
    <w:p>
      <w:pPr>
        <w:pStyle w:val="BodyText"/>
      </w:pPr>
      <w:r>
        <w:rPr>
          <w:b/>
          <w:bCs/>
        </w:rPr>
        <w:t xml:space="preserve">Eigenschaften der Koalition des Lernens:</w:t>
      </w:r>
    </w:p>
    <w:p>
      <w:pPr>
        <w:pStyle w:val="Compact"/>
        <w:numPr>
          <w:ilvl w:val="0"/>
          <w:numId w:val="1013"/>
        </w:numPr>
      </w:pPr>
      <w:r>
        <w:t xml:space="preserve">Besteht aus Menschen aus allen Bereichen und Ebenen der Organisation, die das Gefühl der Dringlichkeit zutiefst verspüren.</w:t>
      </w:r>
    </w:p>
    <w:p>
      <w:pPr>
        <w:pStyle w:val="Compact"/>
        <w:numPr>
          <w:ilvl w:val="0"/>
          <w:numId w:val="1013"/>
        </w:numPr>
      </w:pPr>
      <w:r>
        <w:t xml:space="preserve">Die Menschen in der Koalition des Lernens wollen Führung übernehmen, Change Agents sein und anderen helfen, das gleiche zu tun.</w:t>
      </w:r>
    </w:p>
    <w:p>
      <w:pPr>
        <w:pStyle w:val="Compact"/>
        <w:numPr>
          <w:ilvl w:val="0"/>
          <w:numId w:val="1013"/>
        </w:numPr>
      </w:pPr>
      <w:r>
        <w:t xml:space="preserve">Die Kerngruppe der Koalition des Lernens hat den</w:t>
      </w:r>
      <w:r>
        <w:t xml:space="preserve"> </w:t>
      </w:r>
      <w:r>
        <w:t xml:space="preserve">“Drive”</w:t>
      </w:r>
      <w:r>
        <w:t xml:space="preserve">, das intellektuelle und emotionale Engagement, das Netzwerk, die Fähigkeiten und die Informationen, um eine effektive</w:t>
      </w:r>
      <w:r>
        <w:t xml:space="preserve"> </w:t>
      </w:r>
      <w:r>
        <w:t xml:space="preserve">“Sonne im Sonnensystem des Netzwerks”</w:t>
      </w:r>
      <w:r>
        <w:t xml:space="preserve"> </w:t>
      </w:r>
      <w:r>
        <w:t xml:space="preserve">zu sein.</w:t>
      </w:r>
    </w:p>
    <w:p>
      <w:pPr>
        <w:pStyle w:val="Compact"/>
        <w:numPr>
          <w:ilvl w:val="0"/>
          <w:numId w:val="1013"/>
        </w:numPr>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
          <w:bCs/>
        </w:rPr>
        <w:t xml:space="preserve">Die wichtigsten Aufgaben der Koalition des Lernens:</w:t>
      </w:r>
    </w:p>
    <w:p>
      <w:pPr>
        <w:pStyle w:val="Compact"/>
        <w:numPr>
          <w:ilvl w:val="0"/>
          <w:numId w:val="1014"/>
        </w:numPr>
      </w:pPr>
      <w:r>
        <w:t xml:space="preserve">Die Vision der Lernenden Organisation als</w:t>
      </w:r>
      <w:r>
        <w:t xml:space="preserve"> </w:t>
      </w:r>
      <w:r>
        <w:t xml:space="preserve">“Nordstern”</w:t>
      </w:r>
      <w:r>
        <w:t xml:space="preserve"> </w:t>
      </w:r>
      <w:r>
        <w:t xml:space="preserve">und die große Chance, die für die Organisation darin liegt klar herausarbeiten, dokumentieren und kommunizieren.</w:t>
      </w:r>
    </w:p>
    <w:p>
      <w:pPr>
        <w:pStyle w:val="Compact"/>
        <w:numPr>
          <w:ilvl w:val="0"/>
          <w:numId w:val="1014"/>
        </w:numPr>
      </w:pPr>
      <w:r>
        <w:t xml:space="preserve">Einen Sponsor für die Vision der Lernenden Organisation auf oberster Leitungsebene finden und mit diesem im regelmäßigen Austausch sein</w:t>
      </w:r>
    </w:p>
    <w:p>
      <w:pPr>
        <w:pStyle w:val="Compact"/>
        <w:numPr>
          <w:ilvl w:val="0"/>
          <w:numId w:val="1014"/>
        </w:numPr>
      </w:pPr>
      <w:r>
        <w:t xml:space="preserve">Initiativen identifizieren und sich mit diesen vernetzen, die an der Kultivierung der Lernenden Organisation mitwirken. Bei Bedarf (und verfügbarer Ressource) neue Initiativen starten.</w:t>
      </w:r>
    </w:p>
    <w:p>
      <w:pPr>
        <w:pStyle w:val="Compact"/>
        <w:numPr>
          <w:ilvl w:val="0"/>
          <w:numId w:val="1014"/>
        </w:numPr>
      </w:pPr>
      <w:r>
        <w:t xml:space="preserve">Eine</w:t>
      </w:r>
      <w:r>
        <w:t xml:space="preserve"> </w:t>
      </w:r>
      <w:r>
        <w:t xml:space="preserve">“Armee von Freiwilligen”</w:t>
      </w:r>
      <w:r>
        <w:t xml:space="preserve"> </w:t>
      </w:r>
      <w:r>
        <w:t xml:space="preserve">auf- und ausbauen, die die Kultivierung der Lernenden Organisation sowie die Initiativen und Lern-Experimente unterstützt.</w:t>
      </w:r>
    </w:p>
    <w:p>
      <w:pPr>
        <w:pStyle w:val="Compact"/>
        <w:numPr>
          <w:ilvl w:val="0"/>
          <w:numId w:val="1014"/>
        </w:numPr>
      </w:pPr>
      <w:r>
        <w:t xml:space="preserve">Den Open Space des Lernens organisieren und die Lern-Experimente nachverfolgen.</w:t>
      </w:r>
    </w:p>
    <w:p>
      <w:pPr>
        <w:pStyle w:val="Compact"/>
        <w:numPr>
          <w:ilvl w:val="0"/>
          <w:numId w:val="1014"/>
        </w:numPr>
      </w:pPr>
      <w:r>
        <w:t xml:space="preserve">Kontinuierlich nach neuen Mitgliedern für die Koalition des Lernens Ausschau halten und diese einbinden.</w:t>
      </w:r>
    </w:p>
    <w:p>
      <w:pPr>
        <w:pStyle w:val="Compact"/>
        <w:numPr>
          <w:ilvl w:val="0"/>
          <w:numId w:val="1014"/>
        </w:numPr>
      </w:pPr>
      <w:r>
        <w:t xml:space="preserve">Erfolge und Geschichten sichtbar machen, kommunizieren und in den Kontext der Lernenden Organisation stellen (nach innen und nach außen).</w:t>
      </w:r>
    </w:p>
    <w:bookmarkEnd w:id="137"/>
    <w:bookmarkStart w:id="142" w:name="open-space-des-lernens-osdl"/>
    <w:p>
      <w:pPr>
        <w:pStyle w:val="Heading3"/>
      </w:pPr>
      <w:r>
        <w:rPr>
          <w:rStyle w:val="SectionNumber"/>
        </w:rPr>
        <w:t xml:space="preserve">3.4.2</w:t>
      </w:r>
      <w:r>
        <w:tab/>
      </w:r>
      <w:r>
        <w:t xml:space="preserve">Open Space des Lernens (OSdL)</w:t>
      </w:r>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pStyle w:val="Compact"/>
        <w:numPr>
          <w:ilvl w:val="0"/>
          <w:numId w:val="1015"/>
        </w:numPr>
      </w:pPr>
      <w:r>
        <w:t xml:space="preserve">Ein fesselndes Thema oder Motto</w:t>
      </w:r>
    </w:p>
    <w:p>
      <w:pPr>
        <w:pStyle w:val="Compact"/>
        <w:numPr>
          <w:ilvl w:val="0"/>
          <w:numId w:val="1015"/>
        </w:numPr>
      </w:pPr>
      <w:r>
        <w:t xml:space="preserve">Eine interessierte und überzeugte Gruppe von Menschen</w:t>
      </w:r>
    </w:p>
    <w:p>
      <w:pPr>
        <w:pStyle w:val="Compact"/>
        <w:numPr>
          <w:ilvl w:val="0"/>
          <w:numId w:val="1015"/>
        </w:numPr>
      </w:pPr>
      <w:r>
        <w:t xml:space="preserve">Ort und Zeit für die Veranstaltung</w:t>
      </w:r>
    </w:p>
    <w:p>
      <w:pPr>
        <w:pStyle w:val="Compact"/>
        <w:numPr>
          <w:ilvl w:val="0"/>
          <w:numId w:val="1015"/>
        </w:numPr>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pStyle w:val="Compact"/>
        <w:numPr>
          <w:ilvl w:val="0"/>
          <w:numId w:val="1016"/>
        </w:numPr>
      </w:pPr>
      <w:r>
        <w:rPr>
          <w:b/>
          <w:bCs/>
        </w:rPr>
        <w:t xml:space="preserve">Prinzip 1:</w:t>
      </w:r>
      <w:r>
        <w:t xml:space="preserve"> </w:t>
      </w:r>
      <w:r>
        <w:t xml:space="preserve">Wer auch immer kommt, es sind die richtigen Leute</w:t>
      </w:r>
    </w:p>
    <w:p>
      <w:pPr>
        <w:pStyle w:val="Compact"/>
        <w:numPr>
          <w:ilvl w:val="0"/>
          <w:numId w:val="1016"/>
        </w:numPr>
      </w:pPr>
      <w:r>
        <w:rPr>
          <w:b/>
          <w:bCs/>
        </w:rPr>
        <w:t xml:space="preserve">Prinzip 2:</w:t>
      </w:r>
      <w:r>
        <w:t xml:space="preserve"> </w:t>
      </w:r>
      <w:r>
        <w:t xml:space="preserve">Was auch immer geschieht, es ist das Einzige, was geschehen konnte.</w:t>
      </w:r>
    </w:p>
    <w:p>
      <w:pPr>
        <w:pStyle w:val="Compact"/>
        <w:numPr>
          <w:ilvl w:val="0"/>
          <w:numId w:val="1016"/>
        </w:numPr>
      </w:pPr>
      <w:r>
        <w:rPr>
          <w:b/>
          <w:bCs/>
        </w:rPr>
        <w:t xml:space="preserve">Prinzip 3:</w:t>
      </w:r>
      <w:r>
        <w:t xml:space="preserve"> </w:t>
      </w:r>
      <w:r>
        <w:t xml:space="preserve">Es beginnt, wenn die Zeit reif ist.</w:t>
      </w:r>
    </w:p>
    <w:p>
      <w:pPr>
        <w:pStyle w:val="Compact"/>
        <w:numPr>
          <w:ilvl w:val="0"/>
          <w:numId w:val="1016"/>
        </w:numPr>
      </w:pPr>
      <w:r>
        <w:rPr>
          <w:b/>
          <w:bCs/>
        </w:rPr>
        <w:t xml:space="preserve">Prinzip 4:</w:t>
      </w:r>
      <w:r>
        <w:t xml:space="preserve"> </w:t>
      </w:r>
      <w:r>
        <w:t xml:space="preserve">Vorbei ist vorbei - nicht vorbei ist nicht vorbei.</w:t>
      </w:r>
    </w:p>
    <w:p>
      <w:pPr>
        <w:pStyle w:val="Compact"/>
        <w:numPr>
          <w:ilvl w:val="0"/>
          <w:numId w:val="1016"/>
        </w:numPr>
      </w:pPr>
      <w:r>
        <w:rPr>
          <w:b/>
          <w:bCs/>
        </w:rPr>
        <w:t xml:space="preserve">Prinzip 5:</w:t>
      </w:r>
      <w:r>
        <w:t xml:space="preserve"> </w:t>
      </w:r>
      <w:r>
        <w:t xml:space="preserve">Wo auch immer es geschieht, es ist der richtige Ort.</w:t>
      </w:r>
    </w:p>
    <w:p>
      <w:pPr>
        <w:pStyle w:val="Compact"/>
        <w:numPr>
          <w:ilvl w:val="0"/>
          <w:numId w:val="1016"/>
        </w:numPr>
      </w:pPr>
      <w:r>
        <w:rPr>
          <w:b/>
          <w:bCs/>
        </w:rPr>
        <w:t xml:space="preserve">Gesetz:</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pStyle w:val="Compact"/>
        <w:numPr>
          <w:ilvl w:val="0"/>
          <w:numId w:val="1016"/>
        </w:numPr>
      </w:pPr>
      <w:r>
        <w:rPr>
          <w:b/>
          <w:bCs/>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pStyle w:val="Compact"/>
        <w:numPr>
          <w:ilvl w:val="0"/>
          <w:numId w:val="1017"/>
        </w:numPr>
      </w:pPr>
      <w:r>
        <w:rPr>
          <w:b/>
          <w:bCs/>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pStyle w:val="Compact"/>
        <w:numPr>
          <w:ilvl w:val="0"/>
          <w:numId w:val="1017"/>
        </w:numPr>
      </w:pPr>
      <w:r>
        <w:rPr>
          <w:b/>
          <w:bCs/>
        </w:rPr>
        <w:t xml:space="preserve">Der Moderator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pStyle w:val="Compact"/>
        <w:numPr>
          <w:ilvl w:val="0"/>
          <w:numId w:val="1017"/>
        </w:numPr>
      </w:pPr>
      <w:r>
        <w:rPr>
          <w:b/>
          <w:bCs/>
        </w:rPr>
        <w:t xml:space="preserve">Die Teilnehmer:</w:t>
      </w:r>
      <w:r>
        <w:t xml:space="preserve"> </w:t>
      </w:r>
      <w:r>
        <w:t xml:space="preserve">entscheiden Session-Besuche und Diskussions-Teilnahmen selbstorganisiert, teilen die Ergebnisse mit dem Rest der Organisation</w:t>
      </w:r>
    </w:p>
    <w:p>
      <w:pPr>
        <w:pStyle w:val="Compact"/>
        <w:numPr>
          <w:ilvl w:val="0"/>
          <w:numId w:val="1017"/>
        </w:numPr>
      </w:pPr>
      <w:r>
        <w:rPr>
          <w:b/>
          <w:bCs/>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1805"/>
            <wp:effectExtent b="0" l="0" r="0" t="0"/>
            <wp:docPr descr="" title="" id="139" name="Picture"/>
            <a:graphic>
              <a:graphicData uri="http://schemas.openxmlformats.org/drawingml/2006/picture">
                <pic:pic>
                  <pic:nvPicPr>
                    <pic:cNvPr descr="images/open-space-learning.png" id="140" name="Picture"/>
                    <pic:cNvPicPr>
                      <a:picLocks noChangeArrowheads="1" noChangeAspect="1"/>
                    </pic:cNvPicPr>
                  </pic:nvPicPr>
                  <pic:blipFill>
                    <a:blip r:embed="rId138"/>
                    <a:stretch>
                      <a:fillRect/>
                    </a:stretch>
                  </pic:blipFill>
                  <pic:spPr bwMode="auto">
                    <a:xfrm>
                      <a:off x="0" y="0"/>
                      <a:ext cx="5334000" cy="3781805"/>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41">
        <w:r>
          <w:rPr>
            <w:rStyle w:val="Hyperlink"/>
          </w:rPr>
          <w:t xml:space="preserve">Inviting Leadership: Invitation-Based Change in the New World of Work</w:t>
        </w:r>
      </w:hyperlink>
      <w:r>
        <w:t xml:space="preserve">). Darüber wird langfristig ein großes Netzwerk von Freiwilligen (</w:t>
      </w:r>
      <w:r>
        <w:t xml:space="preserve">“Army of Volunteers”</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pStyle w:val="Compact"/>
        <w:numPr>
          <w:ilvl w:val="0"/>
          <w:numId w:val="1018"/>
        </w:numPr>
      </w:pPr>
      <w:r>
        <w:t xml:space="preserve">GUIDE Netzwerk bei Continental</w:t>
      </w:r>
    </w:p>
    <w:p>
      <w:pPr>
        <w:pStyle w:val="Compact"/>
        <w:numPr>
          <w:ilvl w:val="0"/>
          <w:numId w:val="1018"/>
        </w:numPr>
      </w:pPr>
      <w:r>
        <w:t xml:space="preserve">Zusammenarbeit 2.0 Guides bei Audi</w:t>
      </w:r>
    </w:p>
    <w:p>
      <w:pPr>
        <w:pStyle w:val="Compact"/>
        <w:numPr>
          <w:ilvl w:val="0"/>
          <w:numId w:val="1018"/>
        </w:numPr>
      </w:pPr>
      <w:r>
        <w:t xml:space="preserve">DigitalTogether Champions bei Siemens Healthineers</w:t>
      </w:r>
    </w:p>
    <w:p>
      <w:pPr>
        <w:pStyle w:val="Compact"/>
        <w:numPr>
          <w:ilvl w:val="0"/>
          <w:numId w:val="1018"/>
        </w:numPr>
      </w:pPr>
      <w:r>
        <w:t xml:space="preserve">Community of Practice Change &amp; Transition (CoPCaT) bei DATEV</w:t>
      </w:r>
    </w:p>
    <w:p>
      <w:pPr>
        <w:pStyle w:val="Compact"/>
        <w:numPr>
          <w:ilvl w:val="0"/>
          <w:numId w:val="1018"/>
        </w:numPr>
      </w:pPr>
      <w:r>
        <w:t xml:space="preserve">Change Agent Teams (CATs) bei Bayer</w:t>
      </w:r>
    </w:p>
    <w:p>
      <w:pPr>
        <w:pStyle w:val="Compact"/>
        <w:numPr>
          <w:ilvl w:val="0"/>
          <w:numId w:val="1018"/>
        </w:numPr>
      </w:pPr>
      <w:r>
        <w:t xml:space="preserve">Digital Collaboration Multiplier Network bei Schaeffler</w:t>
      </w:r>
    </w:p>
    <w:p>
      <w:pPr>
        <w:pStyle w:val="Compact"/>
        <w:numPr>
          <w:ilvl w:val="0"/>
          <w:numId w:val="1018"/>
        </w:numPr>
      </w:pPr>
      <w:r>
        <w:t xml:space="preserve">DieGuides für’s #AndersArbeiten bei Deutsche Telekom</w:t>
      </w:r>
    </w:p>
    <w:p>
      <w:pPr>
        <w:pStyle w:val="Compact"/>
        <w:numPr>
          <w:ilvl w:val="0"/>
          <w:numId w:val="1018"/>
        </w:numPr>
      </w:pPr>
      <w:r>
        <w:t xml:space="preserve">Group Collaboration Guides bei Volkswagen</w:t>
      </w:r>
    </w:p>
    <w:p>
      <w:pPr>
        <w:pStyle w:val="Compact"/>
        <w:numPr>
          <w:ilvl w:val="0"/>
          <w:numId w:val="1018"/>
        </w:numPr>
      </w:pPr>
      <w:r>
        <w:t xml:space="preserve">Grains bei Siemens</w:t>
      </w:r>
    </w:p>
    <w:p>
      <w:pPr>
        <w:pStyle w:val="Compact"/>
        <w:numPr>
          <w:ilvl w:val="0"/>
          <w:numId w:val="1018"/>
        </w:numPr>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Zeit</w:t>
            </w:r>
          </w:p>
        </w:tc>
        <w:tc>
          <w:tcPr/>
          <w:p>
            <w:pPr>
              <w:pStyle w:val="Compact"/>
            </w:pPr>
            <w:r>
              <w:t xml:space="preserve">Agendapunkt</w:t>
            </w:r>
          </w:p>
        </w:tc>
      </w:tr>
      <w:tr>
        <w:tc>
          <w:tcPr/>
          <w:p>
            <w:pPr>
              <w:pStyle w:val="Compact"/>
            </w:pPr>
            <w:r>
              <w:t xml:space="preserve">09:00-10:30 Uhr</w:t>
            </w:r>
          </w:p>
        </w:tc>
        <w:tc>
          <w:tcPr/>
          <w:p>
            <w:pPr>
              <w:pStyle w:val="Compact"/>
            </w:pPr>
            <w:r>
              <w:t xml:space="preserve">Eröffnung und Erstellung der Agenda</w:t>
            </w:r>
          </w:p>
        </w:tc>
      </w:tr>
      <w:tr>
        <w:tc>
          <w:tcPr/>
          <w:p>
            <w:pPr>
              <w:pStyle w:val="Compact"/>
            </w:pPr>
            <w:r>
              <w:t xml:space="preserve">10:30-12:00 Uhr</w:t>
            </w:r>
          </w:p>
        </w:tc>
        <w:tc>
          <w:tcPr/>
          <w:p>
            <w:pPr>
              <w:pStyle w:val="Compact"/>
            </w:pPr>
            <w:r>
              <w:t xml:space="preserve">Session 1</w:t>
            </w:r>
          </w:p>
        </w:tc>
      </w:tr>
      <w:tr>
        <w:tc>
          <w:tcPr/>
          <w:p>
            <w:pPr>
              <w:pStyle w:val="Compact"/>
            </w:pPr>
            <w:r>
              <w:t xml:space="preserve">12:00-13:00 Uhr</w:t>
            </w:r>
          </w:p>
        </w:tc>
        <w:tc>
          <w:tcPr/>
          <w:p>
            <w:pPr>
              <w:pStyle w:val="Compact"/>
            </w:pPr>
            <w:r>
              <w:t xml:space="preserve">Mittagspause</w:t>
            </w:r>
          </w:p>
        </w:tc>
      </w:tr>
      <w:tr>
        <w:tc>
          <w:tcPr/>
          <w:p>
            <w:pPr>
              <w:pStyle w:val="Compact"/>
            </w:pPr>
            <w:r>
              <w:t xml:space="preserve">13:00-14:30 Uhr</w:t>
            </w:r>
          </w:p>
        </w:tc>
        <w:tc>
          <w:tcPr/>
          <w:p>
            <w:pPr>
              <w:pStyle w:val="Compact"/>
            </w:pPr>
            <w:r>
              <w:t xml:space="preserve">Session 2</w:t>
            </w:r>
          </w:p>
        </w:tc>
      </w:tr>
      <w:tr>
        <w:tc>
          <w:tcPr/>
          <w:p>
            <w:pPr>
              <w:pStyle w:val="Compact"/>
            </w:pPr>
            <w:r>
              <w:t xml:space="preserve">14:30-16:00 Uhr</w:t>
            </w:r>
          </w:p>
        </w:tc>
        <w:tc>
          <w:tcPr/>
          <w:p>
            <w:pPr>
              <w:pStyle w:val="Compact"/>
            </w:pPr>
            <w:r>
              <w:t xml:space="preserve">Session 3</w:t>
            </w:r>
          </w:p>
        </w:tc>
      </w:tr>
      <w:tr>
        <w:tc>
          <w:tcPr/>
          <w:p>
            <w:pPr>
              <w:pStyle w:val="Compact"/>
            </w:pPr>
            <w:r>
              <w:t xml:space="preserve">16:00-16:30 Uhr</w:t>
            </w:r>
          </w:p>
        </w:tc>
        <w:tc>
          <w:tcPr/>
          <w:p>
            <w:pPr>
              <w:pStyle w:val="Compact"/>
            </w:pPr>
            <w:r>
              <w:t xml:space="preserve">Dokumentation (Erstellung des Protokolls)</w:t>
            </w:r>
          </w:p>
        </w:tc>
      </w:tr>
      <w:tr>
        <w:tc>
          <w:tcPr/>
          <w:p>
            <w:pPr>
              <w:pStyle w:val="Compact"/>
            </w:pPr>
            <w:r>
              <w:t xml:space="preserve">16:30-17:00 Uhr</w:t>
            </w:r>
          </w:p>
        </w:tc>
        <w:tc>
          <w:tcPr/>
          <w:p>
            <w:pPr>
              <w:pStyle w:val="Compac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pct" w:w="5000"/>
        <w:tblLayout w:type="fixed"/>
        <w:tblLook w:firstRow="1" w:lastRow="0" w:firstColumn="0" w:lastColumn="0" w:noHBand="0" w:noVBand="0" w:val="0020"/>
      </w:tblPr>
      <w:tblGrid>
        <w:gridCol w:w="1102"/>
        <w:gridCol w:w="1303"/>
        <w:gridCol w:w="1102"/>
        <w:gridCol w:w="1102"/>
        <w:gridCol w:w="1102"/>
        <w:gridCol w:w="1102"/>
        <w:gridCol w:w="1102"/>
      </w:tblGrid>
      <w:tr>
        <w:trPr>
          <w:tblHeader w:val="on"/>
        </w:trPr>
        <w:tc>
          <w:tcPr/>
          <w:p>
            <w:pPr>
              <w:pStyle w:val="Compact"/>
            </w:pPr>
            <w:r>
              <w:t xml:space="preserve">Zeit</w:t>
            </w:r>
          </w:p>
        </w:tc>
        <w:tc>
          <w:tcPr/>
          <w:p>
            <w:pPr>
              <w:pStyle w:val="Compact"/>
            </w:pPr>
            <w:r>
              <w:t xml:space="preserve">Plenum</w:t>
            </w:r>
          </w:p>
        </w:tc>
        <w:tc>
          <w:tcPr/>
          <w:p>
            <w:pPr>
              <w:pStyle w:val="Compact"/>
            </w:pPr>
            <w:r>
              <w:t xml:space="preserve">Raum 1</w:t>
            </w:r>
          </w:p>
        </w:tc>
        <w:tc>
          <w:tcPr/>
          <w:p>
            <w:pPr>
              <w:pStyle w:val="Compact"/>
            </w:pPr>
            <w:r>
              <w:t xml:space="preserve">Raum 2</w:t>
            </w:r>
          </w:p>
        </w:tc>
        <w:tc>
          <w:tcPr/>
          <w:p>
            <w:pPr>
              <w:pStyle w:val="Compact"/>
            </w:pPr>
            <w:r>
              <w:t xml:space="preserve">Raum 3</w:t>
            </w:r>
          </w:p>
        </w:tc>
        <w:tc>
          <w:tcPr/>
          <w:p>
            <w:pPr>
              <w:pStyle w:val="Compact"/>
            </w:pPr>
            <w:r>
              <w:t xml:space="preserve">Raum 4</w:t>
            </w:r>
          </w:p>
        </w:tc>
        <w:tc>
          <w:tcPr/>
          <w:p>
            <w:pPr>
              <w:pStyle w:val="Compact"/>
            </w:pPr>
            <w:r>
              <w:t xml:space="preserve">Raum 5</w:t>
            </w:r>
          </w:p>
        </w:tc>
      </w:tr>
      <w:tr>
        <w:tc>
          <w:tcPr/>
          <w:p>
            <w:pPr>
              <w:pStyle w:val="Compact"/>
            </w:pPr>
            <w:r>
              <w:t xml:space="preserve">09:00-10:30</w:t>
            </w:r>
          </w:p>
        </w:tc>
        <w:tc>
          <w:tcPr/>
          <w:p>
            <w:pPr>
              <w:pStyle w:val="Compact"/>
            </w:pPr>
            <w:r>
              <w:t xml:space="preserve">Eröffnung</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10:30-12:00</w:t>
            </w:r>
          </w:p>
        </w:tc>
        <w:tc>
          <w:tcPr/>
          <w:p>
            <w:pPr>
              <w:pStyle w:val="Compact"/>
            </w:pPr>
          </w:p>
        </w:tc>
        <w:tc>
          <w:tcPr/>
          <w:p>
            <w:pPr>
              <w:pStyle w:val="Compact"/>
            </w:pPr>
            <w:r>
              <w:t xml:space="preserve">Session 1.1</w:t>
            </w:r>
          </w:p>
        </w:tc>
        <w:tc>
          <w:tcPr/>
          <w:p>
            <w:pPr>
              <w:pStyle w:val="Compact"/>
            </w:pPr>
            <w:r>
              <w:t xml:space="preserve">Session 2.1</w:t>
            </w:r>
          </w:p>
        </w:tc>
        <w:tc>
          <w:tcPr/>
          <w:p>
            <w:pPr>
              <w:pStyle w:val="Compact"/>
            </w:pPr>
            <w:r>
              <w:t xml:space="preserve">Session 3.1</w:t>
            </w:r>
          </w:p>
        </w:tc>
        <w:tc>
          <w:tcPr/>
          <w:p>
            <w:pPr>
              <w:pStyle w:val="Compact"/>
            </w:pPr>
            <w:r>
              <w:t xml:space="preserve">Session 4.1</w:t>
            </w:r>
          </w:p>
        </w:tc>
        <w:tc>
          <w:tcPr/>
          <w:p>
            <w:pPr>
              <w:pStyle w:val="Compact"/>
            </w:pPr>
            <w:r>
              <w:t xml:space="preserve">Session 5.1</w:t>
            </w:r>
          </w:p>
        </w:tc>
      </w:tr>
      <w:tr>
        <w:tc>
          <w:tcPr/>
          <w:p>
            <w:pPr>
              <w:pStyle w:val="Compact"/>
            </w:pPr>
            <w:r>
              <w:t xml:space="preserve">12:00-13:00</w:t>
            </w:r>
          </w:p>
        </w:tc>
        <w:tc>
          <w:tcPr/>
          <w:p>
            <w:pPr>
              <w:pStyle w:val="Compact"/>
            </w:pPr>
            <w:r>
              <w:t xml:space="preserve">Mittagspause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13:00-14:30</w:t>
            </w:r>
          </w:p>
        </w:tc>
        <w:tc>
          <w:tcPr/>
          <w:p>
            <w:pPr>
              <w:pStyle w:val="Compact"/>
            </w:pPr>
          </w:p>
        </w:tc>
        <w:tc>
          <w:tcPr/>
          <w:p>
            <w:pPr>
              <w:pStyle w:val="Compact"/>
            </w:pPr>
            <w:r>
              <w:t xml:space="preserve">Session 1.2</w:t>
            </w:r>
          </w:p>
        </w:tc>
        <w:tc>
          <w:tcPr/>
          <w:p>
            <w:pPr>
              <w:pStyle w:val="Compact"/>
            </w:pPr>
            <w:r>
              <w:t xml:space="preserve">Session 2.2</w:t>
            </w:r>
          </w:p>
        </w:tc>
        <w:tc>
          <w:tcPr/>
          <w:p>
            <w:pPr>
              <w:pStyle w:val="Compact"/>
            </w:pPr>
            <w:r>
              <w:t xml:space="preserve">Session 3.2</w:t>
            </w:r>
          </w:p>
        </w:tc>
        <w:tc>
          <w:tcPr/>
          <w:p>
            <w:pPr>
              <w:pStyle w:val="Compact"/>
            </w:pPr>
            <w:r>
              <w:t xml:space="preserve">Session 4.2</w:t>
            </w:r>
          </w:p>
        </w:tc>
        <w:tc>
          <w:tcPr/>
          <w:p>
            <w:pPr>
              <w:pStyle w:val="Compact"/>
            </w:pPr>
            <w:r>
              <w:t xml:space="preserve">Session 5.2</w:t>
            </w:r>
          </w:p>
        </w:tc>
      </w:tr>
      <w:tr>
        <w:tc>
          <w:tcPr/>
          <w:p>
            <w:pPr>
              <w:pStyle w:val="Compact"/>
            </w:pPr>
            <w:r>
              <w:t xml:space="preserve">14:30-16:00</w:t>
            </w:r>
          </w:p>
        </w:tc>
        <w:tc>
          <w:tcPr/>
          <w:p>
            <w:pPr>
              <w:pStyle w:val="Compact"/>
            </w:pPr>
          </w:p>
        </w:tc>
        <w:tc>
          <w:tcPr/>
          <w:p>
            <w:pPr>
              <w:pStyle w:val="Compact"/>
            </w:pPr>
            <w:r>
              <w:t xml:space="preserve">Session 1.3</w:t>
            </w:r>
          </w:p>
        </w:tc>
        <w:tc>
          <w:tcPr/>
          <w:p>
            <w:pPr>
              <w:pStyle w:val="Compact"/>
            </w:pPr>
            <w:r>
              <w:t xml:space="preserve">Session 2.3</w:t>
            </w:r>
          </w:p>
        </w:tc>
        <w:tc>
          <w:tcPr/>
          <w:p>
            <w:pPr>
              <w:pStyle w:val="Compact"/>
            </w:pPr>
            <w:r>
              <w:t xml:space="preserve">Session 3.3</w:t>
            </w:r>
          </w:p>
        </w:tc>
        <w:tc>
          <w:tcPr/>
          <w:p>
            <w:pPr>
              <w:pStyle w:val="Compact"/>
            </w:pPr>
            <w:r>
              <w:t xml:space="preserve">Session 4.3</w:t>
            </w:r>
          </w:p>
        </w:tc>
        <w:tc>
          <w:tcPr/>
          <w:p>
            <w:pPr>
              <w:pStyle w:val="Compact"/>
            </w:pPr>
            <w:r>
              <w:t xml:space="preserve">Session 5.3</w:t>
            </w:r>
          </w:p>
        </w:tc>
      </w:tr>
      <w:tr>
        <w:tc>
          <w:tcPr/>
          <w:p>
            <w:pPr>
              <w:pStyle w:val="Compact"/>
            </w:pPr>
            <w:r>
              <w:t xml:space="preserve">16:00-16:30</w:t>
            </w:r>
          </w:p>
        </w:tc>
        <w:tc>
          <w:tcPr/>
          <w:p>
            <w:pPr>
              <w:pStyle w:val="Compact"/>
            </w:pPr>
            <w:r>
              <w:t xml:space="preserve">Dokumentation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16:30-17:00</w:t>
            </w:r>
          </w:p>
        </w:tc>
        <w:tc>
          <w:tcPr/>
          <w:p>
            <w:pPr>
              <w:pStyle w:val="Compact"/>
            </w:pPr>
            <w:r>
              <w:t xml:space="preserve">Abschluss</w:t>
            </w: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Im</w:t>
      </w:r>
      <w:r>
        <w:t xml:space="preserve"> </w:t>
      </w:r>
      <w:r>
        <w:rPr>
          <w:b/>
          <w:bCs/>
        </w:rPr>
        <w:t xml:space="preserve">Open Space Protokoll</w:t>
      </w:r>
      <w:r>
        <w:t xml:space="preserve"> </w:t>
      </w:r>
      <w:r>
        <w:t xml:space="preserve">(Proceedings) werden alle Ergebnisse und Geschichten des Open Space festgehalten. Dazu gehören mindestens:</w:t>
      </w:r>
    </w:p>
    <w:p>
      <w:pPr>
        <w:pStyle w:val="Compact"/>
        <w:numPr>
          <w:ilvl w:val="0"/>
          <w:numId w:val="1019"/>
        </w:numPr>
      </w:pPr>
      <w:r>
        <w:t xml:space="preserve">Dokumentation des Themas/Mottos des Open Space</w:t>
      </w:r>
    </w:p>
    <w:p>
      <w:pPr>
        <w:pStyle w:val="Compact"/>
        <w:numPr>
          <w:ilvl w:val="0"/>
          <w:numId w:val="1019"/>
        </w:numPr>
      </w:pPr>
      <w:r>
        <w:t xml:space="preserve">Kurze Botschaft des Sponsors</w:t>
      </w:r>
    </w:p>
    <w:p>
      <w:pPr>
        <w:pStyle w:val="Compact"/>
        <w:numPr>
          <w:ilvl w:val="0"/>
          <w:numId w:val="1019"/>
        </w:numPr>
      </w:pPr>
      <w:r>
        <w:t xml:space="preserve">Ergebnisse aller Sessions inkl. Teilnehmenden, geplanter und vorgeschlagener Lern-Aktivitäten und -Initiativen</w:t>
      </w:r>
    </w:p>
    <w:p>
      <w:pPr>
        <w:pStyle w:val="Compact"/>
        <w:numPr>
          <w:ilvl w:val="0"/>
          <w:numId w:val="1019"/>
        </w:numPr>
      </w:pPr>
      <w:r>
        <w:t xml:space="preserve">Stellungnahme des Sponsors für die Umsetzung der Aktivitäten (insbesondere die, die weitere Autorisierung durch den Sponsor oder anderer Entscheider benötigen)</w:t>
      </w:r>
    </w:p>
    <w:p>
      <w:pPr>
        <w:pStyle w:val="Compact"/>
        <w:numPr>
          <w:ilvl w:val="0"/>
          <w:numId w:val="1019"/>
        </w:numPr>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bookmarkEnd w:id="142"/>
    <w:bookmarkStart w:id="148" w:name="werkzeugkasten-des-lernens-wdl"/>
    <w:p>
      <w:pPr>
        <w:pStyle w:val="Heading3"/>
      </w:pPr>
      <w:r>
        <w:rPr>
          <w:rStyle w:val="SectionNumber"/>
        </w:rPr>
        <w:t xml:space="preserve">3.4.3</w:t>
      </w:r>
      <w:r>
        <w:tab/>
      </w:r>
      <w:r>
        <w:t xml:space="preserve">Werkzeugkasten des Lernens (WdL)</w:t>
      </w:r>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
          <w:bCs/>
        </w:rPr>
        <w:t xml:space="preserve">lernOS Toolbox</w:t>
      </w:r>
      <w:r>
        <w:t xml:space="preserve">:</w:t>
      </w:r>
    </w:p>
    <w:p>
      <w:pPr>
        <w:pStyle w:val="Compact"/>
        <w:numPr>
          <w:ilvl w:val="0"/>
          <w:numId w:val="1020"/>
        </w:numPr>
      </w:pPr>
      <w:r>
        <w:rPr>
          <w:b/>
          <w:bCs/>
        </w:rPr>
        <w:t xml:space="preserve">BarCamp:</w:t>
      </w:r>
      <w:r>
        <w:t xml:space="preserve"> </w:t>
      </w:r>
      <w:r>
        <w:t xml:space="preserve">Ein BarCamp (auch Unkonferenz) ist eine Konferenz, bei der die Inhalte von den Teilehmern innerhalb eines vorgegebenen Rahmens selber gestaltet werden (</w:t>
      </w:r>
      <w:hyperlink r:id="rId143">
        <w:r>
          <w:rPr>
            <w:rStyle w:val="Hyperlink"/>
          </w:rPr>
          <w:t xml:space="preserve">lernOS BarCamp Leitfaden</w:t>
        </w:r>
      </w:hyperlink>
      <w:r>
        <w:t xml:space="preserve">).</w:t>
      </w:r>
    </w:p>
    <w:p>
      <w:pPr>
        <w:pStyle w:val="Compact"/>
        <w:numPr>
          <w:ilvl w:val="0"/>
          <w:numId w:val="1020"/>
        </w:numPr>
      </w:pPr>
      <w:r>
        <w:rPr>
          <w:b/>
          <w:bCs/>
        </w:rPr>
        <w:t xml:space="preserve">Community of Practice:</w:t>
      </w:r>
      <w:r>
        <w:t xml:space="preserve"> </w:t>
      </w:r>
      <w:r>
        <w:t xml:space="preserve">Eine Community of Practice (CoP) ist eine Gruppe von Personen mit einem gemeinsamen Interesse, die durch regelmäßige Interaktion voneinander lernen (</w:t>
      </w:r>
      <w:hyperlink r:id="rId144">
        <w:r>
          <w:rPr>
            <w:rStyle w:val="Hyperlink"/>
          </w:rPr>
          <w:t xml:space="preserve">lernOS Community Management Leitfaden</w:t>
        </w:r>
      </w:hyperlink>
      <w:r>
        <w:t xml:space="preserve">).</w:t>
      </w:r>
    </w:p>
    <w:p>
      <w:pPr>
        <w:pStyle w:val="Compact"/>
        <w:numPr>
          <w:ilvl w:val="0"/>
          <w:numId w:val="1020"/>
        </w:numPr>
      </w:pPr>
      <w:r>
        <w:rPr>
          <w:b/>
          <w:bCs/>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45">
        <w:r>
          <w:rPr>
            <w:rStyle w:val="Hyperlink"/>
          </w:rPr>
          <w:t xml:space="preserve">lernOS Expert Debriefing Leitfaden</w:t>
        </w:r>
      </w:hyperlink>
      <w:r>
        <w:t xml:space="preserve">).</w:t>
      </w:r>
    </w:p>
    <w:p>
      <w:pPr>
        <w:pStyle w:val="Compact"/>
        <w:numPr>
          <w:ilvl w:val="0"/>
          <w:numId w:val="1020"/>
        </w:numPr>
      </w:pPr>
      <w:r>
        <w:rPr>
          <w:b/>
          <w:bCs/>
        </w:rPr>
        <w:t xml:space="preserve">Getting Things Done:</w:t>
      </w:r>
      <w:r>
        <w:t xml:space="preserve"> </w:t>
      </w:r>
      <w:r>
        <w:t xml:space="preserve">Getting Things Done (GTD) ist eine Selbstmanagement-Methode für Wissensarbeiter (GTD Lernpfad im</w:t>
      </w:r>
      <w:r>
        <w:t xml:space="preserve"> </w:t>
      </w:r>
      <w:hyperlink r:id="rId146">
        <w:r>
          <w:rPr>
            <w:rStyle w:val="Hyperlink"/>
          </w:rPr>
          <w:t xml:space="preserve">lernOS für Dich Leitfaden</w:t>
        </w:r>
      </w:hyperlink>
      <w:r>
        <w:t xml:space="preserve">).</w:t>
      </w:r>
    </w:p>
    <w:p>
      <w:pPr>
        <w:pStyle w:val="Compact"/>
        <w:numPr>
          <w:ilvl w:val="0"/>
          <w:numId w:val="1020"/>
        </w:numPr>
      </w:pPr>
      <w:r>
        <w:rPr>
          <w:b/>
          <w:bCs/>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46">
        <w:r>
          <w:rPr>
            <w:rStyle w:val="Hyperlink"/>
          </w:rPr>
          <w:t xml:space="preserve">lernOS für Dich Leitfaden</w:t>
        </w:r>
      </w:hyperlink>
      <w:r>
        <w:t xml:space="preserve">).</w:t>
      </w:r>
    </w:p>
    <w:p>
      <w:pPr>
        <w:pStyle w:val="Compact"/>
        <w:numPr>
          <w:ilvl w:val="0"/>
          <w:numId w:val="1020"/>
        </w:numPr>
      </w:pPr>
      <w:r>
        <w:rPr>
          <w:b/>
          <w:bCs/>
        </w:rPr>
        <w:t xml:space="preserve">Podcast:</w:t>
      </w:r>
      <w:r>
        <w:t xml:space="preserve"> </w:t>
      </w:r>
      <w:r>
        <w:t xml:space="preserve">Ein Podcast besteht aus einer Sammlung von Audio-Dateien, die auf einer Webseite zum automatischen Download zur Verfügung gestellt wird (</w:t>
      </w:r>
      <w:hyperlink r:id="rId147">
        <w:r>
          <w:rPr>
            <w:rStyle w:val="Hyperlink"/>
          </w:rPr>
          <w:t xml:space="preserve">lernOS Podcasting Leitfaden</w:t>
        </w:r>
      </w:hyperlink>
      <w:r>
        <w:t xml:space="preserve">).</w:t>
      </w:r>
    </w:p>
    <w:p>
      <w:pPr>
        <w:pStyle w:val="Compact"/>
        <w:numPr>
          <w:ilvl w:val="0"/>
          <w:numId w:val="1020"/>
        </w:numPr>
      </w:pPr>
      <w:r>
        <w:rPr>
          <w:b/>
          <w:bCs/>
        </w:rPr>
        <w:t xml:space="preserve">Erklärvideo/Screencast:</w:t>
      </w:r>
      <w:r>
        <w:t xml:space="preserve"> </w:t>
      </w:r>
      <w:r>
        <w:t xml:space="preserve">Ein Screencast ist ein Video, das die Interaktion auf einem Computerbildschirm wahlweise mit oder ohne Ton darstellt (der</w:t>
      </w:r>
      <w:r>
        <w:t xml:space="preserve"> </w:t>
      </w:r>
      <w:hyperlink r:id="rId147">
        <w:r>
          <w:rPr>
            <w:rStyle w:val="Hyperlink"/>
          </w:rPr>
          <w:t xml:space="preserve">lernOS Podcasting Leitfaden</w:t>
        </w:r>
      </w:hyperlink>
      <w:r>
        <w:t xml:space="preserve"> </w:t>
      </w:r>
      <w:r>
        <w:t xml:space="preserve">soll in Zukunft auch einen Video-Lernpfad erhalten).</w:t>
      </w:r>
    </w:p>
    <w:p>
      <w:pPr>
        <w:pStyle w:val="Compact"/>
        <w:numPr>
          <w:ilvl w:val="0"/>
          <w:numId w:val="1020"/>
        </w:numPr>
      </w:pPr>
      <w:r>
        <w:rPr>
          <w:b/>
          <w:bCs/>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46">
        <w:r>
          <w:rPr>
            <w:rStyle w:val="Hyperlink"/>
          </w:rPr>
          <w:t xml:space="preserve">lernOS für Dich Leitfaden</w:t>
        </w:r>
      </w:hyperlink>
      <w:r>
        <w:t xml:space="preserve">).</w:t>
      </w:r>
    </w:p>
    <w:p>
      <w:pPr>
        <w:pStyle w:val="Compact"/>
        <w:numPr>
          <w:ilvl w:val="0"/>
          <w:numId w:val="1020"/>
        </w:numPr>
      </w:pPr>
      <w:r>
        <w:rPr>
          <w:b/>
          <w:bCs/>
        </w:rPr>
        <w:t xml:space="preserve">Wissenslandkarte:</w:t>
      </w:r>
      <w:r>
        <w:t xml:space="preserve"> </w:t>
      </w:r>
      <w:r>
        <w:t xml:space="preserve">Eine Wissenslandkarte ist eine graphische Darstellung von Wissensgebieten und deren Zusammenhängen (Hinweis im</w:t>
      </w:r>
      <w:r>
        <w:t xml:space="preserve"> </w:t>
      </w:r>
      <w:hyperlink r:id="rId146">
        <w:r>
          <w:rPr>
            <w:rStyle w:val="Hyperlink"/>
          </w:rPr>
          <w:t xml:space="preserve">lernOS für Dich Leitfaden</w:t>
        </w:r>
      </w:hyperlink>
      <w:r>
        <w:t xml:space="preserve">).</w:t>
      </w:r>
    </w:p>
    <w:p>
      <w:pPr>
        <w:pStyle w:val="Compact"/>
        <w:numPr>
          <w:ilvl w:val="0"/>
          <w:numId w:val="1020"/>
        </w:numPr>
      </w:pPr>
      <w:r>
        <w:rPr>
          <w:b/>
          <w:bCs/>
        </w:rPr>
        <w:t xml:space="preserve">Working Out Loud:</w:t>
      </w:r>
      <w:r>
        <w:t xml:space="preserve"> </w:t>
      </w:r>
      <w:r>
        <w:t xml:space="preserve">Working Out Loud (WOL) ist eine Methode zum strategischen Netzwerken und offenen Teilen von Inhalten (WOL Lernpfad im</w:t>
      </w:r>
      <w:r>
        <w:t xml:space="preserve"> </w:t>
      </w:r>
      <w:hyperlink r:id="rId146">
        <w:r>
          <w:rPr>
            <w:rStyle w:val="Hyperlink"/>
          </w:rPr>
          <w:t xml:space="preserve">lernOS für Dich Leitfaden</w:t>
        </w:r>
      </w:hyperlink>
      <w:r>
        <w:t xml:space="preserve"> </w:t>
      </w:r>
      <w:r>
        <w:t xml:space="preserve">oder</w:t>
      </w:r>
      <w:r>
        <w:t xml:space="preserve"> </w:t>
      </w:r>
      <w:hyperlink r:id="rId86">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bookmarkEnd w:id="148"/>
    <w:bookmarkEnd w:id="149"/>
    <w:bookmarkEnd w:id="150"/>
    <w:bookmarkStart w:id="151" w:name="lernpfad"/>
    <w:p>
      <w:pPr>
        <w:pStyle w:val="Heading1"/>
      </w:pPr>
      <w:r>
        <w:rPr>
          <w:rStyle w:val="SectionNumber"/>
        </w:rPr>
        <w:t xml:space="preserve">4</w:t>
      </w:r>
      <w:r>
        <w:tab/>
      </w:r>
      <w:r>
        <w:t xml:space="preserve">Lernpfad</w:t>
      </w:r>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pStyle w:val="Compact"/>
        <w:numPr>
          <w:ilvl w:val="0"/>
          <w:numId w:val="1021"/>
        </w:numPr>
      </w:pPr>
      <w:r>
        <w:rPr>
          <w:b/>
          <w:bCs/>
        </w:rPr>
        <w:t xml:space="preserve">Die eigene Organisation verstehen (Kata)</w:t>
      </w:r>
      <w:r>
        <w:t xml:space="preserve"> </w:t>
      </w:r>
      <w:r>
        <w:t xml:space="preserve">Analysiere mit dem lernOS Canvas für Organisationen die aktuelle Situation deiner Organisation und identifiziere mögliche Handlungsfelder.</w:t>
      </w:r>
    </w:p>
    <w:p>
      <w:pPr>
        <w:pStyle w:val="Compact"/>
        <w:numPr>
          <w:ilvl w:val="0"/>
          <w:numId w:val="1021"/>
        </w:numPr>
      </w:pPr>
      <w:r>
        <w:rPr>
          <w:b/>
          <w:bCs/>
        </w:rPr>
        <w:t xml:space="preserve">Den Nordstern der Organisation finden (Kata)</w:t>
      </w:r>
      <w:r>
        <w:t xml:space="preserve"> </w:t>
      </w:r>
      <w:r>
        <w:t xml:space="preserve">Nutze die Methode Future Backwards und Gleicher’s Formel für Veränderung, um die Vision und den</w:t>
      </w:r>
      <w:r>
        <w:t xml:space="preserve"> </w:t>
      </w:r>
      <w:r>
        <w:t xml:space="preserve">“Nordstern”</w:t>
      </w:r>
      <w:r>
        <w:t xml:space="preserve"> </w:t>
      </w:r>
      <w:r>
        <w:t xml:space="preserve">deiner Organisation als Lernender Organisation zu ermitteln und erste konkrete Schritte zu planen.</w:t>
      </w:r>
    </w:p>
    <w:p>
      <w:pPr>
        <w:pStyle w:val="Compact"/>
        <w:numPr>
          <w:ilvl w:val="0"/>
          <w:numId w:val="1021"/>
        </w:numPr>
      </w:pPr>
      <w:r>
        <w:rPr>
          <w:b/>
          <w:bCs/>
        </w:rPr>
        <w:t xml:space="preserve">Die Koalition des Lernens formieren (Kata)</w:t>
      </w:r>
      <w:r>
        <w:t xml:space="preserve"> </w:t>
      </w:r>
      <w:r>
        <w:t xml:space="preserve">Gründe gemeinsam mit mindestens zwei Mitsteiter*innen die Koalition des Lernens und mache diese in der Organisation sichtbar.</w:t>
      </w:r>
    </w:p>
    <w:p>
      <w:pPr>
        <w:pStyle w:val="Compact"/>
        <w:numPr>
          <w:ilvl w:val="0"/>
          <w:numId w:val="1021"/>
        </w:numPr>
      </w:pPr>
      <w:r>
        <w:rPr>
          <w:b/>
          <w:bCs/>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pStyle w:val="Compact"/>
        <w:numPr>
          <w:ilvl w:val="0"/>
          <w:numId w:val="1021"/>
        </w:numPr>
      </w:pPr>
      <w:r>
        <w:rPr>
          <w:b/>
          <w:bCs/>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pStyle w:val="Compact"/>
        <w:numPr>
          <w:ilvl w:val="0"/>
          <w:numId w:val="1021"/>
        </w:numPr>
      </w:pPr>
      <w:r>
        <w:rPr>
          <w:b/>
          <w:bCs/>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pStyle w:val="Compact"/>
        <w:numPr>
          <w:ilvl w:val="0"/>
          <w:numId w:val="1021"/>
        </w:numPr>
      </w:pPr>
      <w:r>
        <w:rPr>
          <w:b/>
          <w:bCs/>
        </w:rPr>
        <w:t xml:space="preserve">Initiativen, Communities, Netzwerke und informelle</w:t>
      </w:r>
      <w:r>
        <w:rPr>
          <w:b/>
          <w:bCs/>
        </w:rPr>
        <w:t xml:space="preserve"> </w:t>
      </w:r>
      <w:r>
        <w:rPr>
          <w:b/>
          <w:bCs/>
        </w:rPr>
        <w:t xml:space="preserve">“Leader”</w:t>
      </w:r>
      <w:r>
        <w:rPr>
          <w:b/>
          <w:bCs/>
        </w:rPr>
        <w:t xml:space="preserve"> </w:t>
      </w:r>
      <w:r>
        <w:rPr>
          <w:b/>
          <w:bCs/>
        </w:rPr>
        <w:t xml:space="preserve">einbinden (Kata)</w:t>
      </w:r>
      <w:r>
        <w:t xml:space="preserve"> </w:t>
      </w:r>
      <w:r>
        <w:t xml:space="preserve">Suche nach Gruppen und Einzelpersonen in der Organisation (ggf. auch außerhalb), für die das Motto des Open Space bedeutsam ist und lade sie aktiv zur Teilnahme ein.</w:t>
      </w:r>
    </w:p>
    <w:p>
      <w:pPr>
        <w:pStyle w:val="Compact"/>
        <w:numPr>
          <w:ilvl w:val="0"/>
          <w:numId w:val="1021"/>
        </w:numPr>
      </w:pPr>
      <w:r>
        <w:rPr>
          <w:b/>
          <w:bCs/>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pStyle w:val="Compact"/>
        <w:numPr>
          <w:ilvl w:val="0"/>
          <w:numId w:val="1021"/>
        </w:numPr>
      </w:pPr>
      <w:r>
        <w:rPr>
          <w:b/>
          <w:bCs/>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pStyle w:val="Compact"/>
        <w:numPr>
          <w:ilvl w:val="0"/>
          <w:numId w:val="1021"/>
        </w:numPr>
      </w:pPr>
      <w:r>
        <w:rPr>
          <w:b/>
          <w:bCs/>
        </w:rPr>
        <w:t xml:space="preserve">Ein letzter</w:t>
      </w:r>
      <w:r>
        <w:rPr>
          <w:b/>
          <w:bCs/>
        </w:rPr>
        <w:t xml:space="preserve"> </w:t>
      </w:r>
      <w:r>
        <w:rPr>
          <w:b/>
          <w:bCs/>
        </w:rPr>
        <w:t xml:space="preserve">“Call for Participation”</w:t>
      </w:r>
      <w:r>
        <w:rPr>
          <w:b/>
          <w:bCs/>
        </w:rPr>
        <w:t xml:space="preserve"> </w:t>
      </w:r>
      <w:r>
        <w:rPr>
          <w:b/>
          <w:bCs/>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pStyle w:val="Compact"/>
        <w:numPr>
          <w:ilvl w:val="0"/>
          <w:numId w:val="1021"/>
        </w:numPr>
      </w:pPr>
      <w:r>
        <w:rPr>
          <w:b/>
          <w:bCs/>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“Auf dem Radar”</w:t>
      </w:r>
      <w:r>
        <w:t xml:space="preserve"> </w:t>
      </w:r>
      <w:r>
        <w:t xml:space="preserve">behalten möchtest.</w:t>
      </w:r>
    </w:p>
    <w:bookmarkEnd w:id="151"/>
    <w:bookmarkStart w:id="156" w:name="anhang"/>
    <w:p>
      <w:pPr>
        <w:pStyle w:val="Heading1"/>
      </w:pPr>
      <w:r>
        <w:rPr>
          <w:rStyle w:val="SectionNumber"/>
        </w:rPr>
        <w:t xml:space="preserve">5</w:t>
      </w:r>
      <w:r>
        <w:tab/>
      </w:r>
      <w:r>
        <w:t xml:space="preserve">Anhang</w:t>
      </w:r>
    </w:p>
    <w:bookmarkStart w:id="154" w:name="danksagungen"/>
    <w:p>
      <w:pPr>
        <w:pStyle w:val="Heading2"/>
      </w:pPr>
      <w:r>
        <w:rPr>
          <w:rStyle w:val="SectionNumber"/>
        </w:rPr>
        <w:t xml:space="preserve">5.1</w:t>
      </w:r>
      <w:r>
        <w:tab/>
      </w:r>
      <w:r>
        <w:t xml:space="preserve">Danksagungen</w:t>
      </w:r>
    </w:p>
    <w:p>
      <w:pPr>
        <w:pStyle w:val="FirstParagraph"/>
      </w:pPr>
      <w:r>
        <w:t xml:space="preserve">lernOS ist von vielen Personen und Quellen inspiriert und steht daher</w:t>
      </w:r>
      <w:r>
        <w:t xml:space="preserve"> </w:t>
      </w:r>
      <w:hyperlink r:id="rId152">
        <w:r>
          <w:rPr>
            <w:rStyle w:val="Hyperlink"/>
          </w:rPr>
          <w:t xml:space="preserve">auf den Schultern von Riesen</w:t>
        </w:r>
      </w:hyperlink>
      <w:r>
        <w:t xml:space="preserve">. Ein Überblick über die Wurzeln und Inspirationen habe ich</w:t>
      </w:r>
      <w:r>
        <w:t xml:space="preserve"> </w:t>
      </w:r>
      <w:hyperlink r:id="rId153">
        <w:r>
          <w:rPr>
            <w:rStyle w:val="Hyperlink"/>
          </w:rPr>
          <w:t xml:space="preserve">im lernOS Wiki</w:t>
        </w:r>
      </w:hyperlink>
      <w:r>
        <w:t xml:space="preserve"> </w:t>
      </w:r>
      <w:r>
        <w:t xml:space="preserve">zusammengestellt.</w:t>
      </w:r>
    </w:p>
    <w:bookmarkEnd w:id="154"/>
    <w:bookmarkStart w:id="155"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514"/>
        <w:gridCol w:w="1645"/>
        <w:gridCol w:w="4731"/>
        <w:gridCol w:w="1028"/>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0.1</w:t>
            </w:r>
          </w:p>
        </w:tc>
        <w:tc>
          <w:tcPr/>
          <w:p>
            <w:pPr>
              <w:pStyle w:val="Compact"/>
            </w:pPr>
            <w:r>
              <w:t xml:space="preserve">Simon Dückert</w:t>
            </w:r>
          </w:p>
        </w:tc>
        <w:tc>
          <w:tcPr/>
          <w:p>
            <w:pPr>
              <w:pStyle w:val="Compact"/>
            </w:pPr>
            <w:r>
              <w:t xml:space="preserve">Erstellung der ersten Version des lernOS Handbuchs</w:t>
            </w:r>
          </w:p>
        </w:tc>
        <w:tc>
          <w:tcPr/>
          <w:p>
            <w:pPr>
              <w:pStyle w:val="Compact"/>
            </w:pPr>
            <w:r>
              <w:t xml:space="preserve">12.06.2017</w:t>
            </w:r>
          </w:p>
        </w:tc>
      </w:tr>
      <w:tr>
        <w:tc>
          <w:tcPr/>
          <w:p>
            <w:pPr>
              <w:pStyle w:val="Compact"/>
            </w:pPr>
            <w:r>
              <w:t xml:space="preserve">0.2</w:t>
            </w:r>
          </w:p>
        </w:tc>
        <w:tc>
          <w:tcPr/>
          <w:p>
            <w:pPr>
              <w:pStyle w:val="Compact"/>
            </w:pPr>
            <w:r>
              <w:t xml:space="preserve">Simon Dückert</w:t>
            </w:r>
          </w:p>
        </w:tc>
        <w:tc>
          <w:tcPr/>
          <w:p>
            <w:pPr>
              <w:pStyle w:val="Compac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tcPr/>
          <w:p>
            <w:pPr>
              <w:pStyle w:val="Compact"/>
            </w:pPr>
            <w:r>
              <w:t xml:space="preserve">20.09.2017</w:t>
            </w:r>
          </w:p>
        </w:tc>
      </w:tr>
      <w:tr>
        <w:tc>
          <w:tcPr/>
          <w:p>
            <w:pPr>
              <w:pStyle w:val="Compact"/>
            </w:pPr>
            <w:r>
              <w:t xml:space="preserve">0.3</w:t>
            </w:r>
          </w:p>
        </w:tc>
        <w:tc>
          <w:tcPr/>
          <w:p>
            <w:pPr>
              <w:pStyle w:val="Compact"/>
            </w:pPr>
            <w:r>
              <w:t xml:space="preserve">Simon Dückert</w:t>
            </w:r>
          </w:p>
        </w:tc>
        <w:tc>
          <w:tcPr/>
          <w:p>
            <w:pPr>
              <w:pStyle w:val="Compac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tcPr/>
          <w:p>
            <w:pPr>
              <w:pStyle w:val="Compact"/>
            </w:pPr>
            <w:r>
              <w:t xml:space="preserve">15.10.2017</w:t>
            </w:r>
          </w:p>
        </w:tc>
      </w:tr>
      <w:tr>
        <w:tc>
          <w:tcPr/>
          <w:p>
            <w:pPr>
              <w:pStyle w:val="Compact"/>
            </w:pPr>
            <w:r>
              <w:t xml:space="preserve">0.4</w:t>
            </w:r>
          </w:p>
        </w:tc>
        <w:tc>
          <w:tcPr/>
          <w:p>
            <w:pPr>
              <w:pStyle w:val="Compact"/>
            </w:pPr>
            <w:r>
              <w:t xml:space="preserve">Simon Dückert</w:t>
            </w:r>
          </w:p>
        </w:tc>
        <w:tc>
          <w:tcPr/>
          <w:p>
            <w:pPr>
              <w:pStyle w:val="Compact"/>
            </w:pPr>
            <w:r>
              <w:t xml:space="preserve">Ergänzung des Kapitels „Erfolgsfaktoren” mit der ganzheitlichen Perspektive Mindset, Skillset, Toolset aus dem Cogneon Guide Netzwerk Konzept.</w:t>
            </w:r>
          </w:p>
        </w:tc>
        <w:tc>
          <w:tcPr/>
          <w:p>
            <w:pPr>
              <w:pStyle w:val="Compact"/>
            </w:pPr>
            <w:r>
              <w:t xml:space="preserve">03.11.2017</w:t>
            </w:r>
          </w:p>
        </w:tc>
      </w:tr>
      <w:tr>
        <w:tc>
          <w:tcPr/>
          <w:p>
            <w:pPr>
              <w:pStyle w:val="Compact"/>
            </w:pPr>
            <w:r>
              <w:t xml:space="preserve">0.5</w:t>
            </w:r>
          </w:p>
        </w:tc>
        <w:tc>
          <w:tcPr/>
          <w:p>
            <w:pPr>
              <w:pStyle w:val="Compact"/>
            </w:pPr>
            <w:r>
              <w:t xml:space="preserve">Simon Dückert</w:t>
            </w:r>
          </w:p>
        </w:tc>
        <w:tc>
          <w:tcPr/>
          <w:p>
            <w:pPr>
              <w:pStyle w:val="Compact"/>
            </w:pPr>
            <w:r>
              <w:t xml:space="preserve">„Apps” durch „Toolbox” und „App” durch „Tool” ersetzt; wg. Feedback und KnowTouch Talk zu Framework – Toolbox – Tool ()</w:t>
            </w:r>
          </w:p>
        </w:tc>
        <w:tc>
          <w:tcPr/>
          <w:p>
            <w:pPr>
              <w:pStyle w:val="Compact"/>
            </w:pPr>
            <w:r>
              <w:t xml:space="preserve">18.03.2018</w:t>
            </w:r>
          </w:p>
        </w:tc>
      </w:tr>
      <w:tr>
        <w:tc>
          <w:tcPr/>
          <w:p>
            <w:pPr>
              <w:pStyle w:val="Compact"/>
            </w:pPr>
            <w:r>
              <w:t xml:space="preserve">0.6</w:t>
            </w:r>
          </w:p>
        </w:tc>
        <w:tc>
          <w:tcPr/>
          <w:p>
            <w:pPr>
              <w:pStyle w:val="Compact"/>
            </w:pPr>
            <w:r>
              <w:t xml:space="preserve">Simon Dückert</w:t>
            </w:r>
          </w:p>
        </w:tc>
        <w:tc>
          <w:tcPr/>
          <w:p>
            <w:pPr>
              <w:pStyle w:val="Compact"/>
            </w:pPr>
            <w:r>
              <w:t xml:space="preserve">Word-Version des lernOS für Organisationen Leitfaden in Markdown überführt.</w:t>
            </w:r>
          </w:p>
        </w:tc>
        <w:tc>
          <w:tcPr/>
          <w:p>
            <w:pPr>
              <w:pStyle w:val="Compact"/>
            </w:pPr>
            <w:r>
              <w:t xml:space="preserve">21.07.2019</w:t>
            </w:r>
          </w:p>
        </w:tc>
      </w:tr>
      <w:tr>
        <w:tc>
          <w:tcPr/>
          <w:p>
            <w:pPr>
              <w:pStyle w:val="Compact"/>
            </w:pPr>
            <w:r>
              <w:t xml:space="preserve">0.7</w:t>
            </w:r>
          </w:p>
        </w:tc>
        <w:tc>
          <w:tcPr/>
          <w:p>
            <w:pPr>
              <w:pStyle w:val="Compact"/>
            </w:pPr>
            <w:r>
              <w:t xml:space="preserve">Simon Dückert</w:t>
            </w:r>
          </w:p>
        </w:tc>
        <w:tc>
          <w:tcPr/>
          <w:p>
            <w:pPr>
              <w:pStyle w:val="Compact"/>
            </w:pPr>
            <w:r>
              <w:t xml:space="preserve">Grundlagen-Kapitel vollständig überarbeitet</w:t>
            </w:r>
          </w:p>
        </w:tc>
        <w:tc>
          <w:tcPr/>
          <w:p>
            <w:pPr>
              <w:pStyle w:val="Compact"/>
            </w:pPr>
            <w:r>
              <w:t xml:space="preserve">12.09.2020</w:t>
            </w:r>
          </w:p>
        </w:tc>
      </w:tr>
    </w:tbl>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77" Target="media/rId77.png" /><Relationship Type="http://schemas.openxmlformats.org/officeDocument/2006/relationships/image" Id="rId121" Target="media/rId121.jpg" /><Relationship Type="http://schemas.openxmlformats.org/officeDocument/2006/relationships/image" Id="rId134" Target="media/rId134.png" /><Relationship Type="http://schemas.openxmlformats.org/officeDocument/2006/relationships/image" Id="rId126" Target="media/rId126.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138" Target="media/rId138.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_rels/footnotes.xml.rels><?xml version="1.0" encoding="UTF-8"?><Relationships xmlns="http://schemas.openxmlformats.org/package/2006/relationships"><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2024-12-08T21:03:20Z</dcterms:created>
  <dcterms:modified xsi:type="dcterms:W3CDTF">2024-12-08T21:03:20Z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(12.09.2020)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