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Trebing: Ingenieur und Zettelkasten-Experte, Mitautor des Zettelkasten-Leitfadens</w:t>
      </w:r>
    </w:p>
    <w:p>
      <w:pPr>
        <w:pStyle w:val="Compact"/>
        <w:numPr>
          <w:ilvl w:val="0"/>
          <w:numId w:val="1107"/>
        </w:numPr>
      </w:pPr>
      <w:r>
        <w:t xml:space="preserve">Felix Harling: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12"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91"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p>
      <w:pPr>
        <w:pStyle w:val="Compact"/>
        <w:numPr>
          <w:ilvl w:val="0"/>
          <w:numId w:val="1134"/>
        </w:numPr>
      </w:pPr>
      <w:r>
        <w:rPr>
          <w:b/>
          <w:bCs/>
        </w:rPr>
        <w:t xml:space="preserve">Session Owner:</w:t>
      </w:r>
      <w:r>
        <w:t xml:space="preserve"> </w:t>
      </w:r>
      <w:hyperlink r:id="rId663">
        <w:r>
          <w:rPr>
            <w:rStyle w:val="Hyperlink"/>
          </w:rPr>
          <w:t xml:space="preserve">Simon Dückert</w:t>
        </w:r>
      </w:hyperlink>
      <w:r>
        <w:t xml:space="preserve">,</w:t>
      </w:r>
      <w:r>
        <w:t xml:space="preserve"> </w:t>
      </w:r>
      <w:hyperlink r:id="rId664">
        <w:r>
          <w:rPr>
            <w:rStyle w:val="Hyperlink"/>
          </w:rPr>
          <w:t xml:space="preserve">Christian Kaiser</w:t>
        </w:r>
      </w:hyperlink>
    </w:p>
    <w:p>
      <w:pPr>
        <w:pStyle w:val="Compact"/>
        <w:numPr>
          <w:ilvl w:val="0"/>
          <w:numId w:val="1134"/>
        </w:numPr>
      </w:pPr>
      <w:r>
        <w:rPr>
          <w:b/>
          <w:bCs/>
        </w:rPr>
        <w:t xml:space="preserve">Material:</w:t>
      </w:r>
      <w:r>
        <w:t xml:space="preserve"> </w:t>
      </w:r>
      <w:hyperlink r:id="rId665">
        <w:r>
          <w:rPr>
            <w:rStyle w:val="Hyperlink"/>
          </w:rPr>
          <w:t xml:space="preserve">Blog zur CLC-Session Peer Learning groß denken</w:t>
        </w:r>
      </w:hyperlink>
      <w:r>
        <w:t xml:space="preserve"> </w:t>
      </w:r>
      <w:r>
        <w:t xml:space="preserve">(auch</w:t>
      </w:r>
      <w:r>
        <w:t xml:space="preserve"> </w:t>
      </w:r>
      <w:hyperlink r:id="rId666">
        <w:r>
          <w:rPr>
            <w:rStyle w:val="Hyperlink"/>
          </w:rPr>
          <w:t xml:space="preserve">als Chatbot</w:t>
        </w:r>
      </w:hyperlink>
      <w:r>
        <w:t xml:space="preserve"> </w:t>
      </w:r>
      <w:r>
        <w:t xml:space="preserve">verfügbar)</w:t>
      </w:r>
    </w:p>
    <w:p>
      <w:pPr>
        <w:pStyle w:val="Compact"/>
        <w:numPr>
          <w:ilvl w:val="0"/>
          <w:numId w:val="1134"/>
        </w:numPr>
      </w:pPr>
      <w:r>
        <w:rPr>
          <w:b/>
          <w:bCs/>
        </w:rPr>
        <w:t xml:space="preserve">Transkript:</w:t>
      </w:r>
      <w:r>
        <w:t xml:space="preserve"> </w:t>
      </w:r>
      <w:hyperlink r:id="rId667">
        <w:r>
          <w:rPr>
            <w:rStyle w:val="Hyperlink"/>
          </w:rPr>
          <w:t xml:space="preserve">4-3-dueckert-kaiser.txt</w:t>
        </w:r>
      </w:hyperlink>
    </w:p>
    <w:bookmarkStart w:id="668" w:name="einführung-und-vorgeschichte"/>
    <w:p>
      <w:pPr>
        <w:pStyle w:val="Heading3"/>
      </w:pPr>
      <w:r>
        <w:rPr>
          <w:rStyle w:val="SectionNumber"/>
        </w:rPr>
        <w:t xml:space="preserve">5.3.1</w:t>
      </w:r>
      <w:r>
        <w:tab/>
      </w:r>
      <w:r>
        <w:t xml:space="preserve">Einführung und Vorgeschichte</w:t>
      </w:r>
    </w:p>
    <w:p>
      <w:pPr>
        <w:pStyle w:val="Compact"/>
        <w:numPr>
          <w:ilvl w:val="0"/>
          <w:numId w:val="1135"/>
        </w:numPr>
      </w:pPr>
      <w:r>
        <w:t xml:space="preserve">Setup der Session mit Discord-Integration</w:t>
      </w:r>
    </w:p>
    <w:p>
      <w:pPr>
        <w:pStyle w:val="Compact"/>
        <w:numPr>
          <w:ilvl w:val="0"/>
          <w:numId w:val="1135"/>
        </w:numPr>
      </w:pPr>
      <w:r>
        <w:t xml:space="preserve">Rückblick auf Corporate Learning MOOC und Camp-Sessions</w:t>
      </w:r>
    </w:p>
    <w:p>
      <w:pPr>
        <w:pStyle w:val="Compact"/>
        <w:numPr>
          <w:ilvl w:val="0"/>
          <w:numId w:val="1135"/>
        </w:numPr>
      </w:pPr>
      <w:r>
        <w:t xml:space="preserve">Vorstellung des Peer-Learning-Bots als Custom-GPT</w:t>
      </w:r>
    </w:p>
    <w:bookmarkEnd w:id="668"/>
    <w:bookmarkStart w:id="669"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6"/>
        </w:numPr>
      </w:pPr>
      <w:r>
        <w:t xml:space="preserve">Telekom Lex als Pionierformat</w:t>
      </w:r>
    </w:p>
    <w:p>
      <w:pPr>
        <w:pStyle w:val="Compact"/>
        <w:numPr>
          <w:ilvl w:val="0"/>
          <w:numId w:val="1136"/>
        </w:numPr>
      </w:pPr>
      <w:r>
        <w:t xml:space="preserve">Adaptionen bei DATEV und Bosch</w:t>
      </w:r>
    </w:p>
    <w:p>
      <w:pPr>
        <w:pStyle w:val="Compact"/>
        <w:numPr>
          <w:ilvl w:val="0"/>
          <w:numId w:val="1136"/>
        </w:numPr>
      </w:pPr>
      <w:r>
        <w:t xml:space="preserve">Definition von Peer-Learning nach Jöran Muuß-Merholz</w:t>
      </w:r>
    </w:p>
    <w:bookmarkEnd w:id="669"/>
    <w:bookmarkStart w:id="670"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7"/>
        </w:numPr>
      </w:pPr>
      <w:r>
        <w:t xml:space="preserve">Qualitätssicherung und Vertrauen</w:t>
      </w:r>
    </w:p>
    <w:p>
      <w:pPr>
        <w:pStyle w:val="Compact"/>
        <w:numPr>
          <w:ilvl w:val="0"/>
          <w:numId w:val="1137"/>
        </w:numPr>
      </w:pPr>
      <w:r>
        <w:t xml:space="preserve">Organisatorische Hürden</w:t>
      </w:r>
    </w:p>
    <w:p>
      <w:pPr>
        <w:pStyle w:val="Compact"/>
        <w:numPr>
          <w:ilvl w:val="0"/>
          <w:numId w:val="1137"/>
        </w:numPr>
      </w:pPr>
      <w:r>
        <w:t xml:space="preserve">Integration in bestehende Lernsysteme</w:t>
      </w:r>
    </w:p>
    <w:bookmarkEnd w:id="670"/>
    <w:bookmarkStart w:id="671" w:name="erfolgsbeispiele-und-best-practices"/>
    <w:p>
      <w:pPr>
        <w:pStyle w:val="Heading3"/>
      </w:pPr>
      <w:r>
        <w:rPr>
          <w:rStyle w:val="SectionNumber"/>
        </w:rPr>
        <w:t xml:space="preserve">5.3.4</w:t>
      </w:r>
      <w:r>
        <w:tab/>
      </w:r>
      <w:r>
        <w:t xml:space="preserve">Erfolgsbeispiele und Best Practices</w:t>
      </w:r>
    </w:p>
    <w:p>
      <w:pPr>
        <w:pStyle w:val="Compact"/>
        <w:numPr>
          <w:ilvl w:val="0"/>
          <w:numId w:val="1138"/>
        </w:numPr>
      </w:pPr>
      <w:r>
        <w:t xml:space="preserve">Updates von Telekom Lex</w:t>
      </w:r>
    </w:p>
    <w:p>
      <w:pPr>
        <w:pStyle w:val="Compact"/>
        <w:numPr>
          <w:ilvl w:val="0"/>
          <w:numId w:val="1138"/>
        </w:numPr>
      </w:pPr>
      <w:r>
        <w:t xml:space="preserve">DATEV-Erfahrungen</w:t>
      </w:r>
    </w:p>
    <w:p>
      <w:pPr>
        <w:pStyle w:val="Compact"/>
        <w:numPr>
          <w:ilvl w:val="0"/>
          <w:numId w:val="1138"/>
        </w:numPr>
      </w:pPr>
      <w:r>
        <w:t xml:space="preserve">LernOS Learning Circles</w:t>
      </w:r>
    </w:p>
    <w:bookmarkEnd w:id="671"/>
    <w:bookmarkStart w:id="672"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9"/>
        </w:numPr>
      </w:pPr>
      <w:r>
        <w:t xml:space="preserve">Monatliche Meetups ab September</w:t>
      </w:r>
    </w:p>
    <w:p>
      <w:pPr>
        <w:pStyle w:val="Compact"/>
        <w:numPr>
          <w:ilvl w:val="0"/>
          <w:numId w:val="1139"/>
        </w:numPr>
      </w:pPr>
      <w:r>
        <w:t xml:space="preserve">Peer-Learning-Allianz</w:t>
      </w:r>
    </w:p>
    <w:p>
      <w:pPr>
        <w:pStyle w:val="Compact"/>
        <w:numPr>
          <w:ilvl w:val="0"/>
          <w:numId w:val="1139"/>
        </w:numPr>
      </w:pPr>
      <w:r>
        <w:t xml:space="preserve">Konkrete nächste Schritte</w:t>
      </w:r>
    </w:p>
    <w:bookmarkEnd w:id="672"/>
    <w:bookmarkStart w:id="673" w:name="kernaussagen-4"/>
    <w:p>
      <w:pPr>
        <w:pStyle w:val="Heading3"/>
      </w:pPr>
      <w:r>
        <w:rPr>
          <w:rStyle w:val="SectionNumber"/>
        </w:rPr>
        <w:t xml:space="preserve">5.3.6</w:t>
      </w:r>
      <w:r>
        <w:tab/>
      </w:r>
      <w:r>
        <w:t xml:space="preserve">Kernaussagen</w:t>
      </w:r>
    </w:p>
    <w:bookmarkEnd w:id="673"/>
    <w:bookmarkStart w:id="674"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74"/>
    <w:bookmarkStart w:id="675"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5"/>
    <w:bookmarkStart w:id="676"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6"/>
    <w:bookmarkStart w:id="677"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7"/>
    <w:bookmarkStart w:id="678"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8"/>
    <w:bookmarkStart w:id="679"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9"/>
    <w:bookmarkStart w:id="680"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80"/>
    <w:bookmarkStart w:id="681"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81"/>
    <w:bookmarkStart w:id="682"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82"/>
    <w:bookmarkStart w:id="683" w:name="Xfa876fcdfb7da56b1902fe27e238566362e6a1d"/>
    <w:p>
      <w:pPr>
        <w:pStyle w:val="Heading3"/>
      </w:pPr>
      <w:r>
        <w:rPr>
          <w:rStyle w:val="SectionNumber"/>
        </w:rPr>
        <w:t xml:space="preserve">5.3.16</w:t>
      </w:r>
      <w:r>
        <w:tab/>
      </w:r>
      <w:r>
        <w:t xml:space="preserve">Handlungsempfehlungen und Call to Actions</w:t>
      </w:r>
    </w:p>
    <w:bookmarkEnd w:id="683"/>
    <w:bookmarkStart w:id="684"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84"/>
    <w:bookmarkStart w:id="685"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5"/>
    <w:bookmarkStart w:id="686"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6"/>
    <w:bookmarkStart w:id="687"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7"/>
    <w:bookmarkStart w:id="688"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8"/>
    <w:bookmarkStart w:id="689"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9"/>
    <w:bookmarkStart w:id="690"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90"/>
    <w:bookmarkEnd w:id="691"/>
    <w:bookmarkStart w:id="711"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92" w:name="einführung-und-problemstellung-1"/>
    <w:p>
      <w:pPr>
        <w:pStyle w:val="Heading3"/>
      </w:pPr>
      <w:r>
        <w:rPr>
          <w:rStyle w:val="SectionNumber"/>
        </w:rPr>
        <w:t xml:space="preserve">5.4.1</w:t>
      </w:r>
      <w:r>
        <w:tab/>
      </w:r>
      <w:r>
        <w:t xml:space="preserve">Einführung und Problemstellung</w:t>
      </w:r>
    </w:p>
    <w:p>
      <w:pPr>
        <w:pStyle w:val="Compact"/>
        <w:numPr>
          <w:ilvl w:val="0"/>
          <w:numId w:val="1140"/>
        </w:numPr>
      </w:pPr>
      <w:r>
        <w:t xml:space="preserve">Vorstellung der Sprecher und des Kontexts (LosCon 2024)</w:t>
      </w:r>
    </w:p>
    <w:p>
      <w:pPr>
        <w:pStyle w:val="Compact"/>
        <w:numPr>
          <w:ilvl w:val="0"/>
          <w:numId w:val="1140"/>
        </w:numPr>
      </w:pPr>
      <w:r>
        <w:t xml:space="preserve">Definition des</w:t>
      </w:r>
      <w:r>
        <w:t xml:space="preserve"> </w:t>
      </w:r>
      <w:r>
        <w:t xml:space="preserve">“Working Learning Gap”</w:t>
      </w:r>
    </w:p>
    <w:p>
      <w:pPr>
        <w:pStyle w:val="Compact"/>
        <w:numPr>
          <w:ilvl w:val="0"/>
          <w:numId w:val="1140"/>
        </w:numPr>
      </w:pPr>
      <w:r>
        <w:t xml:space="preserve">Übergang von der Lernbereitschaft zur Teilungsbereitschaft</w:t>
      </w:r>
    </w:p>
    <w:bookmarkEnd w:id="692"/>
    <w:bookmarkStart w:id="693"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1"/>
        </w:numPr>
      </w:pPr>
      <w:r>
        <w:t xml:space="preserve">Das</w:t>
      </w:r>
      <w:r>
        <w:t xml:space="preserve"> </w:t>
      </w:r>
      <w:r>
        <w:t xml:space="preserve">“Unkündbarkeits-Paradigma”</w:t>
      </w:r>
    </w:p>
    <w:p>
      <w:pPr>
        <w:pStyle w:val="Compact"/>
        <w:numPr>
          <w:ilvl w:val="0"/>
          <w:numId w:val="1141"/>
        </w:numPr>
      </w:pPr>
      <w:r>
        <w:t xml:space="preserve">Kulturelle Barrieren in Unternehmen</w:t>
      </w:r>
    </w:p>
    <w:p>
      <w:pPr>
        <w:pStyle w:val="Compact"/>
        <w:numPr>
          <w:ilvl w:val="0"/>
          <w:numId w:val="1141"/>
        </w:numPr>
      </w:pPr>
      <w:r>
        <w:t xml:space="preserve">Die Rolle von Führungskräften</w:t>
      </w:r>
    </w:p>
    <w:bookmarkEnd w:id="693"/>
    <w:bookmarkStart w:id="694" w:name="praktische-lösungsansätze"/>
    <w:p>
      <w:pPr>
        <w:pStyle w:val="Heading3"/>
      </w:pPr>
      <w:r>
        <w:rPr>
          <w:rStyle w:val="SectionNumber"/>
        </w:rPr>
        <w:t xml:space="preserve">5.4.3</w:t>
      </w:r>
      <w:r>
        <w:tab/>
      </w:r>
      <w:r>
        <w:t xml:space="preserve">Praktische Lösungsansätze</w:t>
      </w:r>
    </w:p>
    <w:p>
      <w:pPr>
        <w:pStyle w:val="Compact"/>
        <w:numPr>
          <w:ilvl w:val="0"/>
          <w:numId w:val="1142"/>
        </w:numPr>
      </w:pPr>
      <w:r>
        <w:t xml:space="preserve">Multiplikatoren und Aktivatoren</w:t>
      </w:r>
    </w:p>
    <w:p>
      <w:pPr>
        <w:pStyle w:val="Compact"/>
        <w:numPr>
          <w:ilvl w:val="0"/>
          <w:numId w:val="1142"/>
        </w:numPr>
      </w:pPr>
      <w:r>
        <w:t xml:space="preserve">Zertifizierungsprogramme als Motivationsinstrument</w:t>
      </w:r>
    </w:p>
    <w:p>
      <w:pPr>
        <w:pStyle w:val="Compact"/>
        <w:numPr>
          <w:ilvl w:val="0"/>
          <w:numId w:val="1142"/>
        </w:numPr>
      </w:pPr>
      <w:r>
        <w:t xml:space="preserve">Community-Building und direkte Ansprache</w:t>
      </w:r>
    </w:p>
    <w:bookmarkEnd w:id="694"/>
    <w:bookmarkStart w:id="695" w:name="diskussion-mit-dem-publikum"/>
    <w:p>
      <w:pPr>
        <w:pStyle w:val="Heading3"/>
      </w:pPr>
      <w:r>
        <w:rPr>
          <w:rStyle w:val="SectionNumber"/>
        </w:rPr>
        <w:t xml:space="preserve">5.4.4</w:t>
      </w:r>
      <w:r>
        <w:tab/>
      </w:r>
      <w:r>
        <w:t xml:space="preserve">Diskussion mit dem Publikum</w:t>
      </w:r>
    </w:p>
    <w:p>
      <w:pPr>
        <w:pStyle w:val="Compact"/>
        <w:numPr>
          <w:ilvl w:val="0"/>
          <w:numId w:val="1143"/>
        </w:numPr>
      </w:pPr>
      <w:r>
        <w:t xml:space="preserve">Erfahrungsaustausch verschiedener Unternehmen</w:t>
      </w:r>
    </w:p>
    <w:p>
      <w:pPr>
        <w:pStyle w:val="Compact"/>
        <w:numPr>
          <w:ilvl w:val="0"/>
          <w:numId w:val="1143"/>
        </w:numPr>
      </w:pPr>
      <w:r>
        <w:t xml:space="preserve">Rolle von Multiplikatoren</w:t>
      </w:r>
    </w:p>
    <w:p>
      <w:pPr>
        <w:pStyle w:val="Compact"/>
        <w:numPr>
          <w:ilvl w:val="0"/>
          <w:numId w:val="1143"/>
        </w:numPr>
      </w:pPr>
      <w:r>
        <w:t xml:space="preserve">Mehrwert des Wissensteilens</w:t>
      </w:r>
    </w:p>
    <w:bookmarkEnd w:id="695"/>
    <w:bookmarkStart w:id="696" w:name="kernaussagen-5"/>
    <w:p>
      <w:pPr>
        <w:pStyle w:val="Heading3"/>
      </w:pPr>
      <w:r>
        <w:rPr>
          <w:rStyle w:val="SectionNumber"/>
        </w:rPr>
        <w:t xml:space="preserve">5.4.5</w:t>
      </w:r>
      <w:r>
        <w:tab/>
      </w:r>
      <w:r>
        <w:t xml:space="preserve">Kernaussagen</w:t>
      </w:r>
    </w:p>
    <w:bookmarkEnd w:id="696"/>
    <w:bookmarkStart w:id="697"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7"/>
    <w:bookmarkStart w:id="698"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8"/>
    <w:bookmarkStart w:id="699"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9"/>
    <w:bookmarkStart w:id="700"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700"/>
    <w:bookmarkStart w:id="701"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701"/>
    <w:bookmarkStart w:id="702"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702"/>
    <w:bookmarkStart w:id="703"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703"/>
    <w:bookmarkStart w:id="704"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704"/>
    <w:bookmarkStart w:id="705"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5"/>
    <w:bookmarkStart w:id="706"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6"/>
    <w:bookmarkStart w:id="707" w:name="handlungsempfehlungen-9"/>
    <w:p>
      <w:pPr>
        <w:pStyle w:val="Heading3"/>
      </w:pPr>
      <w:r>
        <w:rPr>
          <w:rStyle w:val="SectionNumber"/>
        </w:rPr>
        <w:t xml:space="preserve">5.4.16</w:t>
      </w:r>
      <w:r>
        <w:tab/>
      </w:r>
      <w:r>
        <w:t xml:space="preserve">Handlungsempfehlungen</w:t>
      </w:r>
    </w:p>
    <w:bookmarkEnd w:id="707"/>
    <w:bookmarkStart w:id="708"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4"/>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4"/>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4"/>
        </w:numPr>
      </w:pPr>
      <w:r>
        <w:rPr>
          <w:b/>
          <w:bCs/>
        </w:rPr>
        <w:t xml:space="preserve">Den Mehrwert transparent kommunizieren</w:t>
      </w:r>
      <w:r>
        <w:t xml:space="preserve">: Machen Sie deutlich, welche persönlichen und beruflichen Vorteile Wissensteilung bringt</w:t>
      </w:r>
    </w:p>
    <w:p>
      <w:pPr>
        <w:pStyle w:val="Compact"/>
        <w:numPr>
          <w:ilvl w:val="0"/>
          <w:numId w:val="1144"/>
        </w:numPr>
      </w:pPr>
      <w:r>
        <w:rPr>
          <w:b/>
          <w:bCs/>
        </w:rPr>
        <w:t xml:space="preserve">Kulturwandel aktiv vorantreiben</w:t>
      </w:r>
      <w:r>
        <w:t xml:space="preserve">: Etablieren Sie Wissensteilung als selbstverständlichen Teil der Unternehmenskultur</w:t>
      </w:r>
    </w:p>
    <w:p>
      <w:pPr>
        <w:pStyle w:val="Compact"/>
        <w:numPr>
          <w:ilvl w:val="0"/>
          <w:numId w:val="1144"/>
        </w:numPr>
      </w:pPr>
      <w:r>
        <w:rPr>
          <w:b/>
          <w:bCs/>
        </w:rPr>
        <w:t xml:space="preserve">Verschiedene Formate anbieten</w:t>
      </w:r>
      <w:r>
        <w:t xml:space="preserve">: Nutzen Sie Sprechstunden, virtuelle Kaffeerunden und Community-Plattformen für unterschiedliche Teilungsbedarfe</w:t>
      </w:r>
    </w:p>
    <w:bookmarkEnd w:id="708"/>
    <w:bookmarkStart w:id="709" w:name="für-wissensarbeiter"/>
    <w:p>
      <w:pPr>
        <w:pStyle w:val="Heading3"/>
      </w:pPr>
      <w:r>
        <w:rPr>
          <w:rStyle w:val="SectionNumber"/>
        </w:rPr>
        <w:t xml:space="preserve">5.4.18</w:t>
      </w:r>
      <w:r>
        <w:tab/>
      </w:r>
      <w:r>
        <w:t xml:space="preserve">Für Wissensarbeiter</w:t>
      </w:r>
    </w:p>
    <w:p>
      <w:pPr>
        <w:pStyle w:val="Compact"/>
        <w:numPr>
          <w:ilvl w:val="0"/>
          <w:numId w:val="1145"/>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5"/>
        </w:numPr>
      </w:pPr>
      <w:r>
        <w:rPr>
          <w:b/>
          <w:bCs/>
        </w:rPr>
        <w:t xml:space="preserve">Klein anfangen</w:t>
      </w:r>
      <w:r>
        <w:t xml:space="preserve">: Beginnen Sie mit der Teilung kleiner Erkenntnisse und Lifehacks</w:t>
      </w:r>
    </w:p>
    <w:p>
      <w:pPr>
        <w:pStyle w:val="Compact"/>
        <w:numPr>
          <w:ilvl w:val="0"/>
          <w:numId w:val="1145"/>
        </w:numPr>
      </w:pPr>
      <w:r>
        <w:rPr>
          <w:b/>
          <w:bCs/>
        </w:rPr>
        <w:t xml:space="preserve">Lerneffekt durch Lehren nutzen</w:t>
      </w:r>
      <w:r>
        <w:t xml:space="preserve">: Erkennen Sie das Erklären als Möglichkeit zur eigenen Weiterentwicklung</w:t>
      </w:r>
    </w:p>
    <w:p>
      <w:pPr>
        <w:pStyle w:val="Compact"/>
        <w:numPr>
          <w:ilvl w:val="0"/>
          <w:numId w:val="1145"/>
        </w:numPr>
      </w:pPr>
      <w:r>
        <w:rPr>
          <w:b/>
          <w:bCs/>
        </w:rPr>
        <w:t xml:space="preserve">Netzwerk erweitern</w:t>
      </w:r>
      <w:r>
        <w:t xml:space="preserve">: Suchen Sie aktiv den Austausch mit Kollegen aus anderen Bereichen</w:t>
      </w:r>
    </w:p>
    <w:p>
      <w:pPr>
        <w:pStyle w:val="Compact"/>
        <w:numPr>
          <w:ilvl w:val="0"/>
          <w:numId w:val="1145"/>
        </w:numPr>
      </w:pPr>
      <w:r>
        <w:rPr>
          <w:b/>
          <w:bCs/>
        </w:rPr>
        <w:t xml:space="preserve">Mut zur Unperfektion</w:t>
      </w:r>
      <w:r>
        <w:t xml:space="preserve">: Teilen Sie auch unvollständiges Wissen und Erfahrungen mit Fehlern</w:t>
      </w:r>
    </w:p>
    <w:bookmarkEnd w:id="709"/>
    <w:bookmarkStart w:id="710" w:name="für-community-manager-1"/>
    <w:p>
      <w:pPr>
        <w:pStyle w:val="Heading3"/>
      </w:pPr>
      <w:r>
        <w:rPr>
          <w:rStyle w:val="SectionNumber"/>
        </w:rPr>
        <w:t xml:space="preserve">5.4.19</w:t>
      </w:r>
      <w:r>
        <w:tab/>
      </w:r>
      <w:r>
        <w:t xml:space="preserve">Für Community-Manager</w:t>
      </w:r>
    </w:p>
    <w:p>
      <w:pPr>
        <w:pStyle w:val="Compact"/>
        <w:numPr>
          <w:ilvl w:val="0"/>
          <w:numId w:val="1146"/>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6"/>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6"/>
        </w:numPr>
      </w:pPr>
      <w:r>
        <w:rPr>
          <w:b/>
          <w:bCs/>
        </w:rPr>
        <w:t xml:space="preserve">Erfolgsgeschichten sichtbar machen</w:t>
      </w:r>
      <w:r>
        <w:t xml:space="preserve">: Kommunizieren Sie positive Beispiele von Karriereentwicklung durch Wissensteilung</w:t>
      </w:r>
    </w:p>
    <w:p>
      <w:pPr>
        <w:pStyle w:val="Compact"/>
        <w:numPr>
          <w:ilvl w:val="0"/>
          <w:numId w:val="1146"/>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10"/>
    <w:bookmarkEnd w:id="711"/>
    <w:bookmarkEnd w:id="712"/>
    <w:bookmarkStart w:id="715" w:name="anhang"/>
    <w:p>
      <w:pPr>
        <w:pStyle w:val="Heading1"/>
      </w:pPr>
      <w:r>
        <w:rPr>
          <w:rStyle w:val="SectionNumber"/>
        </w:rPr>
        <w:t xml:space="preserve">6</w:t>
      </w:r>
      <w:r>
        <w:tab/>
      </w:r>
      <w:r>
        <w:t xml:space="preserve">Anhang</w:t>
      </w:r>
    </w:p>
    <w:bookmarkStart w:id="714"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7"/>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7"/>
        </w:numPr>
      </w:pPr>
      <w:r>
        <w:rPr>
          <w:b/>
          <w:bCs/>
        </w:rPr>
        <w:t xml:space="preserve">Moderationen:</w:t>
      </w:r>
      <w:r>
        <w:t xml:space="preserve"> </w:t>
      </w:r>
      <w:r>
        <w:t xml:space="preserve">Harald, Victoria (Hauptmoderation), Marina, Gerd (Promptathon)</w:t>
      </w:r>
    </w:p>
    <w:p>
      <w:pPr>
        <w:pStyle w:val="Compact"/>
        <w:numPr>
          <w:ilvl w:val="0"/>
          <w:numId w:val="1147"/>
        </w:numPr>
      </w:pPr>
      <w:r>
        <w:rPr>
          <w:b/>
          <w:bCs/>
        </w:rPr>
        <w:t xml:space="preserve">Video-Team:</w:t>
      </w:r>
      <w:r>
        <w:t xml:space="preserve"> </w:t>
      </w:r>
      <w:r>
        <w:t xml:space="preserve">Benedikt, Magnus, Marcel, Florian</w:t>
      </w:r>
    </w:p>
    <w:p>
      <w:pPr>
        <w:pStyle w:val="Compact"/>
        <w:numPr>
          <w:ilvl w:val="0"/>
          <w:numId w:val="1147"/>
        </w:numPr>
      </w:pPr>
      <w:r>
        <w:rPr>
          <w:b/>
          <w:bCs/>
        </w:rPr>
        <w:t xml:space="preserve">Room-Buddys:</w:t>
      </w:r>
      <w:r>
        <w:t xml:space="preserve"> </w:t>
      </w:r>
      <w:r>
        <w:t xml:space="preserve">Julia, Kerstin, Thomas, Felix</w:t>
      </w:r>
    </w:p>
    <w:p>
      <w:pPr>
        <w:pStyle w:val="Compact"/>
        <w:numPr>
          <w:ilvl w:val="0"/>
          <w:numId w:val="1147"/>
        </w:numPr>
      </w:pPr>
      <w:r>
        <w:rPr>
          <w:b/>
          <w:bCs/>
        </w:rPr>
        <w:t xml:space="preserve">Podcast-Tisch:</w:t>
      </w:r>
      <w:r>
        <w:t xml:space="preserve"> </w:t>
      </w:r>
      <w:r>
        <w:t xml:space="preserve">Silvia</w:t>
      </w:r>
    </w:p>
    <w:p>
      <w:pPr>
        <w:pStyle w:val="Compact"/>
        <w:numPr>
          <w:ilvl w:val="0"/>
          <w:numId w:val="1147"/>
        </w:numPr>
      </w:pPr>
      <w:r>
        <w:rPr>
          <w:b/>
          <w:bCs/>
        </w:rPr>
        <w:t xml:space="preserve">Empfang:</w:t>
      </w:r>
      <w:r>
        <w:t xml:space="preserve"> </w:t>
      </w:r>
      <w:r>
        <w:t xml:space="preserve">Andja</w:t>
      </w:r>
    </w:p>
    <w:p>
      <w:pPr>
        <w:pStyle w:val="Compact"/>
        <w:numPr>
          <w:ilvl w:val="0"/>
          <w:numId w:val="1147"/>
        </w:numPr>
      </w:pPr>
      <w:r>
        <w:rPr>
          <w:b/>
          <w:bCs/>
        </w:rPr>
        <w:t xml:space="preserve">loscon Satelliten:</w:t>
      </w:r>
      <w:r>
        <w:t xml:space="preserve"> </w:t>
      </w:r>
      <w:r>
        <w:t xml:space="preserve">Oliver, Alex, Karl, Brigitte</w:t>
      </w:r>
    </w:p>
    <w:p>
      <w:pPr>
        <w:pStyle w:val="Compact"/>
        <w:numPr>
          <w:ilvl w:val="0"/>
          <w:numId w:val="1147"/>
        </w:numPr>
      </w:pPr>
      <w:r>
        <w:rPr>
          <w:b/>
          <w:bCs/>
        </w:rPr>
        <w:t xml:space="preserve">loscon Smartcards:</w:t>
      </w:r>
      <w:r>
        <w:t xml:space="preserve"> </w:t>
      </w:r>
      <w:r>
        <w:t xml:space="preserve">Marlene</w:t>
      </w:r>
    </w:p>
    <w:p>
      <w:pPr>
        <w:pStyle w:val="Compact"/>
        <w:numPr>
          <w:ilvl w:val="0"/>
          <w:numId w:val="1147"/>
        </w:numPr>
      </w:pPr>
      <w:r>
        <w:rPr>
          <w:b/>
          <w:bCs/>
        </w:rPr>
        <w:t xml:space="preserve">lernOS Supporter:</w:t>
      </w:r>
      <w:r>
        <w:t xml:space="preserve"> </w:t>
      </w:r>
      <w:r>
        <w:t xml:space="preserve">LV1871, DATEV, SAP, Netzsch, EnBW, bayernwerk, IPI, Schaeffler</w:t>
      </w:r>
    </w:p>
    <w:p>
      <w:pPr>
        <w:pStyle w:val="Compact"/>
        <w:numPr>
          <w:ilvl w:val="0"/>
          <w:numId w:val="1147"/>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13">
        <w:r>
          <w:rPr>
            <w:rStyle w:val="Hyperlink"/>
          </w:rPr>
          <w:t xml:space="preserve">loscon@lernos.org</w:t>
        </w:r>
      </w:hyperlink>
      <w:r>
        <w:t xml:space="preserve"> </w:t>
      </w:r>
      <w:r>
        <w:t xml:space="preserve">schreiben.</w:t>
      </w:r>
    </w:p>
    <w:bookmarkEnd w:id="714"/>
    <w:bookmarkEnd w:id="7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2025-07-12T05:29:54Z</dcterms:created>
  <dcterms:modified xsi:type="dcterms:W3CDTF">2025-07-12T05:29:54Z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