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84" w:name="impulsvorträge"/>
    <w:p>
      <w:pPr>
        <w:pStyle w:val="Heading1"/>
      </w:pPr>
      <w:r>
        <w:rPr>
          <w:rStyle w:val="SectionNumber"/>
        </w:rPr>
        <w:t xml:space="preserve">4</w:t>
      </w:r>
      <w:r>
        <w:tab/>
      </w:r>
      <w:r>
        <w:t xml:space="preserve">Impulsvorträge</w:t>
      </w:r>
    </w:p>
    <w:bookmarkStart w:id="73"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4" w:name="gliederung-und-aufbau-des-vortrags"/>
    <w:p>
      <w:pPr>
        <w:pStyle w:val="Heading3"/>
      </w:pPr>
      <w:r>
        <w:rPr>
          <w:rStyle w:val="SectionNumber"/>
        </w:rPr>
        <w:t xml:space="preserve">4.1.1</w:t>
      </w:r>
      <w:r>
        <w:tab/>
      </w:r>
      <w:r>
        <w:t xml:space="preserve">Gliederung und Aufbau des Vortrags</w:t>
      </w:r>
    </w:p>
    <w:bookmarkStart w:id="60"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0"/>
    <w:bookmarkStart w:id="61"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1"/>
    <w:bookmarkStart w:id="62"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2"/>
    <w:bookmarkStart w:id="63"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3"/>
    <w:bookmarkEnd w:id="64"/>
    <w:bookmarkStart w:id="65"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5"/>
    <w:bookmarkStart w:id="68" w:name="offene-fragestellungen-1"/>
    <w:p>
      <w:pPr>
        <w:pStyle w:val="Heading3"/>
      </w:pPr>
      <w:r>
        <w:rPr>
          <w:rStyle w:val="SectionNumber"/>
        </w:rPr>
        <w:t xml:space="preserve">4.1.3</w:t>
      </w:r>
      <w:r>
        <w:tab/>
      </w:r>
      <w:r>
        <w:t xml:space="preserve">Offene Fragestellungen</w:t>
      </w:r>
    </w:p>
    <w:bookmarkStart w:id="66"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6"/>
    <w:bookmarkStart w:id="67"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7"/>
    <w:bookmarkEnd w:id="68"/>
    <w:bookmarkStart w:id="72" w:name="handlungsempfehlungen"/>
    <w:p>
      <w:pPr>
        <w:pStyle w:val="Heading3"/>
      </w:pPr>
      <w:r>
        <w:rPr>
          <w:rStyle w:val="SectionNumber"/>
        </w:rPr>
        <w:t xml:space="preserve">4.1.4</w:t>
      </w:r>
      <w:r>
        <w:tab/>
      </w:r>
      <w:r>
        <w:t xml:space="preserve">Handlungsempfehlungen</w:t>
      </w:r>
    </w:p>
    <w:bookmarkStart w:id="69"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69"/>
    <w:bookmarkStart w:id="70"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0"/>
    <w:bookmarkStart w:id="71"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1"/>
    <w:bookmarkEnd w:id="72"/>
    <w:bookmarkEnd w:id="73"/>
    <w:bookmarkStart w:id="78"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74"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74"/>
    <w:bookmarkStart w:id="75" w:name="kernaussagen-des-vortrags-1"/>
    <w:p>
      <w:pPr>
        <w:pStyle w:val="Heading4"/>
      </w:pPr>
      <w:r>
        <w:rPr>
          <w:rStyle w:val="SectionNumber"/>
        </w:rPr>
        <w:t xml:space="preserve">4.2.0.2</w:t>
      </w:r>
      <w:r>
        <w:tab/>
      </w:r>
      <w:r>
        <w:t xml:space="preserve">Kernaussagen des Vortrags</w:t>
      </w:r>
    </w:p>
    <w:p>
      <w:pPr>
        <w:pStyle w:val="Compact"/>
        <w:numPr>
          <w:ilvl w:val="0"/>
          <w:numId w:val="101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1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1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1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75"/>
    <w:bookmarkStart w:id="76" w:name="offene-fragestellungen-2"/>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14"/>
        </w:numPr>
      </w:pPr>
      <w:r>
        <w:t xml:space="preserve">Wie kann die Lücke zwischen vorhandenen KI-Kompetenzmodellen und der praktischen Umsetzung in Unternehmen geschlossen werden?</w:t>
      </w:r>
    </w:p>
    <w:p>
      <w:pPr>
        <w:pStyle w:val="Compact"/>
        <w:numPr>
          <w:ilvl w:val="0"/>
          <w:numId w:val="1014"/>
        </w:numPr>
      </w:pPr>
      <w:r>
        <w:t xml:space="preserve">Wie können Mitarbeitende ohne traditionelle Trainingsformate an KI-Kompetenzen herangeführt werden?</w:t>
      </w:r>
    </w:p>
    <w:p>
      <w:pPr>
        <w:pStyle w:val="Compact"/>
        <w:numPr>
          <w:ilvl w:val="0"/>
          <w:numId w:val="1014"/>
        </w:numPr>
      </w:pPr>
      <w:r>
        <w:t xml:space="preserve">Welche Rolle sollte L&amp;D jenseits der reinen Effizienzsteigerung bei der KI-Integration spielen?</w:t>
      </w:r>
    </w:p>
    <w:p>
      <w:pPr>
        <w:pStyle w:val="Compact"/>
        <w:numPr>
          <w:ilvl w:val="0"/>
          <w:numId w:val="1014"/>
        </w:numPr>
      </w:pPr>
      <w:r>
        <w:t xml:space="preserve">Wie kann Peer-Learning systematisch in Unternehmen verschiedener Größen implementiert werden?</w:t>
      </w:r>
    </w:p>
    <w:bookmarkEnd w:id="76"/>
    <w:bookmarkStart w:id="77" w:name="handlungsempfehlungen-1"/>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1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1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1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1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1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1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77"/>
    <w:bookmarkEnd w:id="78"/>
    <w:bookmarkStart w:id="83"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79"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1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16"/>
        </w:numPr>
      </w:pPr>
      <w:r>
        <w:rPr>
          <w:b/>
          <w:bCs/>
        </w:rPr>
        <w:t xml:space="preserve">Problematik der aktuellen Bewertungssysteme</w:t>
      </w:r>
      <w:r>
        <w:t xml:space="preserve"> </w:t>
      </w:r>
      <w:r>
        <w:t xml:space="preserve">- Kritik am Schwächenfokus in Unternehmen</w:t>
      </w:r>
    </w:p>
    <w:p>
      <w:pPr>
        <w:pStyle w:val="Compact"/>
        <w:numPr>
          <w:ilvl w:val="0"/>
          <w:numId w:val="1016"/>
        </w:numPr>
      </w:pPr>
      <w:r>
        <w:rPr>
          <w:b/>
          <w:bCs/>
        </w:rPr>
        <w:t xml:space="preserve">Rolle von HR und Führungskräften</w:t>
      </w:r>
      <w:r>
        <w:t xml:space="preserve"> </w:t>
      </w:r>
      <w:r>
        <w:t xml:space="preserve">- Verantwortlichkeiten bei der Erkennung und Förderung</w:t>
      </w:r>
    </w:p>
    <w:p>
      <w:pPr>
        <w:pStyle w:val="Compact"/>
        <w:numPr>
          <w:ilvl w:val="0"/>
          <w:numId w:val="1016"/>
        </w:numPr>
      </w:pPr>
      <w:r>
        <w:rPr>
          <w:b/>
          <w:bCs/>
        </w:rPr>
        <w:t xml:space="preserve">Kulturelle Voraussetzungen und Handlungsempfehlungen</w:t>
      </w:r>
      <w:r>
        <w:t xml:space="preserve"> </w:t>
      </w:r>
      <w:r>
        <w:t xml:space="preserve">- Notwendige Rahmenbedingungen für erfolgreiche Umsetzung</w:t>
      </w:r>
    </w:p>
    <w:bookmarkEnd w:id="79"/>
    <w:bookmarkStart w:id="80"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80"/>
    <w:bookmarkStart w:id="81" w:name="offene-fragestellungen-3"/>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17"/>
        </w:numPr>
      </w:pPr>
      <w:r>
        <w:rPr>
          <w:i/>
          <w:iCs/>
        </w:rPr>
        <w:t xml:space="preserve">“Was gelingt dir eigentlich gut, was anderen schwerfällt?”</w:t>
      </w:r>
    </w:p>
    <w:p>
      <w:pPr>
        <w:pStyle w:val="Compact"/>
        <w:numPr>
          <w:ilvl w:val="0"/>
          <w:numId w:val="1017"/>
        </w:numPr>
      </w:pPr>
      <w:r>
        <w:rPr>
          <w:i/>
          <w:iCs/>
        </w:rPr>
        <w:t xml:space="preserve">“Was macht dir Freude? Wo kommst du in den Flow rein?”</w:t>
      </w:r>
    </w:p>
    <w:p>
      <w:pPr>
        <w:pStyle w:val="Compact"/>
        <w:numPr>
          <w:ilvl w:val="0"/>
          <w:numId w:val="1017"/>
        </w:numPr>
      </w:pPr>
      <w:r>
        <w:rPr>
          <w:i/>
          <w:iCs/>
        </w:rPr>
        <w:t xml:space="preserve">“Was fällt dir leicht, was anderen schwerfällt?”</w:t>
      </w:r>
    </w:p>
    <w:p>
      <w:pPr>
        <w:pStyle w:val="Compact"/>
        <w:numPr>
          <w:ilvl w:val="0"/>
          <w:numId w:val="101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81"/>
    <w:bookmarkStart w:id="82" w:name="handlungsempfehlungen-2"/>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82"/>
    <w:bookmarkEnd w:id="83"/>
    <w:bookmarkEnd w:id="84"/>
    <w:bookmarkStart w:id="117" w:name="lightning-talks"/>
    <w:p>
      <w:pPr>
        <w:pStyle w:val="Heading1"/>
      </w:pPr>
      <w:r>
        <w:rPr>
          <w:rStyle w:val="SectionNumber"/>
        </w:rPr>
        <w:t xml:space="preserve">5</w:t>
      </w:r>
      <w:r>
        <w:tab/>
      </w:r>
      <w:r>
        <w:t xml:space="preserve">Lightning Talks</w:t>
      </w:r>
    </w:p>
    <w:bookmarkStart w:id="89"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Frederik von Kyndril präsentierte in diesem Knowledge Café innovative Ansätze zur Transformation der Key User-Rolle in SAP-Projekten. Der Vortrag beleuchtete die chronischen Herausforderungen traditioneller Key User-Konzepte und stellte collaborative Learning-Methoden als Lösung vor. Dabei stand die Aktivierung der</w:t>
      </w:r>
      <w:r>
        <w:t xml:space="preserve"> </w:t>
      </w:r>
      <w:r>
        <w:t xml:space="preserve">“Human Superpowers”</w:t>
      </w:r>
      <w:r>
        <w:t xml:space="preserve"> </w:t>
      </w:r>
      <w:r>
        <w:t xml:space="preserve">im Mittelpunkt - ein Paradigmenwechsel von passiven Trainingsempfängern hin zu aktiven Mentoren und Multiplikatoren der Transformation.</w:t>
      </w:r>
    </w:p>
    <w:bookmarkStart w:id="85" w:name="gliederung-und-aufbau-des-vortrags-3"/>
    <w:p>
      <w:pPr>
        <w:pStyle w:val="Heading3"/>
      </w:pPr>
      <w:r>
        <w:rPr>
          <w:rStyle w:val="SectionNumber"/>
        </w:rPr>
        <w:t xml:space="preserve">5.1.1</w:t>
      </w:r>
      <w:r>
        <w:tab/>
      </w:r>
      <w:r>
        <w:t xml:space="preserve">Gliederung und Aufbau des Vortrags</w:t>
      </w:r>
    </w:p>
    <w:p>
      <w:pPr>
        <w:pStyle w:val="FirstParagraph"/>
      </w:pPr>
      <w:r>
        <w:rPr>
          <w:b/>
          <w:bCs/>
        </w:rPr>
        <w:t xml:space="preserve">Problemanalyse traditioneller Key User-Ansätze</w:t>
      </w:r>
      <w:r>
        <w:t xml:space="preserve"> </w:t>
      </w:r>
      <w:r>
        <w:t xml:space="preserve">Frederik begann mit einer ehrlichen Bestandsaufnahme der aktuellen Situation:</w:t>
      </w:r>
      <w:r>
        <w:t xml:space="preserve"> </w:t>
      </w:r>
      <w:r>
        <w:rPr>
          <w:i/>
          <w:iCs/>
        </w:rPr>
        <w:t xml:space="preserve">“Ich beobachte das Thema Key User schon die ganze Zeit. Ich weiß nicht, wie es anderen hier geht, aber ich habe so das Gefühl, dass sich das nicht wirklich weiterentwickelt.”</w:t>
      </w:r>
      <w:r>
        <w:t xml:space="preserve"> </w:t>
      </w:r>
      <w:r>
        <w:t xml:space="preserve">Er identifizierte strukturelle Probleme, die seit Jahrzehnten bestehen.</w:t>
      </w:r>
    </w:p>
    <w:p>
      <w:pPr>
        <w:pStyle w:val="BodyText"/>
      </w:pPr>
      <w:r>
        <w:rPr>
          <w:b/>
          <w:bCs/>
        </w:rPr>
        <w:t xml:space="preserve">Ursachenforschung und Symptome</w:t>
      </w:r>
      <w:r>
        <w:t xml:space="preserve"> </w:t>
      </w:r>
      <w:r>
        <w:t xml:space="preserve">Der Vortrag analysierte systematisch die Gründe für das Scheitern von Key User-Konzepten, von mangelnder Freistellung bis hin zu fehlender Wertschätzung durch Führungskräfte.</w:t>
      </w:r>
    </w:p>
    <w:p>
      <w:pPr>
        <w:pStyle w:val="BodyText"/>
      </w:pPr>
      <w:r>
        <w:rPr>
          <w:b/>
          <w:bCs/>
        </w:rPr>
        <w:t xml:space="preserve">Lösungsansätze durch Collaborative Learning</w:t>
      </w:r>
      <w:r>
        <w:t xml:space="preserve"> </w:t>
      </w:r>
      <w:r>
        <w:t xml:space="preserve">Frederik stellte konkrete Methoden vor, wie Key User zu echten Mentoren entwickelt werden können, einschließlich praktischer Beispiele wie dem</w:t>
      </w:r>
      <w:r>
        <w:t xml:space="preserve"> </w:t>
      </w:r>
      <w:r>
        <w:t xml:space="preserve">“Mitmachmittwoch”</w:t>
      </w:r>
      <w:r>
        <w:t xml:space="preserve"> </w:t>
      </w:r>
      <w:r>
        <w:t xml:space="preserve">bei Kyndril.</w:t>
      </w:r>
    </w:p>
    <w:p>
      <w:pPr>
        <w:pStyle w:val="BodyText"/>
      </w:pPr>
      <w:r>
        <w:rPr>
          <w:b/>
          <w:bCs/>
        </w:rPr>
        <w:t xml:space="preserve">Implementierungsstrategien</w:t>
      </w:r>
      <w:r>
        <w:t xml:space="preserve"> </w:t>
      </w:r>
      <w:r>
        <w:t xml:space="preserve">Abschließend wurden konkrete Handlungsempfehlungen für die Praxis vorgestellt, mit Fokus auf Empowerment, Sichtbarkeit und nachhaltiger Wissensverankerung.</w:t>
      </w:r>
    </w:p>
    <w:bookmarkEnd w:id="85"/>
    <w:bookmarkStart w:id="86" w:name="kernaussagen-des-vortrags-3"/>
    <w:p>
      <w:pPr>
        <w:pStyle w:val="Heading3"/>
      </w:pPr>
      <w:r>
        <w:rPr>
          <w:rStyle w:val="SectionNumber"/>
        </w:rPr>
        <w:t xml:space="preserve">5.1.2</w:t>
      </w:r>
      <w:r>
        <w:tab/>
      </w:r>
      <w:r>
        <w:t xml:space="preserve">Kernaussagen des Vortrags</w:t>
      </w:r>
    </w:p>
    <w:p>
      <w:pPr>
        <w:pStyle w:val="FirstParagraph"/>
      </w:pPr>
      <w:r>
        <w:rPr>
          <w:b/>
          <w:bCs/>
        </w:rPr>
        <w:t xml:space="preserve">Die Tool-Falle vermeiden</w:t>
      </w:r>
      <w:r>
        <w:t xml:space="preserve"> </w:t>
      </w:r>
      <w:r>
        <w:rPr>
          <w:i/>
          <w:iCs/>
        </w:rPr>
        <w:t xml:space="preserve">“Ich versteige mich jetzt mal, auch wenn ich mich in den SAP-Hallen befinde, aber ich behaupte, es liegt nicht an den Tools.”</w:t>
      </w:r>
      <w:r>
        <w:t xml:space="preserve"> </w:t>
      </w:r>
      <w:r>
        <w:t xml:space="preserve">Frederik betonte, dass technologische Lösungen ohne den Menschen nicht funktionieren können.</w:t>
      </w:r>
    </w:p>
    <w:p>
      <w:pPr>
        <w:pStyle w:val="BodyText"/>
      </w:pPr>
      <w:r>
        <w:rPr>
          <w:b/>
          <w:bCs/>
        </w:rPr>
        <w:t xml:space="preserve">Key User als Schlüssel zum Erfolg</w:t>
      </w:r>
      <w:r>
        <w:t xml:space="preserve"> </w:t>
      </w:r>
      <w:r>
        <w:rPr>
          <w:i/>
          <w:iCs/>
        </w:rPr>
        <w:t xml:space="preserve">“Die Key-User sind einfach der Schlüssel zum Erfolg”</w:t>
      </w:r>
      <w:r>
        <w:t xml:space="preserve"> </w:t>
      </w:r>
      <w:r>
        <w:t xml:space="preserve">- diese Erkenntnis zog sich wie ein roter Faden durch den Vortrag. Dabei ging es nicht nur um fachliche Kompetenz, sondern um die Rolle als Multiplikatoren und Mentoren.</w:t>
      </w:r>
    </w:p>
    <w:p>
      <w:pPr>
        <w:pStyle w:val="BodyText"/>
      </w:pPr>
      <w:r>
        <w:rPr>
          <w:b/>
          <w:bCs/>
        </w:rPr>
        <w:t xml:space="preserve">Motivation durch Sinn und Zweck</w:t>
      </w:r>
      <w:r>
        <w:t xml:space="preserve"> </w:t>
      </w:r>
      <w:r>
        <w:t xml:space="preserve">Ein zentraler Punkt war die Erkenntnis:</w:t>
      </w:r>
      <w:r>
        <w:t xml:space="preserve"> </w:t>
      </w:r>
      <w:r>
        <w:rPr>
          <w:i/>
          <w:iCs/>
        </w:rPr>
        <w:t xml:space="preserve">“Wenn ich selber nicht hinter der Lösung stehe, wie soll ich dann die Motivation auf andere übertragen?”</w:t>
      </w:r>
      <w:r>
        <w:t xml:space="preserve"> </w:t>
      </w:r>
      <w:r>
        <w:t xml:space="preserve">Frederik verwies auf aktuelle Studien zur Mitarbeitermotivation, die zeigen, dass Sinn und Zweckhaftigkeit wichtiger sind als reine monetäre Anreize.</w:t>
      </w:r>
    </w:p>
    <w:p>
      <w:pPr>
        <w:pStyle w:val="BodyText"/>
      </w:pPr>
      <w:r>
        <w:rPr>
          <w:b/>
          <w:bCs/>
        </w:rPr>
        <w:t xml:space="preserve">Frühzeitige Einbindung als Erfolgsfaktor</w:t>
      </w:r>
      <w:r>
        <w:t xml:space="preserve"> </w:t>
      </w:r>
      <w:r>
        <w:rPr>
          <w:i/>
          <w:iCs/>
        </w:rPr>
        <w:t xml:space="preserve">“Key User frühzeitig einbinden”</w:t>
      </w:r>
      <w:r>
        <w:t xml:space="preserve"> </w:t>
      </w:r>
      <w:r>
        <w:t xml:space="preserve">wurde als fundamentale Voraussetzung identifiziert. Dabei ging es nicht nur um Information, sondern um aktive Mitgestaltung der Lösung.</w:t>
      </w:r>
    </w:p>
    <w:p>
      <w:pPr>
        <w:pStyle w:val="BodyText"/>
      </w:pPr>
      <w:r>
        <w:rPr>
          <w:b/>
          <w:bCs/>
        </w:rPr>
        <w:t xml:space="preserve">Demos statt Diktat</w:t>
      </w:r>
      <w:r>
        <w:t xml:space="preserve"> </w:t>
      </w:r>
      <w:r>
        <w:t xml:space="preserve">Eine besonders prägnante Formulierung war:</w:t>
      </w:r>
      <w:r>
        <w:t xml:space="preserve"> </w:t>
      </w:r>
      <w:r>
        <w:rPr>
          <w:i/>
          <w:iCs/>
        </w:rPr>
        <w:t xml:space="preserve">“Die Key-User, die sollen selbst den Fortschritt des Projektes demonstrieren. Und zwar gegenüber den eigenen Verantwortlichen, den Stakeholders, den Fachbereichen.”</w:t>
      </w:r>
    </w:p>
    <w:bookmarkEnd w:id="86"/>
    <w:bookmarkStart w:id="87" w:name="offene-fragestellungen-4"/>
    <w:p>
      <w:pPr>
        <w:pStyle w:val="Heading3"/>
      </w:pPr>
      <w:r>
        <w:rPr>
          <w:rStyle w:val="SectionNumber"/>
        </w:rPr>
        <w:t xml:space="preserve">5.1.3</w:t>
      </w:r>
      <w:r>
        <w:tab/>
      </w:r>
      <w:r>
        <w:t xml:space="preserve">Offene Fragestellungen</w:t>
      </w:r>
    </w:p>
    <w:p>
      <w:pPr>
        <w:pStyle w:val="FirstParagraph"/>
      </w:pPr>
      <w:r>
        <w:t xml:space="preserve">Während des Vortrags wurden mehrere wichtige Fragestellungen aufgeworfen, die zur weiteren Diskussion anregen:</w:t>
      </w:r>
    </w:p>
    <w:p>
      <w:pPr>
        <w:pStyle w:val="Compact"/>
        <w:numPr>
          <w:ilvl w:val="0"/>
          <w:numId w:val="1018"/>
        </w:numPr>
      </w:pPr>
      <w:r>
        <w:t xml:space="preserve">Wie kann die Balance zwischen Tagesgeschäft und Projektarbeit für Key User optimal gestaltet werden?</w:t>
      </w:r>
    </w:p>
    <w:p>
      <w:pPr>
        <w:pStyle w:val="Compact"/>
        <w:numPr>
          <w:ilvl w:val="0"/>
          <w:numId w:val="1018"/>
        </w:numPr>
      </w:pPr>
      <w:r>
        <w:t xml:space="preserve">Welche Rolle spielen Führungskräfte bei der Unterstützung von Key User-Initiativen?</w:t>
      </w:r>
    </w:p>
    <w:p>
      <w:pPr>
        <w:pStyle w:val="Compact"/>
        <w:numPr>
          <w:ilvl w:val="0"/>
          <w:numId w:val="1018"/>
        </w:numPr>
      </w:pPr>
      <w:r>
        <w:t xml:space="preserve">Wie können gewerbliche Mitarbeiter ohne Büroarbeitsplatz effektiv in collaborative Learning-Prozesse eingebunden werden?</w:t>
      </w:r>
    </w:p>
    <w:p>
      <w:pPr>
        <w:pStyle w:val="Compact"/>
        <w:numPr>
          <w:ilvl w:val="0"/>
          <w:numId w:val="1018"/>
        </w:numPr>
      </w:pPr>
      <w:r>
        <w:t xml:space="preserve">Wann ist der richtige Zeitpunkt, um unfertige Lösungen zu präsentieren, ohne Verwirrung zu stiften?</w:t>
      </w:r>
    </w:p>
    <w:p>
      <w:pPr>
        <w:pStyle w:val="Compact"/>
        <w:numPr>
          <w:ilvl w:val="0"/>
          <w:numId w:val="1018"/>
        </w:numPr>
      </w:pPr>
      <w:r>
        <w:t xml:space="preserve">Wie kann die Kontinuität des Wissens nach Projektabschluss sichergestellt werden?</w:t>
      </w:r>
    </w:p>
    <w:bookmarkEnd w:id="87"/>
    <w:bookmarkStart w:id="88" w:name="handlungsempfehlungen-3"/>
    <w:p>
      <w:pPr>
        <w:pStyle w:val="Heading3"/>
      </w:pPr>
      <w:r>
        <w:rPr>
          <w:rStyle w:val="SectionNumber"/>
        </w:rPr>
        <w:t xml:space="preserve">5.1.4</w:t>
      </w:r>
      <w:r>
        <w:tab/>
      </w:r>
      <w:r>
        <w:t xml:space="preserve">Handlungsempfehlungen</w:t>
      </w:r>
    </w:p>
    <w:p>
      <w:pPr>
        <w:pStyle w:val="FirstParagraph"/>
      </w:pPr>
      <w:r>
        <w:rPr>
          <w:b/>
          <w:bCs/>
        </w:rPr>
        <w:t xml:space="preserve">Neue Rollendefinition etablieren</w:t>
      </w:r>
      <w:r>
        <w:t xml:space="preserve"> </w:t>
      </w:r>
      <w:r>
        <w:t xml:space="preserve">Frederik empfahl eine grundlegende Neudefinition der Key User-Rolle:</w:t>
      </w:r>
      <w:r>
        <w:t xml:space="preserve"> </w:t>
      </w:r>
      <w:r>
        <w:rPr>
          <w:i/>
          <w:iCs/>
        </w:rPr>
        <w:t xml:space="preserve">“Key User als Dolmetscher, Fachbereich, IT, Dolmetscher, aber auch zu den Unternehmenszielen.”</w:t>
      </w:r>
      <w:r>
        <w:t xml:space="preserve"> </w:t>
      </w:r>
      <w:r>
        <w:t xml:space="preserve">Diese erweiterte Rolle umfasst:</w:t>
      </w:r>
      <w:r>
        <w:t xml:space="preserve"> </w:t>
      </w:r>
      <w:r>
        <w:t xml:space="preserve">- Vermittlung zwischen IT und Fachbereich</w:t>
      </w:r>
      <w:r>
        <w:t xml:space="preserve"> </w:t>
      </w:r>
      <w:r>
        <w:t xml:space="preserve">- Hinterfragen von Standards und Lösungsansätzen</w:t>
      </w:r>
      <w:r>
        <w:t xml:space="preserve"> </w:t>
      </w:r>
      <w:r>
        <w:t xml:space="preserve">- Aktive Teilnahme an Entscheidungsprozessen</w:t>
      </w:r>
    </w:p>
    <w:p>
      <w:pPr>
        <w:pStyle w:val="BodyText"/>
      </w:pPr>
      <w:r>
        <w:rPr>
          <w:b/>
          <w:bCs/>
        </w:rPr>
        <w:t xml:space="preserve">Implementierung regelmäßiger Formate</w:t>
      </w:r>
      <w:r>
        <w:t xml:space="preserve"> </w:t>
      </w:r>
      <w:r>
        <w:t xml:space="preserve">Als praktisches Beispiel wurde der</w:t>
      </w:r>
      <w:r>
        <w:t xml:space="preserve"> </w:t>
      </w:r>
      <w:r>
        <w:t xml:space="preserve">“Mitmachmittwoch”</w:t>
      </w:r>
      <w:r>
        <w:t xml:space="preserve"> </w:t>
      </w:r>
      <w:r>
        <w:t xml:space="preserve">vorgestellt - ein regelmäßiges Format, bei dem Key User ihre Themen präsentieren und Fachbereiche zur Beteiligung einladen. Dies schafft Sichtbarkeit und Einfluss für die Key User.</w:t>
      </w:r>
    </w:p>
    <w:p>
      <w:pPr>
        <w:pStyle w:val="BodyText"/>
      </w:pPr>
      <w:r>
        <w:rPr>
          <w:b/>
          <w:bCs/>
        </w:rPr>
        <w:t xml:space="preserve">Empowerment durch Eigenverantwortung</w:t>
      </w:r>
      <w:r>
        <w:t xml:space="preserve"> </w:t>
      </w:r>
      <w:r>
        <w:t xml:space="preserve">- Key User sollen selbst Implementierungspiloten durchführen</w:t>
      </w:r>
      <w:r>
        <w:t xml:space="preserve"> </w:t>
      </w:r>
      <w:r>
        <w:t xml:space="preserve">- Frühzeitige Einbindung in Workshops und Ideation-Prozesse</w:t>
      </w:r>
      <w:r>
        <w:t xml:space="preserve"> </w:t>
      </w:r>
      <w:r>
        <w:t xml:space="preserve">- Transparenz über Projektfortschritte und Entscheidungen</w:t>
      </w:r>
    </w:p>
    <w:p>
      <w:pPr>
        <w:pStyle w:val="BodyText"/>
      </w:pPr>
      <w:r>
        <w:rPr>
          <w:b/>
          <w:bCs/>
        </w:rPr>
        <w:t xml:space="preserve">Führungskräfte-Enablement</w:t>
      </w:r>
      <w:r>
        <w:t xml:space="preserve"> </w:t>
      </w:r>
      <w:r>
        <w:t xml:space="preserve">Ein wichtiger Punkt war die Notwendigkeit, Führungskräfte zu sensibilisieren:</w:t>
      </w:r>
      <w:r>
        <w:t xml:space="preserve"> </w:t>
      </w:r>
      <w:r>
        <w:rPr>
          <w:i/>
          <w:iCs/>
        </w:rPr>
        <w:t xml:space="preserve">“Die Führungskräfte müssen verstehen, dass die Mitarbeiter, die sie da jetzt haben, die Key-User, nach dem Projekt noch sehr viel wertvoller sind in ihren Abteilungen.”</w:t>
      </w:r>
    </w:p>
    <w:p>
      <w:pPr>
        <w:pStyle w:val="BodyText"/>
      </w:pPr>
      <w:r>
        <w:rPr>
          <w:b/>
          <w:bCs/>
        </w:rPr>
        <w:t xml:space="preserve">Adoption als Erfolgsmessung</w:t>
      </w:r>
      <w:r>
        <w:t xml:space="preserve"> </w:t>
      </w:r>
      <w:r>
        <w:t xml:space="preserve">Frederik betonte abschließend:</w:t>
      </w:r>
      <w:r>
        <w:t xml:space="preserve"> </w:t>
      </w:r>
      <w:r>
        <w:rPr>
          <w:i/>
          <w:iCs/>
        </w:rPr>
        <w:t xml:space="preserve">“Adoption, Adoption, Adoption, das ist unser Megamonster KPI, wenn ich die Keyuser rankriege, dann habe ich schon mal die erste Schlacht gewonnen.”</w:t>
      </w:r>
    </w:p>
    <w:p>
      <w:pPr>
        <w:pStyle w:val="BodyText"/>
      </w:pPr>
      <w:r>
        <w:t xml:space="preserve">Der Vortrag machte deutlich, dass erfolgreiche Transformation nicht durch bessere Tools, sondern durch bessere Einbindung und Entwicklung der Menschen erreicht wird. Die vorgestellten collaborative Learning-Ansätze bieten einen vielversprechenden Weg, um Key User von passiven Trainingsempfängern zu aktiven Mentoren der digitalen Transformation zu entwickeln.</w:t>
      </w:r>
    </w:p>
    <w:bookmarkEnd w:id="88"/>
    <w:bookmarkEnd w:id="89"/>
    <w:bookmarkStart w:id="90"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90"/>
    <w:bookmarkStart w:id="95"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Bernhard Rupp und Andreas Kübli von der BLS AG präsentierten ihre Erfolgsstory der SAP SuccessFactors-Einführung unter dem Titel</w:t>
      </w:r>
      <w:r>
        <w:t xml:space="preserve"> </w:t>
      </w:r>
      <w:r>
        <w:t xml:space="preserve">“FC HR Pro”</w:t>
      </w:r>
      <w:r>
        <w:t xml:space="preserve">. Anhand einer kreativen Fußball-Metapher zeigten sie auf, wie ein erfolgreiches Projektteam funktioniert und welche Learnings sie während der dreijährigen Systemeinführung gesammelt haben. Der Vortrag verdeutlichte, dass erfolgreiche Transformationsprojekte vor allem auf Teamwork, klarer Kommunikation und der richtigen Vorbereitung basieren.</w:t>
      </w:r>
    </w:p>
    <w:bookmarkStart w:id="91" w:name="gliederung-und-aufbau-des-vortrags-4"/>
    <w:p>
      <w:pPr>
        <w:pStyle w:val="Heading3"/>
      </w:pPr>
      <w:r>
        <w:rPr>
          <w:rStyle w:val="SectionNumber"/>
        </w:rPr>
        <w:t xml:space="preserve">5.3.1</w:t>
      </w:r>
      <w:r>
        <w:tab/>
      </w:r>
      <w:r>
        <w:t xml:space="preserve">Gliederung und Aufbau des Vortrags</w:t>
      </w:r>
    </w:p>
    <w:p>
      <w:pPr>
        <w:pStyle w:val="FirstParagraph"/>
      </w:pPr>
      <w:r>
        <w:t xml:space="preserve">Der Vortrag folgte einer durchdachten Struktur entlang der Fußball-Metapher:</w:t>
      </w:r>
    </w:p>
    <w:p>
      <w:pPr>
        <w:pStyle w:val="Compact"/>
        <w:numPr>
          <w:ilvl w:val="0"/>
          <w:numId w:val="1019"/>
        </w:numPr>
      </w:pPr>
      <w:r>
        <w:rPr>
          <w:b/>
          <w:bCs/>
        </w:rPr>
        <w:t xml:space="preserve">Vorstellung des</w:t>
      </w:r>
      <w:r>
        <w:rPr>
          <w:b/>
          <w:bCs/>
        </w:rPr>
        <w:t xml:space="preserve"> </w:t>
      </w:r>
      <w:r>
        <w:rPr>
          <w:b/>
          <w:bCs/>
        </w:rPr>
        <w:t xml:space="preserve">“Vereins”</w:t>
      </w:r>
      <w:r>
        <w:t xml:space="preserve"> </w:t>
      </w:r>
      <w:r>
        <w:t xml:space="preserve">(BLS AG als Unternehmen)</w:t>
      </w:r>
    </w:p>
    <w:p>
      <w:pPr>
        <w:pStyle w:val="Compact"/>
        <w:numPr>
          <w:ilvl w:val="0"/>
          <w:numId w:val="1019"/>
        </w:numPr>
      </w:pPr>
      <w:r>
        <w:rPr>
          <w:b/>
          <w:bCs/>
        </w:rPr>
        <w:t xml:space="preserve">Saisonvorbereitung</w:t>
      </w:r>
      <w:r>
        <w:t xml:space="preserve"> </w:t>
      </w:r>
      <w:r>
        <w:t xml:space="preserve">(Projektplanung nach dem Golden Circle)</w:t>
      </w:r>
    </w:p>
    <w:p>
      <w:pPr>
        <w:pStyle w:val="Compact"/>
        <w:numPr>
          <w:ilvl w:val="0"/>
          <w:numId w:val="1019"/>
        </w:numPr>
      </w:pPr>
      <w:r>
        <w:rPr>
          <w:b/>
          <w:bCs/>
        </w:rPr>
        <w:t xml:space="preserve">Zusammenstellung der Startelf</w:t>
      </w:r>
      <w:r>
        <w:t xml:space="preserve"> </w:t>
      </w:r>
      <w:r>
        <w:t xml:space="preserve">(Teamaufbau und Rollen)</w:t>
      </w:r>
    </w:p>
    <w:p>
      <w:pPr>
        <w:pStyle w:val="Compact"/>
        <w:numPr>
          <w:ilvl w:val="0"/>
          <w:numId w:val="1019"/>
        </w:numPr>
      </w:pPr>
      <w:r>
        <w:rPr>
          <w:b/>
          <w:bCs/>
        </w:rPr>
        <w:t xml:space="preserve">Der Anpfiff</w:t>
      </w:r>
      <w:r>
        <w:t xml:space="preserve"> </w:t>
      </w:r>
      <w:r>
        <w:t xml:space="preserve">(Projektstart und erste Phase)</w:t>
      </w:r>
    </w:p>
    <w:p>
      <w:pPr>
        <w:pStyle w:val="Compact"/>
        <w:numPr>
          <w:ilvl w:val="0"/>
          <w:numId w:val="1019"/>
        </w:numPr>
      </w:pPr>
      <w:r>
        <w:rPr>
          <w:b/>
          <w:bCs/>
        </w:rPr>
        <w:t xml:space="preserve">Das Spiel</w:t>
      </w:r>
      <w:r>
        <w:t xml:space="preserve"> </w:t>
      </w:r>
      <w:r>
        <w:t xml:space="preserve">(Projektumsetzung mit Halbzeitpause)</w:t>
      </w:r>
    </w:p>
    <w:p>
      <w:pPr>
        <w:pStyle w:val="Compact"/>
        <w:numPr>
          <w:ilvl w:val="0"/>
          <w:numId w:val="1019"/>
        </w:numPr>
      </w:pPr>
      <w:r>
        <w:rPr>
          <w:b/>
          <w:bCs/>
        </w:rPr>
        <w:t xml:space="preserve">Spielanalyse</w:t>
      </w:r>
      <w:r>
        <w:t xml:space="preserve"> </w:t>
      </w:r>
      <w:r>
        <w:t xml:space="preserve">(Learnings und Erkenntnisse)</w:t>
      </w:r>
    </w:p>
    <w:p>
      <w:pPr>
        <w:pStyle w:val="Compact"/>
        <w:numPr>
          <w:ilvl w:val="0"/>
          <w:numId w:val="1019"/>
        </w:numPr>
      </w:pPr>
      <w:r>
        <w:rPr>
          <w:b/>
          <w:bCs/>
        </w:rPr>
        <w:t xml:space="preserve">Ausblick</w:t>
      </w:r>
      <w:r>
        <w:t xml:space="preserve"> </w:t>
      </w:r>
      <w:r>
        <w:t xml:space="preserve">(Aktuelle Situation und zukünftige Pläne)</w:t>
      </w:r>
    </w:p>
    <w:bookmarkEnd w:id="91"/>
    <w:bookmarkStart w:id="92" w:name="kernaussagen-1"/>
    <w:p>
      <w:pPr>
        <w:pStyle w:val="Heading3"/>
      </w:pPr>
      <w:r>
        <w:rPr>
          <w:rStyle w:val="SectionNumber"/>
        </w:rPr>
        <w:t xml:space="preserve">5.3.2</w:t>
      </w:r>
      <w:r>
        <w:tab/>
      </w:r>
      <w:r>
        <w:t xml:space="preserve">Kernaussagen</w:t>
      </w:r>
    </w:p>
    <w:p>
      <w:pPr>
        <w:pStyle w:val="FirstParagraph"/>
      </w:pPr>
      <w:r>
        <w:rPr>
          <w:b/>
          <w:bCs/>
        </w:rPr>
        <w:t xml:space="preserve">Zur Projektzielsetzung:</w:t>
      </w:r>
      <w:r>
        <w:t xml:space="preserve"> </w:t>
      </w:r>
      <w:r>
        <w:rPr>
          <w:i/>
          <w:iCs/>
        </w:rPr>
        <w:t xml:space="preserve">“Wir wollten die ganzen Personalprozesse vereinfachen, professionalisieren, auch optimieren und standardisieren”</w:t>
      </w:r>
      <w:r>
        <w:t xml:space="preserve"> </w:t>
      </w:r>
      <w:r>
        <w:t xml:space="preserve">und dabei</w:t>
      </w:r>
      <w:r>
        <w:t xml:space="preserve"> </w:t>
      </w:r>
      <w:r>
        <w:rPr>
          <w:i/>
          <w:iCs/>
        </w:rPr>
        <w:t xml:space="preserve">“die enormen Medienbrüche eliminieren”</w:t>
      </w:r>
      <w:r>
        <w:t xml:space="preserve">, die im bestehenden System vorhanden waren.</w:t>
      </w:r>
    </w:p>
    <w:p>
      <w:pPr>
        <w:pStyle w:val="BodyText"/>
      </w:pPr>
      <w:r>
        <w:rPr>
          <w:b/>
          <w:bCs/>
        </w:rPr>
        <w:t xml:space="preserve">Zur Bedeutung des Teamworks:</w:t>
      </w:r>
      <w:r>
        <w:t xml:space="preserve"> </w:t>
      </w:r>
      <w:r>
        <w:rPr>
          <w:i/>
          <w:iCs/>
        </w:rPr>
        <w:t xml:space="preserve">“Es braucht Vertrauen. Also das Team muss einander vertrauen können. Es muss auch ein gemeinsames Ziel haben”</w:t>
      </w:r>
      <w:r>
        <w:t xml:space="preserve"> </w:t>
      </w:r>
      <w:r>
        <w:t xml:space="preserve">und</w:t>
      </w:r>
      <w:r>
        <w:t xml:space="preserve"> </w:t>
      </w:r>
      <w:r>
        <w:rPr>
          <w:i/>
          <w:iCs/>
        </w:rPr>
        <w:t xml:space="preserve">“eine offene Gesprächskultur”</w:t>
      </w:r>
      <w:r>
        <w:t xml:space="preserve">.</w:t>
      </w:r>
    </w:p>
    <w:p>
      <w:pPr>
        <w:pStyle w:val="BodyText"/>
      </w:pPr>
      <w:r>
        <w:rPr>
          <w:b/>
          <w:bCs/>
        </w:rPr>
        <w:t xml:space="preserve">Zur Systemkomplexität:</w:t>
      </w:r>
      <w:r>
        <w:t xml:space="preserve"> </w:t>
      </w:r>
      <w:r>
        <w:rPr>
          <w:i/>
          <w:iCs/>
        </w:rPr>
        <w:t xml:space="preserve">“SAP ist nicht SAP, weil Success Factors ist zwar das gleiche Spiel, aber es ist ein anderer Boden”</w:t>
      </w:r>
      <w:r>
        <w:t xml:space="preserve"> </w:t>
      </w:r>
      <w:r>
        <w:t xml:space="preserve">- eine zentrale Erkenntnis über die Unterschiede zwischen SAP HCM und SuccessFactors.</w:t>
      </w:r>
    </w:p>
    <w:p>
      <w:pPr>
        <w:pStyle w:val="BodyText"/>
      </w:pPr>
      <w:r>
        <w:rPr>
          <w:b/>
          <w:bCs/>
        </w:rPr>
        <w:t xml:space="preserve">Zur Zeitplanung:</w:t>
      </w:r>
      <w:r>
        <w:t xml:space="preserve"> </w:t>
      </w:r>
      <w:r>
        <w:t xml:space="preserve">Die ursprünglich geplanten drei Jahre wurden von SAP-Beratern auf ein Jahr reduziert, am Ende benötigte das Projekt tatsächlich drei Jahre.</w:t>
      </w:r>
      <w:r>
        <w:t xml:space="preserve"> </w:t>
      </w:r>
      <w:r>
        <w:rPr>
          <w:i/>
          <w:iCs/>
        </w:rPr>
        <w:t xml:space="preserve">“Als SAP dann die Berater das erste Mal vor Ort waren und unsere Planung gesehen haben, haben sie gelacht und gesagt, in einem Jahr haben wir es alles durch. Am Schluss haben wir drei Jahre gebraucht.”</w:t>
      </w:r>
    </w:p>
    <w:p>
      <w:pPr>
        <w:pStyle w:val="BodyText"/>
      </w:pPr>
      <w:r>
        <w:rPr>
          <w:b/>
          <w:bCs/>
        </w:rPr>
        <w:t xml:space="preserve">Zu den Erfolgen:</w:t>
      </w:r>
      <w:r>
        <w:t xml:space="preserve"> </w:t>
      </w:r>
      <w:r>
        <w:rPr>
          <w:i/>
          <w:iCs/>
        </w:rPr>
        <w:t xml:space="preserve">“Wir haben heute von der Rekrutierung bis zum Austritt alles integriert”</w:t>
      </w:r>
      <w:r>
        <w:t xml:space="preserve"> </w:t>
      </w:r>
      <w:r>
        <w:t xml:space="preserve">und erhielten den</w:t>
      </w:r>
      <w:r>
        <w:t xml:space="preserve"> </w:t>
      </w:r>
      <w:r>
        <w:rPr>
          <w:i/>
          <w:iCs/>
        </w:rPr>
        <w:t xml:space="preserve">“Cloud Transformation Award 2023”</w:t>
      </w:r>
      <w:r>
        <w:t xml:space="preserve"> </w:t>
      </w:r>
      <w:r>
        <w:t xml:space="preserve">von SAP für das erfolgreiche Projekt.</w:t>
      </w:r>
    </w:p>
    <w:bookmarkEnd w:id="92"/>
    <w:bookmarkStart w:id="93" w:name="offene-fragestellungen-5"/>
    <w:p>
      <w:pPr>
        <w:pStyle w:val="Heading3"/>
      </w:pPr>
      <w:r>
        <w:rPr>
          <w:rStyle w:val="SectionNumber"/>
        </w:rPr>
        <w:t xml:space="preserve">5.3.3</w:t>
      </w:r>
      <w:r>
        <w:tab/>
      </w:r>
      <w:r>
        <w:t xml:space="preserve">Offene Fragestellungen</w:t>
      </w:r>
    </w:p>
    <w:p>
      <w:pPr>
        <w:pStyle w:val="FirstParagraph"/>
      </w:pPr>
      <w:r>
        <w:t xml:space="preserve">Während des Vortrags wurden verschiedene Herausforderungen und offene Punkte angesprochen:</w:t>
      </w:r>
    </w:p>
    <w:p>
      <w:pPr>
        <w:pStyle w:val="Compact"/>
        <w:numPr>
          <w:ilvl w:val="0"/>
          <w:numId w:val="1020"/>
        </w:numPr>
      </w:pPr>
      <w:r>
        <w:t xml:space="preserve">Wie kann die Balance zwischen kontinuierlicher Weiterentwicklung und Stabilisierungsphasen optimal gestaltet werden?</w:t>
      </w:r>
    </w:p>
    <w:p>
      <w:pPr>
        <w:pStyle w:val="Compact"/>
        <w:numPr>
          <w:ilvl w:val="0"/>
          <w:numId w:val="1020"/>
        </w:numPr>
      </w:pPr>
      <w:r>
        <w:t xml:space="preserve">Welche Strategien helfen dabei, den Fokus zu behalten, wenn das System</w:t>
      </w:r>
      <w:r>
        <w:t xml:space="preserve"> </w:t>
      </w:r>
      <w:r>
        <w:rPr>
          <w:i/>
          <w:iCs/>
        </w:rPr>
        <w:t xml:space="preserve">“sehr viel zu machen”</w:t>
      </w:r>
      <w:r>
        <w:t xml:space="preserve"> </w:t>
      </w:r>
      <w:r>
        <w:t xml:space="preserve">einlädt?</w:t>
      </w:r>
    </w:p>
    <w:p>
      <w:pPr>
        <w:pStyle w:val="Compact"/>
        <w:numPr>
          <w:ilvl w:val="0"/>
          <w:numId w:val="1020"/>
        </w:numPr>
      </w:pPr>
      <w:r>
        <w:t xml:space="preserve">Wie lassen sich Wissensabgänge von Schlüsselpersonen während kritischer Projektphasen vermeiden?</w:t>
      </w:r>
    </w:p>
    <w:p>
      <w:pPr>
        <w:pStyle w:val="Compact"/>
        <w:numPr>
          <w:ilvl w:val="0"/>
          <w:numId w:val="1020"/>
        </w:numPr>
      </w:pPr>
      <w:r>
        <w:t xml:space="preserve">Wie kann die Belastung für Mitarbeitende bei der Einführung mehrerer Module optimal gesteuert werden?</w:t>
      </w:r>
    </w:p>
    <w:bookmarkEnd w:id="93"/>
    <w:bookmarkStart w:id="94" w:name="handlungsempfehlungen-4"/>
    <w:p>
      <w:pPr>
        <w:pStyle w:val="Heading3"/>
      </w:pPr>
      <w:r>
        <w:rPr>
          <w:rStyle w:val="SectionNumber"/>
        </w:rPr>
        <w:t xml:space="preserve">5.3.4</w:t>
      </w:r>
      <w:r>
        <w:tab/>
      </w:r>
      <w:r>
        <w:t xml:space="preserve">Handlungsempfehlungen</w:t>
      </w:r>
    </w:p>
    <w:p>
      <w:pPr>
        <w:pStyle w:val="FirstParagraph"/>
      </w:pPr>
      <w:r>
        <w:rPr>
          <w:b/>
          <w:bCs/>
        </w:rPr>
        <w:t xml:space="preserve">Teamzusammenstellung und -führung:</w:t>
      </w:r>
      <w:r>
        <w:t xml:space="preserve"> </w:t>
      </w:r>
      <w:r>
        <w:t xml:space="preserve">- Klare Rollenverteilung etablieren mit bewährten Positionen wie Projektleiter als</w:t>
      </w:r>
      <w:r>
        <w:t xml:space="preserve"> </w:t>
      </w:r>
      <w:r>
        <w:t xml:space="preserve">“Torwart”</w:t>
      </w:r>
      <w:r>
        <w:t xml:space="preserve">, Fach und IT als</w:t>
      </w:r>
      <w:r>
        <w:t xml:space="preserve"> </w:t>
      </w:r>
      <w:r>
        <w:t xml:space="preserve">“Sturmduo”</w:t>
      </w:r>
      <w:r>
        <w:t xml:space="preserve"> </w:t>
      </w:r>
      <w:r>
        <w:t xml:space="preserve">- Auswechselspieler und Stellvertreter definieren, da</w:t>
      </w:r>
      <w:r>
        <w:t xml:space="preserve"> </w:t>
      </w:r>
      <w:r>
        <w:rPr>
          <w:i/>
          <w:iCs/>
        </w:rPr>
        <w:t xml:space="preserve">“wir während des Projektes auch gewisse Abgänge”</w:t>
      </w:r>
      <w:r>
        <w:t xml:space="preserve"> </w:t>
      </w:r>
      <w:r>
        <w:t xml:space="preserve">hatten</w:t>
      </w:r>
      <w:r>
        <w:t xml:space="preserve"> </w:t>
      </w:r>
      <w:r>
        <w:t xml:space="preserve">-</w:t>
      </w:r>
      <w:r>
        <w:t xml:space="preserve"> </w:t>
      </w:r>
      <w:r>
        <w:rPr>
          <w:i/>
          <w:iCs/>
        </w:rPr>
        <w:t xml:space="preserve">“Never Change a Winning Team”</w:t>
      </w:r>
      <w:r>
        <w:t xml:space="preserve"> </w:t>
      </w:r>
      <w:r>
        <w:t xml:space="preserve">- Kernteam möglichst stabil halten</w:t>
      </w:r>
    </w:p>
    <w:p>
      <w:pPr>
        <w:pStyle w:val="BodyText"/>
      </w:pPr>
      <w:r>
        <w:rPr>
          <w:b/>
          <w:bCs/>
        </w:rPr>
        <w:t xml:space="preserve">Projektplanung und -durchführung:</w:t>
      </w:r>
      <w:r>
        <w:t xml:space="preserve"> </w:t>
      </w:r>
      <w:r>
        <w:t xml:space="preserve">- Realistische Zeitplanung basierend auf der eigenen Organisationskenntnis</w:t>
      </w:r>
      <w:r>
        <w:t xml:space="preserve"> </w:t>
      </w:r>
      <w:r>
        <w:t xml:space="preserve">- 80/20-Regel befolgen: 80% Standardfunktionen, nur 20% Anpassungen</w:t>
      </w:r>
      <w:r>
        <w:t xml:space="preserve"> </w:t>
      </w:r>
      <w:r>
        <w:t xml:space="preserve">- Schrittweise Annäherung an das System ermöglichen</w:t>
      </w:r>
      <w:r>
        <w:t xml:space="preserve"> </w:t>
      </w:r>
      <w:r>
        <w:t xml:space="preserve">- Regelmäßige Retrospektiven und Halbzeitpausen einplanen</w:t>
      </w:r>
    </w:p>
    <w:p>
      <w:pPr>
        <w:pStyle w:val="BodyText"/>
      </w:pPr>
      <w:r>
        <w:rPr>
          <w:b/>
          <w:bCs/>
        </w:rPr>
        <w:t xml:space="preserve">Change Management und Kommunikation:</w:t>
      </w:r>
      <w:r>
        <w:t xml:space="preserve"> </w:t>
      </w:r>
      <w:r>
        <w:t xml:space="preserve">-</w:t>
      </w:r>
      <w:r>
        <w:t xml:space="preserve"> </w:t>
      </w:r>
      <w:r>
        <w:rPr>
          <w:i/>
          <w:iCs/>
        </w:rPr>
        <w:t xml:space="preserve">“Kommunikation, Kommunikation, Kommunikation”</w:t>
      </w:r>
      <w:r>
        <w:t xml:space="preserve"> </w:t>
      </w:r>
      <w:r>
        <w:t xml:space="preserve">als zentrales Element</w:t>
      </w:r>
      <w:r>
        <w:t xml:space="preserve"> </w:t>
      </w:r>
      <w:r>
        <w:t xml:space="preserve">- Frühzeitige Einbindung der Anwender durch Systemzugang</w:t>
      </w:r>
      <w:r>
        <w:t xml:space="preserve"> </w:t>
      </w:r>
      <w:r>
        <w:t xml:space="preserve">- AbleNow für Schulungen nutzen statt umfangreicher Handbücher</w:t>
      </w:r>
      <w:r>
        <w:t xml:space="preserve"> </w:t>
      </w:r>
      <w:r>
        <w:t xml:space="preserve">-</w:t>
      </w:r>
      <w:r>
        <w:t xml:space="preserve"> </w:t>
      </w:r>
      <w:r>
        <w:rPr>
          <w:i/>
          <w:iCs/>
        </w:rPr>
        <w:t xml:space="preserve">“Verbindlichkeit schaffen, dass der Einführungstermin klar verbindlich kommuniziert wird”</w:t>
      </w:r>
    </w:p>
    <w:p>
      <w:pPr>
        <w:pStyle w:val="BodyText"/>
      </w:pPr>
      <w:r>
        <w:rPr>
          <w:b/>
          <w:bCs/>
        </w:rPr>
        <w:t xml:space="preserve">Betrieb und Weiterentwicklung:</w:t>
      </w:r>
      <w:r>
        <w:t xml:space="preserve"> </w:t>
      </w:r>
      <w:r>
        <w:t xml:space="preserve">- Fokus behalten und nicht in zu viele parallele Aktivitäten verzetteln</w:t>
      </w:r>
      <w:r>
        <w:t xml:space="preserve"> </w:t>
      </w:r>
      <w:r>
        <w:t xml:space="preserve">-</w:t>
      </w:r>
      <w:r>
        <w:t xml:space="preserve"> </w:t>
      </w:r>
      <w:r>
        <w:rPr>
          <w:i/>
          <w:iCs/>
        </w:rPr>
        <w:t xml:space="preserve">“Durchschnaufen, das Tool wirken lassen”</w:t>
      </w:r>
      <w:r>
        <w:t xml:space="preserve"> </w:t>
      </w:r>
      <w:r>
        <w:t xml:space="preserve">zwischen den Moduleinführungen</w:t>
      </w:r>
      <w:r>
        <w:t xml:space="preserve"> </w:t>
      </w:r>
      <w:r>
        <w:t xml:space="preserve">- Modulverantwortliche für koordinierte Weiterentwicklung etablieren</w:t>
      </w:r>
      <w:r>
        <w:t xml:space="preserve"> </w:t>
      </w:r>
      <w:r>
        <w:t xml:space="preserve">- Release-Management für halbjährliche Updates implementieren</w:t>
      </w:r>
    </w:p>
    <w:p>
      <w:pPr>
        <w:pStyle w:val="BodyText"/>
      </w:pPr>
      <w:r>
        <w:rPr>
          <w:b/>
          <w:bCs/>
        </w:rPr>
        <w:t xml:space="preserve">Erfolgsfaktoren:</w:t>
      </w:r>
      <w:r>
        <w:t xml:space="preserve"> </w:t>
      </w:r>
      <w:r>
        <w:t xml:space="preserve">- Erfolge gemeinsam feiern und das Team würdigen</w:t>
      </w:r>
      <w:r>
        <w:t xml:space="preserve"> </w:t>
      </w:r>
      <w:r>
        <w:t xml:space="preserve">- Kontinuierliches Lernen durch externe Unterstützung (SAP Preferred Success als</w:t>
      </w:r>
      <w:r>
        <w:t xml:space="preserve"> </w:t>
      </w:r>
      <w:r>
        <w:t xml:space="preserve">“Personaltrainer”</w:t>
      </w:r>
      <w:r>
        <w:t xml:space="preserve">)</w:t>
      </w:r>
      <w:r>
        <w:t xml:space="preserve"> </w:t>
      </w:r>
      <w:r>
        <w:t xml:space="preserve">- Integration aller Module für maximalen Nutzen anstreben</w:t>
      </w:r>
    </w:p>
    <w:p>
      <w:pPr>
        <w:pStyle w:val="BodyText"/>
      </w:pPr>
      <w:r>
        <w:t xml:space="preserve">Der Vortrag schloss mit dem inspirierenden Zitat von Michael Jordan:</w:t>
      </w:r>
      <w:r>
        <w:t xml:space="preserve"> </w:t>
      </w:r>
      <w:r>
        <w:rPr>
          <w:i/>
          <w:iCs/>
        </w:rPr>
        <w:t xml:space="preserve">“Talente Spieler gewinnen, aber das Teamwork und Diligenz dann die Meisterschaft”</w:t>
      </w:r>
      <w:r>
        <w:t xml:space="preserve"> </w:t>
      </w:r>
      <w:r>
        <w:t xml:space="preserve">- eine treffende Zusammenfassung der zentralen Botschaft über die Bedeutung erfolgreicher Teamarbeit in Transformationsprojekten.</w:t>
      </w:r>
    </w:p>
    <w:bookmarkEnd w:id="94"/>
    <w:bookmarkEnd w:id="95"/>
    <w:bookmarkStart w:id="96"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96"/>
    <w:bookmarkStart w:id="102"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Moritz von SAP Learning Services stellte einen innovativen Proof of Concept vor, der Künstliche Intelligenz zur automatisierten Erstellung von Schulungsunterlagen und Lernbedarfsanalysen einsetzt. Das System integriert verschiedene Datenquellen wie SAP-Standarddokumentation, Signavio-Prozessinformationen und kundenspezifische Daten, um den Aufwand für die Schulungsunterlagenerstellung erheblich zu reduzieren. Erste Pilotprojekte zeigen vielversprechende Zeitersparnisse von bis zu 60%.</w:t>
      </w:r>
    </w:p>
    <w:bookmarkStart w:id="97" w:name="gliederung-und-aufbau-des-vortrags-5"/>
    <w:p>
      <w:pPr>
        <w:pStyle w:val="Heading3"/>
      </w:pPr>
      <w:r>
        <w:rPr>
          <w:rStyle w:val="SectionNumber"/>
        </w:rPr>
        <w:t xml:space="preserve">5.5.1</w:t>
      </w:r>
      <w:r>
        <w:tab/>
      </w:r>
      <w:r>
        <w:t xml:space="preserve">Gliederung und Aufbau des Vortrags</w:t>
      </w:r>
    </w:p>
    <w:p>
      <w:pPr>
        <w:pStyle w:val="FirstParagraph"/>
      </w:pPr>
      <w:r>
        <w:rPr>
          <w:b/>
          <w:bCs/>
        </w:rPr>
        <w:t xml:space="preserve">Problemstellung und Motivation</w:t>
      </w:r>
      <w:r>
        <w:t xml:space="preserve"> </w:t>
      </w:r>
      <w:r>
        <w:t xml:space="preserve">- Herausforderungen der manuellen Schulungsunterlagenerstellung</w:t>
      </w:r>
      <w:r>
        <w:t xml:space="preserve"> </w:t>
      </w:r>
      <w:r>
        <w:t xml:space="preserve">- Zeitdruck in Projektphasen und Aktualisierungsproblematik</w:t>
      </w:r>
    </w:p>
    <w:p>
      <w:pPr>
        <w:pStyle w:val="BodyText"/>
      </w:pPr>
      <w:r>
        <w:rPr>
          <w:b/>
          <w:bCs/>
        </w:rPr>
        <w:t xml:space="preserve">Lösungsansatz mit KI</w:t>
      </w:r>
      <w:r>
        <w:t xml:space="preserve"> </w:t>
      </w:r>
      <w:r>
        <w:t xml:space="preserve">- Integration verschiedener Input-Quellen</w:t>
      </w:r>
      <w:r>
        <w:t xml:space="preserve"> </w:t>
      </w:r>
      <w:r>
        <w:t xml:space="preserve">- Automatisierte Content-Generierung</w:t>
      </w:r>
      <w:r>
        <w:t xml:space="preserve"> </w:t>
      </w:r>
      <w:r>
        <w:t xml:space="preserve">- Beibehaltung des Human Factors</w:t>
      </w:r>
    </w:p>
    <w:p>
      <w:pPr>
        <w:pStyle w:val="BodyText"/>
      </w:pPr>
      <w:r>
        <w:rPr>
          <w:b/>
          <w:bCs/>
        </w:rPr>
        <w:t xml:space="preserve">Technische Demonstration</w:t>
      </w:r>
      <w:r>
        <w:t xml:space="preserve"> </w:t>
      </w:r>
      <w:r>
        <w:t xml:space="preserve">- Live-Demo der Plattform</w:t>
      </w:r>
      <w:r>
        <w:t xml:space="preserve"> </w:t>
      </w:r>
      <w:r>
        <w:t xml:space="preserve">- Prozess von der Lernbedarfsanalyse bis zum fertigen Content</w:t>
      </w:r>
      <w:r>
        <w:t xml:space="preserve"> </w:t>
      </w:r>
      <w:r>
        <w:t xml:space="preserve">- Integration mit Drittsystemen wie Synthesia</w:t>
      </w:r>
    </w:p>
    <w:p>
      <w:pPr>
        <w:pStyle w:val="BodyText"/>
      </w:pPr>
      <w:r>
        <w:rPr>
          <w:b/>
          <w:bCs/>
        </w:rPr>
        <w:t xml:space="preserve">Ausblick und Verfügbarkeit</w:t>
      </w:r>
      <w:r>
        <w:t xml:space="preserve"> </w:t>
      </w:r>
      <w:r>
        <w:t xml:space="preserve">- Aktueller Entwicklungsstand</w:t>
      </w:r>
      <w:r>
        <w:t xml:space="preserve"> </w:t>
      </w:r>
      <w:r>
        <w:t xml:space="preserve">- Pricing und Markteinführung</w:t>
      </w:r>
    </w:p>
    <w:bookmarkEnd w:id="97"/>
    <w:bookmarkStart w:id="98" w:name="kernaussagen-2"/>
    <w:p>
      <w:pPr>
        <w:pStyle w:val="Heading3"/>
      </w:pPr>
      <w:r>
        <w:rPr>
          <w:rStyle w:val="SectionNumber"/>
        </w:rPr>
        <w:t xml:space="preserve">5.5.2</w:t>
      </w:r>
      <w:r>
        <w:tab/>
      </w:r>
      <w:r>
        <w:t xml:space="preserve">Kernaussagen</w:t>
      </w:r>
    </w:p>
    <w:p>
      <w:pPr>
        <w:pStyle w:val="FirstParagraph"/>
      </w:pPr>
      <w:r>
        <w:rPr>
          <w:b/>
          <w:bCs/>
        </w:rPr>
        <w:t xml:space="preserve">Zielsetzung der KI-Lösung:</w:t>
      </w:r>
      <w:r>
        <w:t xml:space="preserve"> </w:t>
      </w:r>
      <w:r>
        <w:rPr>
          <w:i/>
          <w:iCs/>
        </w:rPr>
        <w:t xml:space="preserve">“Es geht mir nicht darum, dass die KI unsere Arbeit im Thema Lerncontent-Erstellung wegnimmt, sondern erleichtert. Es geht darum, Effort zu reduzieren, Aufwand zu reduzieren, Zeit bis zum Go-Live zu reduzieren.”</w:t>
      </w:r>
    </w:p>
    <w:p>
      <w:pPr>
        <w:pStyle w:val="BodyText"/>
      </w:pPr>
      <w:r>
        <w:rPr>
          <w:b/>
          <w:bCs/>
        </w:rPr>
        <w:t xml:space="preserve">Qualitätsfaktor Input:</w:t>
      </w:r>
      <w:r>
        <w:t xml:space="preserve"> </w:t>
      </w:r>
      <w:r>
        <w:rPr>
          <w:i/>
          <w:iCs/>
        </w:rPr>
        <w:t xml:space="preserve">“Je mehr Input ich vom Projekt habe, umso besser wird die Qualität des AI-Outputs. Je mehr wir von SAP Standard ausgehen, umso mehr standardisiert ist der Endanwender-Content.”</w:t>
      </w:r>
    </w:p>
    <w:p>
      <w:pPr>
        <w:pStyle w:val="BodyText"/>
      </w:pPr>
      <w:r>
        <w:rPr>
          <w:b/>
          <w:bCs/>
        </w:rPr>
        <w:t xml:space="preserve">Praxiserfahrung:</w:t>
      </w:r>
      <w:r>
        <w:t xml:space="preserve"> </w:t>
      </w:r>
      <w:r>
        <w:rPr>
          <w:i/>
          <w:iCs/>
        </w:rPr>
        <w:t xml:space="preserve">“Einer der größten Kunden, mit denen wir jetzt gerade machen, Schneider Electric in Frankreich, die haben selbst von sich aus gesagt, dass sie 60% ihrer Zeit für Schulungsunterlagenerstellung dadurch sparen.”</w:t>
      </w:r>
    </w:p>
    <w:p>
      <w:pPr>
        <w:pStyle w:val="BodyText"/>
      </w:pPr>
      <w:r>
        <w:rPr>
          <w:b/>
          <w:bCs/>
        </w:rPr>
        <w:t xml:space="preserve">Human Factor:</w:t>
      </w:r>
      <w:r>
        <w:t xml:space="preserve"> </w:t>
      </w:r>
      <w:r>
        <w:rPr>
          <w:i/>
          <w:iCs/>
        </w:rPr>
        <w:t xml:space="preserve">“Es wird immer einen Human Factor im Learning geben und das ist umstrittig, da bin ich dabei.”</w:t>
      </w:r>
    </w:p>
    <w:p>
      <w:pPr>
        <w:pStyle w:val="BodyText"/>
      </w:pPr>
      <w:r>
        <w:rPr>
          <w:b/>
          <w:bCs/>
        </w:rPr>
        <w:t xml:space="preserve">Methodische Unterstützung:</w:t>
      </w:r>
      <w:r>
        <w:t xml:space="preserve"> </w:t>
      </w:r>
      <w:r>
        <w:rPr>
          <w:i/>
          <w:iCs/>
        </w:rPr>
        <w:t xml:space="preserve">“Wir machen in der Lösung nicht nur die Content-Erstellung, sondern der Hintergrund ist auch, dass wir die Lernbedarfsanalyse mit einbauen wollen.”</w:t>
      </w:r>
    </w:p>
    <w:bookmarkEnd w:id="98"/>
    <w:bookmarkStart w:id="99" w:name="technische-funktionsweise"/>
    <w:p>
      <w:pPr>
        <w:pStyle w:val="Heading3"/>
      </w:pPr>
      <w:r>
        <w:rPr>
          <w:rStyle w:val="SectionNumber"/>
        </w:rPr>
        <w:t xml:space="preserve">5.5.3</w:t>
      </w:r>
      <w:r>
        <w:tab/>
      </w:r>
      <w:r>
        <w:t xml:space="preserve">Technische Funktionsweise</w:t>
      </w:r>
    </w:p>
    <w:p>
      <w:pPr>
        <w:pStyle w:val="FirstParagraph"/>
      </w:pPr>
      <w:r>
        <w:rPr>
          <w:b/>
          <w:bCs/>
        </w:rPr>
        <w:t xml:space="preserve">Input-Quellen:</w:t>
      </w:r>
      <w:r>
        <w:t xml:space="preserve"> </w:t>
      </w:r>
      <w:r>
        <w:t xml:space="preserve">- SAP-Standarddokumentation (Subhelp, Learning.sap.com)</w:t>
      </w:r>
      <w:r>
        <w:t xml:space="preserve"> </w:t>
      </w:r>
      <w:r>
        <w:t xml:space="preserve">- Signavio-Prozessinformationen</w:t>
      </w:r>
      <w:r>
        <w:t xml:space="preserve"> </w:t>
      </w:r>
      <w:r>
        <w:t xml:space="preserve">- Kundenspezifische Konfigurationsdaten</w:t>
      </w:r>
      <w:r>
        <w:t xml:space="preserve"> </w:t>
      </w:r>
      <w:r>
        <w:t xml:space="preserve">- Master- und Transaktionsdaten für Übungsbeispiele</w:t>
      </w:r>
    </w:p>
    <w:p>
      <w:pPr>
        <w:pStyle w:val="BodyText"/>
      </w:pPr>
      <w:r>
        <w:rPr>
          <w:b/>
          <w:bCs/>
        </w:rPr>
        <w:t xml:space="preserve">Output-Formate:</w:t>
      </w:r>
      <w:r>
        <w:t xml:space="preserve"> </w:t>
      </w:r>
      <w:r>
        <w:t xml:space="preserve">- Textbasierte Inhalte für verschiedene Lernformate</w:t>
      </w:r>
      <w:r>
        <w:t xml:space="preserve"> </w:t>
      </w:r>
      <w:r>
        <w:t xml:space="preserve">- Automatische Zuordnung von Delivery-Methoden</w:t>
      </w:r>
      <w:r>
        <w:t xml:space="preserve"> </w:t>
      </w:r>
      <w:r>
        <w:t xml:space="preserve">- Integration mit Video-Tools wie Synthesia</w:t>
      </w:r>
      <w:r>
        <w:t xml:space="preserve"> </w:t>
      </w:r>
      <w:r>
        <w:t xml:space="preserve">- HTML-Export für verschiedene Plattformen</w:t>
      </w:r>
    </w:p>
    <w:p>
      <w:pPr>
        <w:pStyle w:val="BodyText"/>
      </w:pPr>
      <w:r>
        <w:rPr>
          <w:b/>
          <w:bCs/>
        </w:rPr>
        <w:t xml:space="preserve">Technische Basis:</w:t>
      </w:r>
      <w:r>
        <w:t xml:space="preserve"> </w:t>
      </w:r>
      <w:r>
        <w:t xml:space="preserve">Das System basiert auf SAP AI-Core und nutzt Prompting-Technologien zur Content-Generierung.</w:t>
      </w:r>
    </w:p>
    <w:bookmarkEnd w:id="99"/>
    <w:bookmarkStart w:id="100" w:name="offene-fragestellungen-6"/>
    <w:p>
      <w:pPr>
        <w:pStyle w:val="Heading3"/>
      </w:pPr>
      <w:r>
        <w:rPr>
          <w:rStyle w:val="SectionNumber"/>
        </w:rPr>
        <w:t xml:space="preserve">5.5.4</w:t>
      </w:r>
      <w:r>
        <w:tab/>
      </w:r>
      <w:r>
        <w:t xml:space="preserve">Offene Fragestellungen</w:t>
      </w:r>
    </w:p>
    <w:p>
      <w:pPr>
        <w:pStyle w:val="Compact"/>
        <w:numPr>
          <w:ilvl w:val="0"/>
          <w:numId w:val="1021"/>
        </w:numPr>
      </w:pPr>
      <w:r>
        <w:rPr>
          <w:b/>
          <w:bCs/>
        </w:rPr>
        <w:t xml:space="preserve">Skalierbarkeit:</w:t>
      </w:r>
      <w:r>
        <w:t xml:space="preserve"> </w:t>
      </w:r>
      <w:r>
        <w:t xml:space="preserve">Wie verhält sich das System bei sehr großen, internationalen Rollout-Projekten?</w:t>
      </w:r>
    </w:p>
    <w:p>
      <w:pPr>
        <w:pStyle w:val="Compact"/>
        <w:numPr>
          <w:ilvl w:val="0"/>
          <w:numId w:val="1021"/>
        </w:numPr>
      </w:pPr>
      <w:r>
        <w:rPr>
          <w:b/>
          <w:bCs/>
        </w:rPr>
        <w:t xml:space="preserve">Customizing-Grenzen:</w:t>
      </w:r>
      <w:r>
        <w:t xml:space="preserve"> </w:t>
      </w:r>
      <w:r>
        <w:t xml:space="preserve">Welche Grenzen gibt es bei stark kundenindividuellen Anpassungen?</w:t>
      </w:r>
    </w:p>
    <w:p>
      <w:pPr>
        <w:pStyle w:val="Compact"/>
        <w:numPr>
          <w:ilvl w:val="0"/>
          <w:numId w:val="1021"/>
        </w:numPr>
      </w:pPr>
      <w:r>
        <w:rPr>
          <w:b/>
          <w:bCs/>
        </w:rPr>
        <w:t xml:space="preserve">Learning-Capabilities:</w:t>
      </w:r>
      <w:r>
        <w:t xml:space="preserve"> </w:t>
      </w:r>
      <w:r>
        <w:t xml:space="preserve">Kann das System aus Kundenfeedback lernen und sich kontinuierlich verbessern?</w:t>
      </w:r>
    </w:p>
    <w:p>
      <w:pPr>
        <w:pStyle w:val="Compact"/>
        <w:numPr>
          <w:ilvl w:val="0"/>
          <w:numId w:val="1021"/>
        </w:numPr>
      </w:pPr>
      <w:r>
        <w:rPr>
          <w:b/>
          <w:bCs/>
        </w:rPr>
        <w:t xml:space="preserve">Content-Type-Flexibilität:</w:t>
      </w:r>
      <w:r>
        <w:t xml:space="preserve"> </w:t>
      </w:r>
      <w:r>
        <w:t xml:space="preserve">Wie flexibel ist die Anpassung an unternehmensspezifische Trainingsstrategien?</w:t>
      </w:r>
    </w:p>
    <w:p>
      <w:pPr>
        <w:pStyle w:val="Compact"/>
        <w:numPr>
          <w:ilvl w:val="0"/>
          <w:numId w:val="1021"/>
        </w:numPr>
      </w:pPr>
      <w:r>
        <w:rPr>
          <w:b/>
          <w:bCs/>
        </w:rPr>
        <w:t xml:space="preserve">Qualitätssicherung:</w:t>
      </w:r>
      <w:r>
        <w:t xml:space="preserve"> </w:t>
      </w:r>
      <w:r>
        <w:t xml:space="preserve">Welche Mechanismen gewährleisten die fachliche Korrektheit der generierten Inhalte?</w:t>
      </w:r>
    </w:p>
    <w:bookmarkEnd w:id="100"/>
    <w:bookmarkStart w:id="101" w:name="handlungsempfehlungen-5"/>
    <w:p>
      <w:pPr>
        <w:pStyle w:val="Heading3"/>
      </w:pPr>
      <w:r>
        <w:rPr>
          <w:rStyle w:val="SectionNumber"/>
        </w:rPr>
        <w:t xml:space="preserve">5.5.5</w:t>
      </w:r>
      <w:r>
        <w:tab/>
      </w:r>
      <w:r>
        <w:t xml:space="preserve">Handlungsempfehlungen</w:t>
      </w:r>
    </w:p>
    <w:p>
      <w:pPr>
        <w:pStyle w:val="FirstParagraph"/>
      </w:pPr>
      <w:r>
        <w:rPr>
          <w:b/>
          <w:bCs/>
        </w:rPr>
        <w:t xml:space="preserve">Für Projektverantwortliche:</w:t>
      </w:r>
      <w:r>
        <w:t xml:space="preserve"> </w:t>
      </w:r>
      <w:r>
        <w:t xml:space="preserve">- Frühzeitige Einbindung der KI-Lösung in die Projektplanung</w:t>
      </w:r>
      <w:r>
        <w:t xml:space="preserve"> </w:t>
      </w:r>
      <w:r>
        <w:t xml:space="preserve">- Sicherstellung qualitativ hochwertiger Input-Daten aus Signavio und anderen Quellen</w:t>
      </w:r>
      <w:r>
        <w:t xml:space="preserve"> </w:t>
      </w:r>
      <w:r>
        <w:t xml:space="preserve">- Definition einer klaren Trainingsstrategie vor Systemnutzung</w:t>
      </w:r>
    </w:p>
    <w:p>
      <w:pPr>
        <w:pStyle w:val="BodyText"/>
      </w:pPr>
      <w:r>
        <w:rPr>
          <w:b/>
          <w:bCs/>
        </w:rPr>
        <w:t xml:space="preserve">Für Learning-Experten:</w:t>
      </w:r>
      <w:r>
        <w:t xml:space="preserve"> </w:t>
      </w:r>
      <w:r>
        <w:t xml:space="preserve">- Kontinuierliches Review und Nachbearbeitung der AI-generierten Inhalte</w:t>
      </w:r>
      <w:r>
        <w:t xml:space="preserve"> </w:t>
      </w:r>
      <w:r>
        <w:t xml:space="preserve">- Nutzung der Challenge-Funktionen zur Verfeinerung der Ergebnisse</w:t>
      </w:r>
      <w:r>
        <w:t xml:space="preserve"> </w:t>
      </w:r>
      <w:r>
        <w:t xml:space="preserve">- Integration der Lösung in bestehende Autorensysteme wie EnableNow</w:t>
      </w:r>
    </w:p>
    <w:p>
      <w:pPr>
        <w:pStyle w:val="BodyText"/>
      </w:pPr>
      <w:r>
        <w:rPr>
          <w:b/>
          <w:bCs/>
        </w:rPr>
        <w:t xml:space="preserve">Für Unternehmen:</w:t>
      </w:r>
      <w:r>
        <w:t xml:space="preserve"> </w:t>
      </w:r>
      <w:r>
        <w:t xml:space="preserve">- Evaluation der Lösung in Pilotprojekten vor Vollimplementierung</w:t>
      </w:r>
      <w:r>
        <w:t xml:space="preserve"> </w:t>
      </w:r>
      <w:r>
        <w:t xml:space="preserve">- Berücksichtigung der Standalone-Architektur bei der Tool-Landschaft</w:t>
      </w:r>
      <w:r>
        <w:t xml:space="preserve"> </w:t>
      </w:r>
      <w:r>
        <w:t xml:space="preserve">- Vorbereitung auf Change Management Integration in zukünftigen Versionen</w:t>
      </w:r>
    </w:p>
    <w:p>
      <w:pPr>
        <w:pStyle w:val="BodyText"/>
      </w:pPr>
      <w:r>
        <w:rPr>
          <w:b/>
          <w:bCs/>
        </w:rPr>
        <w:t xml:space="preserve">Strategische Überlegungen:</w:t>
      </w:r>
      <w:r>
        <w:t xml:space="preserve"> </w:t>
      </w:r>
      <w:r>
        <w:t xml:space="preserve">- Aufbau interner Kompetenzen für KI-gestützte Content-Erstellung</w:t>
      </w:r>
      <w:r>
        <w:t xml:space="preserve"> </w:t>
      </w:r>
      <w:r>
        <w:t xml:space="preserve">- Definition von Qualitätsstandards für automatisch generierte Lerninhalte</w:t>
      </w:r>
      <w:r>
        <w:t xml:space="preserve"> </w:t>
      </w:r>
      <w:r>
        <w:t xml:space="preserve">- Planung für kontinuierliche Updates und Maintenance</w:t>
      </w:r>
    </w:p>
    <w:p>
      <w:pPr>
        <w:pStyle w:val="BodyText"/>
      </w:pPr>
      <w:r>
        <w:t xml:space="preserve">Die vorgestellte Lösung zeigt das Potenzial von KI zur Transformation traditioneller Schulungserstellungsprozesse, wobei der Fokus auf Effizienzsteigerung bei gleichzeitiger Beibehaltung menschlicher Expertise liegt.</w:t>
      </w:r>
    </w:p>
    <w:bookmarkEnd w:id="101"/>
    <w:bookmarkEnd w:id="102"/>
    <w:bookmarkStart w:id="112"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Der Vortrag behandelt die Herausforderungen und Lösungsansätze für kontinuierliche Transformationen in Unternehmen im Zeitalter der Künstlichen Intelligenz. Die Referenten Christoph und Maik erläutern, wie sich Transformationszyklen drastisch verkürzen und warum traditionelle Ansätze nicht mehr ausreichen. Sie stellen das Konzept der</w:t>
      </w:r>
      <w:r>
        <w:t xml:space="preserve"> </w:t>
      </w:r>
      <w:r>
        <w:t xml:space="preserve">“Human Superpowers”</w:t>
      </w:r>
      <w:r>
        <w:t xml:space="preserve"> </w:t>
      </w:r>
      <w:r>
        <w:t xml:space="preserve">vor, das durch die Integration von Menschen, Prozessen, Daten und Technologie entstehen soll. Ein zentraler Punkt ist die SAP Integrated Toolchain, die verschiedene SAP-Tools miteinander verbindet, um Transformationen zu digitalisieren. Zusätzlich wird die strategische Neuausrichtung von EnableNow und die Integration von WalkMe als neue Digital Adoption Platform erläutert.</w:t>
      </w:r>
    </w:p>
    <w:bookmarkStart w:id="103" w:name="gliederung-und-aufbau-des-vortrags-6"/>
    <w:p>
      <w:pPr>
        <w:pStyle w:val="Heading3"/>
      </w:pPr>
      <w:r>
        <w:rPr>
          <w:rStyle w:val="SectionNumber"/>
        </w:rPr>
        <w:t xml:space="preserve">5.6.1</w:t>
      </w:r>
      <w:r>
        <w:tab/>
      </w:r>
      <w:r>
        <w:t xml:space="preserve">Gliederung und Aufbau des Vortrags</w:t>
      </w:r>
    </w:p>
    <w:p>
      <w:pPr>
        <w:pStyle w:val="FirstParagraph"/>
      </w:pPr>
      <w:r>
        <w:rPr>
          <w:b/>
          <w:bCs/>
        </w:rPr>
        <w:t xml:space="preserve">1. Einführung: Die neue Realität der Transformationen</w:t>
      </w:r>
      <w:r>
        <w:t xml:space="preserve"> </w:t>
      </w:r>
      <w:r>
        <w:t xml:space="preserve">- Zunehmende Komplexität und verkürzte Transformationsintervalle</w:t>
      </w:r>
      <w:r>
        <w:t xml:space="preserve"> </w:t>
      </w:r>
      <w:r>
        <w:t xml:space="preserve">- Historischer Rückblick auf SAP-Generationen (R1, R2, R3)</w:t>
      </w:r>
      <w:r>
        <w:t xml:space="preserve"> </w:t>
      </w:r>
      <w:r>
        <w:t xml:space="preserve">- Zeitdruck durch AI-Innovationen</w:t>
      </w:r>
    </w:p>
    <w:p>
      <w:pPr>
        <w:pStyle w:val="BodyText"/>
      </w:pPr>
      <w:r>
        <w:rPr>
          <w:b/>
          <w:bCs/>
        </w:rPr>
        <w:t xml:space="preserve">2. Die vier Säulen der Continuous Transformation</w:t>
      </w:r>
      <w:r>
        <w:t xml:space="preserve"> </w:t>
      </w:r>
      <w:r>
        <w:t xml:space="preserve">- People: Individueller Content und Bildschirmhilfen</w:t>
      </w:r>
      <w:r>
        <w:t xml:space="preserve"> </w:t>
      </w:r>
      <w:r>
        <w:t xml:space="preserve">- Process: Umgang mit 160.000 Transaktionen in S/4HANA</w:t>
      </w:r>
      <w:r>
        <w:t xml:space="preserve"> </w:t>
      </w:r>
      <w:r>
        <w:t xml:space="preserve">- Data: Intelligenz aus bestehenden Systemen ziehen</w:t>
      </w:r>
      <w:r>
        <w:t xml:space="preserve"> </w:t>
      </w:r>
      <w:r>
        <w:t xml:space="preserve">- Technology: Planerisches Vorgehen und permanente Transparenz</w:t>
      </w:r>
    </w:p>
    <w:p>
      <w:pPr>
        <w:pStyle w:val="BodyText"/>
      </w:pPr>
      <w:r>
        <w:rPr>
          <w:b/>
          <w:bCs/>
        </w:rPr>
        <w:t xml:space="preserve">3. SAP Integrated Toolchain</w:t>
      </w:r>
      <w:r>
        <w:t xml:space="preserve"> </w:t>
      </w:r>
      <w:r>
        <w:t xml:space="preserve">- Integration verschiedener SAP-Tools</w:t>
      </w:r>
      <w:r>
        <w:t xml:space="preserve"> </w:t>
      </w:r>
      <w:r>
        <w:t xml:space="preserve">- Praktische Anwendungsbeispiele</w:t>
      </w:r>
      <w:r>
        <w:t xml:space="preserve"> </w:t>
      </w:r>
      <w:r>
        <w:t xml:space="preserve">- Umfrage zur aktuellen Tool-Integration bei Kunden</w:t>
      </w:r>
    </w:p>
    <w:p>
      <w:pPr>
        <w:pStyle w:val="BodyText"/>
      </w:pPr>
      <w:r>
        <w:rPr>
          <w:b/>
          <w:bCs/>
        </w:rPr>
        <w:t xml:space="preserve">4. EnableNow und WalkMe: Strategische Neuausrichtung</w:t>
      </w:r>
      <w:r>
        <w:t xml:space="preserve"> </w:t>
      </w:r>
      <w:r>
        <w:t xml:space="preserve">- Feature Freeze für EnableNow</w:t>
      </w:r>
      <w:r>
        <w:t xml:space="preserve"> </w:t>
      </w:r>
      <w:r>
        <w:t xml:space="preserve">- Entwicklung von WalkMe Learning</w:t>
      </w:r>
      <w:r>
        <w:t xml:space="preserve"> </w:t>
      </w:r>
      <w:r>
        <w:t xml:space="preserve">- Migrationspfade und Wartungsgarantien</w:t>
      </w:r>
    </w:p>
    <w:bookmarkEnd w:id="103"/>
    <w:bookmarkStart w:id="104" w:name="kernaussagen-3"/>
    <w:p>
      <w:pPr>
        <w:pStyle w:val="Heading3"/>
      </w:pPr>
      <w:r>
        <w:rPr>
          <w:rStyle w:val="SectionNumber"/>
        </w:rPr>
        <w:t xml:space="preserve">5.6.2</w:t>
      </w:r>
      <w:r>
        <w:tab/>
      </w:r>
      <w:r>
        <w:t xml:space="preserve">Kernaussagen</w:t>
      </w:r>
    </w:p>
    <w:p>
      <w:pPr>
        <w:pStyle w:val="FirstParagraph"/>
      </w:pPr>
      <w:r>
        <w:rPr>
          <w:b/>
          <w:bCs/>
        </w:rPr>
        <w:t xml:space="preserve">Zur Transformation der Zukunft:</w:t>
      </w:r>
      <w:r>
        <w:t xml:space="preserve"> </w:t>
      </w:r>
      <w:r>
        <w:rPr>
          <w:i/>
          <w:iCs/>
        </w:rPr>
        <w:t xml:space="preserve">“Wenn ich irgendeine AI-Innovation habe und eine Firma, ein Konkurrent von Ihnen lässt das laufen für sechs Monate oder für ein Jahr, kann der so viel Savings generieren in dem Bereich, dass man einfach nicht mehr diese Iterationen von Transformationszyklen aus der Vergangenheit anwenden kann in der Gegenwart und in der Zukunft.”</w:t>
      </w:r>
    </w:p>
    <w:p>
      <w:pPr>
        <w:pStyle w:val="BodyText"/>
      </w:pPr>
      <w:r>
        <w:rPr>
          <w:b/>
          <w:bCs/>
        </w:rPr>
        <w:t xml:space="preserve">Zur Bedeutung des Menschen:</w:t>
      </w:r>
      <w:r>
        <w:t xml:space="preserve"> </w:t>
      </w:r>
      <w:r>
        <w:rPr>
          <w:i/>
          <w:iCs/>
        </w:rPr>
        <w:t xml:space="preserve">“Der Erfolg einer Transformation ist ungefähr zwischen 59 und 64 Prozent abhängig von Personen.”</w:t>
      </w:r>
      <w:r>
        <w:t xml:space="preserve"> </w:t>
      </w:r>
      <w:r>
        <w:t xml:space="preserve">Diese Aussage basiert auf einer Studie der Boston Consulting Group und unterstreicht die zentrale Rolle des Faktors Mensch.</w:t>
      </w:r>
    </w:p>
    <w:p>
      <w:pPr>
        <w:pStyle w:val="BodyText"/>
      </w:pPr>
      <w:r>
        <w:rPr>
          <w:b/>
          <w:bCs/>
        </w:rPr>
        <w:t xml:space="preserve">Zur technologischen Entwicklung:</w:t>
      </w:r>
      <w:r>
        <w:t xml:space="preserve"> </w:t>
      </w:r>
      <w:r>
        <w:rPr>
          <w:i/>
          <w:iCs/>
        </w:rPr>
        <w:t xml:space="preserve">“Ein ECC-System hatte 90.000 Transaktionen. Es sind [in S/4HANA] 160.000 da. Das ist der Innovationssprung, den wir ausgeführt haben.”</w:t>
      </w:r>
    </w:p>
    <w:p>
      <w:pPr>
        <w:pStyle w:val="BodyText"/>
      </w:pPr>
      <w:r>
        <w:rPr>
          <w:b/>
          <w:bCs/>
        </w:rPr>
        <w:t xml:space="preserve">Zum Paradox aktueller Transformationen:</w:t>
      </w:r>
      <w:r>
        <w:t xml:space="preserve"> </w:t>
      </w:r>
      <w:r>
        <w:rPr>
          <w:i/>
          <w:iCs/>
        </w:rPr>
        <w:t xml:space="preserve">“Wir machen Transformationen, um AI zu haben, um in der Cloud zu sein, um die coolen Dinge zu machen. Aber den Weg dahin machen wir noch immer mit Steinen und Meißel.”</w:t>
      </w:r>
    </w:p>
    <w:p>
      <w:pPr>
        <w:pStyle w:val="BodyText"/>
      </w:pPr>
      <w:r>
        <w:rPr>
          <w:b/>
          <w:bCs/>
        </w:rPr>
        <w:t xml:space="preserve">Zur EnableNow-Zukunft:</w:t>
      </w:r>
      <w:r>
        <w:t xml:space="preserve"> </w:t>
      </w:r>
      <w:r>
        <w:rPr>
          <w:i/>
          <w:iCs/>
        </w:rPr>
        <w:t xml:space="preserve">“Die Wartung von EnableNow Cloud läuft uneingeschränkt bis 2030 weiter. Da gibt es Gerüchte im Markt, die sind schlicht unwahr.”</w:t>
      </w:r>
    </w:p>
    <w:bookmarkEnd w:id="104"/>
    <w:bookmarkStart w:id="105" w:name="offene-fragestellungen-7"/>
    <w:p>
      <w:pPr>
        <w:pStyle w:val="Heading3"/>
      </w:pPr>
      <w:r>
        <w:rPr>
          <w:rStyle w:val="SectionNumber"/>
        </w:rPr>
        <w:t xml:space="preserve">5.6.3</w:t>
      </w:r>
      <w:r>
        <w:tab/>
      </w:r>
      <w:r>
        <w:t xml:space="preserve">Offene Fragestellungen</w:t>
      </w:r>
    </w:p>
    <w:p>
      <w:pPr>
        <w:pStyle w:val="FirstParagraph"/>
      </w:pPr>
      <w:r>
        <w:t xml:space="preserve">Während des Vortrags wurden mehrere wichtige Fragestellungen aufgeworfen:</w:t>
      </w:r>
    </w:p>
    <w:p>
      <w:pPr>
        <w:pStyle w:val="Compact"/>
        <w:numPr>
          <w:ilvl w:val="0"/>
          <w:numId w:val="1022"/>
        </w:numPr>
      </w:pPr>
      <w:r>
        <w:t xml:space="preserve">Wie können Unternehmen den Innovationszyklen der SAP folgen und dabei alle verfügbaren Features nutzen?</w:t>
      </w:r>
    </w:p>
    <w:p>
      <w:pPr>
        <w:pStyle w:val="Compact"/>
        <w:numPr>
          <w:ilvl w:val="0"/>
          <w:numId w:val="1022"/>
        </w:numPr>
      </w:pPr>
      <w:r>
        <w:t xml:space="preserve">Welche konkreten Schritte sind notwendig, um von traditionellen Transformationsansätzen zu Continuous Transformation überzugehen?</w:t>
      </w:r>
    </w:p>
    <w:p>
      <w:pPr>
        <w:pStyle w:val="Compact"/>
        <w:numPr>
          <w:ilvl w:val="0"/>
          <w:numId w:val="1022"/>
        </w:numPr>
      </w:pPr>
      <w:r>
        <w:t xml:space="preserve">Wie lassen sich bestehende Investitionen in EnableNow-Content bei der Migration zu neuen Plattformen schützen?</w:t>
      </w:r>
    </w:p>
    <w:p>
      <w:pPr>
        <w:pStyle w:val="Compact"/>
        <w:numPr>
          <w:ilvl w:val="0"/>
          <w:numId w:val="1022"/>
        </w:numPr>
      </w:pPr>
      <w:r>
        <w:t xml:space="preserve">Wann ist der optimale Zeitpunkt für den Umstieg von EnableNow auf WalkMe Learning?</w:t>
      </w:r>
    </w:p>
    <w:p>
      <w:pPr>
        <w:pStyle w:val="Compact"/>
        <w:numPr>
          <w:ilvl w:val="0"/>
          <w:numId w:val="1022"/>
        </w:numPr>
      </w:pPr>
      <w:r>
        <w:t xml:space="preserve">Wie können Unternehmen die Value-Leakage vermeiden, die durch nicht konsumierte Innovationen entsteht?</w:t>
      </w:r>
    </w:p>
    <w:bookmarkEnd w:id="105"/>
    <w:bookmarkStart w:id="111" w:name="handlungsempfehlungen-6"/>
    <w:p>
      <w:pPr>
        <w:pStyle w:val="Heading3"/>
      </w:pPr>
      <w:r>
        <w:rPr>
          <w:rStyle w:val="SectionNumber"/>
        </w:rPr>
        <w:t xml:space="preserve">5.6.4</w:t>
      </w:r>
      <w:r>
        <w:tab/>
      </w:r>
      <w:r>
        <w:t xml:space="preserve">Handlungsempfehlungen</w:t>
      </w:r>
    </w:p>
    <w:bookmarkStart w:id="106" w:name="sofortige-maßnahmen"/>
    <w:p>
      <w:pPr>
        <w:pStyle w:val="Heading4"/>
      </w:pPr>
      <w:r>
        <w:rPr>
          <w:rStyle w:val="SectionNumber"/>
        </w:rPr>
        <w:t xml:space="preserve">5.6.4.1</w:t>
      </w:r>
      <w:r>
        <w:tab/>
      </w:r>
      <w:r>
        <w:t xml:space="preserve">Sofortige Maßnahmen:</w:t>
      </w:r>
    </w:p>
    <w:p>
      <w:pPr>
        <w:pStyle w:val="Compact"/>
        <w:numPr>
          <w:ilvl w:val="0"/>
          <w:numId w:val="1023"/>
        </w:numPr>
      </w:pPr>
      <w:r>
        <w:t xml:space="preserve">Akzeptanz, dass Transformationen selbst digitalisiert werden müssen</w:t>
      </w:r>
    </w:p>
    <w:p>
      <w:pPr>
        <w:pStyle w:val="Compact"/>
        <w:numPr>
          <w:ilvl w:val="0"/>
          <w:numId w:val="1023"/>
        </w:numPr>
      </w:pPr>
      <w:r>
        <w:t xml:space="preserve">Beginn der Integration vorhandener SAP-Tools zur Schaffung einer</w:t>
      </w:r>
      <w:r>
        <w:t xml:space="preserve"> </w:t>
      </w:r>
      <w:r>
        <w:t xml:space="preserve">“Transformationsmaschine”</w:t>
      </w:r>
    </w:p>
    <w:p>
      <w:pPr>
        <w:pStyle w:val="Compact"/>
        <w:numPr>
          <w:ilvl w:val="0"/>
          <w:numId w:val="1023"/>
        </w:numPr>
      </w:pPr>
      <w:r>
        <w:t xml:space="preserve">Nutzung von AI zur Analyse von Systemdaten und Prozessen statt manueller Erfassung</w:t>
      </w:r>
    </w:p>
    <w:bookmarkEnd w:id="106"/>
    <w:bookmarkStart w:id="107" w:name="mittelfristige-strategien"/>
    <w:p>
      <w:pPr>
        <w:pStyle w:val="Heading4"/>
      </w:pPr>
      <w:r>
        <w:rPr>
          <w:rStyle w:val="SectionNumber"/>
        </w:rPr>
        <w:t xml:space="preserve">5.6.4.2</w:t>
      </w:r>
      <w:r>
        <w:tab/>
      </w:r>
      <w:r>
        <w:t xml:space="preserve">Mittelfristige Strategien:</w:t>
      </w:r>
    </w:p>
    <w:p>
      <w:pPr>
        <w:pStyle w:val="Compact"/>
        <w:numPr>
          <w:ilvl w:val="0"/>
          <w:numId w:val="1024"/>
        </w:numPr>
      </w:pPr>
      <w:r>
        <w:t xml:space="preserve">Aufbau einer SAP Integrated Toolchain mit mindestens 14 verfügbaren Integrationen</w:t>
      </w:r>
    </w:p>
    <w:p>
      <w:pPr>
        <w:pStyle w:val="Compact"/>
        <w:numPr>
          <w:ilvl w:val="0"/>
          <w:numId w:val="1024"/>
        </w:numPr>
      </w:pPr>
      <w:r>
        <w:t xml:space="preserve">Implementierung von Tools zur automatischen Erkennung von Prozess- und UI-Problemen</w:t>
      </w:r>
    </w:p>
    <w:p>
      <w:pPr>
        <w:pStyle w:val="Compact"/>
        <w:numPr>
          <w:ilvl w:val="0"/>
          <w:numId w:val="1024"/>
        </w:numPr>
      </w:pPr>
      <w:r>
        <w:t xml:space="preserve">Entwicklung einer Governance-Struktur für kontinuierliche Transformationen</w:t>
      </w:r>
    </w:p>
    <w:bookmarkEnd w:id="107"/>
    <w:bookmarkStart w:id="108" w:name="langfristige-planung"/>
    <w:p>
      <w:pPr>
        <w:pStyle w:val="Heading4"/>
      </w:pPr>
      <w:r>
        <w:rPr>
          <w:rStyle w:val="SectionNumber"/>
        </w:rPr>
        <w:t xml:space="preserve">5.6.4.3</w:t>
      </w:r>
      <w:r>
        <w:tab/>
      </w:r>
      <w:r>
        <w:t xml:space="preserve">Langfristige Planung:</w:t>
      </w:r>
    </w:p>
    <w:p>
      <w:pPr>
        <w:pStyle w:val="Compact"/>
        <w:numPr>
          <w:ilvl w:val="0"/>
          <w:numId w:val="1025"/>
        </w:numPr>
      </w:pPr>
      <w:r>
        <w:t xml:space="preserve">Vorbereitung auf einen Zeithorizont von maximal drei bis vier Jahren für Continuous Transformation</w:t>
      </w:r>
    </w:p>
    <w:p>
      <w:pPr>
        <w:pStyle w:val="Compact"/>
        <w:numPr>
          <w:ilvl w:val="0"/>
          <w:numId w:val="1025"/>
        </w:numPr>
      </w:pPr>
      <w:r>
        <w:t xml:space="preserve">Investition in die Verbindung von AI und menschlichen Fähigkeiten zu</w:t>
      </w:r>
      <w:r>
        <w:t xml:space="preserve"> </w:t>
      </w:r>
      <w:r>
        <w:t xml:space="preserve">“Human Superpowers”</w:t>
      </w:r>
    </w:p>
    <w:p>
      <w:pPr>
        <w:pStyle w:val="Compact"/>
        <w:numPr>
          <w:ilvl w:val="0"/>
          <w:numId w:val="1025"/>
        </w:numPr>
      </w:pPr>
      <w:r>
        <w:t xml:space="preserve">Strategische Planung für die Migration von EnableNow zu WalkMe Learning</w:t>
      </w:r>
    </w:p>
    <w:bookmarkEnd w:id="108"/>
    <w:bookmarkStart w:id="109" w:name="konkrete-tool-empfehlungen"/>
    <w:p>
      <w:pPr>
        <w:pStyle w:val="Heading4"/>
      </w:pPr>
      <w:r>
        <w:rPr>
          <w:rStyle w:val="SectionNumber"/>
        </w:rPr>
        <w:t xml:space="preserve">5.6.4.4</w:t>
      </w:r>
      <w:r>
        <w:tab/>
      </w:r>
      <w:r>
        <w:t xml:space="preserve">Konkrete Tool-Empfehlungen:</w:t>
      </w:r>
    </w:p>
    <w:p>
      <w:pPr>
        <w:pStyle w:val="Compact"/>
        <w:numPr>
          <w:ilvl w:val="0"/>
          <w:numId w:val="1026"/>
        </w:numPr>
      </w:pPr>
      <w:r>
        <w:t xml:space="preserve">Integration von Signavio mit LeanIX für automatische Prozessmodell-Generierung</w:t>
      </w:r>
    </w:p>
    <w:p>
      <w:pPr>
        <w:pStyle w:val="Compact"/>
        <w:numPr>
          <w:ilvl w:val="0"/>
          <w:numId w:val="1026"/>
        </w:numPr>
      </w:pPr>
      <w:r>
        <w:t xml:space="preserve">Verknüpfung von Cloud ALM mit EnableNow für strukturierte Dokumentation</w:t>
      </w:r>
    </w:p>
    <w:p>
      <w:pPr>
        <w:pStyle w:val="Compact"/>
        <w:numPr>
          <w:ilvl w:val="0"/>
          <w:numId w:val="1026"/>
        </w:numPr>
      </w:pPr>
      <w:r>
        <w:t xml:space="preserve">Nutzung von WalkMe für erweiterte Digital Adoption Platform-Funktionalitäten</w:t>
      </w:r>
    </w:p>
    <w:bookmarkEnd w:id="109"/>
    <w:bookmarkStart w:id="110" w:name="für-enablenow-bestandskunden"/>
    <w:p>
      <w:pPr>
        <w:pStyle w:val="Heading4"/>
      </w:pPr>
      <w:r>
        <w:rPr>
          <w:rStyle w:val="SectionNumber"/>
        </w:rPr>
        <w:t xml:space="preserve">5.6.4.5</w:t>
      </w:r>
      <w:r>
        <w:tab/>
      </w:r>
      <w:r>
        <w:t xml:space="preserve">Für EnableNow-Bestandskunden:</w:t>
      </w:r>
    </w:p>
    <w:p>
      <w:pPr>
        <w:pStyle w:val="Compact"/>
        <w:numPr>
          <w:ilvl w:val="0"/>
          <w:numId w:val="1027"/>
        </w:numPr>
      </w:pPr>
      <w:r>
        <w:t xml:space="preserve">Fortsetzung der Content-Erstellung bis 2030 ohne Bedenken</w:t>
      </w:r>
    </w:p>
    <w:p>
      <w:pPr>
        <w:pStyle w:val="Compact"/>
        <w:numPr>
          <w:ilvl w:val="0"/>
          <w:numId w:val="1027"/>
        </w:numPr>
      </w:pPr>
      <w:r>
        <w:t xml:space="preserve">Vorbereitung auf Migrationspfade, die voraussichtlich Q1/Q2 2025 verfügbar werden</w:t>
      </w:r>
    </w:p>
    <w:p>
      <w:pPr>
        <w:pStyle w:val="Compact"/>
        <w:numPr>
          <w:ilvl w:val="0"/>
          <w:numId w:val="1027"/>
        </w:numPr>
      </w:pPr>
      <w:r>
        <w:t xml:space="preserve">Nutzung der bestehenden Integrationen zur Maximierung des ROI</w:t>
      </w:r>
    </w:p>
    <w:p>
      <w:pPr>
        <w:pStyle w:val="FirstParagraph"/>
      </w:pPr>
      <w:r>
        <w:t xml:space="preserve">Der Vortrag macht deutlich, dass Unternehmen nicht nur ihre Geschäftsprozesse, sondern auch ihre Transformationsansätze grundlegend überdenken müssen, um in der beschleunigten digitalen Welt erfolgreich zu sein.</w:t>
      </w:r>
    </w:p>
    <w:bookmarkEnd w:id="110"/>
    <w:bookmarkEnd w:id="111"/>
    <w:bookmarkEnd w:id="112"/>
    <w:bookmarkStart w:id="113"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113"/>
    <w:bookmarkStart w:id="114"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114"/>
    <w:bookmarkStart w:id="115"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115"/>
    <w:bookmarkStart w:id="116"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116"/>
    <w:bookmarkEnd w:id="117"/>
    <w:bookmarkStart w:id="121" w:name="sessions-workshops"/>
    <w:p>
      <w:pPr>
        <w:pStyle w:val="Heading1"/>
      </w:pPr>
      <w:r>
        <w:rPr>
          <w:rStyle w:val="SectionNumber"/>
        </w:rPr>
        <w:t xml:space="preserve">6</w:t>
      </w:r>
      <w:r>
        <w:tab/>
      </w:r>
      <w:r>
        <w:t xml:space="preserve">Sessions &amp; Workshops</w:t>
      </w:r>
    </w:p>
    <w:bookmarkStart w:id="118"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18"/>
    <w:bookmarkStart w:id="119"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19"/>
    <w:bookmarkStart w:id="120"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2025-06-25T11:20:26Z</dcterms:created>
  <dcterms:modified xsi:type="dcterms:W3CDTF">2025-06-25T11:20:26Z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