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625BBB99"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I</w:t>
      </w:r>
      <w:r w:rsidR="00FD3170">
        <w:rPr>
          <w:rFonts w:ascii="Arial" w:hAnsi="Arial" w:cs="Arial"/>
          <w:color w:val="000048"/>
          <w:sz w:val="20"/>
          <w:szCs w:val="20"/>
        </w:rPr>
        <w:t>,</w:t>
      </w:r>
      <w:r w:rsidRPr="6CFCB8F8">
        <w:rPr>
          <w:rFonts w:ascii="Arial" w:hAnsi="Arial" w:cs="Arial"/>
          <w:color w:val="000048"/>
          <w:sz w:val="20"/>
          <w:szCs w:val="20"/>
        </w:rPr>
        <w:t xml:space="preserve"> </w:t>
      </w:r>
      <w:r w:rsidR="00FD3170">
        <w:rPr>
          <w:rFonts w:ascii="Arial" w:hAnsi="Arial" w:cs="Arial"/>
          <w:color w:val="000048"/>
          <w:sz w:val="20"/>
          <w:szCs w:val="20"/>
        </w:rPr>
        <w:t>Sagar Sinha</w:t>
      </w:r>
      <w:r w:rsidRPr="6CFCB8F8">
        <w:rPr>
          <w:rFonts w:ascii="Arial" w:hAnsi="Arial" w:cs="Arial"/>
          <w:color w:val="000048"/>
          <w:sz w:val="20"/>
          <w:szCs w:val="20"/>
        </w:rPr>
        <w:t xml:space="preserve"> undergoing skilling in the GenC Internship / GenC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 Each technical track has a defined curriculum which is oriented to the GenCs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 xml:space="preserve">assessment is applicable to specific tracks where the interns/CSD candidates complete their virtual self-learning pre-onboarding. On onboarding as Interns/CSD  to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Passing the FSR assessment is a mandatory criteria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(i)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answer the basic questions asked on particular skill.</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able to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offer</w:t>
      </w:r>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case of where is no progressive level movement is demonstrated, candidate will be de-enrolled from the GenC skilling program and LOI  will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Refer to the GenC India - and CSD - Skilling program guidelines</w:t>
      </w:r>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A30BCE0" w:rsidR="00C933FC" w:rsidRPr="00C933FC" w:rsidRDefault="0D53B351"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324526B6">
        <w:rPr>
          <w:rFonts w:ascii="Arial" w:hAnsi="Arial" w:cs="Arial"/>
          <w:color w:val="000048"/>
          <w:sz w:val="20"/>
          <w:szCs w:val="20"/>
        </w:rPr>
        <w:t>declaration</w:t>
      </w:r>
      <w:r w:rsidR="00C933FC" w:rsidRPr="324526B6">
        <w:rPr>
          <w:rFonts w:ascii="Arial" w:hAnsi="Arial" w:cs="Arial"/>
          <w:color w:val="000048"/>
          <w:sz w:val="20"/>
          <w:szCs w:val="20"/>
        </w:rPr>
        <w:t xml:space="preserve"> form</w:t>
      </w:r>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6FB2991E">
                <wp:extent cx="6191250" cy="828675"/>
                <wp:effectExtent l="0" t="0" r="0" b="9525"/>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28A962F0"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Candidate Name:</w:t>
                            </w:r>
                            <w:r w:rsidR="001756BF">
                              <w:rPr>
                                <w:rFonts w:ascii="Arial" w:hAnsi="Arial" w:cs="Arial"/>
                                <w:color w:val="000048"/>
                                <w:sz w:val="20"/>
                                <w:szCs w:val="20"/>
                              </w:rPr>
                              <w:tab/>
                            </w:r>
                            <w:r w:rsidR="00FD3170">
                              <w:rPr>
                                <w:rFonts w:ascii="Arial" w:hAnsi="Arial" w:cs="Arial"/>
                                <w:color w:val="000048"/>
                                <w:sz w:val="20"/>
                                <w:szCs w:val="20"/>
                              </w:rPr>
                              <w:t>Sagar Sinha</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r>
                            <w:r w:rsidR="001756BF">
                              <w:rPr>
                                <w:rFonts w:ascii="Arial" w:hAnsi="Arial" w:cs="Arial"/>
                                <w:color w:val="000048"/>
                                <w:sz w:val="20"/>
                                <w:szCs w:val="20"/>
                              </w:rPr>
                              <w:tab/>
                            </w:r>
                            <w:r w:rsidR="001756BF">
                              <w:rPr>
                                <w:rFonts w:ascii="Arial" w:hAnsi="Arial" w:cs="Arial"/>
                                <w:color w:val="000048"/>
                                <w:sz w:val="20"/>
                                <w:szCs w:val="20"/>
                              </w:rPr>
                              <w:tab/>
                            </w:r>
                            <w:r w:rsidRPr="00862E3F">
                              <w:rPr>
                                <w:rFonts w:ascii="Arial" w:hAnsi="Arial" w:cs="Arial"/>
                                <w:color w:val="000048"/>
                                <w:sz w:val="20"/>
                                <w:szCs w:val="20"/>
                              </w:rPr>
                              <w:t>Candidate ID:</w:t>
                            </w:r>
                            <w:r w:rsidR="001756BF">
                              <w:rPr>
                                <w:rFonts w:ascii="Arial" w:hAnsi="Arial" w:cs="Arial"/>
                                <w:color w:val="000048"/>
                                <w:sz w:val="20"/>
                                <w:szCs w:val="20"/>
                              </w:rPr>
                              <w:tab/>
                            </w:r>
                            <w:r w:rsidRPr="00862E3F">
                              <w:rPr>
                                <w:rFonts w:ascii="Arial" w:hAnsi="Arial" w:cs="Arial"/>
                                <w:color w:val="000048"/>
                                <w:sz w:val="20"/>
                                <w:szCs w:val="20"/>
                              </w:rPr>
                              <w:t xml:space="preserve"> </w:t>
                            </w:r>
                            <w:r w:rsidR="00EA6DD0">
                              <w:rPr>
                                <w:rFonts w:ascii="Arial" w:hAnsi="Arial" w:cs="Arial"/>
                                <w:color w:val="000048"/>
                                <w:sz w:val="20"/>
                                <w:szCs w:val="20"/>
                              </w:rPr>
                              <w:t>21836509</w:t>
                            </w:r>
                          </w:p>
                          <w:p w14:paraId="672A9C0A" w14:textId="3AC81E32" w:rsidR="00C933FC" w:rsidRPr="0038139E" w:rsidRDefault="001756BF" w:rsidP="00C933FC">
                            <w:pPr>
                              <w:rPr>
                                <w:color w:val="000048"/>
                              </w:rPr>
                            </w:pPr>
                            <w:r w:rsidRPr="00862E3F">
                              <w:rPr>
                                <w:rFonts w:ascii="Arial" w:hAnsi="Arial" w:cs="Arial"/>
                                <w:color w:val="000048"/>
                                <w:sz w:val="20"/>
                                <w:szCs w:val="20"/>
                              </w:rPr>
                              <w:t>Location:</w:t>
                            </w:r>
                            <w:r>
                              <w:rPr>
                                <w:rFonts w:ascii="Arial" w:hAnsi="Arial" w:cs="Arial"/>
                                <w:color w:val="000048"/>
                                <w:sz w:val="20"/>
                                <w:szCs w:val="20"/>
                              </w:rPr>
                              <w:tab/>
                            </w:r>
                            <w:r w:rsidR="00FD3170">
                              <w:rPr>
                                <w:rFonts w:ascii="Arial" w:hAnsi="Arial" w:cs="Arial"/>
                                <w:color w:val="000048"/>
                                <w:sz w:val="20"/>
                                <w:szCs w:val="20"/>
                              </w:rPr>
                              <w:t>Pune</w:t>
                            </w:r>
                            <w:r w:rsidR="00C933FC" w:rsidRPr="00862E3F">
                              <w:rPr>
                                <w:rFonts w:ascii="Arial" w:hAnsi="Arial" w:cs="Arial"/>
                                <w:color w:val="000048"/>
                                <w:sz w:val="20"/>
                                <w:szCs w:val="20"/>
                              </w:rPr>
                              <w:tab/>
                            </w:r>
                            <w:r>
                              <w:rPr>
                                <w:rFonts w:ascii="Arial" w:hAnsi="Arial" w:cs="Arial"/>
                                <w:color w:val="000048"/>
                                <w:sz w:val="20"/>
                                <w:szCs w:val="20"/>
                              </w:rPr>
                              <w:tab/>
                            </w:r>
                            <w:r w:rsidR="00C933FC" w:rsidRPr="00862E3F">
                              <w:rPr>
                                <w:rFonts w:ascii="Arial" w:hAnsi="Arial" w:cs="Arial"/>
                                <w:color w:val="000048"/>
                                <w:sz w:val="20"/>
                                <w:szCs w:val="20"/>
                              </w:rPr>
                              <w:t xml:space="preserve">Date:  </w:t>
                            </w:r>
                            <w:r w:rsidR="00FD3170">
                              <w:rPr>
                                <w:rFonts w:ascii="Arial" w:hAnsi="Arial" w:cs="Arial"/>
                                <w:i/>
                                <w:color w:val="000048"/>
                                <w:sz w:val="20"/>
                                <w:szCs w:val="20"/>
                              </w:rPr>
                              <w:t>12</w:t>
                            </w:r>
                            <w:r w:rsidR="00C933FC" w:rsidRPr="00862E3F">
                              <w:rPr>
                                <w:rFonts w:ascii="Arial" w:hAnsi="Arial" w:cs="Arial"/>
                                <w:i/>
                                <w:color w:val="000048"/>
                                <w:sz w:val="20"/>
                                <w:szCs w:val="20"/>
                              </w:rPr>
                              <w:t xml:space="preserve"> / </w:t>
                            </w:r>
                            <w:r w:rsidR="00FD3170">
                              <w:rPr>
                                <w:rFonts w:ascii="Arial" w:hAnsi="Arial" w:cs="Arial"/>
                                <w:i/>
                                <w:color w:val="000048"/>
                                <w:sz w:val="20"/>
                                <w:szCs w:val="20"/>
                              </w:rPr>
                              <w:t>01</w:t>
                            </w:r>
                            <w:r w:rsidR="00C933FC" w:rsidRPr="00862E3F">
                              <w:rPr>
                                <w:rFonts w:ascii="Arial" w:hAnsi="Arial" w:cs="Arial"/>
                                <w:i/>
                                <w:color w:val="000048"/>
                                <w:sz w:val="20"/>
                                <w:szCs w:val="20"/>
                              </w:rPr>
                              <w:t xml:space="preserve"> / </w:t>
                            </w:r>
                            <w:r w:rsidR="00FD3170">
                              <w:rPr>
                                <w:rFonts w:ascii="Arial" w:hAnsi="Arial" w:cs="Arial"/>
                                <w:i/>
                                <w:color w:val="000048"/>
                                <w:sz w:val="20"/>
                                <w:szCs w:val="20"/>
                              </w:rPr>
                              <w:t>20124</w:t>
                            </w:r>
                            <w:r w:rsidR="00C933FC" w:rsidRPr="00862E3F">
                              <w:rPr>
                                <w:rFonts w:ascii="Arial" w:hAnsi="Arial" w:cs="Arial"/>
                                <w:i/>
                                <w:color w:val="000048"/>
                                <w:sz w:val="20"/>
                                <w:szCs w:val="20"/>
                              </w:rPr>
                              <w:tab/>
                            </w:r>
                            <w:r>
                              <w:rPr>
                                <w:rFonts w:ascii="Arial" w:hAnsi="Arial" w:cs="Arial"/>
                                <w:i/>
                                <w:color w:val="000048"/>
                                <w:sz w:val="20"/>
                                <w:szCs w:val="20"/>
                              </w:rPr>
                              <w:tab/>
                            </w:r>
                            <w:r w:rsidR="00C933FC" w:rsidRPr="00862E3F">
                              <w:rPr>
                                <w:rFonts w:ascii="Arial" w:hAnsi="Arial" w:cs="Arial"/>
                                <w:color w:val="000048"/>
                                <w:sz w:val="20"/>
                                <w:szCs w:val="20"/>
                              </w:rPr>
                              <w:t>Signature:</w:t>
                            </w:r>
                            <w:r>
                              <w:rPr>
                                <w:rFonts w:ascii="Arial" w:hAnsi="Arial" w:cs="Arial"/>
                                <w:color w:val="000048"/>
                                <w:sz w:val="20"/>
                                <w:szCs w:val="20"/>
                              </w:rPr>
                              <w:tab/>
                            </w:r>
                            <w:r>
                              <w:rPr>
                                <w:color w:val="000048"/>
                              </w:rPr>
                              <w:t>Sagar Sinha</w:t>
                            </w:r>
                            <w:r w:rsidR="00C933FC"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" fillcolor="white [3201]" strokecolor="#4472c4 [3204]" strokeweight="1pt">
                <v:path arrowok="t"/>
                <v:textbox>
                  <w:txbxContent>
                    <w:p w14:paraId="4FDCDD82" w14:textId="28A962F0"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Candidate Name:</w:t>
                      </w:r>
                      <w:r w:rsidR="001756BF">
                        <w:rPr>
                          <w:rFonts w:ascii="Arial" w:hAnsi="Arial" w:cs="Arial"/>
                          <w:color w:val="000048"/>
                          <w:sz w:val="20"/>
                          <w:szCs w:val="20"/>
                        </w:rPr>
                        <w:tab/>
                      </w:r>
                      <w:r w:rsidR="00FD3170">
                        <w:rPr>
                          <w:rFonts w:ascii="Arial" w:hAnsi="Arial" w:cs="Arial"/>
                          <w:color w:val="000048"/>
                          <w:sz w:val="20"/>
                          <w:szCs w:val="20"/>
                        </w:rPr>
                        <w:t>Sagar Sinha</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r>
                      <w:r w:rsidR="001756BF">
                        <w:rPr>
                          <w:rFonts w:ascii="Arial" w:hAnsi="Arial" w:cs="Arial"/>
                          <w:color w:val="000048"/>
                          <w:sz w:val="20"/>
                          <w:szCs w:val="20"/>
                        </w:rPr>
                        <w:tab/>
                      </w:r>
                      <w:r w:rsidR="001756BF">
                        <w:rPr>
                          <w:rFonts w:ascii="Arial" w:hAnsi="Arial" w:cs="Arial"/>
                          <w:color w:val="000048"/>
                          <w:sz w:val="20"/>
                          <w:szCs w:val="20"/>
                        </w:rPr>
                        <w:tab/>
                      </w:r>
                      <w:r w:rsidRPr="00862E3F">
                        <w:rPr>
                          <w:rFonts w:ascii="Arial" w:hAnsi="Arial" w:cs="Arial"/>
                          <w:color w:val="000048"/>
                          <w:sz w:val="20"/>
                          <w:szCs w:val="20"/>
                        </w:rPr>
                        <w:t>Candidate ID:</w:t>
                      </w:r>
                      <w:r w:rsidR="001756BF">
                        <w:rPr>
                          <w:rFonts w:ascii="Arial" w:hAnsi="Arial" w:cs="Arial"/>
                          <w:color w:val="000048"/>
                          <w:sz w:val="20"/>
                          <w:szCs w:val="20"/>
                        </w:rPr>
                        <w:tab/>
                      </w:r>
                      <w:r w:rsidRPr="00862E3F">
                        <w:rPr>
                          <w:rFonts w:ascii="Arial" w:hAnsi="Arial" w:cs="Arial"/>
                          <w:color w:val="000048"/>
                          <w:sz w:val="20"/>
                          <w:szCs w:val="20"/>
                        </w:rPr>
                        <w:t xml:space="preserve"> </w:t>
                      </w:r>
                      <w:r w:rsidR="00EA6DD0">
                        <w:rPr>
                          <w:rFonts w:ascii="Arial" w:hAnsi="Arial" w:cs="Arial"/>
                          <w:color w:val="000048"/>
                          <w:sz w:val="20"/>
                          <w:szCs w:val="20"/>
                        </w:rPr>
                        <w:t>21836509</w:t>
                      </w:r>
                    </w:p>
                    <w:p w14:paraId="672A9C0A" w14:textId="3AC81E32" w:rsidR="00C933FC" w:rsidRPr="0038139E" w:rsidRDefault="001756BF" w:rsidP="00C933FC">
                      <w:pPr>
                        <w:rPr>
                          <w:color w:val="000048"/>
                        </w:rPr>
                      </w:pPr>
                      <w:r w:rsidRPr="00862E3F">
                        <w:rPr>
                          <w:rFonts w:ascii="Arial" w:hAnsi="Arial" w:cs="Arial"/>
                          <w:color w:val="000048"/>
                          <w:sz w:val="20"/>
                          <w:szCs w:val="20"/>
                        </w:rPr>
                        <w:t>Location:</w:t>
                      </w:r>
                      <w:r>
                        <w:rPr>
                          <w:rFonts w:ascii="Arial" w:hAnsi="Arial" w:cs="Arial"/>
                          <w:color w:val="000048"/>
                          <w:sz w:val="20"/>
                          <w:szCs w:val="20"/>
                        </w:rPr>
                        <w:tab/>
                      </w:r>
                      <w:r w:rsidR="00FD3170">
                        <w:rPr>
                          <w:rFonts w:ascii="Arial" w:hAnsi="Arial" w:cs="Arial"/>
                          <w:color w:val="000048"/>
                          <w:sz w:val="20"/>
                          <w:szCs w:val="20"/>
                        </w:rPr>
                        <w:t>Pune</w:t>
                      </w:r>
                      <w:r w:rsidR="00C933FC" w:rsidRPr="00862E3F">
                        <w:rPr>
                          <w:rFonts w:ascii="Arial" w:hAnsi="Arial" w:cs="Arial"/>
                          <w:color w:val="000048"/>
                          <w:sz w:val="20"/>
                          <w:szCs w:val="20"/>
                        </w:rPr>
                        <w:tab/>
                      </w:r>
                      <w:r>
                        <w:rPr>
                          <w:rFonts w:ascii="Arial" w:hAnsi="Arial" w:cs="Arial"/>
                          <w:color w:val="000048"/>
                          <w:sz w:val="20"/>
                          <w:szCs w:val="20"/>
                        </w:rPr>
                        <w:tab/>
                      </w:r>
                      <w:r w:rsidR="00C933FC" w:rsidRPr="00862E3F">
                        <w:rPr>
                          <w:rFonts w:ascii="Arial" w:hAnsi="Arial" w:cs="Arial"/>
                          <w:color w:val="000048"/>
                          <w:sz w:val="20"/>
                          <w:szCs w:val="20"/>
                        </w:rPr>
                        <w:t xml:space="preserve">Date:  </w:t>
                      </w:r>
                      <w:r w:rsidR="00FD3170">
                        <w:rPr>
                          <w:rFonts w:ascii="Arial" w:hAnsi="Arial" w:cs="Arial"/>
                          <w:i/>
                          <w:color w:val="000048"/>
                          <w:sz w:val="20"/>
                          <w:szCs w:val="20"/>
                        </w:rPr>
                        <w:t>12</w:t>
                      </w:r>
                      <w:r w:rsidR="00C933FC" w:rsidRPr="00862E3F">
                        <w:rPr>
                          <w:rFonts w:ascii="Arial" w:hAnsi="Arial" w:cs="Arial"/>
                          <w:i/>
                          <w:color w:val="000048"/>
                          <w:sz w:val="20"/>
                          <w:szCs w:val="20"/>
                        </w:rPr>
                        <w:t xml:space="preserve"> / </w:t>
                      </w:r>
                      <w:r w:rsidR="00FD3170">
                        <w:rPr>
                          <w:rFonts w:ascii="Arial" w:hAnsi="Arial" w:cs="Arial"/>
                          <w:i/>
                          <w:color w:val="000048"/>
                          <w:sz w:val="20"/>
                          <w:szCs w:val="20"/>
                        </w:rPr>
                        <w:t>01</w:t>
                      </w:r>
                      <w:r w:rsidR="00C933FC" w:rsidRPr="00862E3F">
                        <w:rPr>
                          <w:rFonts w:ascii="Arial" w:hAnsi="Arial" w:cs="Arial"/>
                          <w:i/>
                          <w:color w:val="000048"/>
                          <w:sz w:val="20"/>
                          <w:szCs w:val="20"/>
                        </w:rPr>
                        <w:t xml:space="preserve"> / </w:t>
                      </w:r>
                      <w:r w:rsidR="00FD3170">
                        <w:rPr>
                          <w:rFonts w:ascii="Arial" w:hAnsi="Arial" w:cs="Arial"/>
                          <w:i/>
                          <w:color w:val="000048"/>
                          <w:sz w:val="20"/>
                          <w:szCs w:val="20"/>
                        </w:rPr>
                        <w:t>20124</w:t>
                      </w:r>
                      <w:r w:rsidR="00C933FC" w:rsidRPr="00862E3F">
                        <w:rPr>
                          <w:rFonts w:ascii="Arial" w:hAnsi="Arial" w:cs="Arial"/>
                          <w:i/>
                          <w:color w:val="000048"/>
                          <w:sz w:val="20"/>
                          <w:szCs w:val="20"/>
                        </w:rPr>
                        <w:tab/>
                      </w:r>
                      <w:r>
                        <w:rPr>
                          <w:rFonts w:ascii="Arial" w:hAnsi="Arial" w:cs="Arial"/>
                          <w:i/>
                          <w:color w:val="000048"/>
                          <w:sz w:val="20"/>
                          <w:szCs w:val="20"/>
                        </w:rPr>
                        <w:tab/>
                      </w:r>
                      <w:r w:rsidR="00C933FC" w:rsidRPr="00862E3F">
                        <w:rPr>
                          <w:rFonts w:ascii="Arial" w:hAnsi="Arial" w:cs="Arial"/>
                          <w:color w:val="000048"/>
                          <w:sz w:val="20"/>
                          <w:szCs w:val="20"/>
                        </w:rPr>
                        <w:t>Signature:</w:t>
                      </w:r>
                      <w:r>
                        <w:rPr>
                          <w:rFonts w:ascii="Arial" w:hAnsi="Arial" w:cs="Arial"/>
                          <w:color w:val="000048"/>
                          <w:sz w:val="20"/>
                          <w:szCs w:val="20"/>
                        </w:rPr>
                        <w:tab/>
                      </w:r>
                      <w:r>
                        <w:rPr>
                          <w:color w:val="000048"/>
                        </w:rPr>
                        <w:t>Sagar Sinha</w:t>
                      </w:r>
                      <w:r w:rsidR="00C933FC" w:rsidRPr="0038139E">
                        <w:rPr>
                          <w:color w:val="000048"/>
                        </w:rPr>
                        <w:tab/>
                      </w:r>
                    </w:p>
                  </w:txbxContent>
                </v:textbox>
                <w10:anchorlock/>
              </v:rect>
            </w:pict>
          </mc:Fallback>
        </mc:AlternateContent>
      </w: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38AB2" w14:textId="77777777" w:rsidR="00AC27FB" w:rsidRDefault="00AC27FB" w:rsidP="00F90235">
      <w:pPr>
        <w:spacing w:after="0" w:line="240" w:lineRule="auto"/>
      </w:pPr>
      <w:r>
        <w:separator/>
      </w:r>
    </w:p>
  </w:endnote>
  <w:endnote w:type="continuationSeparator" w:id="0">
    <w:p w14:paraId="690F6EFB" w14:textId="77777777" w:rsidR="00AC27FB" w:rsidRDefault="00AC27FB"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A0DAB" w14:textId="77777777" w:rsidR="00AC27FB" w:rsidRDefault="00AC27FB" w:rsidP="00F90235">
      <w:pPr>
        <w:spacing w:after="0" w:line="240" w:lineRule="auto"/>
      </w:pPr>
      <w:r>
        <w:separator/>
      </w:r>
    </w:p>
  </w:footnote>
  <w:footnote w:type="continuationSeparator" w:id="0">
    <w:p w14:paraId="4AA21615" w14:textId="77777777" w:rsidR="00AC27FB" w:rsidRDefault="00AC27FB"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1756BF"/>
    <w:rsid w:val="00366985"/>
    <w:rsid w:val="005232AA"/>
    <w:rsid w:val="00666135"/>
    <w:rsid w:val="006D6E7A"/>
    <w:rsid w:val="0072065A"/>
    <w:rsid w:val="007560B5"/>
    <w:rsid w:val="007869DF"/>
    <w:rsid w:val="00792B7C"/>
    <w:rsid w:val="00851C64"/>
    <w:rsid w:val="009D3EEF"/>
    <w:rsid w:val="00AC27FB"/>
    <w:rsid w:val="00B8504A"/>
    <w:rsid w:val="00BE1CEA"/>
    <w:rsid w:val="00C933FC"/>
    <w:rsid w:val="00E273AC"/>
    <w:rsid w:val="00EA6DD0"/>
    <w:rsid w:val="00EC34EC"/>
    <w:rsid w:val="00F1397C"/>
    <w:rsid w:val="00F90235"/>
    <w:rsid w:val="00F94970"/>
    <w:rsid w:val="00FD3170"/>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customXml/itemProps2.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3.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26DF8C-5788-4F71-AE0D-3F852C5B49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1934</Words>
  <Characters>11027</Characters>
  <Application>Microsoft Office Word</Application>
  <DocSecurity>0</DocSecurity>
  <Lines>91</Lines>
  <Paragraphs>25</Paragraphs>
  <ScaleCrop>false</ScaleCrop>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Sinha, Sagar (Contractor)</cp:lastModifiedBy>
  <cp:revision>5</cp:revision>
  <dcterms:created xsi:type="dcterms:W3CDTF">2024-01-12T04:28:00Z</dcterms:created>
  <dcterms:modified xsi:type="dcterms:W3CDTF">2024-01-12T09:26:00Z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