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sz w:val="30"/>
          <w:szCs w:val="30"/>
        </w:rPr>
        <w:t xml:space="preserve">Mapping honnête entre l'expérience professionnelle au sein du Groupe BPCE et les compétences visées par le Mastère Expert IT — Applications Intelligentes &amp; Big Data</w:t>
      </w:r>
    </w:p>
    <w:p>
      <w:pPr>
        <w:spacing w:after="300"/>
        <w:jc w:val="center"/>
      </w:pPr>
      <w:r>
        <w:rPr>
          <w:i/>
          <w:iCs/>
          <w:sz w:val="22"/>
          <w:szCs w:val="22"/>
        </w:rPr>
        <w:t xml:space="preserve">Document de justification d'expérience professionnalisante — Volet Groupe BPCE</w:t>
      </w:r>
    </w:p>
    <w:p>
      <w:pPr>
        <w:spacing w:after="100"/>
      </w:pPr>
      <w:r>
        <w:rPr>
          <w:b/>
          <w:bCs/>
        </w:rPr>
        <w:t xml:space="preserve">Nom : </w:t>
      </w:r>
      <w:r>
        <w:t xml:space="preserve">Céline Rousselot</w:t>
      </w:r>
    </w:p>
    <w:p>
      <w:pPr>
        <w:spacing w:after="100"/>
      </w:pPr>
      <w:r>
        <w:rPr>
          <w:b/>
          <w:bCs/>
        </w:rPr>
        <w:t xml:space="preserve">Centre de formation : </w:t>
      </w:r>
      <w:r>
        <w:t xml:space="preserve">EXXEA</w:t>
      </w:r>
    </w:p>
    <w:p>
      <w:pPr>
        <w:spacing w:after="100"/>
      </w:pPr>
      <w:r>
        <w:rPr>
          <w:b/>
          <w:bCs/>
        </w:rPr>
        <w:t xml:space="preserve">Formation : </w:t>
      </w:r>
      <w:r>
        <w:t xml:space="preserve">Mastère Expert IT — Applications Intelligentes &amp; Big Data</w:t>
      </w:r>
    </w:p>
    <w:p>
      <w:pPr>
        <w:spacing w:after="100"/>
      </w:pPr>
      <w:r>
        <w:rPr>
          <w:b/>
          <w:bCs/>
        </w:rPr>
        <w:t xml:space="preserve">Employeur : </w:t>
      </w:r>
      <w:r>
        <w:t xml:space="preserve">BPCE Assurances IARD (Groupe BPCE)</w:t>
      </w:r>
    </w:p>
    <w:p>
      <w:pPr>
        <w:spacing w:after="100"/>
      </w:pPr>
      <w:r>
        <w:rPr>
          <w:b/>
          <w:bCs/>
        </w:rPr>
        <w:t xml:space="preserve">Poste : </w:t>
      </w:r>
      <w:r>
        <w:t xml:space="preserve">Data Officer Junior — Périmètre Data Office / Organisation &amp; Qualité</w:t>
      </w:r>
    </w:p>
    <w:p>
      <w:pPr>
        <w:spacing w:after="100"/>
      </w:pPr>
      <w:r>
        <w:rPr>
          <w:b/>
          <w:bCs/>
        </w:rPr>
        <w:t xml:space="preserve">Période couverte : </w:t>
      </w:r>
      <w:r>
        <w:t xml:space="preserve">31 octobre 2024 au 5 février 2025</w:t>
      </w:r>
    </w:p>
    <w:p>
      <w:pPr>
        <w:spacing w:after="100"/>
      </w:pPr>
      <w:r>
        <w:rPr>
          <w:b/>
          <w:bCs/>
        </w:rPr>
        <w:t xml:space="preserve">Date de rédaction : </w:t>
      </w:r>
      <w:r>
        <w:t xml:space="preserve">3 juillet 2026</w:t>
      </w:r>
    </w:p>
    <w:p>
      <w:pPr>
        <w:spacing w:after="100"/>
      </w:pPr>
      <w:r>
        <w:rPr>
          <w:b/>
          <w:bCs/>
        </w:rPr>
        <w:t xml:space="preserve">Objet du document : </w:t>
      </w:r>
      <w:r>
        <w:t xml:space="preserve">Présentation de l'expérience professionnelle réalisée au sein du Groupe BPCE comme support complémentaire de justification d'expérience et de mise en application des compétences visées par le diplôme — en complément du document « Mapping compétences projet ALFRED.docx ».</w:t>
      </w:r>
    </w:p>
    <w:p>
      <w:pPr>
        <w:pStyle w:val="Heading1"/>
        <w:spacing w:before="300"/>
      </w:pPr>
      <w:r>
        <w:t xml:space="preserve">1. Déclaration introductive</w:t>
      </w:r>
    </w:p>
    <w:p>
      <w:pPr>
        <w:spacing w:after="160"/>
      </w:pPr>
      <w:r>
        <w:t xml:space="preserve">Je soussignée, Céline Rousselot, étudiante inscrite au centre de formation EXXEA en Mastère Expert IT — Applications Intelligentes &amp; Big Data, rédige ce document afin de présenter l'expérience professionnelle réalisée en alternance au sein du Groupe BPCE (BPCE Assurances IARD), comme second support de justification d'expérience professionnalisante, en complément du projet personnel ALFRED déjà documenté.</w:t>
      </w:r>
    </w:p>
    <w:p>
      <w:pPr>
        <w:spacing w:after="160"/>
      </w:pPr>
      <w:r>
        <w:t xml:space="preserve">Contrairement à ALFRED, qui est un projet personnel développé en autonomie, cette expérience constitue une mise en pratique en environnement professionnel réel : contraintes d'entreprise, interlocuteurs multiples, cadre réglementaire propre au secteur assurantiel (DORA, RGPD), et coordination au sein d'une équipe Data Office structurée.</w:t>
      </w:r>
    </w:p>
    <w:p>
      <w:pPr>
        <w:spacing w:after="160"/>
      </w:pPr>
      <w:r>
        <w:t xml:space="preserve">Ce document s'appuie sur l'attestation récapitulative des activités réalisées, rédigée le 3 juillet 2026 et couvrant la période du 31 octobre 2024 au 5 février 2025.</w:t>
      </w:r>
    </w:p>
    <w:p>
      <w:pPr>
        <w:spacing w:after="160"/>
      </w:pPr>
      <w:r>
        <w:t xml:space="preserve">Comme pour le mapping ALFRED, l'objectif n'est pas d'affirmer une couverture exhaustive du référentiel, mais de présenter honnêtement ce que cette expérience démontre, ce qu'elle démontre partiellement, et ce qu'elle ne couvre pas — ces derniers points restant à documenter par d'autres moyens (le projet ALFRED, notamment, couvre le versant technique/développement que ce poste ne couvre pas).</w:t>
      </w:r>
    </w:p>
    <w:p>
      <w:pPr>
        <w:pStyle w:val="Heading1"/>
        <w:spacing w:before="300"/>
      </w:pPr>
      <w:r>
        <w:t xml:space="preserve">2. Contexte professionnel</w:t>
      </w:r>
    </w:p>
    <w:p>
      <w:pPr>
        <w:spacing w:after="160"/>
      </w:pPr>
      <w:r>
        <w:t xml:space="preserve">L'alternance s'est déroulée au sein du Groupe BPCE, entité BPCE Assurances IARD, sur le périmètre Data Office / Organisation &amp; Qualité, au poste de Data Officer Junior.</w:t>
      </w:r>
    </w:p>
    <w:p>
      <w:pPr>
        <w:spacing w:after="160"/>
      </w:pPr>
      <w:r>
        <w:t xml:space="preserve">Les missions confiées ont principalement porté sur :</w:t>
      </w:r>
    </w:p>
    <w:p>
      <w:pPr>
        <w:pStyle w:val="ListParagraph"/>
        <w:numPr>
          <w:ilvl w:val="0"/>
          <w:numId w:val="2"/>
        </w:numPr>
      </w:pPr>
      <w:r>
        <w:t xml:space="preserve">la veille réglementaire et technologique (DORA, RGPD, évolutions technologiques data) ;</w:t>
      </w:r>
    </w:p>
    <w:p>
      <w:pPr>
        <w:pStyle w:val="ListParagraph"/>
        <w:numPr>
          <w:ilvl w:val="0"/>
          <w:numId w:val="2"/>
        </w:numPr>
      </w:pPr>
      <w:r>
        <w:t xml:space="preserve">la gouvernance des données et la documentation du data catalogue ;</w:t>
      </w:r>
    </w:p>
    <w:p>
      <w:pPr>
        <w:pStyle w:val="ListParagraph"/>
        <w:numPr>
          <w:ilvl w:val="0"/>
          <w:numId w:val="2"/>
        </w:numPr>
      </w:pPr>
      <w:r>
        <w:t xml:space="preserve">la qualité des données (Data Quality) ;</w:t>
      </w:r>
    </w:p>
    <w:p>
      <w:pPr>
        <w:pStyle w:val="ListParagraph"/>
        <w:numPr>
          <w:ilvl w:val="0"/>
          <w:numId w:val="2"/>
        </w:numPr>
      </w:pPr>
      <w:r>
        <w:t xml:space="preserve">la participation aux travaux de cadrage et de planification projet (dont PI Planning) ;</w:t>
      </w:r>
    </w:p>
    <w:p>
      <w:pPr>
        <w:pStyle w:val="ListParagraph"/>
        <w:numPr>
          <w:ilvl w:val="0"/>
          <w:numId w:val="2"/>
        </w:numPr>
      </w:pPr>
      <w:r>
        <w:t xml:space="preserve">la préparation d'un mémoire professionnel consacré à l'intégration d'une démarche Lean Six Sigma dans les projets DATA.</w:t>
      </w:r>
    </w:p>
    <w:p>
      <w:pPr>
        <w:pStyle w:val="Heading1"/>
        <w:spacing w:before="300"/>
      </w:pPr>
      <w:r>
        <w:t xml:space="preserve">3. Méthode de mapping retenue</w:t>
      </w:r>
    </w:p>
    <w:p>
      <w:pPr>
        <w:spacing w:after="160"/>
      </w:pPr>
      <w:r>
        <w:t xml:space="preserve">Par cohérence avec le document « Mapping compétences projet ALFRED.docx », le même système de niveaux de couverture est utilisé ici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Niveau de couverture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Signification</w:t>
            </w:r>
          </w:p>
        </w:tc>
      </w:tr>
      <w:tr>
        <w:tc>
          <w:tcPr>
            <w:tcW w:type="dxa" w:w="3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Couvert et démontrable</w:t>
            </w:r>
          </w:p>
        </w:tc>
        <w:tc>
          <w:tcPr>
            <w:tcW w:type="dxa" w:w="6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La compétence est réellement mise en œuvre dans le cadre de la mission et peut être justifiée par l'attestation d'activités.</w:t>
            </w:r>
          </w:p>
        </w:tc>
      </w:tr>
      <w:tr>
        <w:tc>
          <w:tcPr>
            <w:tcW w:type="dxa" w:w="3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Partiellement couvert</w:t>
            </w:r>
          </w:p>
        </w:tc>
        <w:tc>
          <w:tcPr>
            <w:tcW w:type="dxa" w:w="6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La compétence est engagée ou expérimentée, mais reste conceptuelle/business plutôt que technique, ou incomplète à la date du document.</w:t>
            </w:r>
          </w:p>
        </w:tc>
      </w:tr>
      <w:tr>
        <w:tc>
          <w:tcPr>
            <w:tcW w:type="dxa" w:w="3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Non couvert / non revendiqué</w:t>
            </w:r>
          </w:p>
        </w:tc>
        <w:tc>
          <w:tcPr>
            <w:tcW w:type="dxa" w:w="6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La compétence n'est pas présente dans ce poste. Elle n'est donc pas revendiquée comme acquise via cette expérience.</w:t>
            </w:r>
          </w:p>
        </w:tc>
      </w:tr>
    </w:tbl>
    <w:p>
      <w:pPr>
        <w:pStyle w:val="Heading1"/>
        <w:spacing w:before="300"/>
      </w:pPr>
      <w:r>
        <w:t xml:space="preserve">4. Mapping détaillé par mission</w:t>
      </w:r>
    </w:p>
    <w:p>
      <w:pPr>
        <w:pStyle w:val="Heading2"/>
      </w:pPr>
      <w:r>
        <w:t xml:space="preserve">4.1 Veille réglementaire, technologique et data</w:t>
      </w:r>
    </w:p>
    <w:p>
      <w:pPr>
        <w:spacing w:after="100"/>
      </w:pPr>
      <w:r>
        <w:rPr>
          <w:b/>
          <w:bCs/>
        </w:rPr>
        <w:t xml:space="preserve">Compétences visées : </w:t>
      </w:r>
      <w:r>
        <w:t xml:space="preserve">Culture informatique d'entreprise (Fondamentaux et Perfectionnement).</w:t>
      </w:r>
    </w:p>
    <w:p>
      <w:pPr>
        <w:spacing w:after="100"/>
      </w:pPr>
      <w:r>
        <w:rPr>
          <w:b/>
          <w:bCs/>
        </w:rPr>
        <w:t xml:space="preserve">Application : </w:t>
      </w:r>
      <w:r>
        <w:t xml:space="preserve">Veille structurée sur le règlement DORA, le RGPD, les évolutions technologiques applicables aux métiers de la data, ainsi que sur la gouvernance, la qualité et la valorisation des données. Restitution claire et exploitable des points clés identifiés.</w:t>
      </w:r>
    </w:p>
    <w:p>
      <w:pPr>
        <w:spacing w:after="100"/>
      </w:pPr>
      <w:r>
        <w:rPr>
          <w:b/>
          <w:bCs/>
        </w:rPr>
        <w:t xml:space="preserve">Niveau de couverture : </w:t>
      </w:r>
      <w:r>
        <w:t xml:space="preserve">Couvert et démontrable.</w:t>
      </w:r>
    </w:p>
    <w:p>
      <w:pPr>
        <w:spacing w:after="160"/>
      </w:pPr>
      <w:r>
        <w:t xml:space="preserve">La compréhension des enjeux réglementaires et technologiques d'un environnement informatique d'entreprise réel est directement démontrée.</w:t>
      </w:r>
    </w:p>
    <w:p>
      <w:pPr>
        <w:pStyle w:val="Heading2"/>
      </w:pPr>
      <w:r>
        <w:t xml:space="preserve">4.2 Documentation du data catalogue</w:t>
      </w:r>
    </w:p>
    <w:p>
      <w:pPr>
        <w:spacing w:after="100"/>
      </w:pPr>
      <w:r>
        <w:rPr>
          <w:b/>
          <w:bCs/>
        </w:rPr>
        <w:t xml:space="preserve">Compétences visées : </w:t>
      </w:r>
      <w:r>
        <w:t xml:space="preserve">Big Data et gouvernance des données (Fondamentaux).</w:t>
      </w:r>
    </w:p>
    <w:p>
      <w:pPr>
        <w:spacing w:after="100"/>
      </w:pPr>
      <w:r>
        <w:rPr>
          <w:b/>
          <w:bCs/>
        </w:rPr>
        <w:t xml:space="preserve">Application : </w:t>
      </w:r>
      <w:r>
        <w:t xml:space="preserve">Participation à la structuration et à la formalisation d'informations relatives aux données utilisées dans l'entreprise : recensement, description, traçabilité, exploitation.</w:t>
      </w:r>
    </w:p>
    <w:p>
      <w:pPr>
        <w:spacing w:after="100"/>
      </w:pPr>
      <w:r>
        <w:rPr>
          <w:b/>
          <w:bCs/>
        </w:rPr>
        <w:t xml:space="preserve">Niveau de couverture : </w:t>
      </w:r>
      <w:r>
        <w:t xml:space="preserve">Partiellement couvert.</w:t>
      </w:r>
    </w:p>
    <w:p>
      <w:pPr>
        <w:spacing w:after="160"/>
      </w:pPr>
      <w:r>
        <w:t xml:space="preserve">Cette mission couvre le volet gouvernance et conceptuel du Big Data (catalogage, traçabilité), mais pas la mise en œuvre technique d'une base NoSQL — ce volet technique est démontré séparément dans le mapping ALFRED (brique MongoDB).</w:t>
      </w:r>
    </w:p>
    <w:p>
      <w:pPr>
        <w:pStyle w:val="Heading2"/>
      </w:pPr>
      <w:r>
        <w:t xml:space="preserve">4.3 Participation aux réunions de cadrage projet</w:t>
      </w:r>
    </w:p>
    <w:p>
      <w:pPr>
        <w:spacing w:after="100"/>
      </w:pPr>
      <w:r>
        <w:rPr>
          <w:b/>
          <w:bCs/>
        </w:rPr>
        <w:t xml:space="preserve">Compétences visées : </w:t>
      </w:r>
      <w:r>
        <w:t xml:space="preserve">Management de projet informatique (Fondamentaux).</w:t>
      </w:r>
    </w:p>
    <w:p>
      <w:pPr>
        <w:spacing w:after="100"/>
      </w:pPr>
      <w:r>
        <w:rPr>
          <w:b/>
          <w:bCs/>
        </w:rPr>
        <w:t xml:space="preserve">Application : </w:t>
      </w:r>
      <w:r>
        <w:t xml:space="preserve">Participation à plusieurs réunions de cadrage au cours desquelles besoins, objectifs, contraintes et priorités ont été discutés avec les interlocuteurs métiers et data.</w:t>
      </w:r>
    </w:p>
    <w:p>
      <w:pPr>
        <w:spacing w:after="100"/>
      </w:pPr>
      <w:r>
        <w:rPr>
          <w:b/>
          <w:bCs/>
        </w:rPr>
        <w:t xml:space="preserve">Niveau de couverture : </w:t>
      </w:r>
      <w:r>
        <w:t xml:space="preserve">Couvert et démontrable.</w:t>
      </w:r>
    </w:p>
    <w:p>
      <w:pPr>
        <w:spacing w:after="160"/>
      </w:pPr>
      <w:r>
        <w:t xml:space="preserve">Coordination entre équipes métiers, équipes data et acteurs qualité/gouvernance en conditions professionnelles réelles.</w:t>
      </w:r>
    </w:p>
    <w:p>
      <w:pPr>
        <w:pStyle w:val="Heading2"/>
      </w:pPr>
      <w:r>
        <w:t xml:space="preserve">4.4 Mise en place de critères de Data Quality</w:t>
      </w:r>
    </w:p>
    <w:p>
      <w:pPr>
        <w:spacing w:after="100"/>
      </w:pPr>
      <w:r>
        <w:rPr>
          <w:b/>
          <w:bCs/>
        </w:rPr>
        <w:t xml:space="preserve">Compétences visées : </w:t>
      </w:r>
      <w:r>
        <w:t xml:space="preserve">Gouvernance et qualité des données — socle du Data Mining (Fondamentaux).</w:t>
      </w:r>
    </w:p>
    <w:p>
      <w:pPr>
        <w:spacing w:after="100"/>
      </w:pPr>
      <w:r>
        <w:rPr>
          <w:b/>
          <w:bCs/>
        </w:rPr>
        <w:t xml:space="preserve">Application : </w:t>
      </w:r>
      <w:r>
        <w:t xml:space="preserve">Réflexion et mise en place de critères visant à améliorer la fiabilité, la cohérence, la complétude et l'exploitabilité des données.</w:t>
      </w:r>
    </w:p>
    <w:p>
      <w:pPr>
        <w:spacing w:after="100"/>
      </w:pPr>
      <w:r>
        <w:rPr>
          <w:b/>
          <w:bCs/>
        </w:rPr>
        <w:t xml:space="preserve">Niveau de couverture : </w:t>
      </w:r>
      <w:r>
        <w:t xml:space="preserve">Partiellement couvert.</w:t>
      </w:r>
    </w:p>
    <w:p>
      <w:pPr>
        <w:spacing w:after="160"/>
      </w:pPr>
      <w:r>
        <w:t xml:space="preserve">Contribue à la culture de la qualité des données, sans mise en œuvre technique d'un pipeline de data mining à proprement parler.</w:t>
      </w:r>
    </w:p>
    <w:p>
      <w:pPr>
        <w:pStyle w:val="Heading2"/>
      </w:pPr>
      <w:r>
        <w:t xml:space="preserve">4.5 Préparation des supports et participation aux ateliers PI Planning (sprints 1 à 3)</w:t>
      </w:r>
    </w:p>
    <w:p>
      <w:pPr>
        <w:spacing w:after="100"/>
      </w:pPr>
      <w:r>
        <w:rPr>
          <w:b/>
          <w:bCs/>
        </w:rPr>
        <w:t xml:space="preserve">Compétences visées : </w:t>
      </w:r>
      <w:r>
        <w:t xml:space="preserve">Outils et méthodes de gestion de projet — Perfectionnement (agilité à l'échelle, SAFe).</w:t>
      </w:r>
    </w:p>
    <w:p>
      <w:pPr>
        <w:spacing w:after="100"/>
      </w:pPr>
      <w:r>
        <w:rPr>
          <w:b/>
          <w:bCs/>
        </w:rPr>
        <w:t xml:space="preserve">Application : </w:t>
      </w:r>
      <w:r>
        <w:t xml:space="preserve">Structuration des supports destinés au PI Planning de janvier 2025 (planification, priorisation) et participation aux ateliers de sélection et de priorisation des missions pour les sprints 1 à 3.</w:t>
      </w:r>
    </w:p>
    <w:p>
      <w:pPr>
        <w:spacing w:after="100"/>
      </w:pPr>
      <w:r>
        <w:rPr>
          <w:b/>
          <w:bCs/>
        </w:rPr>
        <w:t xml:space="preserve">Niveau de couverture : </w:t>
      </w:r>
      <w:r>
        <w:t xml:space="preserve">Couvert et démontrable.</w:t>
      </w:r>
    </w:p>
    <w:p>
      <w:pPr>
        <w:spacing w:after="160"/>
      </w:pPr>
      <w:r>
        <w:t xml:space="preserve">Apporte une dimension de coordination multi-équipes et d'agilité à l'échelle qu'un projet personnel solo comme ALFRED ne peut pas démontrer de la même manière.</w:t>
      </w:r>
    </w:p>
    <w:p>
      <w:pPr>
        <w:pStyle w:val="Heading2"/>
      </w:pPr>
      <w:r>
        <w:t xml:space="preserve">4.6 Rédaction du mémoire « Gouvernance des Données &amp; Lean Six Sigma chez BPCE Assurances IARD »</w:t>
      </w:r>
    </w:p>
    <w:p>
      <w:pPr>
        <w:spacing w:after="100"/>
      </w:pPr>
      <w:r>
        <w:rPr>
          <w:b/>
          <w:bCs/>
        </w:rPr>
        <w:t xml:space="preserve">Compétences visées : </w:t>
      </w:r>
      <w:r>
        <w:t xml:space="preserve">Amélioration continue et méthodologie DMAIC — Perfectionnement.</w:t>
      </w:r>
    </w:p>
    <w:p>
      <w:pPr>
        <w:spacing w:after="100"/>
      </w:pPr>
      <w:r>
        <w:rPr>
          <w:b/>
          <w:bCs/>
        </w:rPr>
        <w:t xml:space="preserve">Application : </w:t>
      </w:r>
      <w:r>
        <w:t xml:space="preserve">Rédaction engagée à hauteur d'environ 50 % du travail prévu. Le mémoire étudie l'intégration d'une démarche Lean Six Sigma (méthode Y = f(X), logique Better / Faster / Cheaper) pour structurer, fiabiliser et améliorer les projets DATA dans un contexte réglementaire et opérationnel exigeant.</w:t>
      </w:r>
    </w:p>
    <w:p>
      <w:pPr>
        <w:spacing w:after="100"/>
      </w:pPr>
      <w:r>
        <w:rPr>
          <w:b/>
          <w:bCs/>
        </w:rPr>
        <w:t xml:space="preserve">Niveau de couverture : </w:t>
      </w:r>
      <w:r>
        <w:t xml:space="preserve">Partiellement couvert.</w:t>
      </w:r>
    </w:p>
    <w:p>
      <w:pPr>
        <w:spacing w:after="160"/>
      </w:pPr>
      <w:r>
        <w:t xml:space="preserve">Travail rédactionnel non finalisé à la date du présent document — sa consolidation fait partie de la trajectoire de formation en cours.</w:t>
      </w:r>
    </w:p>
    <w:p>
      <w:pPr>
        <w:pStyle w:val="Heading1"/>
        <w:spacing w:before="300"/>
      </w:pPr>
      <w:r>
        <w:t xml:space="preserve">5. Tableau synthétique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800"/>
        <w:gridCol w:w="1760"/>
      </w:tblGrid>
      <w:tr>
        <w:tc>
          <w:tcPr>
            <w:tcW w:type="dxa" w:w="38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Mission</w:t>
            </w:r>
          </w:p>
        </w:tc>
        <w:tc>
          <w:tcPr>
            <w:tcW w:type="dxa" w:w="38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Bloc du référentiel</w:t>
            </w:r>
          </w:p>
        </w:tc>
        <w:tc>
          <w:tcPr>
            <w:tcW w:type="dxa" w:w="176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Niveau</w:t>
            </w:r>
          </w:p>
        </w:tc>
      </w:tr>
      <w:tr>
        <w:tc>
          <w:tcPr>
            <w:tcW w:type="dxa" w:w="3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Veille réglementaire, technologique et data</w:t>
            </w:r>
          </w:p>
        </w:tc>
        <w:tc>
          <w:tcPr>
            <w:tcW w:type="dxa" w:w="3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Culture informatique d'entreprise (Fondamentaux et Perfectionnement).</w:t>
            </w:r>
          </w:p>
        </w:tc>
        <w:tc>
          <w:tcPr>
            <w:tcW w:type="dxa" w:w="1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Couvert et démontrable.</w:t>
            </w:r>
          </w:p>
        </w:tc>
      </w:tr>
      <w:tr>
        <w:tc>
          <w:tcPr>
            <w:tcW w:type="dxa" w:w="3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Documentation du data catalogue</w:t>
            </w:r>
          </w:p>
        </w:tc>
        <w:tc>
          <w:tcPr>
            <w:tcW w:type="dxa" w:w="3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Big Data et gouvernance des données (Fondamentaux).</w:t>
            </w:r>
          </w:p>
        </w:tc>
        <w:tc>
          <w:tcPr>
            <w:tcW w:type="dxa" w:w="1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Partiellement couvert.</w:t>
            </w:r>
          </w:p>
        </w:tc>
      </w:tr>
      <w:tr>
        <w:tc>
          <w:tcPr>
            <w:tcW w:type="dxa" w:w="3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Participation aux réunions de cadrage projet</w:t>
            </w:r>
          </w:p>
        </w:tc>
        <w:tc>
          <w:tcPr>
            <w:tcW w:type="dxa" w:w="3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Management de projet informatique (Fondamentaux).</w:t>
            </w:r>
          </w:p>
        </w:tc>
        <w:tc>
          <w:tcPr>
            <w:tcW w:type="dxa" w:w="1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Couvert et démontrable.</w:t>
            </w:r>
          </w:p>
        </w:tc>
      </w:tr>
      <w:tr>
        <w:tc>
          <w:tcPr>
            <w:tcW w:type="dxa" w:w="3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Mise en place de critères de Data Quality</w:t>
            </w:r>
          </w:p>
        </w:tc>
        <w:tc>
          <w:tcPr>
            <w:tcW w:type="dxa" w:w="3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Gouvernance et qualité des données — socle du Data Mining (Fondamentaux).</w:t>
            </w:r>
          </w:p>
        </w:tc>
        <w:tc>
          <w:tcPr>
            <w:tcW w:type="dxa" w:w="1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Partiellement couvert.</w:t>
            </w:r>
          </w:p>
        </w:tc>
      </w:tr>
      <w:tr>
        <w:tc>
          <w:tcPr>
            <w:tcW w:type="dxa" w:w="3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Préparation des supports et participation aux ateliers PI Planning (sprints 1 à 3)</w:t>
            </w:r>
          </w:p>
        </w:tc>
        <w:tc>
          <w:tcPr>
            <w:tcW w:type="dxa" w:w="3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Outils et méthodes de gestion de projet — Perfectionnement (agilité à l'échelle, SAFe).</w:t>
            </w:r>
          </w:p>
        </w:tc>
        <w:tc>
          <w:tcPr>
            <w:tcW w:type="dxa" w:w="1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Couvert et démontrable.</w:t>
            </w:r>
          </w:p>
        </w:tc>
      </w:tr>
      <w:tr>
        <w:tc>
          <w:tcPr>
            <w:tcW w:type="dxa" w:w="3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Rédaction du mémoire « Gouvernance des Données &amp; Lean Six Sigma chez BPCE Assurances IARD »</w:t>
            </w:r>
          </w:p>
        </w:tc>
        <w:tc>
          <w:tcPr>
            <w:tcW w:type="dxa" w:w="3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Amélioration continue et méthodologie DMAIC — Perfectionnement.</w:t>
            </w:r>
          </w:p>
        </w:tc>
        <w:tc>
          <w:tcPr>
            <w:tcW w:type="dxa" w:w="1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Partiellement couvert.</w:t>
            </w:r>
          </w:p>
        </w:tc>
      </w:tr>
    </w:tbl>
    <w:p>
      <w:pPr>
        <w:pStyle w:val="Heading1"/>
        <w:spacing w:before="300"/>
      </w:pPr>
      <w:r>
        <w:t xml:space="preserve">6. Complémentarité avec le mapping ALFRED</w:t>
      </w:r>
    </w:p>
    <w:p>
      <w:pPr>
        <w:pStyle w:val="Heading2"/>
      </w:pPr>
      <w:r>
        <w:t xml:space="preserve">Ce que cette expérience apporte en plus</w:t>
      </w:r>
    </w:p>
    <w:p>
      <w:pPr>
        <w:pStyle w:val="ListParagraph"/>
        <w:numPr>
          <w:ilvl w:val="0"/>
          <w:numId w:val="2"/>
        </w:numPr>
      </w:pPr>
      <w:r>
        <w:t xml:space="preserve">une preuve d'expérience professionnelle réelle (alternance en entreprise), distincte d'un projet personnel ;</w:t>
      </w:r>
    </w:p>
    <w:p>
      <w:pPr>
        <w:pStyle w:val="ListParagraph"/>
        <w:numPr>
          <w:ilvl w:val="0"/>
          <w:numId w:val="2"/>
        </w:numPr>
      </w:pPr>
      <w:r>
        <w:t xml:space="preserve">une pratique de l'agilité à l'échelle (PI Planning, SAFe) et de la coordination multi-équipes, qu'un projet solo ne permet pas de démontrer ;</w:t>
      </w:r>
    </w:p>
    <w:p>
      <w:pPr>
        <w:pStyle w:val="ListParagraph"/>
        <w:numPr>
          <w:ilvl w:val="0"/>
          <w:numId w:val="2"/>
        </w:numPr>
      </w:pPr>
      <w:r>
        <w:t xml:space="preserve">un contexte réglementaire sectoriel réel (assurance IARD, DORA, RGPD appliqués en conditions professionnelles) ;</w:t>
      </w:r>
    </w:p>
    <w:p>
      <w:pPr>
        <w:pStyle w:val="ListParagraph"/>
        <w:numPr>
          <w:ilvl w:val="0"/>
          <w:numId w:val="2"/>
        </w:numPr>
      </w:pPr>
      <w:r>
        <w:t xml:space="preserve">une démarche d'amélioration continue (Lean Six Sigma, DMAIC) directement transposable à la gestion de projet informatique.</w:t>
      </w:r>
    </w:p>
    <w:p>
      <w:pPr>
        <w:pStyle w:val="Heading2"/>
      </w:pPr>
      <w:r>
        <w:t xml:space="preserve">Ce que cette expérience ne couvre pas</w:t>
      </w:r>
    </w:p>
    <w:p>
      <w:pPr>
        <w:spacing w:after="160"/>
      </w:pPr>
      <w:r>
        <w:t xml:space="preserve">Ce poste est orienté gouvernance des données et pilotage plutôt que développement logiciel. Il ne comble donc pas les écarts techniques déjà identifiés dans le mapping ALFRED : JEE/Oracle, PHP, Cassandra, Hadoop et Java/Kotlin Android restent non couverts par cette expérience professionnelle. Le data catalogue relève de la gouvernance des données, pas d'une implémentation technique de base NoSQL.</w:t>
      </w:r>
    </w:p>
    <w:p>
      <w:pPr>
        <w:spacing w:after="160"/>
      </w:pPr>
      <w:r>
        <w:t xml:space="preserve">Les deux mappings sont donc complémentaires plutôt que redondants : le projet ALFRED démontre une maîtrise technique approfondie développée en autonomie (Python, IA, RAG, MongoDB, Android, DevOps), tandis que l'expérience BPCE démontre une mise en situation professionnelle réelle, réglementée et coordonnée à l'échelle d'une entreprise.</w:t>
      </w:r>
    </w:p>
    <w:p>
      <w:pPr>
        <w:pStyle w:val="Heading1"/>
        <w:spacing w:before="300"/>
      </w:pPr>
      <w:r>
        <w:t xml:space="preserve">7. Conclusion</w:t>
      </w:r>
    </w:p>
    <w:p>
      <w:pPr>
        <w:spacing w:after="160"/>
      </w:pPr>
      <w:r>
        <w:t xml:space="preserve">L'expérience réalisée au sein du Groupe BPCE complète le dossier de justification d'expérience professionnalisante en apportant une preuve concrète de mise en situation réelle, en environnement réglementé, avec une coordination multi-équipes que le projet ALFRED ne peut pas démontrer seul.</w:t>
      </w:r>
    </w:p>
    <w:p>
      <w:pPr>
        <w:spacing w:after="160"/>
      </w:pPr>
      <w:r>
        <w:t xml:space="preserve">Elle renforce en particulier les blocs Management de projet informatique (fondamentaux et perfectionnement) et Culture informatique d'entreprise, tout en laissant ouverts, comme pour ALFRED, les blocs strictement liés au développement logiciel (JEE/Oracle, PHP, Cassandra, Hadoop, Java/Kotlin Android), qui ne relèvent pas de ce poste.</w:t>
      </w:r>
    </w:p>
    <w:p>
      <w:pPr>
        <w:spacing w:after="160"/>
      </w:pPr>
      <w:r>
        <w:t xml:space="preserve">Cette double approche — projet personnel technique (ALFRED) et expérience professionnelle réglementée (Groupe BPCE) — permet de présenter un dossier de justification équilibré, honnête et cohérent avec les compétences réellement mises en œuvre.</w:t>
      </w:r>
    </w:p>
    <w:p>
      <w:pPr>
        <w:spacing w:before="300"/>
      </w:pPr>
      <w:r>
        <w:t xml:space="preserve">Fait le 3 juillet 2026</w:t>
      </w:r>
    </w:p>
    <w:p>
      <w:r>
        <w:rPr>
          <w:b/>
          <w:bCs/>
        </w:rPr>
        <w:t xml:space="preserve">Céline Rousselot</w:t>
      </w:r>
    </w:p>
    <w:p>
      <w:r>
        <w:t xml:space="preserve">Étudiante en Mastère Expert IT — Applications Intelligentes &amp; Big Data — Centre de formation EXXEA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B4F8A"/>
      <w:sz w:val="28"/>
      <w:szCs w:val="28"/>
    </w:rPr>
  </w:style>
  <w:style w:type="paragraph" w:styleId="Heading2">
    <w:name w:val="Heading 2"/>
    <w:basedOn w:val="Normal"/>
    <w:next w:val="Normal"/>
    <w:qFormat/>
    <w:pPr>
      <w:spacing w:after="14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2026-07-03T14:38:01.612Z</dcterms:created>
  <dcterms:modified xsi:type="dcterms:W3CDTF">2026-07-03T14:38:01.612Z</dcterms:modified>
</cp:coreProperties>
</file>

<file path=docProps/custom.xml><?xml version="1.0" encoding="utf-8"?>
<Properties xmlns="http://schemas.openxmlformats.org/officeDocument/2006/custom-properties" xmlns:vt="http://schemas.openxmlformats.org/officeDocument/2006/docPropsVTypes"/>
</file>