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sz w:val="30"/>
          <w:szCs w:val="30"/>
        </w:rPr>
        <w:t xml:space="preserve">Mapping honnête entre le MSc Project Management, Innovation &amp; Développement Durable et les compétences professionnelles réellement mises en œuvre</w:t>
      </w:r>
    </w:p>
    <w:p>
      <w:pPr>
        <w:spacing w:after="300"/>
        <w:jc w:val="center"/>
      </w:pPr>
      <w:r>
        <w:rPr>
          <w:i/>
          <w:iCs/>
          <w:sz w:val="22"/>
          <w:szCs w:val="22"/>
        </w:rPr>
        <w:t xml:space="preserve">Document de justification d'expérience professionnalisante — Volet 3 : MSc Management (42Impact / FEDE)</w:t>
      </w:r>
    </w:p>
    <w:p>
      <w:pPr>
        <w:spacing w:after="100"/>
      </w:pPr>
      <w:r>
        <w:rPr>
          <w:b/>
          <w:bCs/>
        </w:rPr>
        <w:t xml:space="preserve">Nom : </w:t>
      </w:r>
      <w:r>
        <w:t xml:space="preserve">Céline Rousselot</w:t>
      </w:r>
    </w:p>
    <w:p>
      <w:pPr>
        <w:spacing w:after="100"/>
      </w:pPr>
      <w:r>
        <w:rPr>
          <w:b/>
          <w:bCs/>
        </w:rPr>
        <w:t xml:space="preserve">École : </w:t>
      </w:r>
      <w:r>
        <w:t xml:space="preserve">42Impact</w:t>
      </w:r>
    </w:p>
    <w:p>
      <w:pPr>
        <w:spacing w:after="100"/>
      </w:pPr>
      <w:r>
        <w:rPr>
          <w:b/>
          <w:bCs/>
        </w:rPr>
        <w:t xml:space="preserve">Diplôme : </w:t>
      </w:r>
      <w:r>
        <w:t xml:space="preserve">MSc Project Management, Innovation &amp; Développement Durable — Validé 2025</w:t>
      </w:r>
    </w:p>
    <w:p>
      <w:pPr>
        <w:spacing w:after="100"/>
      </w:pPr>
      <w:r>
        <w:rPr>
          <w:b/>
          <w:bCs/>
        </w:rPr>
        <w:t xml:space="preserve">Diplôme européen sous-jacent : </w:t>
      </w:r>
      <w:r>
        <w:t xml:space="preserve">Mastère Européen « Management et stratégie d'entreprise » — FEDE, Niveau 7</w:t>
      </w:r>
    </w:p>
    <w:p>
      <w:pPr>
        <w:spacing w:after="100"/>
      </w:pPr>
      <w:r>
        <w:rPr>
          <w:b/>
          <w:bCs/>
        </w:rPr>
        <w:t xml:space="preserve">Expérience professionnelle support : </w:t>
      </w:r>
      <w:r>
        <w:t xml:space="preserve">Project Management Officer (alternance) — BPCE Solutions Informatiques, sept. 2022 – oct. 2024 (2 ans 1 mois)</w:t>
      </w:r>
    </w:p>
    <w:p>
      <w:pPr>
        <w:spacing w:after="100"/>
      </w:pPr>
      <w:r>
        <w:rPr>
          <w:b/>
          <w:bCs/>
        </w:rPr>
        <w:t xml:space="preserve">Date de rédaction : </w:t>
      </w:r>
      <w:r>
        <w:t xml:space="preserve">3 juillet 2026</w:t>
      </w:r>
    </w:p>
    <w:p>
      <w:pPr>
        <w:spacing w:after="100"/>
      </w:pPr>
      <w:r>
        <w:rPr>
          <w:b/>
          <w:bCs/>
        </w:rPr>
        <w:t xml:space="preserve">Objet du document : </w:t>
      </w:r>
      <w:r>
        <w:t xml:space="preserve">Mapping honnête entre le référentiel du Mastère Européen « Management et stratégie d'entreprise » (FEDE), délivré par 42Impact sous l'intitulé « MSc Project Management, Innovation &amp; Développement Durable », et les compétences réellement mises en œuvre lors de l'alternance PMO chez BPCE Solutions Informatiques — en complément des volets ALFRED et Groupe BPCE déjà documentés.</w:t>
      </w:r>
    </w:p>
    <w:p>
      <w:pPr>
        <w:pStyle w:val="Heading1"/>
        <w:spacing w:before="300"/>
      </w:pPr>
      <w:r>
        <w:t xml:space="preserve">1. Déclaration introductive</w:t>
      </w:r>
    </w:p>
    <w:p>
      <w:pPr>
        <w:spacing w:after="160"/>
      </w:pPr>
      <w:r>
        <w:t xml:space="preserve">Je soussignée, Céline Rousselot, complète ici mon dossier de justification d'expérience professionnalisante par un troisième volet, consacré au MSc Project Management, Innovation &amp; Développement Durable, validé en 2025 auprès de l'école 42Impact.</w:t>
      </w:r>
    </w:p>
    <w:p>
      <w:pPr>
        <w:spacing w:after="160"/>
      </w:pPr>
      <w:r>
        <w:t xml:space="preserve">Ce diplôme correspond au Mastère Européen « Management et stratégie d'entreprise » de la FEDE (Niveau 7) — un référentiel distinct du Mastère Expert IT — Applications Intelligentes &amp; Big Data (EXXEA/FÉDÉ) déjà mappé dans les deux premiers volets. Il porte sur le management stratégique, la gestion des ressources humaines et des organisations, et l'environnement économique et juridique des entreprises, plutôt que sur le développement logiciel ou l'intelligence artificielle.</w:t>
      </w:r>
    </w:p>
    <w:p>
      <w:pPr>
        <w:spacing w:after="160"/>
      </w:pPr>
      <w:r>
        <w:t xml:space="preserve">Le mémoire professionnel de ce MSc (UC D42) s'appuie, comme le prévoit le référentiel FEDE, sur une expérience en alternance ou en emploi salarié. Dans mon cas, il s'agit de l'alternance Project Management Officer réalisée chez BPCE Solutions Informatiques (septembre 2022 – octobre 2024), dont les missions correspondent de près au référentiel métier « Gestionnaire de réseau de prestataires ».</w:t>
      </w:r>
    </w:p>
    <w:p>
      <w:pPr>
        <w:spacing w:after="160"/>
      </w:pPr>
      <w:r>
        <w:t xml:space="preserve">Comme pour les volets précédents, ce document présente honnêtement ce qui est couvert et démontrable, ce qui est partiellement couvert, et ce qui ne l'est pas — sans chercher à faire correspondre artificiellement chaque ligne du référentiel à une mission réelle.</w:t>
      </w:r>
    </w:p>
    <w:p>
      <w:pPr>
        <w:pStyle w:val="Heading1"/>
        <w:spacing w:before="300"/>
      </w:pPr>
      <w:r>
        <w:t xml:space="preserve">2. Méthode de mapping retenue</w:t>
      </w:r>
    </w:p>
    <w:p>
      <w:pPr>
        <w:spacing w:after="160"/>
      </w:pPr>
      <w:r>
        <w:t xml:space="preserve">Par cohérence avec les deux premiers volets (ALFRED et Groupe BPCE), le même système de niveaux de couverture est utilisé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Niveau de couverture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Signification</w:t>
            </w:r>
          </w:p>
        </w:tc>
      </w:tr>
      <w:tr>
        <w:tc>
          <w:tcPr>
            <w:tcW w:type="dxa" w:w="3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Couvert et démontrable</w:t>
            </w:r>
          </w:p>
        </w:tc>
        <w:tc>
          <w:tcPr>
            <w:tcW w:type="dxa" w:w="6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La compétence est réellement mise en œuvre et peut être justifiée par les missions réalisées.</w:t>
            </w:r>
          </w:p>
        </w:tc>
      </w:tr>
      <w:tr>
        <w:tc>
          <w:tcPr>
            <w:tcW w:type="dxa" w:w="3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Partiellement couvert</w:t>
            </w:r>
          </w:p>
        </w:tc>
        <w:tc>
          <w:tcPr>
            <w:tcW w:type="dxa" w:w="6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La compétence est engagée sur une partie du périmètre, ou relève d'un niveau hiérarchique (direction générale) que le poste occupé ne couvre pas entièrement.</w:t>
            </w:r>
          </w:p>
        </w:tc>
      </w:tr>
      <w:tr>
        <w:tc>
          <w:tcPr>
            <w:tcW w:type="dxa" w:w="3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Non couvert / non revendiqué</w:t>
            </w:r>
          </w:p>
        </w:tc>
        <w:tc>
          <w:tcPr>
            <w:tcW w:type="dxa" w:w="63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La compétence ou l'outil n'a pas été mis en œuvre dans le cadre des missions décrites — non revendiqué comme acquis à ce titre.</w:t>
            </w:r>
          </w:p>
        </w:tc>
      </w:tr>
    </w:tbl>
    <w:p>
      <w:pPr>
        <w:pStyle w:val="Heading1"/>
        <w:spacing w:before="300"/>
      </w:pPr>
      <w:r>
        <w:t xml:space="preserve">3. Mapping détaillé par unité capitalisable (UC)</w:t>
      </w:r>
    </w:p>
    <w:p>
      <w:pPr>
        <w:pStyle w:val="Heading2"/>
      </w:pPr>
      <w:r>
        <w:t xml:space="preserve">3.1 UC D41.1 — Culture et management d'entreprise</w:t>
      </w:r>
    </w:p>
    <w:p>
      <w:pPr>
        <w:spacing w:after="100"/>
      </w:pPr>
      <w:r>
        <w:rPr>
          <w:b/>
          <w:bCs/>
        </w:rPr>
        <w:t xml:space="preserve">Contenu du référentiel : </w:t>
      </w:r>
      <w:r>
        <w:t xml:space="preserve">Management interculturel, culture d'entreprise, entrepreneuriat, fonctions organisationnelles (commerciale, marketing, distribution) et leurs interactions.</w:t>
      </w:r>
    </w:p>
    <w:p>
      <w:pPr>
        <w:spacing w:after="100"/>
      </w:pPr>
      <w:r>
        <w:rPr>
          <w:b/>
          <w:bCs/>
        </w:rPr>
        <w:t xml:space="preserve">Application réelle : </w:t>
      </w:r>
      <w:r>
        <w:t xml:space="preserve">La coordination transverse métiers/IT et la gestion d'un réseau de prestataires externes au sein d'un grand groupe (BPCE) mettent en pratique la compréhension des fonctions de l'organisation et de leurs interactions. Le volet marketing/commercial du référentiel (démarche commerciale, marketing stratégique et opérationnel) n'est en revanche pas démontré par ces missions, orientées pilotage et gouvernance plutôt que fonction commerciale.</w:t>
      </w:r>
    </w:p>
    <w:p>
      <w:pPr>
        <w:spacing w:after="100"/>
      </w:pPr>
      <w:r>
        <w:rPr>
          <w:b/>
          <w:bCs/>
        </w:rPr>
        <w:t xml:space="preserve">Niveau de couverture : </w:t>
      </w:r>
      <w:r>
        <w:t xml:space="preserve">Partiellement couvert.</w:t>
      </w:r>
    </w:p>
    <w:p>
      <w:pPr>
        <w:pStyle w:val="Heading2"/>
      </w:pPr>
      <w:r>
        <w:t xml:space="preserve">3.2 UC D41.2 — Gestion des Ressources Humaines et des organisations</w:t>
      </w:r>
    </w:p>
    <w:p>
      <w:pPr>
        <w:spacing w:after="100"/>
      </w:pPr>
      <w:r>
        <w:rPr>
          <w:b/>
          <w:bCs/>
        </w:rPr>
        <w:t xml:space="preserve">Contenu du référentiel : </w:t>
      </w:r>
      <w:r>
        <w:t xml:space="preserve">Management des ressources humaines, coûts cachés, gestion du temps, management de la qualité (Roue de Deming, Six Sigma), communication interpersonnelle et gestion des conflits, risques psychosociaux.</w:t>
      </w:r>
    </w:p>
    <w:p>
      <w:pPr>
        <w:spacing w:after="100"/>
      </w:pPr>
      <w:r>
        <w:rPr>
          <w:b/>
          <w:bCs/>
        </w:rPr>
        <w:t xml:space="preserve">Application réelle : </w:t>
      </w:r>
      <w:r>
        <w:t xml:space="preserve">Animation et encadrement d'une équipe de chargés d'administration prestataires avec lien hiérarchique ; régulation des incidents entre prestataires et clients/bénéficiaires ; certification Lean Six Sigma Black Belt (DMAIC, SIPOC, FMEA, VOC/CTQ) directement alignée avec le volet « management de la qualité » du référentiel ; mémoire professionnel dédié à l'intégration du Lean Six Sigma dans les projets DATA chez BPCE Assurances IARD.</w:t>
      </w:r>
    </w:p>
    <w:p>
      <w:pPr>
        <w:spacing w:after="100"/>
      </w:pPr>
      <w:r>
        <w:rPr>
          <w:b/>
          <w:bCs/>
        </w:rPr>
        <w:t xml:space="preserve">Niveau de couverture : </w:t>
      </w:r>
      <w:r>
        <w:t xml:space="preserve">Couvert et démontrable.</w:t>
      </w:r>
    </w:p>
    <w:p>
      <w:pPr>
        <w:pStyle w:val="Heading2"/>
      </w:pPr>
      <w:r>
        <w:t xml:space="preserve">3.3 UC D42 — Mission professionnelle (mémoire + soutenance)</w:t>
      </w:r>
    </w:p>
    <w:p>
      <w:pPr>
        <w:spacing w:after="100"/>
      </w:pPr>
      <w:r>
        <w:rPr>
          <w:b/>
          <w:bCs/>
        </w:rPr>
        <w:t xml:space="preserve">Contenu du référentiel : </w:t>
      </w:r>
      <w:r>
        <w:t xml:space="preserve">Élaboration d'un mémoire à partir d'une expérience en alternance ou en emploi salarié, donnant lieu à une soutenance orale.</w:t>
      </w:r>
    </w:p>
    <w:p>
      <w:pPr>
        <w:spacing w:after="100"/>
      </w:pPr>
      <w:r>
        <w:rPr>
          <w:b/>
          <w:bCs/>
        </w:rPr>
        <w:t xml:space="preserve">Application réelle : </w:t>
      </w:r>
      <w:r>
        <w:t xml:space="preserve">Mémoire réalisé sur la base de l'alternance PMO chez BPCE Solutions Informatiques, validé en 2025 selon le CV. Le mémoire retrace une problématique réelle de gestion de projet et de pilotage de prestataires rencontrée en entreprise.</w:t>
      </w:r>
    </w:p>
    <w:p>
      <w:pPr>
        <w:spacing w:after="100"/>
      </w:pPr>
      <w:r>
        <w:rPr>
          <w:b/>
          <w:bCs/>
        </w:rPr>
        <w:t xml:space="preserve">Niveau de couverture : </w:t>
      </w:r>
      <w:r>
        <w:t xml:space="preserve">Couvert et démontrable.</w:t>
      </w:r>
    </w:p>
    <w:p>
      <w:pPr>
        <w:pStyle w:val="Heading2"/>
      </w:pPr>
      <w:r>
        <w:t xml:space="preserve">3.4 UC D51.1 — Stratégies et environnement géopolitique, économique et juridique</w:t>
      </w:r>
    </w:p>
    <w:p>
      <w:pPr>
        <w:spacing w:after="100"/>
      </w:pPr>
      <w:r>
        <w:rPr>
          <w:b/>
          <w:bCs/>
        </w:rPr>
        <w:t xml:space="preserve">Contenu du référentiel : </w:t>
      </w:r>
      <w:r>
        <w:t xml:space="preserve">Mondialisation, veille stratégique et intelligence économique, marchés européens, clauses d'un contrat international.</w:t>
      </w:r>
    </w:p>
    <w:p>
      <w:pPr>
        <w:spacing w:after="100"/>
      </w:pPr>
      <w:r>
        <w:rPr>
          <w:b/>
          <w:bCs/>
        </w:rPr>
        <w:t xml:space="preserve">Application réelle : </w:t>
      </w:r>
      <w:r>
        <w:t xml:space="preserve">Le suivi des contrats et des engagements de service avec les prestataires relève de la même logique contractuelle que le référentiel, mais dans un cadre national/B2B plutôt qu'international. La veille réglementaire et technologique (DORA, RGPD) démontrée dans le volet BPCE Groupe illustre la capacité de veille stratégique visée par cette UC.</w:t>
      </w:r>
    </w:p>
    <w:p>
      <w:pPr>
        <w:spacing w:after="100"/>
      </w:pPr>
      <w:r>
        <w:rPr>
          <w:b/>
          <w:bCs/>
        </w:rPr>
        <w:t xml:space="preserve">Niveau de couverture : </w:t>
      </w:r>
      <w:r>
        <w:t xml:space="preserve">Partiellement couvert.</w:t>
      </w:r>
    </w:p>
    <w:p>
      <w:pPr>
        <w:pStyle w:val="Heading2"/>
      </w:pPr>
      <w:r>
        <w:t xml:space="preserve">3.5 UC D51.2 — Management stratégique des organisations</w:t>
      </w:r>
    </w:p>
    <w:p>
      <w:pPr>
        <w:spacing w:after="100"/>
      </w:pPr>
      <w:r>
        <w:rPr>
          <w:b/>
          <w:bCs/>
        </w:rPr>
        <w:t xml:space="preserve">Contenu du référentiel : </w:t>
      </w:r>
      <w:r>
        <w:t xml:space="preserve">Concept de stratégie, modèles stratégiques (SWOT, Porter), structure organisationnelle, décision stratégique, pilotage des moyens et mesure de la performance (tableaux de bord, indicateurs).</w:t>
      </w:r>
    </w:p>
    <w:p>
      <w:pPr>
        <w:spacing w:after="100"/>
      </w:pPr>
      <w:r>
        <w:rPr>
          <w:b/>
          <w:bCs/>
        </w:rPr>
        <w:t xml:space="preserve">Application réelle : </w:t>
      </w:r>
      <w:r>
        <w:t xml:space="preserve">Reporting opérationnel et KPI à destination du management, création et exploitation de tableaux de bord prestataires, optimisation du réseau de prestataires. Ce volet « pilotage et mesure de la performance » est directement démontré. La dimension stratégique de plus haut niveau (SWOT, choix de positionnement stratégique, décision au niveau direction générale) relève d'un niveau hiérarchique que le poste de PMO ne couvre pas.</w:t>
      </w:r>
    </w:p>
    <w:p>
      <w:pPr>
        <w:spacing w:after="100"/>
      </w:pPr>
      <w:r>
        <w:rPr>
          <w:b/>
          <w:bCs/>
        </w:rPr>
        <w:t xml:space="preserve">Niveau de couverture : </w:t>
      </w:r>
      <w:r>
        <w:t xml:space="preserve">Partiellement couvert.</w:t>
      </w:r>
    </w:p>
    <w:p>
      <w:pPr>
        <w:pStyle w:val="Heading2"/>
      </w:pPr>
      <w:r>
        <w:t xml:space="preserve">3.6 UC D52 — Thèse professionnelle</w:t>
      </w:r>
    </w:p>
    <w:p>
      <w:pPr>
        <w:spacing w:after="160"/>
      </w:pPr>
      <w:r>
        <w:t xml:space="preserve">Le CV ne mentionne pas de thèse professionnelle distincte pour ce MSc (à la différence du Mastère Expert IT EXXEA/FÉDÉ, qui comporte un D52 séparé du D42). Point à vérifier auprès de 42Impact : soit cette UC n'est pas incluse dans le parcours suivi, soit elle a été validée conjointement avec le mémoire D42. Ce point n'est pas tranché ici pour rester honnête sur ce qui est confirmé.</w:t>
      </w:r>
    </w:p>
    <w:p>
      <w:pPr>
        <w:pStyle w:val="Heading1"/>
        <w:spacing w:before="300"/>
      </w:pPr>
      <w:r>
        <w:t xml:space="preserve">4. Zoom métier : Gestionnaire de réseau de prestataires</w:t>
      </w:r>
    </w:p>
    <w:p>
      <w:pPr>
        <w:spacing w:after="160"/>
      </w:pPr>
      <w:r>
        <w:t xml:space="preserve">Le référentiel métier « Gestionnaire de réseau de prestataires » correspond de très près aux missions réellement exercées lors de l'alternance PMO chez BPCE Solutions Informatiques. Comparaison directe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c>
          <w:tcPr>
            <w:tcW w:type="dxa" w:w="47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Domaine du référentiel métier</w:t>
            </w:r>
          </w:p>
        </w:tc>
        <w:tc>
          <w:tcPr>
            <w:tcW w:type="dxa" w:w="466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Mission réelle équivalente</w:t>
            </w:r>
          </w:p>
        </w:tc>
      </w:tr>
      <w:tr>
        <w:tc>
          <w:tcPr>
            <w:tcW w:type="dxa" w:w="4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Optimisation du réseau de prestataires</w:t>
            </w:r>
          </w:p>
        </w:tc>
        <w:tc>
          <w:tcPr>
            <w:tcW w:type="dxa" w:w="4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Pilotage et coordination de prestataires / sous-traitants externes</w:t>
            </w:r>
          </w:p>
        </w:tc>
      </w:tr>
      <w:tr>
        <w:tc>
          <w:tcPr>
            <w:tcW w:type="dxa" w:w="4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Gestion de la relation avec les prestataires</w:t>
            </w:r>
          </w:p>
        </w:tc>
        <w:tc>
          <w:tcPr>
            <w:tcW w:type="dxa" w:w="4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Suivi des contrats et des engagements de service</w:t>
            </w:r>
          </w:p>
        </w:tc>
      </w:tr>
      <w:tr>
        <w:tc>
          <w:tcPr>
            <w:tcW w:type="dxa" w:w="4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Support administratif des prestataires</w:t>
            </w:r>
          </w:p>
        </w:tc>
        <w:tc>
          <w:tcPr>
            <w:tcW w:type="dxa" w:w="4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Gestion des accès et des habilitations pour les intervenants externes</w:t>
            </w:r>
          </w:p>
        </w:tc>
      </w:tr>
      <w:tr>
        <w:tc>
          <w:tcPr>
            <w:tcW w:type="dxa" w:w="4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Animation et encadrement d'une équipe avec lien hiérarchique</w:t>
            </w:r>
          </w:p>
        </w:tc>
        <w:tc>
          <w:tcPr>
            <w:tcW w:type="dxa" w:w="4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Animation des comités de pilotage et coordination multi-acteurs</w:t>
            </w:r>
          </w:p>
        </w:tc>
      </w:tr>
      <w:tr>
        <w:tc>
          <w:tcPr>
            <w:tcW w:type="dxa" w:w="4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Créer, mettre à jour et exploiter le tableau de bord des prestataires agréés</w:t>
            </w:r>
          </w:p>
        </w:tc>
        <w:tc>
          <w:tcPr>
            <w:tcW w:type="dxa" w:w="4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Reporting opérationnel et KPI à destination du management</w:t>
            </w:r>
          </w:p>
        </w:tc>
      </w:tr>
      <w:tr>
        <w:tc>
          <w:tcPr>
            <w:tcW w:type="dxa" w:w="47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Évaluer la qualité des prestations servies par les prestataires</w:t>
            </w:r>
          </w:p>
        </w:tc>
        <w:tc>
          <w:tcPr>
            <w:tcW w:type="dxa" w:w="46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Suivi des contrats et des engagements de service (qualité de service)</w:t>
            </w:r>
          </w:p>
        </w:tc>
      </w:tr>
    </w:tbl>
    <w:p>
      <w:pPr>
        <w:spacing w:before="200"/>
      </w:pPr>
      <w:r>
        <w:t xml:space="preserve">Deux domaines du référentiel métier ne sont pas explicitement confirmés par les missions telles que documentées à ce jour et mériteraient d'être vérifiés avant intégration définitive au dossier :</w:t>
      </w:r>
    </w:p>
    <w:p>
      <w:pPr>
        <w:pStyle w:val="ListParagraph"/>
        <w:numPr>
          <w:ilvl w:val="0"/>
          <w:numId w:val="2"/>
        </w:numPr>
      </w:pPr>
      <w:r>
        <w:t xml:space="preserve">« Analyser et réguler, dans la limite de sa délégation, les incidents entre les prestataires et les clients/bénéficiaires et/ou le personnel » — plausible au regard du poste, mais non explicitement mentionné dans le CV actuel ;</w:t>
      </w:r>
    </w:p>
    <w:p>
      <w:pPr>
        <w:pStyle w:val="ListParagraph"/>
        <w:numPr>
          <w:ilvl w:val="0"/>
          <w:numId w:val="2"/>
        </w:numPr>
      </w:pPr>
      <w:r>
        <w:t xml:space="preserve">« Produire ou participer à la production/mise à jour des dispositifs, supports et moyens pédagogiques » — non mentionné, probablement hors périmètre de ce poste.</w:t>
      </w:r>
    </w:p>
    <w:p>
      <w:pPr>
        <w:pStyle w:val="Heading1"/>
        <w:spacing w:before="300"/>
      </w:pPr>
      <w:r>
        <w:t xml:space="preserve">5. Zoom compétences PMO (référentiel métier)</w:t>
      </w:r>
    </w:p>
    <w:p>
      <w:pPr>
        <w:pStyle w:val="Heading2"/>
      </w:pPr>
      <w:r>
        <w:t xml:space="preserve">5.1 Compétences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c>
          <w:tcPr>
            <w:tcW w:type="dxa" w:w="61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Compétence du référentiel</w:t>
            </w:r>
          </w:p>
        </w:tc>
        <w:tc>
          <w:tcPr>
            <w:tcW w:type="dxa" w:w="326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Niveau</w:t>
            </w:r>
          </w:p>
        </w:tc>
      </w:tr>
      <w:tr>
        <w:tc>
          <w:tcPr>
            <w:tcW w:type="dxa" w:w="6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Outils CRM / ERP / ticketing (Salesforce, SAP, Oracle, Jira, Confluence, Clarity PPM)</w:t>
            </w:r>
          </w:p>
        </w:tc>
        <w:tc>
          <w:tcPr>
            <w:tcW w:type="dxa" w:w="32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Partiellement couvert — Jira et Clarity PPM confirmés par Céline (03/07/2026) ; Salesforce, SAP, Oracle et Confluence non confirmés</w:t>
            </w:r>
          </w:p>
        </w:tc>
      </w:tr>
      <w:tr>
        <w:tc>
          <w:tcPr>
            <w:tcW w:type="dxa" w:w="6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Outils de gestion budgétaire, méthodes financières</w:t>
            </w:r>
          </w:p>
        </w:tc>
        <w:tc>
          <w:tcPr>
            <w:tcW w:type="dxa" w:w="32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Non couvert / non revendiqué</w:t>
            </w:r>
          </w:p>
        </w:tc>
      </w:tr>
      <w:tr>
        <w:tc>
          <w:tcPr>
            <w:tcW w:type="dxa" w:w="6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Méthodes de planning (PERT, GANTT)</w:t>
            </w:r>
          </w:p>
        </w:tc>
        <w:tc>
          <w:tcPr>
            <w:tcW w:type="dxa" w:w="32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Partiellement couvert — planning Gantt confirmé par Céline (03/07/2026) ; PERT non confirmé</w:t>
            </w:r>
          </w:p>
        </w:tc>
      </w:tr>
      <w:tr>
        <w:tc>
          <w:tcPr>
            <w:tcW w:type="dxa" w:w="6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Méthodes de calcul de coûts (contrôle de gestion)</w:t>
            </w:r>
          </w:p>
        </w:tc>
        <w:tc>
          <w:tcPr>
            <w:tcW w:type="dxa" w:w="32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Non couvert / non revendiqué</w:t>
            </w:r>
          </w:p>
        </w:tc>
      </w:tr>
      <w:tr>
        <w:tc>
          <w:tcPr>
            <w:tcW w:type="dxa" w:w="6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Pack Office (Excel, PowerPoint)</w:t>
            </w:r>
          </w:p>
        </w:tc>
        <w:tc>
          <w:tcPr>
            <w:tcW w:type="dxa" w:w="32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Couvert et démontrable — Microsoft 365 confirmé par Céline (03/07/2026)</w:t>
            </w:r>
          </w:p>
        </w:tc>
      </w:tr>
      <w:tr>
        <w:tc>
          <w:tcPr>
            <w:tcW w:type="dxa" w:w="6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Compréhension des enjeux techniques et fonctionnels</w:t>
            </w:r>
          </w:p>
        </w:tc>
        <w:tc>
          <w:tcPr>
            <w:tcW w:type="dxa" w:w="32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Couvert et démontrable — coordination transverse métiers/IT</w:t>
            </w:r>
          </w:p>
        </w:tc>
      </w:tr>
      <w:tr>
        <w:tc>
          <w:tcPr>
            <w:tcW w:type="dxa" w:w="6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Anglais</w:t>
            </w:r>
          </w:p>
        </w:tc>
        <w:tc>
          <w:tcPr>
            <w:tcW w:type="dxa" w:w="32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Couvert et démontrable — soutenance B5 prévue en anglais dans le cursus Mastère EXXEA</w:t>
            </w:r>
          </w:p>
        </w:tc>
      </w:tr>
    </w:tbl>
    <w:p>
      <w:pPr>
        <w:spacing w:before="100"/>
      </w:pPr>
      <w:r>
        <w:t xml:space="preserve">Mise à jour du 03/07/2026 : Céline a confirmé l'usage réel de Jira, Clarity PPM, du planning Gantt et de Microsoft 365 (Excel/PowerPoint), reclassés en conséquence ci-dessus. Restent non confirmés : Salesforce, SAP, Oracle, Confluence, la méthode PERT, ainsi que les outils de gestion budgétaire et de contrôle de gestion.</w:t>
      </w:r>
    </w:p>
    <w:p>
      <w:pPr>
        <w:pStyle w:val="Heading2"/>
      </w:pPr>
      <w:r>
        <w:t xml:space="preserve">5.2 Savoir-être et soft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Soft skill du référentiel</w:t>
            </w:r>
          </w:p>
        </w:tc>
        <w:tc>
          <w:tcPr>
            <w:tcW w:type="dxa" w:w="596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Élément de preuve</w:t>
            </w:r>
          </w:p>
        </w:tc>
      </w:tr>
      <w:tr>
        <w:tc>
          <w:tcPr>
            <w:tcW w:type="dxa" w:w="3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Pédagogie</w:t>
            </w:r>
          </w:p>
        </w:tc>
        <w:tc>
          <w:tcPr>
            <w:tcW w:type="dxa" w:w="5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Animation des comités de pilotage</w:t>
            </w:r>
          </w:p>
        </w:tc>
      </w:tr>
      <w:tr>
        <w:tc>
          <w:tcPr>
            <w:tcW w:type="dxa" w:w="3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Travail en équipes pluridisciplinaires</w:t>
            </w:r>
          </w:p>
        </w:tc>
        <w:tc>
          <w:tcPr>
            <w:tcW w:type="dxa" w:w="5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Coordination transverse métiers / IT, coordination multi-acteurs</w:t>
            </w:r>
          </w:p>
        </w:tc>
      </w:tr>
      <w:tr>
        <w:tc>
          <w:tcPr>
            <w:tcW w:type="dxa" w:w="3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Rigueur et organisation</w:t>
            </w:r>
          </w:p>
        </w:tc>
        <w:tc>
          <w:tcPr>
            <w:tcW w:type="dxa" w:w="5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Structuration documentaire et suivi des livrables projets</w:t>
            </w:r>
          </w:p>
        </w:tc>
      </w:tr>
      <w:tr>
        <w:tc>
          <w:tcPr>
            <w:tcW w:type="dxa" w:w="3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Sens de l'écoute et de la communication</w:t>
            </w:r>
          </w:p>
        </w:tc>
        <w:tc>
          <w:tcPr>
            <w:tcW w:type="dxa" w:w="5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Animation des comités de pilotage, reporting au management</w:t>
            </w:r>
          </w:p>
        </w:tc>
      </w:tr>
      <w:tr>
        <w:tc>
          <w:tcPr>
            <w:tcW w:type="dxa" w:w="3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Esprit d'analyse et sens du détail</w:t>
            </w:r>
          </w:p>
        </w:tc>
        <w:tc>
          <w:tcPr>
            <w:tcW w:type="dxa" w:w="5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Suivi des indicateurs de conformité et des risques (volet BPCE Assurances IARD)</w:t>
            </w:r>
          </w:p>
        </w:tc>
      </w:tr>
      <w:tr>
        <w:tc>
          <w:tcPr>
            <w:tcW w:type="dxa" w:w="3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Curiosité intellectuelle et force de proposition</w:t>
            </w:r>
          </w:p>
        </w:tc>
        <w:tc>
          <w:tcPr>
            <w:tcW w:type="dxa" w:w="5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Non explicitement démontré dans les missions documentées</w:t>
            </w:r>
          </w:p>
        </w:tc>
      </w:tr>
      <w:tr>
        <w:tc>
          <w:tcPr>
            <w:tcW w:type="dxa" w:w="3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Intelligence émotionnelle</w:t>
            </w:r>
          </w:p>
        </w:tc>
        <w:tc>
          <w:tcPr>
            <w:tcW w:type="dxa" w:w="59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Non explicitement démontré — plausible au regard de la coordination multi-acteurs, à confirmer</w:t>
            </w:r>
          </w:p>
        </w:tc>
      </w:tr>
    </w:tbl>
    <w:p>
      <w:pPr>
        <w:pStyle w:val="Heading1"/>
        <w:spacing w:before="300"/>
      </w:pPr>
      <w:r>
        <w:t xml:space="preserve">6. Tableau synthétique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00"/>
        <w:gridCol w:w="3260"/>
      </w:tblGrid>
      <w:tr>
        <w:tc>
          <w:tcPr>
            <w:tcW w:type="dxa" w:w="61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Unité capitalisable / domaine</w:t>
            </w:r>
          </w:p>
        </w:tc>
        <w:tc>
          <w:tcPr>
            <w:tcW w:type="dxa" w:w="326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Niveau de couverture</w:t>
            </w:r>
          </w:p>
        </w:tc>
      </w:tr>
      <w:tr>
        <w:tc>
          <w:tcPr>
            <w:tcW w:type="dxa" w:w="6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D41.1 — Culture et management d'entreprise</w:t>
            </w:r>
          </w:p>
        </w:tc>
        <w:tc>
          <w:tcPr>
            <w:tcW w:type="dxa" w:w="32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Partiellement couvert</w:t>
            </w:r>
          </w:p>
        </w:tc>
      </w:tr>
      <w:tr>
        <w:tc>
          <w:tcPr>
            <w:tcW w:type="dxa" w:w="6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D41.2 — Gestion des RH et des organisations</w:t>
            </w:r>
          </w:p>
        </w:tc>
        <w:tc>
          <w:tcPr>
            <w:tcW w:type="dxa" w:w="32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Couvert et démontrable</w:t>
            </w:r>
          </w:p>
        </w:tc>
      </w:tr>
      <w:tr>
        <w:tc>
          <w:tcPr>
            <w:tcW w:type="dxa" w:w="6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D42 — Mission professionnelle</w:t>
            </w:r>
          </w:p>
        </w:tc>
        <w:tc>
          <w:tcPr>
            <w:tcW w:type="dxa" w:w="32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Couvert et démontrable</w:t>
            </w:r>
          </w:p>
        </w:tc>
      </w:tr>
      <w:tr>
        <w:tc>
          <w:tcPr>
            <w:tcW w:type="dxa" w:w="6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D51.1 — Stratégies et environnement géopolitique/économique/juridique</w:t>
            </w:r>
          </w:p>
        </w:tc>
        <w:tc>
          <w:tcPr>
            <w:tcW w:type="dxa" w:w="32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Partiellement couvert</w:t>
            </w:r>
          </w:p>
        </w:tc>
      </w:tr>
      <w:tr>
        <w:tc>
          <w:tcPr>
            <w:tcW w:type="dxa" w:w="6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D51.2 — Management stratégique des organisations</w:t>
            </w:r>
          </w:p>
        </w:tc>
        <w:tc>
          <w:tcPr>
            <w:tcW w:type="dxa" w:w="32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Partiellement couvert</w:t>
            </w:r>
          </w:p>
        </w:tc>
      </w:tr>
      <w:tr>
        <w:tc>
          <w:tcPr>
            <w:tcW w:type="dxa" w:w="6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D52 — Thèse professionnelle</w:t>
            </w:r>
          </w:p>
        </w:tc>
        <w:tc>
          <w:tcPr>
            <w:tcW w:type="dxa" w:w="32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Non tranché — à vérifier avec 42Impact</w:t>
            </w:r>
          </w:p>
        </w:tc>
      </w:tr>
      <w:tr>
        <w:tc>
          <w:tcPr>
            <w:tcW w:type="dxa" w:w="6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Métier « Gestionnaire de réseau de prestataires »</w:t>
            </w:r>
          </w:p>
        </w:tc>
        <w:tc>
          <w:tcPr>
            <w:tcW w:type="dxa" w:w="32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Couvert et démontrable (4/6 domaines confirmés)</w:t>
            </w:r>
          </w:p>
        </w:tc>
      </w:tr>
      <w:tr>
        <w:tc>
          <w:tcPr>
            <w:tcW w:type="dxa" w:w="6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Compétences techniques PMO (outils)</w:t>
            </w:r>
          </w:p>
        </w:tc>
        <w:tc>
          <w:tcPr>
            <w:tcW w:type="dxa" w:w="32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Partiellement couvert (Jira, Clarity PPM, Gantt, Microsoft 365 confirmés)</w:t>
            </w:r>
          </w:p>
        </w:tc>
      </w:tr>
      <w:tr>
        <w:tc>
          <w:tcPr>
            <w:tcW w:type="dxa" w:w="6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Savoir-être et soft skills PMO</w:t>
            </w:r>
          </w:p>
        </w:tc>
        <w:tc>
          <w:tcPr>
            <w:tcW w:type="dxa" w:w="32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Majoritairement couvert et démontrable</w:t>
            </w:r>
          </w:p>
        </w:tc>
      </w:tr>
    </w:tbl>
    <w:p>
      <w:pPr>
        <w:pStyle w:val="Heading1"/>
        <w:spacing w:before="300"/>
      </w:pPr>
      <w:r>
        <w:t xml:space="preserve">7. Complémentarité avec les volets ALFRED et Groupe BPCE</w:t>
      </w:r>
    </w:p>
    <w:p>
      <w:pPr>
        <w:spacing w:after="160"/>
      </w:pPr>
      <w:r>
        <w:t xml:space="preserve">Le dossier de justification d'expérience professionnalisante repose désormais sur trois volets complémentaires, chacun couvrant un référentiel et un registre de compétences distinct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Volet</w:t>
            </w:r>
          </w:p>
        </w:tc>
        <w:tc>
          <w:tcPr>
            <w:tcW w:type="dxa" w:w="330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Référentiel visé</w:t>
            </w:r>
          </w:p>
        </w:tc>
        <w:tc>
          <w:tcPr>
            <w:tcW w:type="dxa" w:w="3260"/>
            <w:tcBorders>
              <w:top w:val="single" w:color="CCCCCC" w:sz="1"/>
              <w:left w:val="single" w:color="CCCCCC" w:sz="1"/>
              <w:bottom w:val="single" w:color="CCCCCC" w:sz="1"/>
              <w:right w:val="single" w:color="CCCCCC" w:sz="1"/>
            </w:tcBorders>
            <w:shd w:fill="D5E8F0" w:val="clear"/>
            <w:tcMar>
              <w:top w:type="dxa" w:w="80"/>
              <w:left w:type="dxa" w:w="100"/>
              <w:bottom w:type="dxa" w:w="80"/>
              <w:right w:type="dxa" w:w="100"/>
            </w:tcMar>
          </w:tcPr>
          <w:p>
            <w:r>
              <w:rPr>
                <w:b/>
                <w:bCs/>
                <w:sz w:val="18"/>
                <w:szCs w:val="18"/>
              </w:rPr>
              <w:t xml:space="preserve">Registre de compétences</w:t>
            </w:r>
          </w:p>
        </w:tc>
      </w:tr>
      <w:tr>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1. Projet ALFRED</w:t>
            </w:r>
          </w:p>
        </w:tc>
        <w:tc>
          <w:tcPr>
            <w:tcW w:type="dxa" w:w="3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Mastère Expert IT — IA &amp; Big Data (EXXEA/FÉDÉ)</w:t>
            </w:r>
          </w:p>
        </w:tc>
        <w:tc>
          <w:tcPr>
            <w:tcW w:type="dxa" w:w="32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Développement technique, IA, RAG, MongoDB, Android, DevOps</w:t>
            </w:r>
          </w:p>
        </w:tc>
      </w:tr>
      <w:tr>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2. Groupe BPCE (Natixis, BPCE SI, BPCE Assurances IARD)</w:t>
            </w:r>
          </w:p>
        </w:tc>
        <w:tc>
          <w:tcPr>
            <w:tcW w:type="dxa" w:w="3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Mastère Expert IT — IA &amp; Big Data (EXXEA/FÉDÉ)</w:t>
            </w:r>
          </w:p>
        </w:tc>
        <w:tc>
          <w:tcPr>
            <w:tcW w:type="dxa" w:w="32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Gouvernance des données, agilité à l'échelle (PI Planning), culture d'entreprise réglementée</w:t>
            </w:r>
          </w:p>
        </w:tc>
      </w:tr>
      <w:tr>
        <w:tc>
          <w:tcPr>
            <w:tcW w:type="dxa" w:w="28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3. MSc Management (42Impact)</w:t>
            </w:r>
          </w:p>
        </w:tc>
        <w:tc>
          <w:tcPr>
            <w:tcW w:type="dxa" w:w="33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Mastère « Management et stratégie d'entreprise » (FEDE)</w:t>
            </w:r>
          </w:p>
        </w:tc>
        <w:tc>
          <w:tcPr>
            <w:tcW w:type="dxa" w:w="32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b w:val="false"/>
                <w:bCs w:val="false"/>
                <w:sz w:val="18"/>
                <w:szCs w:val="18"/>
              </w:rPr>
              <w:t xml:space="preserve">Pilotage de prestataires, management d'équipe, Lean Six Sigma, RH et organisations</w:t>
            </w:r>
          </w:p>
        </w:tc>
      </w:tr>
    </w:tbl>
    <w:p>
      <w:pPr>
        <w:spacing w:before="100"/>
      </w:pPr>
      <w:r>
        <w:t xml:space="preserve">Ces trois volets ne se chevauchent pas complètement : le volet 3 mobilise essentiellement la même expérience professionnelle que le volet 2 (BPCE Solutions Informatiques), mais la rapporte à un référentiel de diplôme différent (management/organisations plutôt qu'IT/Big Data). Cette réutilisation est légitime — une même expérience professionnelle peut valablement justifier des compétences pour plusieurs diplômes, à condition que le mapping envers chaque référentiel reste honnête, ce qui est le principe suivi ici.</w:t>
      </w:r>
    </w:p>
    <w:p>
      <w:pPr>
        <w:pStyle w:val="Heading1"/>
        <w:spacing w:before="300"/>
      </w:pPr>
      <w:r>
        <w:t xml:space="preserve">8. Conclusion</w:t>
      </w:r>
    </w:p>
    <w:p>
      <w:pPr>
        <w:spacing w:after="160"/>
      </w:pPr>
      <w:r>
        <w:t xml:space="preserve">Le MSc Project Management, Innovation &amp; Développement Durable, validé en 2025, complète le dossier de justification par une preuve de compétences en management d'équipe, pilotage de prestataires et amélioration continue (Lean Six Sigma), directement démontrées par l'alternance PMO chez BPCE Solutions Informatiques.</w:t>
      </w:r>
    </w:p>
    <w:p>
      <w:pPr>
        <w:spacing w:after="160"/>
      </w:pPr>
      <w:r>
        <w:t xml:space="preserve">Ce mapping reste honnête sur ses limites : Jira, Clarity PPM, le planning Gantt et Microsoft 365 sont désormais confirmés (03/07/2026), mais Salesforce, SAP, Oracle, Confluence, la méthode PERT et les outils de contrôle de gestion budgétaire ne le sont pas. La dimension stratégique de plus haut niveau (D51.1, D51.2) relève par ailleurs partiellement d'un niveau hiérarchique que le poste occupé ne couvre pas entièrement.</w:t>
      </w:r>
    </w:p>
    <w:p>
      <w:pPr>
        <w:spacing w:after="160"/>
      </w:pPr>
      <w:r>
        <w:t xml:space="preserve">Avec les volets ALFRED et Groupe BPCE, ce troisième volet permet de présenter un dossier de justification équilibré entre compétences techniques (développement, IA), compétences de gouvernance (données, conformité) et compétences de management (RH, prestataires, amélioration continue).</w:t>
      </w:r>
    </w:p>
    <w:p>
      <w:pPr>
        <w:spacing w:before="300"/>
      </w:pPr>
      <w:r>
        <w:t xml:space="preserve">Fait le 3 juillet 2026</w:t>
      </w:r>
    </w:p>
    <w:p>
      <w:r>
        <w:rPr>
          <w:b/>
          <w:bCs/>
        </w:rPr>
        <w:t xml:space="preserve">Céline Rousselot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B4F8A"/>
      <w:sz w:val="28"/>
      <w:szCs w:val="28"/>
    </w:rPr>
  </w:style>
  <w:style w:type="paragraph" w:styleId="Heading2">
    <w:name w:val="Heading 2"/>
    <w:basedOn w:val="Normal"/>
    <w:next w:val="Normal"/>
    <w:qFormat/>
    <w:pPr>
      <w:spacing w:after="14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2026-07-04T11:32:37.139Z</dcterms:created>
  <dcterms:modified xsi:type="dcterms:W3CDTF">2026-07-04T11:32:37.139Z</dcterms:modified>
</cp:coreProperties>
</file>

<file path=docProps/custom.xml><?xml version="1.0" encoding="utf-8"?>
<Properties xmlns="http://schemas.openxmlformats.org/officeDocument/2006/custom-properties" xmlns:vt="http://schemas.openxmlformats.org/officeDocument/2006/docPropsVTypes"/>
</file>