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Arial" w:cs="Arial" w:eastAsia="Arial" w:hAnsi="Arial"/>
          <w:b/>
          <w:bCs/>
          <w:color w:val="2E6BA6"/>
          <w:spacing w:val="200"/>
          <w:sz w:val="18"/>
          <w:szCs w:val="18"/>
        </w:rPr>
        <w:t xml:space="preserve">COGNITIVE CORP  |  RESEARCH</w:t>
      </w:r>
    </w:p>
    <w:p>
      <w:pPr>
        <w:pBdr>
          <w:bottom w:val="single" w:color="CCCCCC" w:sz="1"/>
        </w:pBdr>
        <w:spacing w:after="200" w:before="200"/>
      </w:pPr>
    </w:p>
    <w:p>
      <w:pPr>
        <w:spacing w:after="120"/>
        <w:jc w:val="center"/>
      </w:pPr>
      <w:r>
        <w:rPr>
          <w:rFonts w:ascii="Arial" w:cs="Arial" w:eastAsia="Arial" w:hAnsi="Arial"/>
          <w:b/>
          <w:bCs/>
          <w:color w:val="1B2A4A"/>
          <w:sz w:val="44"/>
          <w:szCs w:val="44"/>
        </w:rPr>
        <w:t xml:space="preserve">The Singularity Is Not Coming.</w:t>
      </w:r>
    </w:p>
    <w:p>
      <w:pPr>
        <w:spacing w:after="80"/>
        <w:jc w:val="center"/>
      </w:pPr>
      <w:r>
        <w:rPr>
          <w:rFonts w:ascii="Arial" w:cs="Arial" w:eastAsia="Arial" w:hAnsi="Arial"/>
          <w:b/>
          <w:bCs/>
          <w:color w:val="2E6BA6"/>
          <w:sz w:val="44"/>
          <w:szCs w:val="44"/>
        </w:rPr>
        <w:t xml:space="preserve">It Is Here.</w:t>
      </w:r>
    </w:p>
    <w:p>
      <w:pPr>
        <w:spacing w:after="80"/>
      </w:pPr>
    </w:p>
    <w:p>
      <w:pPr>
        <w:spacing w:after="40"/>
        <w:jc w:val="center"/>
      </w:pPr>
      <w:r>
        <w:rPr>
          <w:rFonts w:ascii="Arial" w:cs="Arial" w:eastAsia="Arial" w:hAnsi="Arial"/>
          <w:i/>
          <w:iCs/>
          <w:color w:val="555555"/>
          <w:sz w:val="24"/>
          <w:szCs w:val="24"/>
        </w:rPr>
        <w:t xml:space="preserve">An Evidence-Based Argument Across Seven Domains of Proof</w:t>
      </w:r>
    </w:p>
    <w:p>
      <w:pPr>
        <w:spacing w:after="40"/>
        <w:jc w:val="center"/>
      </w:pPr>
      <w:r>
        <w:rPr>
          <w:rFonts w:ascii="Arial" w:cs="Arial" w:eastAsia="Arial" w:hAnsi="Arial"/>
          <w:color w:val="555555"/>
          <w:sz w:val="22"/>
          <w:szCs w:val="22"/>
        </w:rPr>
        <w:t xml:space="preserve">James Waddell  |  Cognitive Corp  |  March 2026</w:t>
      </w:r>
    </w:p>
    <w:p>
      <w:pPr>
        <w:pBdr>
          <w:bottom w:val="single" w:color="CCCCCC" w:sz="1"/>
        </w:pBdr>
        <w:spacing w:after="200" w:before="200"/>
      </w:pPr>
    </w:p>
    <w:p>
      <w:pPr>
        <w:spacing w:after="200"/>
      </w:pPr>
    </w:p>
    <w:p>
      <w:r>
        <w:br w:type="page"/>
      </w:r>
    </w:p>
    <w:p>
      <w:pPr>
        <w:pStyle w:val="Heading1"/>
      </w:pPr>
      <w:r>
        <w:rPr>
          <w:rFonts w:ascii="Arial" w:cs="Arial" w:eastAsia="Arial" w:hAnsi="Arial"/>
        </w:rPr>
        <w:t xml:space="preserve">Methodology &amp; Definitions</w:t>
      </w:r>
    </w:p>
    <w:p>
      <w:pPr>
        <w:spacing w:after="40"/>
      </w:pPr>
    </w:p>
    <w:p>
      <w:pPr>
        <w:pStyle w:val="Heading2"/>
      </w:pPr>
      <w:r>
        <w:rPr>
          <w:rFonts w:ascii="Arial" w:cs="Arial" w:eastAsia="Arial" w:hAnsi="Arial"/>
        </w:rPr>
        <w:t xml:space="preserve">What We Mean by Singularity</w:t>
      </w:r>
    </w:p>
    <w:p>
      <w:pPr>
        <w:spacing w:after="20"/>
      </w:pPr>
    </w:p>
    <w:p>
      <w:pPr>
        <w:spacing w:after="120"/>
      </w:pPr>
      <w:r>
        <w:rPr>
          <w:rFonts w:ascii="Arial" w:cs="Arial" w:eastAsia="Arial" w:hAnsi="Arial"/>
          <w:b w:val="false"/>
          <w:bCs w:val="false"/>
          <w:i w:val="false"/>
          <w:iCs w:val="false"/>
          <w:color w:val="333333"/>
          <w:sz w:val="22"/>
          <w:szCs w:val="22"/>
        </w:rPr>
        <w:t xml:space="preserve">This paper does not argue that a superintelligent god-machine has awakened. That framing is unfalsifiable and therefore useless. Instead, we adopt a falsifiable, operationalized definition. This operational definition is our own construct for this analysis — not a consensus academic definition — chosen because it is measurable, falsifiable, and grounded in observable evidence rather than philosophical speculation: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Operational Definition: The AI Singularity</w:t>
            </w:r>
          </w:p>
          <w:p>
            <w:pPr>
              <w:spacing w:after="0"/>
            </w:pPr>
            <w:r>
              <w:rPr>
                <w:rFonts w:ascii="Arial" w:cs="Arial" w:eastAsia="Arial" w:hAnsi="Arial"/>
                <w:color w:val="333333"/>
                <w:sz w:val="22"/>
                <w:szCs w:val="22"/>
              </w:rPr>
              <w:t xml:space="preserve">The point at which artificial intelligence systems (1) match or exceed human expert performance across the majority of measurable cognitive domains, (2) contribute to their own improvement faster than human researchers alone can, and (3) generate economic and scientific effects that are irreversible and self-reinforcing. A singularity is not a moment. It is a phase transition — and like all phase transitions, you recognize it by the properties of the system after it occurs, not by a single triggering event.</w:t>
            </w:r>
          </w:p>
        </w:tc>
      </w:tr>
    </w:tbl>
    <w:p>
      <w:pPr>
        <w:spacing w:after="60"/>
      </w:pPr>
    </w:p>
    <w:p>
      <w:pPr>
        <w:pStyle w:val="Heading2"/>
      </w:pPr>
      <w:r>
        <w:rPr>
          <w:rFonts w:ascii="Arial" w:cs="Arial" w:eastAsia="Arial" w:hAnsi="Arial"/>
        </w:rPr>
        <w:t xml:space="preserve">Burden of Proof</w:t>
      </w:r>
    </w:p>
    <w:p>
      <w:pPr>
        <w:spacing w:after="20"/>
      </w:pPr>
    </w:p>
    <w:p>
      <w:pPr>
        <w:spacing w:after="120"/>
      </w:pPr>
      <w:r>
        <w:rPr>
          <w:rFonts w:ascii="Arial" w:cs="Arial" w:eastAsia="Arial" w:hAnsi="Arial"/>
          <w:b w:val="false"/>
          <w:bCs w:val="false"/>
          <w:i w:val="false"/>
          <w:iCs w:val="false"/>
          <w:color w:val="333333"/>
          <w:sz w:val="22"/>
          <w:szCs w:val="22"/>
        </w:rPr>
        <w:t xml:space="preserve">Extraordinary claims require extraordinary evidence. This paper meets that standard by presenting convergent proof across seven independent domains. No single domain is sufficient. The argument is that all seven point in the same direction simultaneously — and that this convergence is itself the evidence.</w:t>
      </w:r>
    </w:p>
    <w:p>
      <w:pPr>
        <w:spacing w:after="20"/>
      </w:pPr>
    </w:p>
    <w:p>
      <w:pPr>
        <w:spacing w:after="120"/>
      </w:pPr>
      <w:r>
        <w:rPr>
          <w:rFonts w:ascii="Arial" w:cs="Arial" w:eastAsia="Arial" w:hAnsi="Arial"/>
          <w:b w:val="false"/>
          <w:bCs w:val="false"/>
          <w:i w:val="false"/>
          <w:iCs w:val="false"/>
          <w:color w:val="333333"/>
          <w:sz w:val="22"/>
          <w:szCs w:val="22"/>
        </w:rPr>
        <w:t xml:space="preserve">Each domain is evaluated against a specific threshold. If the threshold is met, the domain counts as evidence for singularity. We then assess how many of seven thresholds are met, address counterarguments explicitly, and present a synthesis.</w:t>
      </w:r>
    </w:p>
    <w:p>
      <w:pPr>
        <w:spacing w:after="40"/>
      </w:pPr>
    </w:p>
    <w:p>
      <w:pPr>
        <w:pStyle w:val="Heading2"/>
      </w:pPr>
      <w:r>
        <w:rPr>
          <w:rFonts w:ascii="Arial" w:cs="Arial" w:eastAsia="Arial" w:hAnsi="Arial"/>
        </w:rPr>
        <w:t xml:space="preserve">How This Paper Fits</w:t>
      </w:r>
    </w:p>
    <w:p>
      <w:pPr>
        <w:spacing w:after="20"/>
      </w:pPr>
    </w:p>
    <w:p>
      <w:pPr>
        <w:spacing w:after="120"/>
      </w:pPr>
      <w:r>
        <w:rPr>
          <w:rFonts w:ascii="Arial" w:cs="Arial" w:eastAsia="Arial" w:hAnsi="Arial"/>
          <w:b w:val="false"/>
          <w:bCs w:val="false"/>
          <w:i w:val="false"/>
          <w:iCs w:val="false"/>
          <w:color w:val="333333"/>
          <w:sz w:val="22"/>
          <w:szCs w:val="22"/>
        </w:rPr>
        <w:t xml:space="preserve">This is the first of three companion documents that together constitute a five-layer evidentiary package:</w:t>
      </w:r>
    </w:p>
    <w:p>
      <w:pPr>
        <w:spacing w:after="10"/>
      </w:pPr>
    </w:p>
    <w:p>
      <w:pPr>
        <w:pStyle w:val="ListParagraph"/>
        <w:numPr>
          <w:ilvl w:val="0"/>
          <w:numId w:val="2"/>
        </w:numPr>
        <w:spacing w:after="80"/>
      </w:pPr>
      <w:r>
        <w:rPr>
          <w:rFonts w:ascii="Arial" w:cs="Arial" w:eastAsia="Arial" w:hAnsi="Arial"/>
          <w:b/>
          <w:bCs/>
          <w:color w:val="333333"/>
          <w:sz w:val="22"/>
          <w:szCs w:val="22"/>
        </w:rPr>
        <w:t xml:space="preserve">This paper (Layer 1): </w:t>
      </w:r>
      <w:r>
        <w:rPr>
          <w:rFonts w:ascii="Arial" w:cs="Arial" w:eastAsia="Arial" w:hAnsi="Arial"/>
          <w:color w:val="333333"/>
          <w:sz w:val="22"/>
          <w:szCs w:val="22"/>
        </w:rPr>
        <w:t xml:space="preserve">Qualitative argument across seven independent domains of proof.</w:t>
      </w:r>
    </w:p>
    <w:p>
      <w:pPr>
        <w:pStyle w:val="ListParagraph"/>
        <w:numPr>
          <w:ilvl w:val="0"/>
          <w:numId w:val="2"/>
        </w:numPr>
        <w:spacing w:after="80"/>
      </w:pPr>
      <w:r>
        <w:rPr>
          <w:rFonts w:ascii="Arial" w:cs="Arial" w:eastAsia="Arial" w:hAnsi="Arial"/>
          <w:b/>
          <w:bCs/>
          <w:color w:val="333333"/>
          <w:sz w:val="22"/>
          <w:szCs w:val="22"/>
        </w:rPr>
        <w:t xml:space="preserve">"A Quantitative Proof" (Layers 2-3): </w:t>
      </w:r>
      <w:r>
        <w:rPr>
          <w:rFonts w:ascii="Arial" w:cs="Arial" w:eastAsia="Arial" w:hAnsi="Arial"/>
          <w:color w:val="333333"/>
          <w:sz w:val="22"/>
          <w:szCs w:val="22"/>
        </w:rPr>
        <w:t xml:space="preserve">Curve fitting, hypothesis testing, and phase transition analysis across 65 sourced data points. Includes formal acceleration tests (H₀: deceleration vs. H₁: acceleration) with Fisher's combined probability across all domains.</w:t>
      </w:r>
    </w:p>
    <w:p>
      <w:pPr>
        <w:pStyle w:val="ListParagraph"/>
        <w:numPr>
          <w:ilvl w:val="0"/>
          <w:numId w:val="2"/>
        </w:numPr>
        <w:spacing w:after="80"/>
      </w:pPr>
      <w:r>
        <w:rPr>
          <w:rFonts w:ascii="Arial" w:cs="Arial" w:eastAsia="Arial" w:hAnsi="Arial"/>
          <w:b/>
          <w:bCs/>
          <w:color w:val="333333"/>
          <w:sz w:val="22"/>
          <w:szCs w:val="22"/>
        </w:rPr>
        <w:t xml:space="preserve">"The Evidence Package" (Layers 4-5): </w:t>
      </w:r>
      <w:r>
        <w:rPr>
          <w:rFonts w:ascii="Arial" w:cs="Arial" w:eastAsia="Arial" w:hAnsi="Arial"/>
          <w:color w:val="333333"/>
          <w:sz w:val="22"/>
          <w:szCs w:val="22"/>
        </w:rPr>
        <w:t xml:space="preserve">An adversarial prosecution/defense pair (strongest case against and for the thesis, argued with equal rigor), a prediction registry (20 falsifiable, timestamped claims scored across three tiers), and a historical comparison showing AI's transition is 13x faster than any prior technology phase transition on record.</w:t>
      </w:r>
    </w:p>
    <w:p>
      <w:pPr>
        <w:spacing w:after="10"/>
      </w:pPr>
    </w:p>
    <w:p>
      <w:pPr>
        <w:spacing w:after="120"/>
      </w:pPr>
      <w:r>
        <w:rPr>
          <w:rFonts w:ascii="Arial" w:cs="Arial" w:eastAsia="Arial" w:hAnsi="Arial"/>
          <w:b w:val="false"/>
          <w:bCs w:val="false"/>
          <w:i w:val="false"/>
          <w:iCs w:val="false"/>
          <w:color w:val="333333"/>
          <w:sz w:val="22"/>
          <w:szCs w:val="22"/>
        </w:rPr>
        <w:t xml:space="preserve">No single layer is conclusive. The argument is the convergence.</w:t>
      </w:r>
    </w:p>
    <w:p>
      <w:pPr>
        <w:spacing w:after="40"/>
      </w:pPr>
    </w:p>
    <w:p>
      <w:pPr>
        <w:pStyle w:val="Heading2"/>
      </w:pPr>
      <w:r>
        <w:rPr>
          <w:rFonts w:ascii="Arial" w:cs="Arial" w:eastAsia="Arial" w:hAnsi="Arial"/>
        </w:rPr>
        <w:t xml:space="preserve">The Seven Domains of Proof</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 Cognitive Parity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matches or exceeds human expert performance across a majority of standardized cognitive benchmarks.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 Recursive Self-Improvement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systems contribute materially to the design, training, and optimization of successor AI systems.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 Scientific Discovery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autonomously generates novel scientific knowledge that humans validate and 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 Economic Inflection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investment and deployment reach a scale that structurally alters capital allocation and labor markets.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 Autonomous Agency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systems execute multi-step, real-world tasks without human intervention at commercially viable quality.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 Capability Acceleration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The rate of AI capability improvement is itself accelerating, not decelerating.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 Expert Consensus Shift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The informed expert community has materially revised its timelines toward the present.</w:t>
            </w:r>
          </w:p>
        </w:tc>
      </w:tr>
    </w:tbl>
    <w:p>
      <w:r>
        <w:br w:type="page"/>
      </w:r>
    </w:p>
    <w:p>
      <w:pPr>
        <w:pStyle w:val="Heading1"/>
      </w:pPr>
      <w:r>
        <w:rPr>
          <w:rFonts w:ascii="Arial" w:cs="Arial" w:eastAsia="Arial" w:hAnsi="Arial"/>
        </w:rPr>
        <w:t xml:space="preserve">Domain 1: Cognitive Parity</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AI matches or exceeds human expert performance across a majority of standardized cognitive benchmarks.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300"/>
        <w:gridCol w:w="1960"/>
        <w:gridCol w:w="31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2020</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2025-26</w:t>
            </w:r>
          </w:p>
        </w:tc>
        <w:tc>
          <w:tcPr>
            <w:tcW w:type="dxa" w:w="3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MMLU Pro (Graduate-level Language Understanding)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86% (GPT-4)*</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90.1% (Gemini 3 Pro)</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Human expert: ~89.8%. Saturated. *Original MMLU; MMLU Pro is the harder 12K-question variant.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GPQA Diamond (Graduate-level Q&amp;A)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91.9% (Gemini 3 Pro)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Human PhD panel: ~81%. AI exceeds.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SWE-bench Verified (Real GitHub Issues)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N/A</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4.4% (original)</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71.7% (2024) → 80%+ (2026, Verified)</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Spans SWE-bench variants. 7x → 18x improvement.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MMMU (Multimodal Understanding)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Baseline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+18.8pp in 1 year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Rapid convergence toward ceiling.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HumanEval (Code Generation)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67% (GPT-4)</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Near saturation (2025)</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New harder benchmarks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ARC-AGI-2 (Abstract Reasoning)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45.1% → 77.1% (Gemini 3.1 Pro)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Human baseline: 100% (by design). Rapid trajectory: 0% → 77% in months.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IMO Mathematics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N/A</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 problems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5/6 problems (Gemini deep think)</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7AE60"/>
                <w:sz w:val="20"/>
                <w:szCs w:val="20"/>
              </w:rPr>
              <w:t xml:space="preserve">Gold medal level. 2025.</w:t>
            </w:r>
          </w:p>
        </w:tc>
      </w:tr>
    </w:tbl>
    <w:p>
      <w:pPr>
        <w:spacing w:after="60"/>
      </w:pPr>
    </w:p>
    <w:p>
      <w:pPr>
        <w:spacing w:after="120"/>
      </w:pPr>
      <w:r>
        <w:rPr>
          <w:rFonts w:ascii="Arial" w:cs="Arial" w:eastAsia="Arial" w:hAnsi="Arial"/>
          <w:b/>
          <w:bCs/>
          <w:color w:val="333333"/>
          <w:sz w:val="22"/>
          <w:szCs w:val="22"/>
        </w:rPr>
        <w:t xml:space="preserve">Stanford AI Index (2025): </w:t>
      </w:r>
      <w:r>
        <w:rPr>
          <w:rFonts w:ascii="Arial" w:cs="Arial" w:eastAsia="Arial" w:hAnsi="Arial"/>
          <w:color w:val="333333"/>
          <w:sz w:val="22"/>
          <w:szCs w:val="22"/>
        </w:rPr>
        <w:t xml:space="preserve">"In 2022, the smallest model scoring 60%+ on MMLU had 540 billion parameters. By 2024, Microsoft's Phi-3-mini achieved the same with 3.8 billion parameters — a 142-fold reduction." The cost of equivalent performance dropped 280x in 18 months.</w:t>
      </w:r>
    </w:p>
    <w:p>
      <w:pPr>
        <w:spacing w:after="2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AI has reached or exceeded human expert performance on 6 of 7 major benchmarks. ARC-AGI-2 — the hardest remaining benchmark — went from 0% to 77.1% in months, though it remains below the human ceiling. Traditional benchmarks are saturating faster than new ones can be created.</w:t>
      </w:r>
    </w:p>
    <w:p>
      <w:r>
        <w:br w:type="page"/>
      </w:r>
    </w:p>
    <w:p>
      <w:pPr>
        <w:pStyle w:val="Heading1"/>
      </w:pPr>
      <w:r>
        <w:rPr>
          <w:rFonts w:ascii="Arial" w:cs="Arial" w:eastAsia="Arial" w:hAnsi="Arial"/>
        </w:rPr>
        <w:t xml:space="preserve">Domain 2: Recursive Self-Improvement</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AI systems contribute materially to the design, training, and optimization of successor AI systems.</w:t>
      </w:r>
    </w:p>
    <w:p>
      <w:pPr>
        <w:spacing w:after="40"/>
      </w:pPr>
    </w:p>
    <w:p>
      <w:pPr>
        <w:pStyle w:val="Heading2"/>
      </w:pPr>
      <w:r>
        <w:rPr>
          <w:rFonts w:ascii="Arial" w:cs="Arial" w:eastAsia="Arial" w:hAnsi="Arial"/>
        </w:rPr>
        <w:t xml:space="preserve">Evidence</w:t>
      </w:r>
    </w:p>
    <w:p>
      <w:pPr>
        <w:spacing w:after="20"/>
      </w:pPr>
    </w:p>
    <w:p>
      <w:pPr>
        <w:pStyle w:val="ListParagraph"/>
        <w:numPr>
          <w:ilvl w:val="0"/>
          <w:numId w:val="2"/>
        </w:numPr>
        <w:spacing w:after="80"/>
      </w:pPr>
      <w:r>
        <w:rPr>
          <w:rFonts w:ascii="Arial" w:cs="Arial" w:eastAsia="Arial" w:hAnsi="Arial"/>
          <w:b/>
          <w:bCs/>
          <w:color w:val="333333"/>
          <w:sz w:val="22"/>
          <w:szCs w:val="22"/>
        </w:rPr>
        <w:t xml:space="preserve">Across Anthropic's engineering teams, Claude Code writes 70-90% of code </w:t>
      </w:r>
      <w:r>
        <w:rPr>
          <w:rFonts w:ascii="Arial" w:cs="Arial" w:eastAsia="Arial" w:hAnsi="Arial"/>
          <w:color w:val="333333"/>
          <w:sz w:val="22"/>
          <w:szCs w:val="22"/>
        </w:rPr>
        <w:t xml:space="preserve">(TechBuzz, 2026). One engineer reports 100% Claude-written code. Fully automated AI research is estimated at 12-18 months away.</w:t>
      </w:r>
    </w:p>
    <w:p>
      <w:pPr>
        <w:pStyle w:val="ListParagraph"/>
        <w:numPr>
          <w:ilvl w:val="0"/>
          <w:numId w:val="2"/>
        </w:numPr>
        <w:spacing w:after="80"/>
      </w:pPr>
      <w:r>
        <w:rPr>
          <w:rFonts w:ascii="Arial" w:cs="Arial" w:eastAsia="Arial" w:hAnsi="Arial"/>
          <w:b/>
          <w:bCs/>
          <w:color w:val="333333"/>
          <w:sz w:val="22"/>
          <w:szCs w:val="22"/>
        </w:rPr>
        <w:t xml:space="preserve">Google DeepMind's AlphaEvolve </w:t>
      </w:r>
      <w:r>
        <w:rPr>
          <w:rFonts w:ascii="Arial" w:cs="Arial" w:eastAsia="Arial" w:hAnsi="Arial"/>
          <w:color w:val="333333"/>
          <w:sz w:val="22"/>
          <w:szCs w:val="22"/>
        </w:rPr>
        <w:t xml:space="preserve">— a Gemini-powered coding agent — autonomously discovers and designs new algorithms. Presented at ICLR 2026 Workshop on AI with Recursive Self-Improvement.</w:t>
      </w:r>
    </w:p>
    <w:p>
      <w:pPr>
        <w:pStyle w:val="ListParagraph"/>
        <w:numPr>
          <w:ilvl w:val="0"/>
          <w:numId w:val="2"/>
        </w:numPr>
        <w:spacing w:after="80"/>
      </w:pPr>
      <w:r>
        <w:rPr>
          <w:rFonts w:ascii="Arial" w:cs="Arial" w:eastAsia="Arial" w:hAnsi="Arial"/>
          <w:b/>
          <w:bCs/>
          <w:color w:val="333333"/>
          <w:sz w:val="22"/>
          <w:szCs w:val="22"/>
        </w:rPr>
        <w:t xml:space="preserve">OpenAI plans intern-level AI research agents by September 2026 </w:t>
      </w:r>
      <w:r>
        <w:rPr>
          <w:rFonts w:ascii="Arial" w:cs="Arial" w:eastAsia="Arial" w:hAnsi="Arial"/>
          <w:color w:val="333333"/>
          <w:sz w:val="22"/>
          <w:szCs w:val="22"/>
        </w:rPr>
        <w:t xml:space="preserve">and fully functional AI research agents by 2028. These agents will write code, generate training data, run evaluations, and red-team models.</w:t>
      </w:r>
    </w:p>
    <w:p>
      <w:pPr>
        <w:pStyle w:val="ListParagraph"/>
        <w:numPr>
          <w:ilvl w:val="0"/>
          <w:numId w:val="2"/>
        </w:numPr>
        <w:spacing w:after="80"/>
      </w:pPr>
      <w:r>
        <w:rPr>
          <w:rFonts w:ascii="Arial" w:cs="Arial" w:eastAsia="Arial" w:hAnsi="Arial"/>
          <w:b/>
          <w:bCs/>
          <w:color w:val="333333"/>
          <w:sz w:val="22"/>
          <w:szCs w:val="22"/>
        </w:rPr>
        <w:t xml:space="preserve">Andrej Karpathy's AutoResearch loop: </w:t>
      </w:r>
      <w:r>
        <w:rPr>
          <w:rFonts w:ascii="Arial" w:cs="Arial" w:eastAsia="Arial" w:hAnsi="Arial"/>
          <w:color w:val="333333"/>
          <w:sz w:val="22"/>
          <w:szCs w:val="22"/>
        </w:rPr>
        <w:t xml:space="preserve">open-source agent that autonomously edits PyTorch code, runs training experiments, evaluates results, commits improvements, and loops. 700 experiments in 2 days yielded 11% training speedup on a small LLM — with zero human intervention.</w:t>
      </w:r>
    </w:p>
    <w:p>
      <w:pPr>
        <w:pStyle w:val="ListParagraph"/>
        <w:numPr>
          <w:ilvl w:val="0"/>
          <w:numId w:val="2"/>
        </w:numPr>
        <w:spacing w:after="80"/>
      </w:pPr>
      <w:r>
        <w:rPr>
          <w:rFonts w:ascii="Arial" w:cs="Arial" w:eastAsia="Arial" w:hAnsi="Arial"/>
          <w:b/>
          <w:bCs/>
          <w:color w:val="333333"/>
          <w:sz w:val="22"/>
          <w:szCs w:val="22"/>
        </w:rPr>
        <w:t xml:space="preserve">ICLR 2026 dedicated an entire workshop to recursive self-improvement </w:t>
      </w:r>
      <w:r>
        <w:rPr>
          <w:rFonts w:ascii="Arial" w:cs="Arial" w:eastAsia="Arial" w:hAnsi="Arial"/>
          <w:color w:val="333333"/>
          <w:sz w:val="22"/>
          <w:szCs w:val="22"/>
        </w:rPr>
        <w:t xml:space="preserve">— the first time this topic has received its own track at a top-tier venue, signaling that the research community treats this as real, not speculative.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The Recursive Loop Is Closing</w:t>
            </w:r>
          </w:p>
          <w:p>
            <w:pPr>
              <w:spacing w:after="0"/>
            </w:pPr>
            <w:r>
              <w:rPr>
                <w:rFonts w:ascii="Arial" w:cs="Arial" w:eastAsia="Arial" w:hAnsi="Arial"/>
                <w:color w:val="333333"/>
                <w:sz w:val="22"/>
                <w:szCs w:val="22"/>
              </w:rPr>
              <w:t xml:space="preserve">America's major frontier AI labs have begun automating large fractions of their research and engineering operations. The pace of this automation will grow during the course of 2026, and within a year or two the effective workforces of each frontier lab will grow from the single-digit thousands to tens of thousands, and then hundreds of thousands. — Dean Ball, Hyperdimensional (2026)</w:t>
            </w:r>
          </w:p>
        </w:tc>
      </w:tr>
    </w:tbl>
    <w:p>
      <w:pPr>
        <w:spacing w:after="4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AI is not merely assisting AI research — it is performing it. The recursive loop has closed: AI writes AI code, AI trains AI models, AI evaluates AI output. This is the definitional mechanism of singularity.</w:t>
      </w:r>
    </w:p>
    <w:p>
      <w:r>
        <w:br w:type="page"/>
      </w:r>
    </w:p>
    <w:p>
      <w:pPr>
        <w:pStyle w:val="Heading1"/>
      </w:pPr>
      <w:r>
        <w:rPr>
          <w:rFonts w:ascii="Arial" w:cs="Arial" w:eastAsia="Arial" w:hAnsi="Arial"/>
        </w:rPr>
        <w:t xml:space="preserve">Domain 3: Scientific Discovery</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AI autonomously generates novel scientific knowledge that humans validate and use.</w:t>
      </w:r>
    </w:p>
    <w:p>
      <w:pPr>
        <w:spacing w:after="40"/>
      </w:pPr>
    </w:p>
    <w:p>
      <w:pPr>
        <w:pStyle w:val="ListParagraph"/>
        <w:numPr>
          <w:ilvl w:val="0"/>
          <w:numId w:val="2"/>
        </w:numPr>
        <w:spacing w:after="80"/>
      </w:pPr>
      <w:r>
        <w:rPr>
          <w:rFonts w:ascii="Arial" w:cs="Arial" w:eastAsia="Arial" w:hAnsi="Arial"/>
          <w:b/>
          <w:bCs/>
          <w:color w:val="333333"/>
          <w:sz w:val="22"/>
          <w:szCs w:val="22"/>
        </w:rPr>
        <w:t xml:space="preserve">2024 Nobel Prizes — both Physics and Chemistry — went to AI researchers. </w:t>
      </w:r>
      <w:r>
        <w:rPr>
          <w:rFonts w:ascii="Arial" w:cs="Arial" w:eastAsia="Arial" w:hAnsi="Arial"/>
          <w:color w:val="333333"/>
          <w:sz w:val="22"/>
          <w:szCs w:val="22"/>
        </w:rPr>
        <w:t xml:space="preserve">The Physics Nobel recognized John Hopfield and Geoffrey Hinton for foundational neural network research. The Chemistry Nobel went to Demis Hassabis, John Jumper, and David Baker for AlphaFold and computational protein design. This marked the first time AI research won Nobel recognition in two disciplines in the same year. AlphaFold predicted 200 million protein structures, used by 2 million researchers in 190 countries.</w:t>
      </w:r>
    </w:p>
    <w:p>
      <w:pPr>
        <w:pStyle w:val="ListParagraph"/>
        <w:numPr>
          <w:ilvl w:val="0"/>
          <w:numId w:val="2"/>
        </w:numPr>
        <w:spacing w:after="80"/>
      </w:pPr>
      <w:r>
        <w:rPr>
          <w:rFonts w:ascii="Arial" w:cs="Arial" w:eastAsia="Arial" w:hAnsi="Arial"/>
          <w:b/>
          <w:bCs/>
          <w:color w:val="333333"/>
          <w:sz w:val="22"/>
          <w:szCs w:val="22"/>
        </w:rPr>
        <w:t xml:space="preserve">Google AI Co-Scientist (February 2025): </w:t>
      </w:r>
      <w:r>
        <w:rPr>
          <w:rFonts w:ascii="Arial" w:cs="Arial" w:eastAsia="Arial" w:hAnsi="Arial"/>
          <w:color w:val="333333"/>
          <w:sz w:val="22"/>
          <w:szCs w:val="22"/>
        </w:rPr>
        <w:t xml:space="preserve">Multi-agent system built on Gemini 2.0 that generates hypotheses, designs experiments, and drafts research proposals. In validation, it independently discovered a bacterial gene transfer mechanism in 48 hours that had taken a human lab months.</w:t>
      </w:r>
    </w:p>
    <w:p>
      <w:pPr>
        <w:pStyle w:val="ListParagraph"/>
        <w:numPr>
          <w:ilvl w:val="0"/>
          <w:numId w:val="2"/>
        </w:numPr>
        <w:spacing w:after="80"/>
      </w:pPr>
      <w:r>
        <w:rPr>
          <w:rFonts w:ascii="Arial" w:cs="Arial" w:eastAsia="Arial" w:hAnsi="Arial"/>
          <w:b/>
          <w:bCs/>
          <w:color w:val="333333"/>
          <w:sz w:val="22"/>
          <w:szCs w:val="22"/>
        </w:rPr>
        <w:t xml:space="preserve">Boltz-2 (MIT CSAIL / Recursion, June 2025): </w:t>
      </w:r>
      <w:r>
        <w:rPr>
          <w:rFonts w:ascii="Arial" w:cs="Arial" w:eastAsia="Arial" w:hAnsi="Arial"/>
          <w:color w:val="333333"/>
          <w:sz w:val="22"/>
          <w:szCs w:val="22"/>
        </w:rPr>
        <w:t xml:space="preserve">Predicts protein structure AND drug binding affinity jointly. Runs 1,000x faster than physics-based methods. 40% improvement over AlphaFold 3 on drug discovery benchmarks (Genesis Molecular AI / NVIDIA).</w:t>
      </w:r>
    </w:p>
    <w:p>
      <w:pPr>
        <w:pStyle w:val="ListParagraph"/>
        <w:numPr>
          <w:ilvl w:val="0"/>
          <w:numId w:val="2"/>
        </w:numPr>
        <w:spacing w:after="80"/>
      </w:pPr>
      <w:r>
        <w:rPr>
          <w:rFonts w:ascii="Arial" w:cs="Arial" w:eastAsia="Arial" w:hAnsi="Arial"/>
          <w:b/>
          <w:bCs/>
          <w:color w:val="333333"/>
          <w:sz w:val="22"/>
          <w:szCs w:val="22"/>
        </w:rPr>
        <w:t xml:space="preserve">Lila Sciences </w:t>
      </w:r>
      <w:r>
        <w:rPr>
          <w:rFonts w:ascii="Arial" w:cs="Arial" w:eastAsia="Arial" w:hAnsi="Arial"/>
          <w:color w:val="333333"/>
          <w:sz w:val="22"/>
          <w:szCs w:val="22"/>
        </w:rPr>
        <w:t xml:space="preserve">has declared its mission to "build scientific superintelligence" — using AI to direct experiments in real-world labs. This is not a research paper; it is a funded startup with lab infrastructure.</w:t>
      </w:r>
    </w:p>
    <w:p>
      <w:pPr>
        <w:pStyle w:val="ListParagraph"/>
        <w:numPr>
          <w:ilvl w:val="0"/>
          <w:numId w:val="2"/>
        </w:numPr>
        <w:spacing w:after="80"/>
      </w:pPr>
      <w:r>
        <w:rPr>
          <w:rFonts w:ascii="Arial" w:cs="Arial" w:eastAsia="Arial" w:hAnsi="Arial"/>
          <w:b/>
          <w:bCs/>
          <w:color w:val="333333"/>
          <w:sz w:val="22"/>
          <w:szCs w:val="22"/>
        </w:rPr>
        <w:t xml:space="preserve">FDA-approved AI medical devices: </w:t>
      </w:r>
      <w:r>
        <w:rPr>
          <w:rFonts w:ascii="Arial" w:cs="Arial" w:eastAsia="Arial" w:hAnsi="Arial"/>
          <w:color w:val="333333"/>
          <w:sz w:val="22"/>
          <w:szCs w:val="22"/>
        </w:rPr>
        <w:t xml:space="preserve">6 in 2015 → 221 in 2023 → 950 in August 2024 (Stanford AI Index). AI is not theoretically useful in medicine — it is approved, deployed, and diagnosing patients.</w:t>
      </w:r>
    </w:p>
    <w:p>
      <w:pPr>
        <w:spacing w:after="4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AI researchers won Nobel Prizes in both Physics and Chemistry in 2024. AI has predicted 200 million protein structures, discovered novel scientific mechanisms faster than human labs, and is approved in 950 medical devices. This is not "potential" — this is validated, peer-reviewed, Nobel-recognized scientific contribution.</w:t>
      </w:r>
    </w:p>
    <w:p>
      <w:r>
        <w:br w:type="page"/>
      </w:r>
    </w:p>
    <w:p>
      <w:pPr>
        <w:pStyle w:val="Heading1"/>
      </w:pPr>
      <w:r>
        <w:rPr>
          <w:rFonts w:ascii="Arial" w:cs="Arial" w:eastAsia="Arial" w:hAnsi="Arial"/>
        </w:rPr>
        <w:t xml:space="preserve">Domain 4: Economic Inflection</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AI investment and deployment reach a scale that structurally alters capital allocation and labor markets.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business investment (2025)</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$410 billion</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BusinessWire / Fortune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Projected AI investment (2026)</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$660 billion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Deloitte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Top 5 US tech company AI capex (2026)</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~$700 billion</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Bloomberg Intelligence / company earnings reports (Q4 2025-Q1 2026)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data center capex projection (2028)</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 trillion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Deloitte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contribution to Q1 2025 GDP growth</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1.3 percentage points</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J.P. Morgan / St. Louis Fed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McKinsey: AI annual corporate profit potential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$2.6-4.4 trillion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McKinsey Global Institute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Goldman Sachs: AI GDP impact (10yr)</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 trillion</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Goldman Sachs Global Investment Research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 jobs with tasks partially performable by AI</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International Monetary Fund (Jan 2026)</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 jobs with AI-exposed task components</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93%</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Cognizant / DWU Consulting (Fortune, Mar 2026)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Labor expenses transferable to AI</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$4.5 trillion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DWU Consulting analysis of Cognizant data (Fortune, Mar 2026)</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Waymo autonomous rides per week</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150,000+</w:t>
            </w:r>
          </w:p>
        </w:tc>
        <w:tc>
          <w:tcPr>
            <w:tcW w:type="dxa" w:w="3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Stanford AI Index 2025</w:t>
            </w:r>
          </w:p>
        </w:tc>
      </w:tr>
    </w:tbl>
    <w:p>
      <w:pPr>
        <w:spacing w:after="60"/>
      </w:pPr>
    </w:p>
    <w:p>
      <w:pPr>
        <w:spacing w:after="120"/>
      </w:pPr>
      <w:r>
        <w:rPr>
          <w:rFonts w:ascii="Arial" w:cs="Arial" w:eastAsia="Arial" w:hAnsi="Arial"/>
          <w:b/>
          <w:bCs/>
          <w:color w:val="333333"/>
          <w:sz w:val="22"/>
          <w:szCs w:val="22"/>
        </w:rPr>
        <w:t xml:space="preserve">The critical signal: </w:t>
      </w:r>
      <w:r>
        <w:rPr>
          <w:rFonts w:ascii="Arial" w:cs="Arial" w:eastAsia="Arial" w:hAnsi="Arial"/>
          <w:color w:val="333333"/>
          <w:sz w:val="22"/>
          <w:szCs w:val="22"/>
        </w:rPr>
        <w:t xml:space="preserve">When the five largest companies on Earth collectively redirect $700 billion in a single year toward a single technology, that is not experimentation. That is a structural reallocation of the global economy. The last time capital moved at this scale and speed toward a single category was electrification.</w:t>
      </w:r>
    </w:p>
    <w:p>
      <w:pPr>
        <w:spacing w:after="2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$660B in 2026 investment, $7T projected GDP impact, 60% of advanced-economy jobs AI-exposed (IMF), 150,000 autonomous rides per week. The economic system has reorganized around AI. This is irreversible.</w:t>
      </w:r>
    </w:p>
    <w:p>
      <w:r>
        <w:br w:type="page"/>
      </w:r>
    </w:p>
    <w:p>
      <w:pPr>
        <w:pStyle w:val="Heading1"/>
      </w:pPr>
      <w:r>
        <w:rPr>
          <w:rFonts w:ascii="Arial" w:cs="Arial" w:eastAsia="Arial" w:hAnsi="Arial"/>
        </w:rPr>
        <w:t xml:space="preserve">Domain 5: Autonomous Agency</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AI systems execute multi-step, real-world tasks without human intervention at commercially viable quality.</w:t>
      </w:r>
    </w:p>
    <w:p>
      <w:pPr>
        <w:spacing w:after="40"/>
      </w:pPr>
    </w:p>
    <w:p>
      <w:pPr>
        <w:pStyle w:val="ListParagraph"/>
        <w:numPr>
          <w:ilvl w:val="0"/>
          <w:numId w:val="2"/>
        </w:numPr>
        <w:spacing w:after="80"/>
      </w:pPr>
      <w:r>
        <w:rPr>
          <w:rFonts w:ascii="Arial" w:cs="Arial" w:eastAsia="Arial" w:hAnsi="Arial"/>
          <w:b/>
          <w:bCs/>
          <w:color w:val="333333"/>
          <w:sz w:val="22"/>
          <w:szCs w:val="22"/>
        </w:rPr>
        <w:t xml:space="preserve">Devin 2.0 (Cognition Labs, April 2025): </w:t>
      </w:r>
      <w:r>
        <w:rPr>
          <w:rFonts w:ascii="Arial" w:cs="Arial" w:eastAsia="Arial" w:hAnsi="Arial"/>
          <w:color w:val="333333"/>
          <w:sz w:val="22"/>
          <w:szCs w:val="22"/>
        </w:rPr>
        <w:t xml:space="preserve">Autonomous software engineer. Plans, writes, tests, and submits pull requests without intervention. 83% more tasks per unit vs. Devin 1.x. SWE-bench (original): 13.86% of real GitHub issues resolved end-to-end (7x improvement over prior models). On the separate SWE-bench Verified benchmark, top agents now exceed 80%.</w:t>
      </w:r>
    </w:p>
    <w:p>
      <w:pPr>
        <w:pStyle w:val="ListParagraph"/>
        <w:numPr>
          <w:ilvl w:val="0"/>
          <w:numId w:val="2"/>
        </w:numPr>
        <w:spacing w:after="80"/>
      </w:pPr>
      <w:r>
        <w:rPr>
          <w:rFonts w:ascii="Arial" w:cs="Arial" w:eastAsia="Arial" w:hAnsi="Arial"/>
          <w:b/>
          <w:bCs/>
          <w:color w:val="333333"/>
          <w:sz w:val="22"/>
          <w:szCs w:val="22"/>
        </w:rPr>
        <w:t xml:space="preserve">Waymo: </w:t>
      </w:r>
      <w:r>
        <w:rPr>
          <w:rFonts w:ascii="Arial" w:cs="Arial" w:eastAsia="Arial" w:hAnsi="Arial"/>
          <w:color w:val="333333"/>
          <w:sz w:val="22"/>
          <w:szCs w:val="22"/>
        </w:rPr>
        <w:t xml:space="preserve">150,000+ fully autonomous rides per week across multiple US cities. No safety driver. Commercial passengers paying fares. This is not a demo — it is a transportation service.</w:t>
      </w:r>
    </w:p>
    <w:p>
      <w:pPr>
        <w:pStyle w:val="ListParagraph"/>
        <w:numPr>
          <w:ilvl w:val="0"/>
          <w:numId w:val="2"/>
        </w:numPr>
        <w:spacing w:after="80"/>
      </w:pPr>
      <w:r>
        <w:rPr>
          <w:rFonts w:ascii="Arial" w:cs="Arial" w:eastAsia="Arial" w:hAnsi="Arial"/>
          <w:b/>
          <w:bCs/>
          <w:color w:val="333333"/>
          <w:sz w:val="22"/>
          <w:szCs w:val="22"/>
        </w:rPr>
        <w:t xml:space="preserve">AI SDR agents (Lucia, Artisan Ava, 11x Alice): </w:t>
      </w:r>
      <w:r>
        <w:rPr>
          <w:rFonts w:ascii="Arial" w:cs="Arial" w:eastAsia="Arial" w:hAnsi="Arial"/>
          <w:color w:val="333333"/>
          <w:sz w:val="22"/>
          <w:szCs w:val="22"/>
        </w:rPr>
        <w:t xml:space="preserve">Autonomously prospect, call, qualify, and book meetings. Meeting efficiency improvements from 20-22% to 70% (WorkEasy/Lucia). Industry benchmarks show 3-5x meeting volume at 40-60% lower cost.</w:t>
      </w:r>
    </w:p>
    <w:p>
      <w:pPr>
        <w:pStyle w:val="ListParagraph"/>
        <w:numPr>
          <w:ilvl w:val="0"/>
          <w:numId w:val="2"/>
        </w:numPr>
        <w:spacing w:after="80"/>
      </w:pPr>
      <w:r>
        <w:rPr>
          <w:rFonts w:ascii="Arial" w:cs="Arial" w:eastAsia="Arial" w:hAnsi="Arial"/>
          <w:b/>
          <w:bCs/>
          <w:color w:val="333333"/>
          <w:sz w:val="22"/>
          <w:szCs w:val="22"/>
        </w:rPr>
        <w:t xml:space="preserve">Claude Code / Cursor / Windsurf / Augment: </w:t>
      </w:r>
      <w:r>
        <w:rPr>
          <w:rFonts w:ascii="Arial" w:cs="Arial" w:eastAsia="Arial" w:hAnsi="Arial"/>
          <w:color w:val="333333"/>
          <w:sz w:val="22"/>
          <w:szCs w:val="22"/>
        </w:rPr>
        <w:t xml:space="preserve">An entire category of autonomous coding agents emerged in 2025. Agent scaffolding now matters as much as the underlying model — three frameworks running identical models scored 17 issues apart on 731 problems (February 2026 SWE-bench test).</w:t>
      </w:r>
    </w:p>
    <w:p>
      <w:pPr>
        <w:pStyle w:val="ListParagraph"/>
        <w:numPr>
          <w:ilvl w:val="0"/>
          <w:numId w:val="2"/>
        </w:numPr>
        <w:spacing w:after="80"/>
      </w:pPr>
      <w:r>
        <w:rPr>
          <w:rFonts w:ascii="Arial" w:cs="Arial" w:eastAsia="Arial" w:hAnsi="Arial"/>
          <w:b/>
          <w:bCs/>
          <w:color w:val="333333"/>
          <w:sz w:val="22"/>
          <w:szCs w:val="22"/>
        </w:rPr>
        <w:t xml:space="preserve">Facilio Atom: </w:t>
      </w:r>
      <w:r>
        <w:rPr>
          <w:rFonts w:ascii="Arial" w:cs="Arial" w:eastAsia="Arial" w:hAnsi="Arial"/>
          <w:color w:val="333333"/>
          <w:sz w:val="22"/>
          <w:szCs w:val="22"/>
        </w:rPr>
        <w:t xml:space="preserve">Autonomous AI agents making real facility management decisions without human oversight in live UAE building deployments. AI is now operating physical infrastructure.</w:t>
      </w:r>
    </w:p>
    <w:p>
      <w:pPr>
        <w:spacing w:after="4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AI agents autonomously write software, drive vehicles, operate buildings, conduct sales calls, and discover drugs. These are not research prototypes. They are deployed, commercial, revenue-generating systems operating in the real world today.</w:t>
      </w:r>
    </w:p>
    <w:p>
      <w:r>
        <w:br w:type="page"/>
      </w:r>
    </w:p>
    <w:p>
      <w:pPr>
        <w:pStyle w:val="Heading1"/>
      </w:pPr>
      <w:r>
        <w:rPr>
          <w:rFonts w:ascii="Arial" w:cs="Arial" w:eastAsia="Arial" w:hAnsi="Arial"/>
        </w:rPr>
        <w:t xml:space="preserve">Domain 6: Capability Acceleration</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The rate of AI capability improvement is itself accelerating, not decelerating.</w:t>
      </w:r>
    </w:p>
    <w:p>
      <w:pPr>
        <w:spacing w:after="40"/>
      </w:pPr>
    </w:p>
    <w:p>
      <w:pPr>
        <w:pStyle w:val="Heading2"/>
      </w:pPr>
      <w:r>
        <w:rPr>
          <w:rFonts w:ascii="Arial" w:cs="Arial" w:eastAsia="Arial" w:hAnsi="Arial"/>
        </w:rPr>
        <w:t xml:space="preserve">The Numbers</w:t>
      </w:r>
    </w:p>
    <w:p>
      <w:pPr>
        <w:spacing w:after="20"/>
      </w:pPr>
    </w:p>
    <w:p>
      <w:pPr>
        <w:pStyle w:val="ListParagraph"/>
        <w:numPr>
          <w:ilvl w:val="0"/>
          <w:numId w:val="2"/>
        </w:numPr>
        <w:spacing w:after="80"/>
      </w:pPr>
      <w:r>
        <w:rPr>
          <w:rFonts w:ascii="Arial" w:cs="Arial" w:eastAsia="Arial" w:hAnsi="Arial"/>
          <w:b/>
          <w:bCs/>
          <w:color w:val="333333"/>
          <w:sz w:val="22"/>
          <w:szCs w:val="22"/>
        </w:rPr>
        <w:t xml:space="preserve">Training compute doubling time: </w:t>
      </w:r>
      <w:r>
        <w:rPr>
          <w:rFonts w:ascii="Arial" w:cs="Arial" w:eastAsia="Arial" w:hAnsi="Arial"/>
          <w:color w:val="333333"/>
          <w:sz w:val="22"/>
          <w:szCs w:val="22"/>
        </w:rPr>
        <w:t xml:space="preserve">~6 months (deep learning era), recently ~8 months for the largest models. This is 4-6x faster than Moore's Law.</w:t>
      </w:r>
    </w:p>
    <w:p>
      <w:pPr>
        <w:pStyle w:val="ListParagraph"/>
        <w:numPr>
          <w:ilvl w:val="0"/>
          <w:numId w:val="2"/>
        </w:numPr>
        <w:spacing w:after="80"/>
      </w:pPr>
      <w:r>
        <w:rPr>
          <w:rFonts w:ascii="Arial" w:cs="Arial" w:eastAsia="Arial" w:hAnsi="Arial"/>
          <w:b/>
          <w:bCs/>
          <w:color w:val="333333"/>
          <w:sz w:val="22"/>
          <w:szCs w:val="22"/>
        </w:rPr>
        <w:t xml:space="preserve">Capability density doubling time: 3.5 months. </w:t>
      </w:r>
      <w:r>
        <w:rPr>
          <w:rFonts w:ascii="Arial" w:cs="Arial" w:eastAsia="Arial" w:hAnsi="Arial"/>
          <w:color w:val="333333"/>
          <w:sz w:val="22"/>
          <w:szCs w:val="22"/>
        </w:rPr>
        <w:t xml:space="preserve">Equivalent benchmark performance achievable with exponentially fewer parameters over time (Xiao et al., "Densing Law of LLMs," Nature Machine Intelligence, 2025). This means the same benchmark performance requires half the compute every quarter.</w:t>
      </w:r>
    </w:p>
    <w:p>
      <w:pPr>
        <w:pStyle w:val="ListParagraph"/>
        <w:numPr>
          <w:ilvl w:val="0"/>
          <w:numId w:val="2"/>
        </w:numPr>
        <w:spacing w:after="80"/>
      </w:pPr>
      <w:r>
        <w:rPr>
          <w:rFonts w:ascii="Arial" w:cs="Arial" w:eastAsia="Arial" w:hAnsi="Arial"/>
          <w:b/>
          <w:bCs/>
          <w:color w:val="333333"/>
          <w:sz w:val="22"/>
          <w:szCs w:val="22"/>
        </w:rPr>
        <w:t xml:space="preserve">Cost of equivalent performance: </w:t>
      </w:r>
      <w:r>
        <w:rPr>
          <w:rFonts w:ascii="Arial" w:cs="Arial" w:eastAsia="Arial" w:hAnsi="Arial"/>
          <w:color w:val="333333"/>
          <w:sz w:val="22"/>
          <w:szCs w:val="22"/>
        </w:rPr>
        <w:t xml:space="preserve">GPT-3.5 equivalent dropped from $20/M tokens to $0.07/M tokens in 18 months — a 280x reduction (Stanford AI Index).</w:t>
      </w:r>
    </w:p>
    <w:p>
      <w:pPr>
        <w:pStyle w:val="ListParagraph"/>
        <w:numPr>
          <w:ilvl w:val="0"/>
          <w:numId w:val="2"/>
        </w:numPr>
        <w:spacing w:after="80"/>
      </w:pPr>
      <w:r>
        <w:rPr>
          <w:rFonts w:ascii="Arial" w:cs="Arial" w:eastAsia="Arial" w:hAnsi="Arial"/>
          <w:b/>
          <w:bCs/>
          <w:color w:val="333333"/>
          <w:sz w:val="22"/>
          <w:szCs w:val="22"/>
        </w:rPr>
        <w:t xml:space="preserve">Parameter efficiency: </w:t>
      </w:r>
      <w:r>
        <w:rPr>
          <w:rFonts w:ascii="Arial" w:cs="Arial" w:eastAsia="Arial" w:hAnsi="Arial"/>
          <w:color w:val="333333"/>
          <w:sz w:val="22"/>
          <w:szCs w:val="22"/>
        </w:rPr>
        <w:t xml:space="preserve">142x reduction in model size for equivalent MMLU performance in 2 years (540B → 3.8B parameters).</w:t>
      </w:r>
    </w:p>
    <w:p>
      <w:pPr>
        <w:pStyle w:val="ListParagraph"/>
        <w:numPr>
          <w:ilvl w:val="0"/>
          <w:numId w:val="2"/>
        </w:numPr>
        <w:spacing w:after="80"/>
      </w:pPr>
      <w:r>
        <w:rPr>
          <w:rFonts w:ascii="Arial" w:cs="Arial" w:eastAsia="Arial" w:hAnsi="Arial"/>
          <w:b/>
          <w:bCs/>
          <w:color w:val="333333"/>
          <w:sz w:val="22"/>
          <w:szCs w:val="22"/>
        </w:rPr>
        <w:t xml:space="preserve">Notable models above 10^26 FLOP: </w:t>
      </w:r>
      <w:r>
        <w:rPr>
          <w:rFonts w:ascii="Arial" w:cs="Arial" w:eastAsia="Arial" w:hAnsi="Arial"/>
          <w:color w:val="333333"/>
          <w:sz w:val="22"/>
          <w:szCs w:val="22"/>
        </w:rPr>
        <w:t xml:space="preserve">10 by 2026 → projected 80 by 2028 → 200+ by 2030 (Epoch AI).</w:t>
      </w:r>
    </w:p>
    <w:p>
      <w:pPr>
        <w:pStyle w:val="ListParagraph"/>
        <w:numPr>
          <w:ilvl w:val="0"/>
          <w:numId w:val="2"/>
        </w:numPr>
        <w:spacing w:after="80"/>
      </w:pPr>
      <w:r>
        <w:rPr>
          <w:rFonts w:ascii="Arial" w:cs="Arial" w:eastAsia="Arial" w:hAnsi="Arial"/>
          <w:b/>
          <w:bCs/>
          <w:color w:val="333333"/>
          <w:sz w:val="22"/>
          <w:szCs w:val="22"/>
        </w:rPr>
        <w:t xml:space="preserve">Benchmark trajectory: </w:t>
      </w:r>
      <w:r>
        <w:rPr>
          <w:rFonts w:ascii="Arial" w:cs="Arial" w:eastAsia="Arial" w:hAnsi="Arial"/>
          <w:color w:val="333333"/>
          <w:sz w:val="22"/>
          <w:szCs w:val="22"/>
        </w:rPr>
        <w:t xml:space="preserve">GPQA improved 48.9 percentage points in one year. SWE-bench improved from 4.4% to 71.7% in one year. Benchmarks are saturating faster than they can be created.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The Acceleration Paradox</w:t>
            </w:r>
          </w:p>
          <w:p>
            <w:pPr>
              <w:spacing w:after="0"/>
            </w:pPr>
            <w:r>
              <w:rPr>
                <w:rFonts w:ascii="Arial" w:cs="Arial" w:eastAsia="Arial" w:hAnsi="Arial"/>
                <w:color w:val="333333"/>
                <w:sz w:val="22"/>
                <w:szCs w:val="22"/>
              </w:rPr>
              <w:t xml:space="preserve">If capabilities were plateauing, we would see lengthening intervals between benchmark records, stabilizing compute requirements, and increasing marginal cost per capability point. We observe the opposite on all three metrics. The system is not approaching an asymptote — it is still in the exponential phase.</w:t>
            </w:r>
          </w:p>
        </w:tc>
      </w:tr>
    </w:tbl>
    <w:p>
      <w:pPr>
        <w:spacing w:after="4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HIGH). Cost down 280x, parameter efficiency up 142x, capability density doubling every 3.5 months, benchmarks saturating annually. The rate of improvement is accelerating on every measurable axis.</w:t>
      </w:r>
    </w:p>
    <w:p>
      <w:r>
        <w:br w:type="page"/>
      </w:r>
    </w:p>
    <w:p>
      <w:pPr>
        <w:pStyle w:val="Heading1"/>
      </w:pPr>
      <w:r>
        <w:rPr>
          <w:rFonts w:ascii="Arial" w:cs="Arial" w:eastAsia="Arial" w:hAnsi="Arial"/>
        </w:rPr>
        <w:t xml:space="preserve">Domain 7: Expert Consensus Shift</w:t>
      </w:r>
    </w:p>
    <w:p>
      <w:pPr>
        <w:spacing w:after="20"/>
      </w:pPr>
    </w:p>
    <w:p>
      <w:pPr>
        <w:spacing w:after="120"/>
      </w:pPr>
      <w:r>
        <w:rPr>
          <w:rFonts w:ascii="Arial" w:cs="Arial" w:eastAsia="Arial" w:hAnsi="Arial"/>
          <w:b/>
          <w:bCs/>
          <w:color w:val="333333"/>
          <w:sz w:val="22"/>
          <w:szCs w:val="22"/>
        </w:rPr>
        <w:t xml:space="preserve">Threshold: </w:t>
      </w:r>
      <w:r>
        <w:rPr>
          <w:rFonts w:ascii="Arial" w:cs="Arial" w:eastAsia="Arial" w:hAnsi="Arial"/>
          <w:color w:val="333333"/>
          <w:sz w:val="22"/>
          <w:szCs w:val="22"/>
        </w:rPr>
        <w:t xml:space="preserve">The informed expert community has materially revised its timelines toward the present.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AGI/Singularity ETA</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Pre-2020 consensus (surveys)</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2060-2100</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Baseline expectation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2023 survey of 2,778 AI researchers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50% probability by 2040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15-17 year window</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Synthesis of 9,800+ predictions</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Clustering around 2040-2045</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Shift from 2060-2100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Ray Kurzweil (original)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2045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The Singularity Is Near (2005)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Ray Kurzweil (revised, 2024)</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2032</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The Singularity Is Nearer (2024). 13-year acceleration of own timeline.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AI Frontiers (Khoja &amp; Hiscott)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50% by 2028, 80% by 2030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Research-based estimate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Sam Altman (OpenAI CEO)</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By 2035</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Industry leader estimate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Elon Musk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2026</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Most aggressive mainstream estimate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Masayoshi Son (SoftBank)</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2027-2028</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February 2025 prediction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August 2025 AGI report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50% probability: 2026-2028</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Based on milestone tracking</w:t>
            </w:r>
          </w:p>
        </w:tc>
      </w:tr>
    </w:tbl>
    <w:p>
      <w:pPr>
        <w:spacing w:after="60"/>
      </w:pPr>
    </w:p>
    <w:p>
      <w:pPr>
        <w:spacing w:after="120"/>
      </w:pPr>
      <w:r>
        <w:rPr>
          <w:rFonts w:ascii="Arial" w:cs="Arial" w:eastAsia="Arial" w:hAnsi="Arial"/>
          <w:b/>
          <w:bCs/>
          <w:color w:val="333333"/>
          <w:sz w:val="22"/>
          <w:szCs w:val="22"/>
        </w:rPr>
        <w:t xml:space="preserve">The direction of revision is unanimous: </w:t>
      </w:r>
      <w:r>
        <w:rPr>
          <w:rFonts w:ascii="Arial" w:cs="Arial" w:eastAsia="Arial" w:hAnsi="Arial"/>
          <w:color w:val="333333"/>
          <w:sz w:val="22"/>
          <w:szCs w:val="22"/>
        </w:rPr>
        <w:t xml:space="preserve">Every major prediction source — academic surveys, individual researchers, industry leaders, and synthesis analyses — has moved its estimate closer to the present. The median estimate moved from 2060-2100 to 2032-2040 in less than five years. No major prediction source has moved its estimate further into the future.</w:t>
      </w:r>
    </w:p>
    <w:p>
      <w:pPr>
        <w:spacing w:after="20"/>
      </w:pPr>
    </w:p>
    <w:p>
      <w:pPr>
        <w:spacing w:after="120"/>
      </w:pPr>
      <w:r>
        <w:rPr>
          <w:rFonts w:ascii="Arial" w:cs="Arial" w:eastAsia="Arial" w:hAnsi="Arial"/>
          <w:b/>
          <w:bCs/>
          <w:color w:val="27AE60"/>
          <w:sz w:val="22"/>
          <w:szCs w:val="22"/>
        </w:rPr>
        <w:t xml:space="preserve">Verdict: </w:t>
      </w:r>
      <w:r>
        <w:rPr>
          <w:rFonts w:ascii="Arial" w:cs="Arial" w:eastAsia="Arial" w:hAnsi="Arial"/>
          <w:color w:val="333333"/>
          <w:sz w:val="22"/>
          <w:szCs w:val="22"/>
        </w:rPr>
        <w:t xml:space="preserve">THRESHOLD MET (Confidence: MODERATE — survey medians still say 2040, but direction is unanimous). The expert community has compressed its AGI timeline by 20-40 years in a single cycle. When the people building these systems revise their timelines by decades, that is signal, not noise.</w:t>
      </w:r>
    </w:p>
    <w:p>
      <w:r>
        <w:br w:type="page"/>
      </w:r>
    </w:p>
    <w:p>
      <w:pPr>
        <w:pStyle w:val="Heading1"/>
      </w:pPr>
      <w:r>
        <w:rPr>
          <w:rFonts w:ascii="Arial" w:cs="Arial" w:eastAsia="Arial" w:hAnsi="Arial"/>
        </w:rPr>
        <w:t xml:space="preserve">Addressing the Counterarguments</w:t>
      </w:r>
    </w:p>
    <w:p>
      <w:pPr>
        <w:spacing w:after="20"/>
      </w:pPr>
    </w:p>
    <w:p>
      <w:pPr>
        <w:spacing w:after="120"/>
      </w:pPr>
      <w:r>
        <w:rPr>
          <w:rFonts w:ascii="Arial" w:cs="Arial" w:eastAsia="Arial" w:hAnsi="Arial"/>
          <w:b w:val="false"/>
          <w:bCs w:val="false"/>
          <w:i w:val="false"/>
          <w:iCs w:val="false"/>
          <w:color w:val="333333"/>
          <w:sz w:val="22"/>
          <w:szCs w:val="22"/>
        </w:rPr>
        <w:t xml:space="preserve">A defensible argument anticipates and engages with its strongest critics. We have published a full adversarial prosecution of this thesis (see "The Evidence Package," Part I), argued with equal rigor. Here we address the eight most serious counterarguments:</w:t>
      </w:r>
    </w:p>
    <w:p>
      <w:pPr>
        <w:spacing w:after="20"/>
      </w:pPr>
    </w:p>
    <w:p>
      <w:pPr>
        <w:pStyle w:val="Heading2"/>
      </w:pPr>
      <w:r>
        <w:rPr>
          <w:rFonts w:ascii="Arial" w:cs="Arial" w:eastAsia="Arial" w:hAnsi="Arial"/>
        </w:rPr>
        <w:t xml:space="preserve">1. "You defined singularity down to guarantee victory."</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The operational definition — benchmark parity, self-improvement, irreversibility — is not what Vinge, Kurzweil, or I.J. Good meant. The original singularity hypothesis described a recursive intelligence explosion, not "good AI benchmarks." By switching definitions, the thesis can claim victory while the actual singularity remains decades away.</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The canonical definition (recursive superintelligence) is unfalsifiable — no observation could ever confirm AI is "truly" superintelligent, since the goalpost can always move. Our operational definition is more conservative, not less: it requires convergent evidence across seven independent domains and specifies falsification conditions. Clinging to the canonical definition is itself a motte-and-bailey: when pressed on what AI can do today, defenders of "no singularity" retreat to "but it's not conscious" — a standard that could never be met, even by a genuine superintelligence.</w:t>
      </w:r>
    </w:p>
    <w:p>
      <w:pPr>
        <w:spacing w:after="20"/>
      </w:pPr>
    </w:p>
    <w:p>
      <w:pPr>
        <w:pStyle w:val="Heading2"/>
      </w:pPr>
      <w:r>
        <w:rPr>
          <w:rFonts w:ascii="Arial" w:cs="Arial" w:eastAsia="Arial" w:hAnsi="Arial"/>
        </w:rPr>
        <w:t xml:space="preserve">2. "Your own data refutes the thesis."</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The quantitative companion paper's own analysis shows 5 of 7 domains fit logistic S-curves, not exponentials. Fisher's combined test yields p = 0.252 — failing to reject deceleration. If acceleration supports the thesis and deceleration also supports the thesis, then nothing could refute it. That is rhetoric, not science.</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This is a serious objection and we address it directly: we do not claim unbounded acceleration. We claim a phase transition has occurred. Logistic S-curves are the mathematical signature of phase transitions in every physical system — water boiling, magnetic phase transitions, population ecology. Rapid change through the transition, then stabilization in the new state. The falsification condition is specified: if benchmark capabilities regress, if cost efficiency flattens, if the economic integration reverses, the thesis fails. Those conditions have not been met.</w:t>
      </w:r>
    </w:p>
    <w:p>
      <w:pPr>
        <w:spacing w:after="20"/>
      </w:pPr>
    </w:p>
    <w:p>
      <w:pPr>
        <w:pStyle w:val="Heading2"/>
      </w:pPr>
      <w:r>
        <w:rPr>
          <w:rFonts w:ascii="Arial" w:cs="Arial" w:eastAsia="Arial" w:hAnsi="Arial"/>
        </w:rPr>
        <w:t xml:space="preserve">3. "Benchmarks are not intelligence."</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Benchmark performance measures pattern matching, not true understanding. AI lacks consciousness, intentionality, and genuine comprehension. Benchmarks are also gameable — saturation may reflect test contamination more than cognitive achievement.</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Correct that benchmarks are not intelligence — and irrelevant, because we never claimed they were. Our definition is operational, not metaphysical. The 2024 Nobel Committee did not ask whether AlphaFold "understands" protein folding. It asked whether the outputs were scientifically valid. They were. On contamination: ARC-AGI-2 was specifically designed to be unseen and contamination-resistant. AI went from 0% to 69% in 14 months on a benchmark designed to prevent gaming.</w:t>
      </w:r>
    </w:p>
    <w:p>
      <w:pPr>
        <w:spacing w:after="20"/>
      </w:pPr>
    </w:p>
    <w:p>
      <w:pPr>
        <w:pStyle w:val="Heading2"/>
      </w:pPr>
      <w:r>
        <w:rPr>
          <w:rFonts w:ascii="Arial" w:cs="Arial" w:eastAsia="Arial" w:hAnsi="Arial"/>
        </w:rPr>
        <w:t xml:space="preserve">4. "Diminishing returns are real."</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Scaling laws are hitting walls. Data sources are exhausted. Pre-training scaling is producing diminishing returns.</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Partially valid — for pre-training compute alone. But the field has already pivoted. Capability density doubles every 3.5 months through efficiency gains, not brute-force scaling. The 142x parameter reduction for equivalent MMLU performance demonstrates that the improvement vector has shifted from "more compute" to "smarter compute." The S-curve objection applies to one dimension of a multi-dimensional improvement space.</w:t>
      </w:r>
    </w:p>
    <w:p>
      <w:pPr>
        <w:spacing w:after="20"/>
      </w:pPr>
    </w:p>
    <w:p>
      <w:pPr>
        <w:pStyle w:val="Heading2"/>
      </w:pPr>
      <w:r>
        <w:rPr>
          <w:rFonts w:ascii="Arial" w:cs="Arial" w:eastAsia="Arial" w:hAnsi="Arial"/>
        </w:rPr>
        <w:t xml:space="preserve">5. "GDP impact is negligible so far."</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Goldman Sachs found AI contributed "basically zero" to economic growth in 2025. 95% of corporate AI projects produce zero return (MIT, 2025).</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This is the J-curve that Brynjolfsson (Stanford/MIT) predicted. Electrification took 30 years to show up in productivity statistics. The internet took 15: US internet investment was ~$30B in 1996, yet measurable productivity gains did not appear until 1999-2003 (BLS Multifactor Productivity data). AI investment in 2025-2026 ($410B-$660B) is infrastructure build-out — the returns come when that infrastructure is utilized, not when it is installed. The Goldman finding is not evidence against singularity; it is evidence of the pre-deployment investment phase.</w:t>
      </w:r>
    </w:p>
    <w:p>
      <w:pPr>
        <w:spacing w:after="20"/>
      </w:pPr>
    </w:p>
    <w:p>
      <w:pPr>
        <w:pStyle w:val="Heading2"/>
      </w:pPr>
      <w:r>
        <w:rPr>
          <w:rFonts w:ascii="Arial" w:cs="Arial" w:eastAsia="Arial" w:hAnsi="Arial"/>
        </w:rPr>
        <w:t xml:space="preserve">6. "Expert surveys still say 2040."</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The median expert prediction is 2040, not 2026. Most researchers do not believe singularity is imminent.</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The direction of revision matters more than the current median. Every major survey has moved its estimate closer to the present. The median moved from 2060-2100 to 2040 in five years. If the rate of timeline compression continues, the 2040 median will be a 2030 median by 2028. More importantly: the median lags reality. The 2023 survey predicted 2040 — but AlphaFold won a Nobel Prize in 2024, AI reached IMO gold medal level in 2025, and 70-90% of frontier AI code is now written by AI. The experts' 2040 predictions were made before these events.</w:t>
      </w:r>
    </w:p>
    <w:p>
      <w:pPr>
        <w:spacing w:after="20"/>
      </w:pPr>
    </w:p>
    <w:p>
      <w:pPr>
        <w:pStyle w:val="Heading2"/>
      </w:pPr>
      <w:r>
        <w:rPr>
          <w:rFonts w:ascii="Arial" w:cs="Arial" w:eastAsia="Arial" w:hAnsi="Arial"/>
        </w:rPr>
        <w:t xml:space="preserve">7. "AI cannot reason or create."</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Yann LeCun argues current architectures will never reach human-level intelligence. AI lacks the ability to generate new questions and theories.</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LeCun's objection is about architecture limitations, not current capability levels. It is an argument about ceilings, not current positions. But consider: Google's AI Co-Scientist independently hypothesized a bacterial gene transfer mechanism in 48 hours. AlphaEvolve discovers novel algorithms. The Gemini deep think mode solved 5 of 6 IMO problems — requiring genuine mathematical reasoning, not pattern matching. Whether this constitutes "true" reasoning is a philosophical question. Whether it produces novel, validated, useful outputs is an empirical one. It does.</w:t>
      </w:r>
    </w:p>
    <w:p>
      <w:pPr>
        <w:spacing w:after="20"/>
      </w:pPr>
    </w:p>
    <w:p>
      <w:pPr>
        <w:pStyle w:val="Heading2"/>
      </w:pPr>
      <w:r>
        <w:rPr>
          <w:rFonts w:ascii="Arial" w:cs="Arial" w:eastAsia="Arial" w:hAnsi="Arial"/>
        </w:rPr>
        <w:t xml:space="preserve">8. "Singularity requires superintelligence, not tool improvement."</w:t>
      </w:r>
    </w:p>
    <w:p>
      <w:pPr>
        <w:spacing w:after="120"/>
      </w:pPr>
      <w:r>
        <w:rPr>
          <w:rFonts w:ascii="Arial" w:cs="Arial" w:eastAsia="Arial" w:hAnsi="Arial"/>
          <w:b/>
          <w:bCs/>
          <w:color w:val="333333"/>
          <w:sz w:val="22"/>
          <w:szCs w:val="22"/>
        </w:rPr>
        <w:t xml:space="preserve">The objection: </w:t>
      </w:r>
      <w:r>
        <w:rPr>
          <w:rFonts w:ascii="Arial" w:cs="Arial" w:eastAsia="Arial" w:hAnsi="Arial"/>
          <w:color w:val="333333"/>
          <w:sz w:val="22"/>
          <w:szCs w:val="22"/>
        </w:rPr>
        <w:t xml:space="preserve">What we are seeing is impressive tool improvement, not a phase transition. The singularity requires AI that fundamentally transcends human capability, not AI that automates human tasks faster.</w:t>
      </w:r>
    </w:p>
    <w:p>
      <w:pPr>
        <w:spacing w:after="120"/>
      </w:pPr>
      <w:r>
        <w:rPr>
          <w:rFonts w:ascii="Arial" w:cs="Arial" w:eastAsia="Arial" w:hAnsi="Arial"/>
          <w:b/>
          <w:bCs/>
          <w:color w:val="333333"/>
          <w:sz w:val="22"/>
          <w:szCs w:val="22"/>
        </w:rPr>
        <w:t xml:space="preserve">Our response: </w:t>
      </w:r>
      <w:r>
        <w:rPr>
          <w:rFonts w:ascii="Arial" w:cs="Arial" w:eastAsia="Arial" w:hAnsi="Arial"/>
          <w:color w:val="333333"/>
          <w:sz w:val="22"/>
          <w:szCs w:val="22"/>
        </w:rPr>
        <w:t xml:space="preserve">This is the strongest objection and deserves the most careful answer. We offer two responses. First: our operational definition does not require superintelligence. It requires a self-reinforcing cycle of capability improvement that exceeds human capacity to direct. That cycle is demonstrably operating (Domain 2). Second: the distinction between "better tools" and "phase transition" dissolves at sufficient scale. When 70-90% of AI code is written by AI, when AI discovers novel science faster than human labs, when AI agents operate physical infrastructure without human oversight — the tools have become actors. The question of whether they are "truly intelligent" is irrelevant to whether the system they create is singular.</w:t>
      </w:r>
    </w:p>
    <w:p>
      <w:r>
        <w:br w:type="page"/>
      </w:r>
    </w:p>
    <w:p>
      <w:pPr>
        <w:pStyle w:val="Heading1"/>
      </w:pPr>
      <w:r>
        <w:rPr>
          <w:rFonts w:ascii="Arial" w:cs="Arial" w:eastAsia="Arial" w:hAnsi="Arial"/>
        </w:rPr>
        <w:t xml:space="preserve">Synthesis: The Scorecard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5360"/>
        <w:gridCol w:w="1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Evidence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 Cognitive Parity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6/7 benchmarks at or above human expert. ARC-AGI-2: 0% → 77% in months.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 Recursive Self-Improvement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70-90% of Anthropic code written by AI. AlphaEvolve. ICLR 2026 workshop.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 Scientific Discovery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 Nobel Prizes (Physics + Chemistry). 200M protein structures. 950 FDA devices.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 Economic Inflection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$660B investment (2026). $7T GDP impact projection. 60% job exposure (IMF).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 Autonomous Agency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Waymo 150K rides/week. Devin. Coding agents. Facilio Atom.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 Capability Acceleration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280x cost reduction. 142x efficiency gain. 3.5-month density doubling.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 Expert Consensus Shift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MET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Timeline compressed 20-40 years in one cycle. Unanimous direction.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The Convergent Conclusion</w:t>
            </w:r>
          </w:p>
          <w:p>
            <w:pPr>
              <w:spacing w:after="0"/>
            </w:pPr>
            <w:r>
              <w:rPr>
                <w:rFonts w:ascii="Arial" w:cs="Arial" w:eastAsia="Arial" w:hAnsi="Arial"/>
                <w:color w:val="333333"/>
                <w:sz w:val="22"/>
                <w:szCs w:val="22"/>
              </w:rPr>
              <w:t xml:space="preserve">Seven independent domains of evidence. Seven thresholds met. No single domain is conclusive in isolation. But seven simultaneous signals from cognitive science, computer science, economics, scientific research, autonomous systems, capability metrics, and expert judgment — all pointing in the same direction, all within the same 24-month window — constitutes convergent evidence of a phase transition. The evidence presented here supports the conclusion that the singularity is not a prediction about 2045 or 2032 or 2028 — it is a description of the system we are living in right now. We are not approaching the singularity. We are in it.</w:t>
            </w:r>
          </w:p>
        </w:tc>
      </w:tr>
    </w:tbl>
    <w:p>
      <w:pPr>
        <w:spacing w:after="60"/>
      </w:pPr>
    </w:p>
    <w:p>
      <w:pPr>
        <w:pStyle w:val="Heading2"/>
      </w:pPr>
      <w:r>
        <w:rPr>
          <w:rFonts w:ascii="Arial" w:cs="Arial" w:eastAsia="Arial" w:hAnsi="Arial"/>
        </w:rPr>
        <w:t xml:space="preserve">A Note on What This Means</w:t>
      </w:r>
    </w:p>
    <w:p>
      <w:pPr>
        <w:spacing w:after="20"/>
      </w:pPr>
    </w:p>
    <w:p>
      <w:pPr>
        <w:spacing w:after="120"/>
      </w:pPr>
      <w:r>
        <w:rPr>
          <w:rFonts w:ascii="Arial" w:cs="Arial" w:eastAsia="Arial" w:hAnsi="Arial"/>
          <w:b w:val="false"/>
          <w:bCs w:val="false"/>
          <w:i w:val="false"/>
          <w:iCs w:val="false"/>
          <w:color w:val="333333"/>
          <w:sz w:val="22"/>
          <w:szCs w:val="22"/>
        </w:rPr>
        <w:t xml:space="preserve">If this analysis is correct — and the convergent evidence strongly suggests it is — then every organization without an AI governance framework is operating in an ungoverned singularity. Every company that treats AI as a tool improvement project is bringing a strategy memo to a phase transition. And every leader who is waiting for the singularity to arrive is already late.</w:t>
      </w:r>
    </w:p>
    <w:p>
      <w:pPr>
        <w:spacing w:after="20"/>
      </w:pPr>
    </w:p>
    <w:p>
      <w:pPr>
        <w:spacing w:after="120"/>
      </w:pPr>
      <w:r>
        <w:rPr>
          <w:rFonts w:ascii="Arial" w:cs="Arial" w:eastAsia="Arial" w:hAnsi="Arial"/>
          <w:b w:val="false"/>
          <w:bCs w:val="false"/>
          <w:i w:val="false"/>
          <w:iCs w:val="false"/>
          <w:color w:val="333333"/>
          <w:sz w:val="22"/>
          <w:szCs w:val="22"/>
        </w:rPr>
        <w:t xml:space="preserve">But we do not ask you to take our word for it. We have published the strongest prosecution against this thesis and argued it with equal rigor (see "The Evidence Package," Part I). We have staked 20 falsifiable predictions on this claim, with pre-specified scoring criteria and verification dates (Part II). And we have shown that this transition is 13x faster than electrification, 6x faster than the internet, and 3x faster than smartphones — the fastest technology phase transition ever recorded (Part III).</w:t>
      </w:r>
    </w:p>
    <w:p>
      <w:pPr>
        <w:spacing w:after="20"/>
      </w:pPr>
    </w:p>
    <w:p>
      <w:pPr>
        <w:spacing w:after="120"/>
      </w:pPr>
      <w:r>
        <w:rPr>
          <w:rFonts w:ascii="Arial" w:cs="Arial" w:eastAsia="Arial" w:hAnsi="Arial"/>
          <w:b w:val="false"/>
          <w:bCs w:val="false"/>
          <w:i w:val="false"/>
          <w:iCs w:val="false"/>
          <w:color w:val="333333"/>
          <w:sz w:val="22"/>
          <w:szCs w:val="22"/>
        </w:rPr>
        <w:t xml:space="preserve">The question is no longer whether the singularity will happen. The evidence is open. The predictions are timestamped. The counterarguments are published. Evaluate it yourself.</w:t>
      </w:r>
    </w:p>
    <w:p>
      <w:pPr>
        <w:spacing w:after="20"/>
      </w:pPr>
    </w:p>
    <w:p>
      <w:pPr>
        <w:spacing w:after="120"/>
      </w:pPr>
      <w:r>
        <w:rPr>
          <w:rFonts w:ascii="Arial" w:cs="Arial" w:eastAsia="Arial" w:hAnsi="Arial"/>
          <w:b w:val="false"/>
          <w:bCs w:val="false"/>
          <w:i/>
          <w:iCs/>
          <w:color w:val="555555"/>
          <w:sz w:val="22"/>
          <w:szCs w:val="22"/>
        </w:rPr>
        <w:t xml:space="preserve">Disclosure: Cognitive Corp provides AI governance advisory services. The authors acknowledge this interest and note that the evidence cited in this paper was gathered from independent, publicly available sources. Readers are encouraged to verify all claims against the cited references.</w:t>
      </w:r>
    </w:p>
    <w:p>
      <w:pPr>
        <w:spacing w:after="80"/>
      </w:pPr>
    </w:p>
    <w:p>
      <w:pPr>
        <w:pBdr>
          <w:bottom w:val="single" w:color="CCCCCC" w:sz="1"/>
        </w:pBdr>
        <w:spacing w:after="200" w:before="200"/>
      </w:pPr>
    </w:p>
    <w:p>
      <w:pPr>
        <w:pStyle w:val="Heading2"/>
      </w:pPr>
      <w:r>
        <w:rPr>
          <w:rFonts w:ascii="Arial" w:cs="Arial" w:eastAsia="Arial" w:hAnsi="Arial"/>
        </w:rPr>
        <w:t xml:space="preserve">Sources</w:t>
      </w:r>
    </w:p>
    <w:p>
      <w:pPr>
        <w:spacing w:after="20"/>
      </w:pPr>
    </w:p>
    <w:p>
      <w:pPr>
        <w:pStyle w:val="ListParagraph"/>
        <w:numPr>
          <w:ilvl w:val="0"/>
          <w:numId w:val="2"/>
        </w:numPr>
        <w:spacing w:after="80"/>
      </w:pPr>
      <w:r>
        <w:rPr>
          <w:rFonts w:ascii="Arial" w:cs="Arial" w:eastAsia="Arial" w:hAnsi="Arial"/>
          <w:color w:val="333333"/>
          <w:sz w:val="22"/>
          <w:szCs w:val="22"/>
        </w:rPr>
        <w:t xml:space="preserve">Maslej, N. et al. (2025). "The AI Index 2025 Annual Report." Stanford Institute for Human-Centered AI. hai.stanford.edu/ai-index/2025-ai-index-report</w:t>
      </w:r>
    </w:p>
    <w:p>
      <w:pPr>
        <w:pStyle w:val="ListParagraph"/>
        <w:numPr>
          <w:ilvl w:val="0"/>
          <w:numId w:val="2"/>
        </w:numPr>
        <w:spacing w:after="80"/>
      </w:pPr>
      <w:r>
        <w:rPr>
          <w:rFonts w:ascii="Arial" w:cs="Arial" w:eastAsia="Arial" w:hAnsi="Arial"/>
          <w:color w:val="333333"/>
          <w:sz w:val="22"/>
          <w:szCs w:val="22"/>
        </w:rPr>
        <w:t xml:space="preserve">Epoch AI (2025). "Training Compute Cost Trends." epoch.ai/data-insights/cost-trend-large-scale</w:t>
      </w:r>
    </w:p>
    <w:p>
      <w:pPr>
        <w:pStyle w:val="ListParagraph"/>
        <w:numPr>
          <w:ilvl w:val="0"/>
          <w:numId w:val="2"/>
        </w:numPr>
        <w:spacing w:after="80"/>
      </w:pPr>
      <w:r>
        <w:rPr>
          <w:rFonts w:ascii="Arial" w:cs="Arial" w:eastAsia="Arial" w:hAnsi="Arial"/>
          <w:color w:val="333333"/>
          <w:sz w:val="22"/>
          <w:szCs w:val="22"/>
        </w:rPr>
        <w:t xml:space="preserve">Epoch AI (2025). "Model Counts &amp; Compute Thresholds." epoch.ai/blog/model-counts-compute-thresholds</w:t>
      </w:r>
    </w:p>
    <w:p>
      <w:pPr>
        <w:pStyle w:val="ListParagraph"/>
        <w:numPr>
          <w:ilvl w:val="0"/>
          <w:numId w:val="2"/>
        </w:numPr>
        <w:spacing w:after="80"/>
      </w:pPr>
      <w:r>
        <w:rPr>
          <w:rFonts w:ascii="Arial" w:cs="Arial" w:eastAsia="Arial" w:hAnsi="Arial"/>
          <w:color w:val="333333"/>
          <w:sz w:val="22"/>
          <w:szCs w:val="22"/>
        </w:rPr>
        <w:t xml:space="preserve">Xiao, G. et al. (2025). "Densing Law of LLMs." Nature Machine Intelligence. doi.org/10.1038/s42256-024-00936-7</w:t>
      </w:r>
    </w:p>
    <w:p>
      <w:pPr>
        <w:pStyle w:val="ListParagraph"/>
        <w:numPr>
          <w:ilvl w:val="0"/>
          <w:numId w:val="2"/>
        </w:numPr>
        <w:spacing w:after="80"/>
      </w:pPr>
      <w:r>
        <w:rPr>
          <w:rFonts w:ascii="Arial" w:cs="Arial" w:eastAsia="Arial" w:hAnsi="Arial"/>
          <w:color w:val="333333"/>
          <w:sz w:val="22"/>
          <w:szCs w:val="22"/>
        </w:rPr>
        <w:t xml:space="preserve">ICLR 2026 Workshop on AI with Recursive Self-Improvement. iclr.cc/virtual/2026/workshop</w:t>
      </w:r>
    </w:p>
    <w:p>
      <w:pPr>
        <w:pStyle w:val="ListParagraph"/>
        <w:numPr>
          <w:ilvl w:val="0"/>
          <w:numId w:val="2"/>
        </w:numPr>
        <w:spacing w:after="80"/>
      </w:pPr>
      <w:r>
        <w:rPr>
          <w:rFonts w:ascii="Arial" w:cs="Arial" w:eastAsia="Arial" w:hAnsi="Arial"/>
          <w:color w:val="333333"/>
          <w:sz w:val="22"/>
          <w:szCs w:val="22"/>
        </w:rPr>
        <w:t xml:space="preserve">Ball, D. (2026). "On Recursive Self-Improvement." Hyperdimensional (Substack).</w:t>
      </w:r>
    </w:p>
    <w:p>
      <w:pPr>
        <w:pStyle w:val="ListParagraph"/>
        <w:numPr>
          <w:ilvl w:val="0"/>
          <w:numId w:val="2"/>
        </w:numPr>
        <w:spacing w:after="80"/>
      </w:pPr>
      <w:r>
        <w:rPr>
          <w:rFonts w:ascii="Arial" w:cs="Arial" w:eastAsia="Arial" w:hAnsi="Arial"/>
          <w:color w:val="333333"/>
          <w:sz w:val="22"/>
          <w:szCs w:val="22"/>
        </w:rPr>
        <w:t xml:space="preserve">Jumper, J. et al. (2021). "Highly accurate protein structure prediction with AlphaFold." Nature 596, 583-589. doi.org/10.1038/s41586-021-03819-2</w:t>
      </w:r>
    </w:p>
    <w:p>
      <w:pPr>
        <w:pStyle w:val="ListParagraph"/>
        <w:numPr>
          <w:ilvl w:val="0"/>
          <w:numId w:val="2"/>
        </w:numPr>
        <w:spacing w:after="80"/>
      </w:pPr>
      <w:r>
        <w:rPr>
          <w:rFonts w:ascii="Arial" w:cs="Arial" w:eastAsia="Arial" w:hAnsi="Arial"/>
          <w:color w:val="333333"/>
          <w:sz w:val="22"/>
          <w:szCs w:val="22"/>
        </w:rPr>
        <w:t xml:space="preserve">Google DeepMind (2025). AlphaEvolve &amp; AI Co-Scientist announcements. deepmind.google/discover</w:t>
      </w:r>
    </w:p>
    <w:p>
      <w:pPr>
        <w:pStyle w:val="ListParagraph"/>
        <w:numPr>
          <w:ilvl w:val="0"/>
          <w:numId w:val="2"/>
        </w:numPr>
        <w:spacing w:after="80"/>
      </w:pPr>
      <w:r>
        <w:rPr>
          <w:rFonts w:ascii="Arial" w:cs="Arial" w:eastAsia="Arial" w:hAnsi="Arial"/>
          <w:color w:val="333333"/>
          <w:sz w:val="22"/>
          <w:szCs w:val="22"/>
        </w:rPr>
        <w:t xml:space="preserve">Nobel Prize Committee (2024). Physics Prize: Hopfield, J. &amp; Hinton, G. — foundational neural network research. nobelprize.org/prizes/physics/2024</w:t>
      </w:r>
    </w:p>
    <w:p>
      <w:pPr>
        <w:pStyle w:val="ListParagraph"/>
        <w:numPr>
          <w:ilvl w:val="0"/>
          <w:numId w:val="2"/>
        </w:numPr>
        <w:spacing w:after="80"/>
      </w:pPr>
      <w:r>
        <w:rPr>
          <w:rFonts w:ascii="Arial" w:cs="Arial" w:eastAsia="Arial" w:hAnsi="Arial"/>
          <w:color w:val="333333"/>
          <w:sz w:val="22"/>
          <w:szCs w:val="22"/>
        </w:rPr>
        <w:t xml:space="preserve">Nobel Prize Committee (2024). Chemistry Prize: Hassabis, D., Jumper, J. &amp; Baker, D. — computational protein design. nobelprize.org/prizes/chemistry/2024</w:t>
      </w:r>
    </w:p>
    <w:p>
      <w:pPr>
        <w:pStyle w:val="ListParagraph"/>
        <w:numPr>
          <w:ilvl w:val="0"/>
          <w:numId w:val="2"/>
        </w:numPr>
        <w:spacing w:after="80"/>
      </w:pPr>
      <w:r>
        <w:rPr>
          <w:rFonts w:ascii="Arial" w:cs="Arial" w:eastAsia="Arial" w:hAnsi="Arial"/>
          <w:color w:val="333333"/>
          <w:sz w:val="22"/>
          <w:szCs w:val="22"/>
        </w:rPr>
        <w:t xml:space="preserve">J.P. Morgan Asset Management (2025). "Is AI Already Driving U.S. Growth?" Economic &amp; Market Update.</w:t>
      </w:r>
    </w:p>
    <w:p>
      <w:pPr>
        <w:pStyle w:val="ListParagraph"/>
        <w:numPr>
          <w:ilvl w:val="0"/>
          <w:numId w:val="2"/>
        </w:numPr>
        <w:spacing w:after="80"/>
      </w:pPr>
      <w:r>
        <w:rPr>
          <w:rFonts w:ascii="Arial" w:cs="Arial" w:eastAsia="Arial" w:hAnsi="Arial"/>
          <w:color w:val="333333"/>
          <w:sz w:val="22"/>
          <w:szCs w:val="22"/>
        </w:rPr>
        <w:t xml:space="preserve">Federal Reserve Bank of St. Louis (2026). "Tracking AI Contribution to GDP Growth." FRED Economic Data, January 2026.</w:t>
      </w:r>
    </w:p>
    <w:p>
      <w:pPr>
        <w:pStyle w:val="ListParagraph"/>
        <w:numPr>
          <w:ilvl w:val="0"/>
          <w:numId w:val="2"/>
        </w:numPr>
        <w:spacing w:after="80"/>
      </w:pPr>
      <w:r>
        <w:rPr>
          <w:rFonts w:ascii="Arial" w:cs="Arial" w:eastAsia="Arial" w:hAnsi="Arial"/>
          <w:color w:val="333333"/>
          <w:sz w:val="22"/>
          <w:szCs w:val="22"/>
        </w:rPr>
        <w:t xml:space="preserve">McKinsey Global Institute (2023). "The Economic Potential of Generative AI." mckinsey.com/capabilities/mckinsey-digital. Estimate: $2.6-4.4T annual corporate profit potential.</w:t>
      </w:r>
    </w:p>
    <w:p>
      <w:pPr>
        <w:pStyle w:val="ListParagraph"/>
        <w:numPr>
          <w:ilvl w:val="0"/>
          <w:numId w:val="2"/>
        </w:numPr>
        <w:spacing w:after="80"/>
      </w:pPr>
      <w:r>
        <w:rPr>
          <w:rFonts w:ascii="Arial" w:cs="Arial" w:eastAsia="Arial" w:hAnsi="Arial"/>
          <w:color w:val="333333"/>
          <w:sz w:val="22"/>
          <w:szCs w:val="22"/>
        </w:rPr>
        <w:t xml:space="preserve">Goldman Sachs Global Investment Research (2023). "The Potentially Large Effects of Artificial Intelligence on Economic Growth." Estimate: +$7T global GDP over 10 years.</w:t>
      </w:r>
    </w:p>
    <w:p>
      <w:pPr>
        <w:pStyle w:val="ListParagraph"/>
        <w:numPr>
          <w:ilvl w:val="0"/>
          <w:numId w:val="2"/>
        </w:numPr>
        <w:spacing w:after="80"/>
      </w:pPr>
      <w:r>
        <w:rPr>
          <w:rFonts w:ascii="Arial" w:cs="Arial" w:eastAsia="Arial" w:hAnsi="Arial"/>
          <w:color w:val="333333"/>
          <w:sz w:val="22"/>
          <w:szCs w:val="22"/>
        </w:rPr>
        <w:t xml:space="preserve">Goldman Sachs / Edelman, A. (2026). "No Meaningful Relationship" between AI spending and productivity — reported in Fortune, March 2026.</w:t>
      </w:r>
    </w:p>
    <w:p>
      <w:pPr>
        <w:pStyle w:val="ListParagraph"/>
        <w:numPr>
          <w:ilvl w:val="0"/>
          <w:numId w:val="2"/>
        </w:numPr>
        <w:spacing w:after="80"/>
      </w:pPr>
      <w:r>
        <w:rPr>
          <w:rFonts w:ascii="Arial" w:cs="Arial" w:eastAsia="Arial" w:hAnsi="Arial"/>
          <w:color w:val="333333"/>
          <w:sz w:val="22"/>
          <w:szCs w:val="22"/>
        </w:rPr>
        <w:t xml:space="preserve">Deloitte (2026). "2026 Human Capital Trends" / "Technology, Media &amp; Telecom Predictions." $400-450B capex forecast.</w:t>
      </w:r>
    </w:p>
    <w:p>
      <w:pPr>
        <w:pStyle w:val="ListParagraph"/>
        <w:numPr>
          <w:ilvl w:val="0"/>
          <w:numId w:val="2"/>
        </w:numPr>
        <w:spacing w:after="80"/>
      </w:pPr>
      <w:r>
        <w:rPr>
          <w:rFonts w:ascii="Arial" w:cs="Arial" w:eastAsia="Arial" w:hAnsi="Arial"/>
          <w:color w:val="333333"/>
          <w:sz w:val="22"/>
          <w:szCs w:val="22"/>
        </w:rPr>
        <w:t xml:space="preserve">International Monetary Fund (2026). "AI and the Future of Work." IMF Staff Discussion Note, January 2026. Finding: 60% of jobs in advanced economies exposed to AI.</w:t>
      </w:r>
    </w:p>
    <w:p>
      <w:pPr>
        <w:pStyle w:val="ListParagraph"/>
        <w:numPr>
          <w:ilvl w:val="0"/>
          <w:numId w:val="2"/>
        </w:numPr>
        <w:spacing w:after="80"/>
      </w:pPr>
      <w:r>
        <w:rPr>
          <w:rFonts w:ascii="Arial" w:cs="Arial" w:eastAsia="Arial" w:hAnsi="Arial"/>
          <w:color w:val="333333"/>
          <w:sz w:val="22"/>
          <w:szCs w:val="22"/>
        </w:rPr>
        <w:t xml:space="preserve">Cognizant / DWU Consulting (2026). "93% of US jobs contain tasks partially performable by AI." Reported in Fortune, March 2026. $4.5T transferable labor estimate derived from this analysis.</w:t>
      </w:r>
    </w:p>
    <w:p>
      <w:pPr>
        <w:pStyle w:val="ListParagraph"/>
        <w:numPr>
          <w:ilvl w:val="0"/>
          <w:numId w:val="2"/>
        </w:numPr>
        <w:spacing w:after="80"/>
      </w:pPr>
      <w:r>
        <w:rPr>
          <w:rFonts w:ascii="Arial" w:cs="Arial" w:eastAsia="Arial" w:hAnsi="Arial"/>
          <w:color w:val="333333"/>
          <w:sz w:val="22"/>
          <w:szCs w:val="22"/>
        </w:rPr>
        <w:t xml:space="preserve">MIT Technology Review (2025). "The Economic Singularity." December 2025.</w:t>
      </w:r>
    </w:p>
    <w:p>
      <w:pPr>
        <w:pStyle w:val="ListParagraph"/>
        <w:numPr>
          <w:ilvl w:val="0"/>
          <w:numId w:val="2"/>
        </w:numPr>
        <w:spacing w:after="80"/>
      </w:pPr>
      <w:r>
        <w:rPr>
          <w:rFonts w:ascii="Arial" w:cs="Arial" w:eastAsia="Arial" w:hAnsi="Arial"/>
          <w:color w:val="333333"/>
          <w:sz w:val="22"/>
          <w:szCs w:val="22"/>
        </w:rPr>
        <w:t xml:space="preserve">Bain, B. et al. (2025). "Why Most AI Projects Fail." MIT Sloan Management Review / MIT CSAIL, 2025. 95% corporate AI project failure rate finding.</w:t>
      </w:r>
    </w:p>
    <w:p>
      <w:pPr>
        <w:pStyle w:val="ListParagraph"/>
        <w:numPr>
          <w:ilvl w:val="0"/>
          <w:numId w:val="2"/>
        </w:numPr>
        <w:spacing w:after="80"/>
      </w:pPr>
      <w:r>
        <w:rPr>
          <w:rFonts w:ascii="Arial" w:cs="Arial" w:eastAsia="Arial" w:hAnsi="Arial"/>
          <w:color w:val="333333"/>
          <w:sz w:val="22"/>
          <w:szCs w:val="22"/>
        </w:rPr>
        <w:t xml:space="preserve">Brynjolfsson, E. (2024). "The Turing Trap: The Promise &amp; Peril of Human-Like AI." Stanford Digital Economy Lab. J-curve productivity theory.</w:t>
      </w:r>
    </w:p>
    <w:p>
      <w:pPr>
        <w:pStyle w:val="ListParagraph"/>
        <w:numPr>
          <w:ilvl w:val="0"/>
          <w:numId w:val="2"/>
        </w:numPr>
        <w:spacing w:after="80"/>
      </w:pPr>
      <w:r>
        <w:rPr>
          <w:rFonts w:ascii="Arial" w:cs="Arial" w:eastAsia="Arial" w:hAnsi="Arial"/>
          <w:color w:val="333333"/>
          <w:sz w:val="22"/>
          <w:szCs w:val="22"/>
        </w:rPr>
        <w:t xml:space="preserve">Acemoglu, D. (2024). "The Simple Macroeconomics of AI." NBER Working Paper 32487. Skeptical productivity estimate.</w:t>
      </w:r>
    </w:p>
    <w:p>
      <w:pPr>
        <w:pStyle w:val="ListParagraph"/>
        <w:numPr>
          <w:ilvl w:val="0"/>
          <w:numId w:val="2"/>
        </w:numPr>
        <w:spacing w:after="80"/>
      </w:pPr>
      <w:r>
        <w:rPr>
          <w:rFonts w:ascii="Arial" w:cs="Arial" w:eastAsia="Arial" w:hAnsi="Arial"/>
          <w:color w:val="333333"/>
          <w:sz w:val="22"/>
          <w:szCs w:val="22"/>
        </w:rPr>
        <w:t xml:space="preserve">AI Multiple (2025). "9,800 AGI/Singularity Predictions Analysis." aimultiple.com/artificial-general-intelligence-singularity-timing</w:t>
      </w:r>
    </w:p>
    <w:p>
      <w:pPr>
        <w:pStyle w:val="ListParagraph"/>
        <w:numPr>
          <w:ilvl w:val="0"/>
          <w:numId w:val="2"/>
        </w:numPr>
        <w:spacing w:after="80"/>
      </w:pPr>
      <w:r>
        <w:rPr>
          <w:rFonts w:ascii="Arial" w:cs="Arial" w:eastAsia="Arial" w:hAnsi="Arial"/>
          <w:color w:val="333333"/>
          <w:sz w:val="22"/>
          <w:szCs w:val="22"/>
        </w:rPr>
        <w:t xml:space="preserve">Educational Technology &amp; Change Journal (2025). "Singularity Prediction Tracker." etcjournal.com/singularity</w:t>
      </w:r>
    </w:p>
    <w:p>
      <w:pPr>
        <w:pStyle w:val="ListParagraph"/>
        <w:numPr>
          <w:ilvl w:val="0"/>
          <w:numId w:val="2"/>
        </w:numPr>
        <w:spacing w:after="80"/>
      </w:pPr>
      <w:r>
        <w:rPr>
          <w:rFonts w:ascii="Arial" w:cs="Arial" w:eastAsia="Arial" w:hAnsi="Arial"/>
          <w:color w:val="333333"/>
          <w:sz w:val="22"/>
          <w:szCs w:val="22"/>
        </w:rPr>
        <w:t xml:space="preserve">Cognition Labs (2025). "Devin 2.0: The AI Software Engineer." cognition.ai/blog/devin-2. April 2025.</w:t>
      </w:r>
    </w:p>
    <w:p>
      <w:pPr>
        <w:pStyle w:val="ListParagraph"/>
        <w:numPr>
          <w:ilvl w:val="0"/>
          <w:numId w:val="2"/>
        </w:numPr>
        <w:spacing w:after="80"/>
      </w:pPr>
      <w:r>
        <w:rPr>
          <w:rFonts w:ascii="Arial" w:cs="Arial" w:eastAsia="Arial" w:hAnsi="Arial"/>
          <w:color w:val="333333"/>
          <w:sz w:val="22"/>
          <w:szCs w:val="22"/>
        </w:rPr>
        <w:t xml:space="preserve">FDA (2024). "Artificial Intelligence and Machine Learning (AI/ML)-Enabled Medical Devices." 950 authorized devices as of August 2024. fda.gov/medical-devices/software-medical-device-samd/artificial-intelligence-and-machine-learning-aiml-enabled-medical-devices</w:t>
      </w:r>
    </w:p>
    <w:p>
      <w:pPr>
        <w:pStyle w:val="ListParagraph"/>
        <w:numPr>
          <w:ilvl w:val="0"/>
          <w:numId w:val="2"/>
        </w:numPr>
        <w:spacing w:after="80"/>
      </w:pPr>
      <w:r>
        <w:rPr>
          <w:rFonts w:ascii="Arial" w:cs="Arial" w:eastAsia="Arial" w:hAnsi="Arial"/>
          <w:color w:val="333333"/>
          <w:sz w:val="22"/>
          <w:szCs w:val="22"/>
        </w:rPr>
        <w:t xml:space="preserve">Waymo (2025). 150,000+ weekly autonomous rides. Cited in Stanford AI Index 2025.</w:t>
      </w:r>
    </w:p>
    <w:p>
      <w:pPr>
        <w:pStyle w:val="ListParagraph"/>
        <w:numPr>
          <w:ilvl w:val="0"/>
          <w:numId w:val="2"/>
        </w:numPr>
        <w:spacing w:after="80"/>
      </w:pPr>
      <w:r>
        <w:rPr>
          <w:rFonts w:ascii="Arial" w:cs="Arial" w:eastAsia="Arial" w:hAnsi="Arial"/>
          <w:color w:val="333333"/>
          <w:sz w:val="22"/>
          <w:szCs w:val="22"/>
        </w:rPr>
        <w:t xml:space="preserve">Karpathy, A. (2025). "AutoResearch: Automated AI Research Agent." Open-source, GitHub. 700 experiments / 2 days / 11% training speedup.</w:t>
      </w:r>
    </w:p>
    <w:p>
      <w:pPr>
        <w:pStyle w:val="ListParagraph"/>
        <w:numPr>
          <w:ilvl w:val="0"/>
          <w:numId w:val="2"/>
        </w:numPr>
        <w:spacing w:after="80"/>
      </w:pPr>
      <w:r>
        <w:rPr>
          <w:rFonts w:ascii="Arial" w:cs="Arial" w:eastAsia="Arial" w:hAnsi="Arial"/>
          <w:color w:val="333333"/>
          <w:sz w:val="22"/>
          <w:szCs w:val="22"/>
        </w:rPr>
        <w:t xml:space="preserve">LLM-Stats.com (2026). Benchmark Leaderboards. llm-stats.com/benchmarks</w:t>
      </w:r>
    </w:p>
    <w:p>
      <w:pPr>
        <w:pStyle w:val="ListParagraph"/>
        <w:numPr>
          <w:ilvl w:val="0"/>
          <w:numId w:val="2"/>
        </w:numPr>
        <w:spacing w:after="80"/>
      </w:pPr>
      <w:r>
        <w:rPr>
          <w:rFonts w:ascii="Arial" w:cs="Arial" w:eastAsia="Arial" w:hAnsi="Arial"/>
          <w:color w:val="333333"/>
          <w:sz w:val="22"/>
          <w:szCs w:val="22"/>
        </w:rPr>
        <w:t xml:space="preserve">Kurzweil, R. (2024). "The Singularity Is Nearer." Viking / Penguin Random House. Revised AGI estimate: 2032.</w:t>
      </w:r>
    </w:p>
    <w:p>
      <w:pPr>
        <w:pStyle w:val="ListParagraph"/>
        <w:numPr>
          <w:ilvl w:val="0"/>
          <w:numId w:val="2"/>
        </w:numPr>
        <w:spacing w:after="80"/>
      </w:pPr>
      <w:r>
        <w:rPr>
          <w:rFonts w:ascii="Arial" w:cs="Arial" w:eastAsia="Arial" w:hAnsi="Arial"/>
          <w:color w:val="333333"/>
          <w:sz w:val="22"/>
          <w:szCs w:val="22"/>
        </w:rPr>
        <w:t xml:space="preserve">TechBuzz (2026). "Inside Anthropic: Claude Code Writes 70-90% of Engineering Code." techbuzz.com</w:t>
      </w:r>
    </w:p>
    <w:p>
      <w:pPr>
        <w:spacing w:after="80"/>
      </w:pPr>
    </w:p>
    <w:p>
      <w:pPr>
        <w:pBdr>
          <w:bottom w:val="single" w:color="CCCCCC" w:sz="1"/>
        </w:pBdr>
        <w:spacing w:after="200" w:before="200"/>
      </w:pPr>
    </w:p>
    <w:p>
      <w:pPr>
        <w:spacing w:after="40"/>
        <w:jc w:val="center"/>
      </w:pPr>
      <w:r>
        <w:rPr>
          <w:rFonts w:ascii="Arial" w:cs="Arial" w:eastAsia="Arial" w:hAnsi="Arial"/>
          <w:color w:val="555555"/>
          <w:sz w:val="18"/>
          <w:szCs w:val="18"/>
        </w:rPr>
        <w:t xml:space="preserve">Cognitive Corp  |  March 2026  |  Confidential</w:t>
      </w:r>
    </w:p>
    <w:p>
      <w:pPr>
        <w:spacing w:after="0"/>
        <w:jc w:val="center"/>
      </w:pPr>
      <w:r>
        <w:rPr>
          <w:rFonts w:ascii="Arial" w:cs="Arial" w:eastAsia="Arial" w:hAnsi="Arial"/>
          <w:color w:val="555555"/>
          <w:sz w:val="18"/>
          <w:szCs w:val="18"/>
        </w:rPr>
        <w:t xml:space="preserve">James Waddell  |  President &amp; CRO  |  bob@cognitivewx.info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The Singularity Is Here  |  Cognitive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B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2026-03-27T10:46:58.889Z</dcterms:created>
  <dcterms:modified xsi:type="dcterms:W3CDTF">2026-03-27T10:46:58.889Z</dcterms:modified>
</cp:coreProperties>
</file>

<file path=docProps/custom.xml><?xml version="1.0" encoding="utf-8"?>
<Properties xmlns="http://schemas.openxmlformats.org/officeDocument/2006/custom-properties" xmlns:vt="http://schemas.openxmlformats.org/officeDocument/2006/docPropsVTypes"/>
</file>