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40"/>
        <w:jc w:val="center"/>
      </w:pPr>
      <w:r>
        <w:rPr>
          <w:rFonts w:ascii="Arial" w:cs="Arial" w:eastAsia="Arial" w:hAnsi="Arial"/>
          <w:b/>
          <w:bCs/>
          <w:color w:val="2E6BA6"/>
          <w:spacing w:val="200"/>
          <w:sz w:val="18"/>
          <w:szCs w:val="18"/>
        </w:rPr>
        <w:t xml:space="preserve">COGNITIVE CORP  |  QUANTITATIVE RESEARCH</w:t>
      </w:r>
    </w:p>
    <w:p>
      <w:pPr>
        <w:pBdr>
          <w:bottom w:val="single" w:color="CCCCCC" w:sz="1"/>
        </w:pBdr>
        <w:spacing w:after="200" w:before="200"/>
      </w:pPr>
    </w:p>
    <w:p>
      <w:pPr>
        <w:spacing w:after="120"/>
        <w:jc w:val="center"/>
      </w:pPr>
      <w:r>
        <w:rPr>
          <w:rFonts w:ascii="Arial" w:cs="Arial" w:eastAsia="Arial" w:hAnsi="Arial"/>
          <w:b/>
          <w:bCs/>
          <w:color w:val="1B2A4A"/>
          <w:sz w:val="40"/>
          <w:szCs w:val="40"/>
        </w:rPr>
        <w:t xml:space="preserve">The Singularity Is Here:</w:t>
      </w:r>
    </w:p>
    <w:p>
      <w:pPr>
        <w:spacing w:after="80"/>
        <w:jc w:val="center"/>
      </w:pPr>
      <w:r>
        <w:rPr>
          <w:rFonts w:ascii="Arial" w:cs="Arial" w:eastAsia="Arial" w:hAnsi="Arial"/>
          <w:b/>
          <w:bCs/>
          <w:color w:val="2E6BA6"/>
          <w:sz w:val="40"/>
          <w:szCs w:val="40"/>
        </w:rPr>
        <w:t xml:space="preserve">A Quantitative Proof</w:t>
      </w:r>
    </w:p>
    <w:p>
      <w:pPr>
        <w:spacing w:after="80"/>
      </w:pPr>
    </w:p>
    <w:p>
      <w:pPr>
        <w:spacing w:after="40"/>
        <w:jc w:val="center"/>
      </w:pPr>
      <w:r>
        <w:rPr>
          <w:rFonts w:ascii="Arial" w:cs="Arial" w:eastAsia="Arial" w:hAnsi="Arial"/>
          <w:i/>
          <w:iCs/>
          <w:color w:val="555555"/>
          <w:sz w:val="24"/>
          <w:szCs w:val="24"/>
        </w:rPr>
        <w:t xml:space="preserve">Curve Fitting, Hypothesis Testing, and Phase Transition Analysis</w:t>
      </w:r>
    </w:p>
    <w:p>
      <w:pPr>
        <w:spacing w:after="40"/>
        <w:jc w:val="center"/>
      </w:pPr>
      <w:r>
        <w:rPr>
          <w:rFonts w:ascii="Arial" w:cs="Arial" w:eastAsia="Arial" w:hAnsi="Arial"/>
          <w:i/>
          <w:iCs/>
          <w:color w:val="555555"/>
          <w:sz w:val="22"/>
          <w:szCs w:val="22"/>
        </w:rPr>
        <w:t xml:space="preserve">Across Seven Independent AI Capability Domains</w:t>
      </w:r>
    </w:p>
    <w:p>
      <w:pPr>
        <w:spacing w:after="40"/>
      </w:pPr>
    </w:p>
    <w:p>
      <w:pPr>
        <w:spacing w:after="40"/>
        <w:jc w:val="center"/>
      </w:pPr>
      <w:r>
        <w:rPr>
          <w:rFonts w:ascii="Arial" w:cs="Arial" w:eastAsia="Arial" w:hAnsi="Arial"/>
          <w:color w:val="555555"/>
          <w:sz w:val="22"/>
          <w:szCs w:val="22"/>
        </w:rPr>
        <w:t xml:space="preserve">James Waddell  |  Cognitive Corp  |  March 2026</w:t>
      </w:r>
    </w:p>
    <w:p>
      <w:pPr>
        <w:spacing w:after="40"/>
        <w:jc w:val="center"/>
      </w:pPr>
      <w:r>
        <w:rPr>
          <w:rFonts w:ascii="Arial" w:cs="Arial" w:eastAsia="Arial" w:hAnsi="Arial"/>
          <w:i/>
          <w:iCs/>
          <w:color w:val="555555"/>
          <w:sz w:val="20"/>
          <w:szCs w:val="20"/>
        </w:rPr>
        <w:t xml:space="preserve">Companion to: "The Singularity Is Not Coming. It Is Here."</w:t>
      </w:r>
    </w:p>
    <w:p>
      <w:pPr>
        <w:pBdr>
          <w:bottom w:val="single" w:color="CCCCCC" w:sz="1"/>
        </w:pBdr>
        <w:spacing w:after="200" w:before="200"/>
      </w:pPr>
    </w:p>
    <w:p>
      <w:r>
        <w:br w:type="page"/>
      </w:r>
    </w:p>
    <w:p>
      <w:pPr>
        <w:pStyle w:val="Heading1"/>
      </w:pPr>
      <w:r>
        <w:rPr>
          <w:rFonts w:ascii="Arial" w:cs="Arial" w:eastAsia="Arial" w:hAnsi="Arial"/>
        </w:rPr>
        <w:t xml:space="preserve">Abstract</w:t>
      </w:r>
    </w:p>
    <w:p>
      <w:pPr>
        <w:spacing w:after="20"/>
      </w:pPr>
    </w:p>
    <w:p>
      <w:pPr>
        <w:spacing w:after="120"/>
      </w:pPr>
      <w:r>
        <w:rPr>
          <w:rFonts w:ascii="Arial" w:cs="Arial" w:eastAsia="Arial" w:hAnsi="Arial"/>
          <w:b w:val="false"/>
          <w:bCs w:val="false"/>
          <w:i w:val="false"/>
          <w:iCs w:val="false"/>
          <w:color w:val="333333"/>
          <w:sz w:val="22"/>
          <w:szCs w:val="22"/>
        </w:rPr>
        <w:t xml:space="preserve">The companion paper argues qualitatively that the AI singularity has arrived. This paper tests that claim quantitatively. We fit four growth models (linear, logarithmic, exponential, and logistic) to time-series data from seven independent AI capability domains, compute first and second derivatives to test for acceleration, and run formal hypothesis tests.</w:t>
      </w:r>
    </w:p>
    <w:p>
      <w:pPr>
        <w:spacing w:after="10"/>
      </w:pPr>
    </w:p>
    <w:p>
      <w:pPr>
        <w:spacing w:after="120"/>
      </w:pPr>
      <w:r>
        <w:rPr>
          <w:rFonts w:ascii="Arial" w:cs="Arial" w:eastAsia="Arial" w:hAnsi="Arial"/>
          <w:b w:val="false"/>
          <w:bCs w:val="false"/>
          <w:i w:val="false"/>
          <w:iCs w:val="false"/>
          <w:color w:val="333333"/>
          <w:sz w:val="22"/>
          <w:szCs w:val="22"/>
        </w:rPr>
        <w:t xml:space="preserve">The results are more nuanced than a simple “everything is accelerating” narrative. Most individual benchmarks follow logistic (S-curve) trajectories — approaching saturation at or above human expert levels. Only cost efficiency shows statistically significant acceleration (p = 0.008). The Fisher combined test across all domains does not reject the null hypothesis of deceleration (p = 0.252).</w:t>
      </w:r>
    </w:p>
    <w:p>
      <w:pPr>
        <w:spacing w:after="10"/>
      </w:pPr>
    </w:p>
    <w:p>
      <w:pPr>
        <w:spacing w:after="120"/>
      </w:pPr>
      <w:r>
        <w:rPr>
          <w:rFonts w:ascii="Arial" w:cs="Arial" w:eastAsia="Arial" w:hAnsi="Arial"/>
          <w:b/>
          <w:bCs/>
          <w:color w:val="333333"/>
          <w:sz w:val="22"/>
          <w:szCs w:val="22"/>
        </w:rPr>
        <w:t xml:space="preserve">But this is precisely the mathematical signature of a phase transition that has already occurred. </w:t>
      </w:r>
      <w:r>
        <w:rPr>
          <w:rFonts w:ascii="Arial" w:cs="Arial" w:eastAsia="Arial" w:hAnsi="Arial"/>
          <w:color w:val="333333"/>
          <w:sz w:val="22"/>
          <w:szCs w:val="22"/>
        </w:rPr>
        <w:t xml:space="preserve">A singularity is not a permanently accelerating function. It is a rapid, irreversible transition from one regime to another. The logistic curves we observe show AI capabilities undergoing exactly this transition — moving from near-zero to human-expert-level performance in 2-4 years, then saturating. The phase transition is not approaching. It is completing.</w:t>
      </w:r>
    </w:p>
    <w:p>
      <w:pPr>
        <w:spacing w:after="40"/>
      </w:pPr>
    </w:p>
    <w:p>
      <w:pPr>
        <w:pStyle w:val="Heading1"/>
      </w:pPr>
      <w:r>
        <w:rPr>
          <w:rFonts w:ascii="Arial" w:cs="Arial" w:eastAsia="Arial" w:hAnsi="Arial"/>
        </w:rPr>
        <w:t xml:space="preserve">Methodology</w:t>
      </w:r>
    </w:p>
    <w:p>
      <w:pPr>
        <w:spacing w:after="20"/>
      </w:pPr>
    </w:p>
    <w:p>
      <w:pPr>
        <w:pStyle w:val="Heading2"/>
      </w:pPr>
      <w:r>
        <w:rPr>
          <w:rFonts w:ascii="Arial" w:cs="Arial" w:eastAsia="Arial" w:hAnsi="Arial"/>
        </w:rPr>
        <w:t xml:space="preserve">Data Sources</w:t>
      </w:r>
    </w:p>
    <w:p>
      <w:pPr>
        <w:spacing w:after="120"/>
      </w:pPr>
      <w:r>
        <w:rPr>
          <w:rFonts w:ascii="Arial" w:cs="Arial" w:eastAsia="Arial" w:hAnsi="Arial"/>
          <w:b w:val="false"/>
          <w:bCs w:val="false"/>
          <w:i w:val="false"/>
          <w:iCs w:val="false"/>
          <w:color w:val="333333"/>
          <w:sz w:val="22"/>
          <w:szCs w:val="22"/>
        </w:rPr>
        <w:t xml:space="preserve">We collected time-series data across seven domains:</w:t>
      </w:r>
    </w:p>
    <w:p>
      <w:pPr>
        <w:spacing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1600"/>
        <w:gridCol w:w="4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Time Range</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Sources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MMLU (Best Model)</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10</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2020.5 - 2025.8</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iCs/>
                <w:color w:val="333333"/>
                <w:sz w:val="20"/>
                <w:szCs w:val="20"/>
              </w:rPr>
              <w:t xml:space="preserve">Stanford AI Index, Papers with Code, Artificial Analysis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GPQA Diamond</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2023.8 - 2026.2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iCs/>
                <w:color w:val="333333"/>
                <w:sz w:val="20"/>
                <w:szCs w:val="20"/>
              </w:rPr>
              <w:t xml:space="preserve">Epoch AI, Artificial Analysis, original GPQA paper</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SWE-bench (Best Agent)</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8</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2023.8 - 2026.1</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iCs/>
                <w:color w:val="333333"/>
                <w:sz w:val="20"/>
                <w:szCs w:val="20"/>
              </w:rPr>
              <w:t xml:space="preserve">swebench.com, Epoch AI, Stanford AI Index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HumanEval (Best Model)</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2021.5 - 2025.4</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iCs/>
                <w:color w:val="333333"/>
                <w:sz w:val="20"/>
                <w:szCs w:val="20"/>
              </w:rPr>
              <w:t xml:space="preserve">OpenAI Codex paper, Papers with Code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ARC-AGI-2 (Best System)</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6</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2025.0 - 2026.2</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iCs/>
                <w:color w:val="333333"/>
                <w:sz w:val="20"/>
                <w:szCs w:val="20"/>
              </w:rPr>
              <w:t xml:space="preserve">arcprize.org, ARC Prize Technical Report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Cost Efficiency ($/M tokens)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2022.8 - 2025.8</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iCs/>
                <w:color w:val="333333"/>
                <w:sz w:val="20"/>
                <w:szCs w:val="20"/>
              </w:rPr>
              <w:t xml:space="preserve">Stanford AI Index, OpenAI/Anthropic pricing</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Training Compute (log₁₀ FLOP)</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9</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2012.0 - 2025.8</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iCs/>
                <w:color w:val="333333"/>
                <w:sz w:val="20"/>
                <w:szCs w:val="20"/>
              </w:rPr>
              <w:t xml:space="preserve">Epoch AI compute trends</w:t>
            </w:r>
          </w:p>
        </w:tc>
      </w:tr>
    </w:tbl>
    <w:p>
      <w:r>
        <w:br w:type="page"/>
      </w:r>
    </w:p>
    <w:p>
      <w:pPr>
        <w:pStyle w:val="Heading2"/>
      </w:pPr>
      <w:r>
        <w:rPr>
          <w:rFonts w:ascii="Arial" w:cs="Arial" w:eastAsia="Arial" w:hAnsi="Arial"/>
        </w:rPr>
        <w:t xml:space="preserve">Appendix A: Raw Time-Series Data</w:t>
      </w:r>
    </w:p>
    <w:p>
      <w:pPr>
        <w:spacing w:after="10"/>
      </w:pPr>
    </w:p>
    <w:p>
      <w:pPr>
        <w:spacing w:after="120"/>
      </w:pPr>
      <w:r>
        <w:rPr>
          <w:rFonts w:ascii="Arial" w:cs="Arial" w:eastAsia="Arial" w:hAnsi="Arial"/>
          <w:b w:val="false"/>
          <w:bCs w:val="false"/>
          <w:i w:val="false"/>
          <w:iCs w:val="false"/>
          <w:color w:val="333333"/>
          <w:sz w:val="22"/>
          <w:szCs w:val="22"/>
        </w:rPr>
        <w:t xml:space="preserve">All data points used in the analysis are reproduced below. Each row represents the best-performing model or system at the time of measurement. Sources are cited per-domain in the table above.</w:t>
      </w:r>
    </w:p>
    <w:p>
      <w:pPr>
        <w:spacing w:after="20"/>
      </w:pPr>
    </w:p>
    <w:p>
      <w:pPr>
        <w:spacing w:after="120"/>
      </w:pPr>
      <w:r>
        <w:rPr>
          <w:rFonts w:ascii="Arial" w:cs="Arial" w:eastAsia="Arial" w:hAnsi="Arial"/>
          <w:b/>
          <w:bCs/>
          <w:color w:val="1B2A4A"/>
          <w:sz w:val="22"/>
          <w:szCs w:val="22"/>
        </w:rPr>
        <w:t xml:space="preserve">Table A1: MMLU / MMLU Pro — Best Model Score at Time of Release</w:t>
      </w:r>
    </w:p>
    <w:p>
      <w:pPr>
        <w:spacing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Score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2020.5 (Jun 2020)</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GPT-3 (baseline)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43.0%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2022.0 (Jan 2022)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Chinchilla (70B)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67.5%</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2022.25 (Mar 2022)</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PaLM (540B)</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69.3%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2023.25 (Mar 2023)</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GPT-4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86.4%</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2023.58 (Jul 2023)</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Claude 2</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78.5%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2024.0 (Jan 2024)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Gemini Ultra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90.0%</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2024.42 (Jun 2024)</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GPT-4o</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87.2%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2024.83 (Oct 2024)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Gemini 2.0 Flash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85.1%</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2025.25 (Mar 2025)</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GPT-5</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91.4%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2025.75 (Sep 2025)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Gemini 3 Pro (MMLU Pro)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90.1%</w:t>
            </w:r>
          </w:p>
        </w:tc>
      </w:tr>
    </w:tbl>
    <w:p>
      <w:pPr>
        <w:spacing w:after="120"/>
      </w:pPr>
      <w:r>
        <w:rPr>
          <w:rFonts w:ascii="Arial" w:cs="Arial" w:eastAsia="Arial" w:hAnsi="Arial"/>
          <w:b w:val="false"/>
          <w:bCs w:val="false"/>
          <w:i/>
          <w:iCs/>
          <w:color w:val="555555"/>
          <w:sz w:val="22"/>
          <w:szCs w:val="22"/>
        </w:rPr>
        <w:t xml:space="preserve">Human expert baseline: ~89.8%. Source: Stanford AI Index 2025, Papers with Code, Artificial Analysis.</w:t>
      </w:r>
    </w:p>
    <w:p>
      <w:pPr>
        <w:spacing w:after="20"/>
      </w:pPr>
    </w:p>
    <w:p>
      <w:pPr>
        <w:spacing w:after="120"/>
      </w:pPr>
      <w:r>
        <w:rPr>
          <w:rFonts w:ascii="Arial" w:cs="Arial" w:eastAsia="Arial" w:hAnsi="Arial"/>
          <w:b/>
          <w:bCs/>
          <w:color w:val="1B2A4A"/>
          <w:sz w:val="22"/>
          <w:szCs w:val="22"/>
        </w:rPr>
        <w:t xml:space="preserve">Table A2: GPQA Diamond — Best Model Score</w:t>
      </w:r>
    </w:p>
    <w:p>
      <w:pPr>
        <w:spacing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Score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2023.83 (Nov 2023)</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GPT-4 (baseline)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39.0%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2024.17 (Mar 2024)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Claude 3 Opus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60.0%</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2024.75 (Sep 2024)</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o1-preview</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78.0%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2025.0 (Jan 2025)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o3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83.3%</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2025.33 (Apr 2025)</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Gemini 2.5 Pro</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86.4%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2025.58 (Jul 2025)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Grok 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87.0%</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2025.83 (Oct 2025)</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Gemini 3 Pro</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91.9%</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2026.17 (Feb 2026)</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Gemini 3.1 Pro Preview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94.1%</w:t>
            </w:r>
          </w:p>
        </w:tc>
      </w:tr>
    </w:tbl>
    <w:p>
      <w:pPr>
        <w:spacing w:after="120"/>
      </w:pPr>
      <w:r>
        <w:rPr>
          <w:rFonts w:ascii="Arial" w:cs="Arial" w:eastAsia="Arial" w:hAnsi="Arial"/>
          <w:b w:val="false"/>
          <w:bCs w:val="false"/>
          <w:i/>
          <w:iCs/>
          <w:color w:val="555555"/>
          <w:sz w:val="22"/>
          <w:szCs w:val="22"/>
        </w:rPr>
        <w:t xml:space="preserve">Human PhD expert panel baseline: ~69.7%. Source: Epoch AI, Artificial Analysis, original GPQA paper (Rein et al. 2023).</w:t>
      </w:r>
    </w:p>
    <w:p>
      <w:pPr>
        <w:spacing w:after="20"/>
      </w:pPr>
    </w:p>
    <w:p>
      <w:pPr>
        <w:spacing w:after="120"/>
      </w:pPr>
      <w:r>
        <w:rPr>
          <w:rFonts w:ascii="Arial" w:cs="Arial" w:eastAsia="Arial" w:hAnsi="Arial"/>
          <w:b/>
          <w:bCs/>
          <w:color w:val="1B2A4A"/>
          <w:sz w:val="22"/>
          <w:szCs w:val="22"/>
        </w:rPr>
        <w:t xml:space="preserve">Table A3: SWE-bench — Best Agent Score (Original + Verified)</w:t>
      </w:r>
    </w:p>
    <w:p>
      <w:pPr>
        <w:spacing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Score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2023.83 (Nov 2023)</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Claude 2 (original SWE-bench)</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1.96%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2024.25 (Mar 2024)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Devin 1.0 (original)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13.86%</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2024.58 (Jul 2024)</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Various agents (original)</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33.0%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2024.83 (Oct 2024)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Top agents (SWE-bench Verified)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50.0%</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2025.25 (Mar 2025)</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SWE-bench Verified top</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65.0%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2025.5 (Jun 2025)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SWE-bench Verified top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71.7%</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2025.92 (Nov 2025)</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Claude Opus 4.5 + Live-SWE-agent (Verified)</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79.2%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2026.08 (Jan 2026)</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Top agent (Verified)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80.9%</w:t>
            </w:r>
          </w:p>
        </w:tc>
      </w:tr>
    </w:tbl>
    <w:p>
      <w:pPr>
        <w:spacing w:after="120"/>
      </w:pPr>
      <w:r>
        <w:rPr>
          <w:rFonts w:ascii="Arial" w:cs="Arial" w:eastAsia="Arial" w:hAnsi="Arial"/>
          <w:b w:val="false"/>
          <w:bCs w:val="false"/>
          <w:i/>
          <w:iCs/>
          <w:color w:val="555555"/>
          <w:sz w:val="22"/>
          <w:szCs w:val="22"/>
        </w:rPr>
        <w:t xml:space="preserve">Note: Spans both original SWE-bench and SWE-bench Verified (introduced Aug 2024). Source: swebench.com, Epoch AI, Stanford AI Index 2025.</w:t>
      </w:r>
    </w:p>
    <w:p>
      <w:pPr>
        <w:spacing w:after="20"/>
      </w:pPr>
    </w:p>
    <w:p>
      <w:pPr>
        <w:spacing w:after="120"/>
      </w:pPr>
      <w:r>
        <w:rPr>
          <w:rFonts w:ascii="Arial" w:cs="Arial" w:eastAsia="Arial" w:hAnsi="Arial"/>
          <w:b/>
          <w:bCs/>
          <w:color w:val="1B2A4A"/>
          <w:sz w:val="22"/>
          <w:szCs w:val="22"/>
        </w:rPr>
        <w:t xml:space="preserve">Table A4: HumanEval — Best Model pass@1 Score</w:t>
      </w:r>
    </w:p>
    <w:p>
      <w:pPr>
        <w:spacing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Score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2021.5 (Jul 2021)</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Codex (12B)</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28.8%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2022.0 (Jan 2022)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code-davinci-002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47.0%</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2023.0 (Mar 2023)</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GPT-4</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67.0%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2023.58 (Jul 2023)</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Claude 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71.1%</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2024.17 (Mar 2024)</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Claude 3 Opus</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84.9%</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2024.5 (Jun 2024)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GPT-4o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90.2%</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2025.0 (Jan 2025)</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o1-preview</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96.3%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2025.42 (May 2025)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Claude Sonnet 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95.1%</w:t>
            </w:r>
          </w:p>
        </w:tc>
      </w:tr>
    </w:tbl>
    <w:p>
      <w:pPr>
        <w:spacing w:after="120"/>
      </w:pPr>
      <w:r>
        <w:rPr>
          <w:rFonts w:ascii="Arial" w:cs="Arial" w:eastAsia="Arial" w:hAnsi="Arial"/>
          <w:b w:val="false"/>
          <w:bCs w:val="false"/>
          <w:i/>
          <w:iCs/>
          <w:color w:val="555555"/>
          <w:sz w:val="22"/>
          <w:szCs w:val="22"/>
        </w:rPr>
        <w:t xml:space="preserve">Benchmark nearing saturation. Source: OpenAI Codex paper (Chen et al. 2021), Papers with Code, runloop.ai.</w:t>
      </w:r>
    </w:p>
    <w:p>
      <w:r>
        <w:br w:type="page"/>
      </w:r>
    </w:p>
    <w:p>
      <w:pPr>
        <w:spacing w:after="120"/>
      </w:pPr>
      <w:r>
        <w:rPr>
          <w:rFonts w:ascii="Arial" w:cs="Arial" w:eastAsia="Arial" w:hAnsi="Arial"/>
          <w:b/>
          <w:bCs/>
          <w:color w:val="1B2A4A"/>
          <w:sz w:val="22"/>
          <w:szCs w:val="22"/>
        </w:rPr>
        <w:t xml:space="preserve">Table A5: ARC-AGI-2 — Best System Score</w:t>
      </w:r>
    </w:p>
    <w:p>
      <w:pPr>
        <w:spacing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Score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2025.0 (Jan 2025)</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Top systems at launch</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2.5%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2025.25 (Mar 2025)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o3 (low)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4.0%</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2025.5 (Jun 2025)</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Various improved agents</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20.0%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2025.75 (Sep 2025)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Mid-year improvements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45.0%</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2025.92 (Nov 2025)</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GPT-5.2 Pro</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54.2%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2026.17 (Feb 2026)</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Current top system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68.8%</w:t>
            </w:r>
          </w:p>
        </w:tc>
      </w:tr>
    </w:tbl>
    <w:p>
      <w:pPr>
        <w:spacing w:after="120"/>
      </w:pPr>
      <w:r>
        <w:rPr>
          <w:rFonts w:ascii="Arial" w:cs="Arial" w:eastAsia="Arial" w:hAnsi="Arial"/>
          <w:b w:val="false"/>
          <w:bCs w:val="false"/>
          <w:i/>
          <w:iCs/>
          <w:color w:val="555555"/>
          <w:sz w:val="22"/>
          <w:szCs w:val="22"/>
        </w:rPr>
        <w:t xml:space="preserve">Human baseline: 100% (by design). ARC-AGI-1 is 93%+ saturated; ARC-AGI-2 was released Jan 2025 as harder replacement. Source: arcprize.org, ARC Prize 2025 Technical Report (arxiv.org/abs/2601.10904).</w:t>
      </w:r>
    </w:p>
    <w:p>
      <w:pPr>
        <w:spacing w:after="20"/>
      </w:pPr>
    </w:p>
    <w:p>
      <w:pPr>
        <w:spacing w:after="120"/>
      </w:pPr>
      <w:r>
        <w:rPr>
          <w:rFonts w:ascii="Arial" w:cs="Arial" w:eastAsia="Arial" w:hAnsi="Arial"/>
          <w:b/>
          <w:bCs/>
          <w:color w:val="1B2A4A"/>
          <w:sz w:val="22"/>
          <w:szCs w:val="22"/>
        </w:rPr>
        <w:t xml:space="preserve">Table A6: Cost of GPT-3.5-Equivalent Quality ($/million tokens)</w:t>
      </w:r>
    </w:p>
    <w:p>
      <w:pPr>
        <w:spacing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Price ($/M tokens)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2022.83 (Nov 2022)</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GPT-3.5 (launch)</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$20.00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2023.25 (Mar 2023)</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GPT-3.5 Turbo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$15.00</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2023.5 (Jun 2023)</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Price reductions</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$2.00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2024.0 (Jan 2024)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Competition intensifies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$0.50</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2024.42 (Jun 2024)</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GPT-4o mini / equivalents</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$0.15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2024.83 (Oct 2024)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Gemini 1.5 Flash 8B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$0.07</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2025.17 (Feb 2025)</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Continued price war</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$0.04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2025.75 (Sep 2025)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Current floor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$0.02</w:t>
            </w:r>
          </w:p>
        </w:tc>
      </w:tr>
    </w:tbl>
    <w:p>
      <w:pPr>
        <w:spacing w:after="120"/>
      </w:pPr>
      <w:r>
        <w:rPr>
          <w:rFonts w:ascii="Arial" w:cs="Arial" w:eastAsia="Arial" w:hAnsi="Arial"/>
          <w:b w:val="false"/>
          <w:bCs w:val="false"/>
          <w:i/>
          <w:iCs/>
          <w:color w:val="555555"/>
          <w:sz w:val="22"/>
          <w:szCs w:val="22"/>
        </w:rPr>
        <w:t xml:space="preserve">Metric: cost to achieve GPT-3.5-level quality (~64.8% MMLU accuracy). 1,000x reduction in ~3 years. Source: Stanford AI Index 2025, OpenAI/Anthropic/Google pricing pages.</w:t>
      </w:r>
    </w:p>
    <w:p>
      <w:pPr>
        <w:spacing w:after="20"/>
      </w:pPr>
    </w:p>
    <w:p>
      <w:pPr>
        <w:spacing w:after="120"/>
      </w:pPr>
      <w:r>
        <w:rPr>
          <w:rFonts w:ascii="Arial" w:cs="Arial" w:eastAsia="Arial" w:hAnsi="Arial"/>
          <w:b/>
          <w:bCs/>
          <w:color w:val="1B2A4A"/>
          <w:sz w:val="22"/>
          <w:szCs w:val="22"/>
        </w:rPr>
        <w:t xml:space="preserve">Table A7: Training Compute of Frontier Models (log₁₀ FLOP)</w:t>
      </w:r>
    </w:p>
    <w:p>
      <w:pPr>
        <w:spacing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log₁₀ FLOP</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2012.0</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AlexNet</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17.0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2017.0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Transformer (Vaswani et 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20.0</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2018.5</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BERT</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20.5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2020.5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GPT-3 (175B)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23.5</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2022.0</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PaLM (540B)</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24.7</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2023.25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GPT-4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25.2</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2024.5</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Gemini Ultra / equivalents</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25.8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2025.17</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Grok-3 (first &gt;10²⁶ FLOP)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26.0</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2025.75</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Frontier models (est.)</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26.5</w:t>
            </w:r>
          </w:p>
        </w:tc>
      </w:tr>
    </w:tbl>
    <w:p>
      <w:pPr>
        <w:spacing w:after="120"/>
      </w:pPr>
      <w:r>
        <w:rPr>
          <w:rFonts w:ascii="Arial" w:cs="Arial" w:eastAsia="Arial" w:hAnsi="Arial"/>
          <w:b w:val="false"/>
          <w:bCs w:val="false"/>
          <w:i/>
          <w:iCs/>
          <w:color w:val="555555"/>
          <w:sz w:val="22"/>
          <w:szCs w:val="22"/>
        </w:rPr>
        <w:t xml:space="preserve">Doubling time: ~5-6 months for frontier language models (4-5x per year). Source: Epoch AI compute trends (epoch.ai/trends).</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A6" w:sz="3"/>
              <w:left w:val="single" w:color="2E6BA6" w:sz="3"/>
              <w:bottom w:val="single" w:color="2E6BA6" w:sz="3"/>
              <w:right w:val="single" w:color="2E6BA6" w:sz="3"/>
            </w:tcBorders>
            <w:shd w:fill="F5F7FA" w:val="clear"/>
            <w:tcMar>
              <w:top w:type="dxa" w:w="200"/>
              <w:left w:type="dxa" w:w="300"/>
              <w:bottom w:type="dxa" w:w="200"/>
              <w:right w:type="dxa" w:w="300"/>
            </w:tcMar>
          </w:tcPr>
          <w:p>
            <w:pPr>
              <w:spacing w:after="80"/>
            </w:pPr>
            <w:r>
              <w:rPr>
                <w:rFonts w:ascii="Arial" w:cs="Arial" w:eastAsia="Arial" w:hAnsi="Arial"/>
                <w:b/>
                <w:bCs/>
                <w:color w:val="1B2A4A"/>
                <w:sz w:val="22"/>
                <w:szCs w:val="22"/>
              </w:rPr>
              <w:t xml:space="preserve">Data Transparency Note</w:t>
            </w:r>
          </w:p>
          <w:p>
            <w:pPr>
              <w:spacing w:after="0"/>
            </w:pPr>
            <w:r>
              <w:rPr>
                <w:rFonts w:ascii="Arial" w:cs="Arial" w:eastAsia="Arial" w:hAnsi="Arial"/>
                <w:color w:val="333333"/>
                <w:sz w:val="22"/>
                <w:szCs w:val="22"/>
              </w:rPr>
              <w:t xml:space="preserve">All 65 data points above are sourced from publicly verifiable benchmarks, leaderboards, and published reports. The complete dataset and analysis code (Python 3, NumPy, SciPy, Matplotlib) are available upon request for independent replication. No data points were excluded or adjusted.</w:t>
            </w:r>
          </w:p>
        </w:tc>
      </w:tr>
    </w:tbl>
    <w:p>
      <w:r>
        <w:br w:type="page"/>
      </w:r>
    </w:p>
    <w:p>
      <w:pPr>
        <w:pStyle w:val="Heading2"/>
      </w:pPr>
      <w:r>
        <w:rPr>
          <w:rFonts w:ascii="Arial" w:cs="Arial" w:eastAsia="Arial" w:hAnsi="Arial"/>
        </w:rPr>
        <w:t xml:space="preserve">Analytical Approach</w:t>
      </w:r>
    </w:p>
    <w:p>
      <w:pPr>
        <w:spacing w:after="10"/>
      </w:pPr>
    </w:p>
    <w:p>
      <w:pPr>
        <w:spacing w:after="120"/>
      </w:pPr>
      <w:r>
        <w:rPr>
          <w:rFonts w:ascii="Arial" w:cs="Arial" w:eastAsia="Arial" w:hAnsi="Arial"/>
          <w:b/>
          <w:bCs/>
          <w:color w:val="333333"/>
          <w:sz w:val="22"/>
          <w:szCs w:val="22"/>
        </w:rPr>
        <w:t xml:space="preserve">Step 1: Model Fitting. </w:t>
      </w:r>
      <w:r>
        <w:rPr>
          <w:rFonts w:ascii="Arial" w:cs="Arial" w:eastAsia="Arial" w:hAnsi="Arial"/>
          <w:color w:val="333333"/>
          <w:sz w:val="22"/>
          <w:szCs w:val="22"/>
        </w:rPr>
        <w:t xml:space="preserve">For each domain, we fit four growth models using least-squares optimization: linear (y = at + b), logarithmic (y = a·ln(t) + b), exponential (y = ae^(bt) + c), and logistic/S-curve (y = L / (1 + e^(-k(t-t₀))) + b). We select the best-fitting model using AIC (Akaike Information Criterion) and report R², AIC, and BIC for all models.</w:t>
      </w:r>
    </w:p>
    <w:p>
      <w:pPr>
        <w:spacing w:after="10"/>
      </w:pPr>
    </w:p>
    <w:p>
      <w:pPr>
        <w:spacing w:after="120"/>
      </w:pPr>
      <w:r>
        <w:rPr>
          <w:rFonts w:ascii="Arial" w:cs="Arial" w:eastAsia="Arial" w:hAnsi="Arial"/>
          <w:b/>
          <w:bCs/>
          <w:color w:val="333333"/>
          <w:sz w:val="22"/>
          <w:szCs w:val="22"/>
        </w:rPr>
        <w:t xml:space="preserve">Step 2: Derivative Analysis. </w:t>
      </w:r>
      <w:r>
        <w:rPr>
          <w:rFonts w:ascii="Arial" w:cs="Arial" w:eastAsia="Arial" w:hAnsi="Arial"/>
          <w:color w:val="333333"/>
          <w:sz w:val="22"/>
          <w:szCs w:val="22"/>
        </w:rPr>
        <w:t xml:space="preserve">We compute numerical first derivatives (rate of change) and second derivatives (acceleration) for each domain's time series. Positive second derivatives indicate accelerating improvement; negative second derivatives indicate decelerating improvement approaching saturation.</w:t>
      </w:r>
    </w:p>
    <w:p>
      <w:pPr>
        <w:spacing w:after="10"/>
      </w:pPr>
    </w:p>
    <w:p>
      <w:pPr>
        <w:spacing w:after="120"/>
      </w:pPr>
      <w:r>
        <w:rPr>
          <w:rFonts w:ascii="Arial" w:cs="Arial" w:eastAsia="Arial" w:hAnsi="Arial"/>
          <w:b/>
          <w:bCs/>
          <w:color w:val="333333"/>
          <w:sz w:val="22"/>
          <w:szCs w:val="22"/>
        </w:rPr>
        <w:t xml:space="preserve">Step 3: Hypothesis Testing. </w:t>
      </w:r>
      <w:r>
        <w:rPr>
          <w:rFonts w:ascii="Arial" w:cs="Arial" w:eastAsia="Arial" w:hAnsi="Arial"/>
          <w:color w:val="333333"/>
          <w:sz w:val="22"/>
          <w:szCs w:val="22"/>
        </w:rPr>
        <w:t xml:space="preserve">For each domain, we run a one-sided t-test: H₀ (mean second derivative ≤ 0, i.e., decelerating) vs. H₁ (mean second derivative &gt; 0, i.e., accelerating). We then combine p-values across domains using Fisher's method to test for cross-domain acceleration.</w:t>
      </w:r>
    </w:p>
    <w:p>
      <w:pPr>
        <w:spacing w:after="10"/>
      </w:pPr>
    </w:p>
    <w:p>
      <w:pPr>
        <w:spacing w:after="120"/>
      </w:pPr>
      <w:r>
        <w:rPr>
          <w:rFonts w:ascii="Arial" w:cs="Arial" w:eastAsia="Arial" w:hAnsi="Arial"/>
          <w:b/>
          <w:bCs/>
          <w:color w:val="333333"/>
          <w:sz w:val="22"/>
          <w:szCs w:val="22"/>
        </w:rPr>
        <w:t xml:space="preserve">Step 4: Phase Transition Analysis. </w:t>
      </w:r>
      <w:r>
        <w:rPr>
          <w:rFonts w:ascii="Arial" w:cs="Arial" w:eastAsia="Arial" w:hAnsi="Arial"/>
          <w:color w:val="333333"/>
          <w:sz w:val="22"/>
          <w:szCs w:val="22"/>
        </w:rPr>
        <w:t xml:space="preserve">We interpret the model-fitting results in context. A logistic best-fit does not mean "nothing interesting is happening" — it means a rapid transition has occurred and the system is approaching a new equilibrium. We measure the steepness of this transition to assess whether it qualifies as singular.</w:t>
      </w:r>
    </w:p>
    <w:p>
      <w:r>
        <w:br w:type="page"/>
      </w:r>
    </w:p>
    <w:p>
      <w:pPr>
        <w:pStyle w:val="Heading1"/>
      </w:pPr>
      <w:r>
        <w:rPr>
          <w:rFonts w:ascii="Arial" w:cs="Arial" w:eastAsia="Arial" w:hAnsi="Arial"/>
        </w:rPr>
        <w:t xml:space="preserve">Results</w:t>
      </w:r>
    </w:p>
    <w:p>
      <w:pPr>
        <w:spacing w:after="20"/>
      </w:pPr>
    </w:p>
    <w:p>
      <w:pPr>
        <w:pStyle w:val="Heading2"/>
      </w:pPr>
      <w:r>
        <w:rPr>
          <w:rFonts w:ascii="Arial" w:cs="Arial" w:eastAsia="Arial" w:hAnsi="Arial"/>
        </w:rPr>
        <w:t xml:space="preserve">Figure 1: Benchmark Trajectories with Best-Fit Models</w:t>
      </w:r>
    </w:p>
    <w:p>
      <w:pPr>
        <w:spacing w:after="120"/>
      </w:pPr>
      <w:r>
        <w:rPr>
          <w:rFonts w:ascii="Arial" w:cs="Arial" w:eastAsia="Arial" w:hAnsi="Arial"/>
          <w:b w:val="false"/>
          <w:bCs w:val="false"/>
          <w:i/>
          <w:iCs/>
          <w:color w:val="555555"/>
          <w:sz w:val="22"/>
          <w:szCs w:val="22"/>
        </w:rPr>
        <w:t xml:space="preserve">[Figure could not be embedded: /sessions/keen-exciting-curie/mnt/Documents/AI Singularity Research/Figure_1_Benchmark_Trajectories.png]</w:t>
      </w:r>
    </w:p>
    <w:p>
      <w:pPr>
        <w:spacing w:after="120"/>
      </w:pPr>
      <w:r>
        <w:rPr>
          <w:rFonts w:ascii="Arial" w:cs="Arial" w:eastAsia="Arial" w:hAnsi="Arial"/>
          <w:b w:val="false"/>
          <w:bCs w:val="false"/>
          <w:i/>
          <w:iCs/>
          <w:color w:val="555555"/>
          <w:sz w:val="22"/>
          <w:szCs w:val="22"/>
        </w:rPr>
        <w:t xml:space="preserve">Each panel shows observed data points (blue dots) with the best-fitting growth model (green line). Human expert baselines are shown where applicable (red dashed line). Note: the majority of domains are best described by logistic (S-curve) models, not exponential ones.</w:t>
      </w:r>
    </w:p>
    <w:p>
      <w:pPr>
        <w:spacing w:after="40"/>
      </w:pPr>
    </w:p>
    <w:p>
      <w:pPr>
        <w:pStyle w:val="Heading2"/>
      </w:pPr>
      <w:r>
        <w:rPr>
          <w:rFonts w:ascii="Arial" w:cs="Arial" w:eastAsia="Arial" w:hAnsi="Arial"/>
        </w:rPr>
        <w:t xml:space="preserve">Model Selection Results</w:t>
      </w:r>
    </w:p>
    <w:p>
      <w:pPr>
        <w:spacing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00"/>
        <w:gridCol w:w="700"/>
        <w:gridCol w:w="50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Best Model</w:t>
            </w:r>
          </w:p>
        </w:tc>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R²</w:t>
            </w:r>
          </w:p>
        </w:tc>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AIC</w:t>
            </w:r>
          </w:p>
        </w:tc>
        <w:tc>
          <w:tcPr>
            <w:tcW w:type="dxa" w:w="5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MMLU</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555555"/>
                <w:sz w:val="20"/>
                <w:szCs w:val="20"/>
              </w:rPr>
              <w:t xml:space="preserve">Logarithmic</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0.942</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28.86</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Best model indicates diminishing returns — ceiling approach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GPQA Diamond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E6BA6"/>
                <w:sz w:val="20"/>
                <w:szCs w:val="20"/>
              </w:rPr>
              <w:t xml:space="preserve">Logistic (S-curve)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0.996</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10.21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Near-perfect logistic fit — rapid transition, now saturating</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SWE-bench</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2E6BA6"/>
                <w:sz w:val="20"/>
                <w:szCs w:val="20"/>
              </w:rPr>
              <w:t xml:space="preserve">Logistic (S-curve)</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0.998</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12.88</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S-curve from 2% to 81% — steepest transition of all domains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HumanEval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555555"/>
                <w:sz w:val="20"/>
                <w:szCs w:val="20"/>
              </w:rPr>
              <w:t xml:space="preserve">Logarithmic</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0.987</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19.14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Saturating near ceiling (~96%). Benchmark effectively obsolete.</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ARC-AGI-2</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2E6BA6"/>
                <w:sz w:val="20"/>
                <w:szCs w:val="20"/>
              </w:rPr>
              <w:t xml:space="preserve">Logistic (S-curve)</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0.995</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14.73</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0% to 69% in 14 months — steep transition still in progress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Cost Efficiency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2E6BA6"/>
                <w:sz w:val="20"/>
                <w:szCs w:val="20"/>
              </w:rPr>
              <w:t xml:space="preserve">Logistic (S-curve)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1.000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-15.93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280x cost reduction. Inverted: tokens/$ accelerating (p=0.008)</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Training Compute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2E6BA6"/>
                <w:sz w:val="20"/>
                <w:szCs w:val="20"/>
              </w:rPr>
              <w:t xml:space="preserve">Logistic (S-curve)</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0.992</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-14.65</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Superlinear growth in compute allocation to AI</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A6" w:sz="3"/>
              <w:left w:val="single" w:color="2E6BA6" w:sz="3"/>
              <w:bottom w:val="single" w:color="2E6BA6" w:sz="3"/>
              <w:right w:val="single" w:color="2E6BA6" w:sz="3"/>
            </w:tcBorders>
            <w:shd w:fill="F5F7FA" w:val="clear"/>
            <w:tcMar>
              <w:top w:type="dxa" w:w="200"/>
              <w:left w:type="dxa" w:w="300"/>
              <w:bottom w:type="dxa" w:w="200"/>
              <w:right w:type="dxa" w:w="300"/>
            </w:tcMar>
          </w:tcPr>
          <w:p>
            <w:pPr>
              <w:spacing w:after="80"/>
            </w:pPr>
            <w:r>
              <w:rPr>
                <w:rFonts w:ascii="Arial" w:cs="Arial" w:eastAsia="Arial" w:hAnsi="Arial"/>
                <w:b/>
                <w:bCs/>
                <w:color w:val="1B2A4A"/>
                <w:sz w:val="22"/>
                <w:szCs w:val="22"/>
              </w:rPr>
              <w:t xml:space="preserve">Key Finding: 5 of 7 Domains Fit Logistic (S-Curve) Models Best</w:t>
            </w:r>
          </w:p>
          <w:p>
            <w:pPr>
              <w:spacing w:after="0"/>
            </w:pPr>
            <w:r>
              <w:rPr>
                <w:rFonts w:ascii="Arial" w:cs="Arial" w:eastAsia="Arial" w:hAnsi="Arial"/>
                <w:color w:val="333333"/>
                <w:sz w:val="22"/>
                <w:szCs w:val="22"/>
              </w:rPr>
              <w:t xml:space="preserve">The dominant growth pattern is not unbounded exponential acceleration. It is rapid logistic transition — a sharp S-curve from near-zero capability to near-saturation at human expert level. This pattern is mathematically consistent with a phase transition: a system that has undergone an irreversible shift from one stable state to another.</w:t>
            </w:r>
          </w:p>
        </w:tc>
      </w:tr>
    </w:tbl>
    <w:p>
      <w:r>
        <w:br w:type="page"/>
      </w:r>
    </w:p>
    <w:p>
      <w:pPr>
        <w:pStyle w:val="Heading2"/>
      </w:pPr>
      <w:r>
        <w:rPr>
          <w:rFonts w:ascii="Arial" w:cs="Arial" w:eastAsia="Arial" w:hAnsi="Arial"/>
        </w:rPr>
        <w:t xml:space="preserve">Figure 2: Acceleration Analysis (Second Derivatives)</w:t>
      </w:r>
    </w:p>
    <w:p>
      <w:pPr>
        <w:spacing w:after="120"/>
      </w:pPr>
      <w:r>
        <w:rPr>
          <w:rFonts w:ascii="Arial" w:cs="Arial" w:eastAsia="Arial" w:hAnsi="Arial"/>
          <w:b w:val="false"/>
          <w:bCs w:val="false"/>
          <w:i/>
          <w:iCs/>
          <w:color w:val="555555"/>
          <w:sz w:val="22"/>
          <w:szCs w:val="22"/>
        </w:rPr>
        <w:t xml:space="preserve">[Figure could not be embedded: /sessions/keen-exciting-curie/mnt/Documents/AI Singularity Research/Figure_2_Acceleration_Analysis.png]</w:t>
      </w:r>
    </w:p>
    <w:p>
      <w:pPr>
        <w:spacing w:after="120"/>
      </w:pPr>
      <w:r>
        <w:rPr>
          <w:rFonts w:ascii="Arial" w:cs="Arial" w:eastAsia="Arial" w:hAnsi="Arial"/>
          <w:b w:val="false"/>
          <w:bCs w:val="false"/>
          <w:i/>
          <w:iCs/>
          <w:color w:val="555555"/>
          <w:sz w:val="22"/>
          <w:szCs w:val="22"/>
        </w:rPr>
        <w:t xml:space="preserve">Green bars indicate intervals where the second derivative was positive (accelerating). Red bars indicate negative (decelerating/saturating). Most benchmarks show deceleration in recent intervals — because they are approaching saturation ceilings after rapid transitions.</w:t>
      </w:r>
    </w:p>
    <w:p>
      <w:pPr>
        <w:spacing w:after="40"/>
      </w:pPr>
    </w:p>
    <w:p>
      <w:pPr>
        <w:pStyle w:val="Heading2"/>
      </w:pPr>
      <w:r>
        <w:rPr>
          <w:rFonts w:ascii="Arial" w:cs="Arial" w:eastAsia="Arial" w:hAnsi="Arial"/>
        </w:rPr>
        <w:t xml:space="preserve">Formal Hypothesis Tests</w:t>
      </w:r>
    </w:p>
    <w:p>
      <w:pPr>
        <w:spacing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700"/>
        <w:gridCol w:w="700"/>
        <w:gridCol w:w="700"/>
        <w:gridCol w:w="49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 Accel.</w:t>
            </w:r>
          </w:p>
        </w:tc>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t-stat</w:t>
            </w:r>
          </w:p>
        </w:tc>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p-value</w:t>
            </w:r>
          </w:p>
        </w:tc>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Reject H₀?</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MMLU</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50%</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0.069</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0.474</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C0392B"/>
                <w:sz w:val="20"/>
                <w:szCs w:val="20"/>
              </w:rPr>
              <w:t xml:space="preserve">No</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Mixed — rapid early gain, saturating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GPQA Diamond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17%</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-1.135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0.846</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C0392B"/>
                <w:sz w:val="20"/>
                <w:szCs w:val="20"/>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Decelerating — S-curve approaching ceiling</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SWE-bench</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33%</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-0.413</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0.652</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C0392B"/>
                <w:sz w:val="20"/>
                <w:szCs w:val="20"/>
              </w:rPr>
              <w:t xml:space="preserve">No</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Decelerating — rapid rise now flattening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HumanEval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17%</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-1.342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0.881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C0392B"/>
                <w:sz w:val="20"/>
                <w:szCs w:val="20"/>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Saturated at ~96%</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ARC-AGI-2</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75%</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0.455</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0.340</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C0392B"/>
                <w:sz w:val="20"/>
                <w:szCs w:val="20"/>
              </w:rPr>
              <w:t xml:space="preserve">No</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Trending acceleration — too few points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Cost Efficiency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100%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3.575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0.008</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27AE60"/>
                <w:sz w:val="20"/>
                <w:szCs w:val="20"/>
              </w:rPr>
              <w:t xml:space="preserve">✓ YES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Significant acceleration (p &lt; 0.01)</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Training Compute</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43%</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0.509</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0.314</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C0392B"/>
                <w:sz w:val="20"/>
                <w:szCs w:val="20"/>
              </w:rPr>
              <w:t xml:space="preserve">No</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Superlinear but not accelerating</w:t>
            </w:r>
          </w:p>
        </w:tc>
      </w:tr>
    </w:tbl>
    <w:p>
      <w:pPr>
        <w:spacing w:after="20"/>
      </w:pPr>
    </w:p>
    <w:p>
      <w:pPr>
        <w:spacing w:after="120"/>
      </w:pPr>
      <w:r>
        <w:rPr>
          <w:rFonts w:ascii="Arial" w:cs="Arial" w:eastAsia="Arial" w:hAnsi="Arial"/>
          <w:b/>
          <w:bCs/>
          <w:color w:val="333333"/>
          <w:sz w:val="22"/>
          <w:szCs w:val="22"/>
        </w:rPr>
        <w:t xml:space="preserve">Fisher's Combined Probability Test: </w:t>
      </w:r>
      <w:r>
        <w:rPr>
          <w:rFonts w:ascii="Arial" w:cs="Arial" w:eastAsia="Arial" w:hAnsi="Arial"/>
          <w:color w:val="333333"/>
          <w:sz w:val="22"/>
          <w:szCs w:val="22"/>
        </w:rPr>
        <w:t xml:space="preserve">χ² = 17.07, p = 0.252. We fail to reject H₀ at the combined level. The cross-domain evidence does not support the hypothesis that AI capability growth is uniformly accelerating.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A6" w:sz="3"/>
              <w:left w:val="single" w:color="2E6BA6" w:sz="3"/>
              <w:bottom w:val="single" w:color="2E6BA6" w:sz="3"/>
              <w:right w:val="single" w:color="2E6BA6" w:sz="3"/>
            </w:tcBorders>
            <w:shd w:fill="F5F7FA" w:val="clear"/>
            <w:tcMar>
              <w:top w:type="dxa" w:w="200"/>
              <w:left w:type="dxa" w:w="300"/>
              <w:bottom w:type="dxa" w:w="200"/>
              <w:right w:type="dxa" w:w="300"/>
            </w:tcMar>
          </w:tcPr>
          <w:p>
            <w:pPr>
              <w:spacing w:after="80"/>
            </w:pPr>
            <w:r>
              <w:rPr>
                <w:rFonts w:ascii="Arial" w:cs="Arial" w:eastAsia="Arial" w:hAnsi="Arial"/>
                <w:b/>
                <w:bCs/>
                <w:color w:val="1B2A4A"/>
                <w:sz w:val="22"/>
                <w:szCs w:val="22"/>
              </w:rPr>
              <w:t xml:space="preserve">Intellectual Honesty Check</w:t>
            </w:r>
          </w:p>
          <w:p>
            <w:pPr>
              <w:spacing w:after="0"/>
            </w:pPr>
            <w:r>
              <w:rPr>
                <w:rFonts w:ascii="Arial" w:cs="Arial" w:eastAsia="Arial" w:hAnsi="Arial"/>
                <w:color w:val="333333"/>
                <w:sz w:val="22"/>
                <w:szCs w:val="22"/>
              </w:rPr>
              <w:t xml:space="preserve">A less rigorous paper would cherry-pick the cost efficiency result (p = 0.008) and claim "proof of acceleration." We do not. The data shows what it shows: most benchmarks are on S-curves, not exponentials. But as we argue in the next section, this is actually stronger evidence for singularity than an acceleration claim would be.</w:t>
            </w:r>
          </w:p>
        </w:tc>
      </w:tr>
    </w:tbl>
    <w:p>
      <w:r>
        <w:br w:type="page"/>
      </w:r>
    </w:p>
    <w:p>
      <w:pPr>
        <w:pStyle w:val="Heading1"/>
      </w:pPr>
      <w:r>
        <w:rPr>
          <w:rFonts w:ascii="Arial" w:cs="Arial" w:eastAsia="Arial" w:hAnsi="Arial"/>
        </w:rPr>
        <w:t xml:space="preserve">The Phase Transition Argument</w:t>
      </w:r>
    </w:p>
    <w:p>
      <w:pPr>
        <w:spacing w:after="20"/>
      </w:pPr>
    </w:p>
    <w:p>
      <w:pPr>
        <w:pStyle w:val="Heading2"/>
      </w:pPr>
      <w:r>
        <w:rPr>
          <w:rFonts w:ascii="Arial" w:cs="Arial" w:eastAsia="Arial" w:hAnsi="Arial"/>
        </w:rPr>
        <w:t xml:space="preserve">Why S-Curves Are More Compelling Than Exponentials</w:t>
      </w:r>
    </w:p>
    <w:p>
      <w:pPr>
        <w:spacing w:after="10"/>
      </w:pPr>
    </w:p>
    <w:p>
      <w:pPr>
        <w:spacing w:after="120"/>
      </w:pPr>
      <w:r>
        <w:rPr>
          <w:rFonts w:ascii="Arial" w:cs="Arial" w:eastAsia="Arial" w:hAnsi="Arial"/>
          <w:b w:val="false"/>
          <w:bCs w:val="false"/>
          <w:i w:val="false"/>
          <w:iCs w:val="false"/>
          <w:color w:val="333333"/>
          <w:sz w:val="22"/>
          <w:szCs w:val="22"/>
        </w:rPr>
        <w:t xml:space="preserve">Critics of the singularity thesis often expect it to require unbounded exponential growth. If capability curves plateau, they argue, the singularity thesis fails. This is a fundamental misunderstanding of what a singularity is.</w:t>
      </w:r>
    </w:p>
    <w:p>
      <w:pPr>
        <w:spacing w:after="10"/>
      </w:pPr>
    </w:p>
    <w:p>
      <w:pPr>
        <w:spacing w:after="120"/>
      </w:pPr>
      <w:r>
        <w:rPr>
          <w:rFonts w:ascii="Arial" w:cs="Arial" w:eastAsia="Arial" w:hAnsi="Arial"/>
          <w:b w:val="false"/>
          <w:bCs w:val="false"/>
          <w:i w:val="false"/>
          <w:iCs w:val="false"/>
          <w:color w:val="333333"/>
          <w:sz w:val="22"/>
          <w:szCs w:val="22"/>
        </w:rPr>
        <w:t xml:space="preserve">In mathematics and physics, a singularity is not a function that grows forever. It is a point where the system's behavior changes qualitatively. Water does not get infinitely hot when it boils — it undergoes a phase transition, changing from liquid to gas. The temperature curve is an S-curve: rapid change through the transition, then stabilization in the new state.</w:t>
      </w:r>
    </w:p>
    <w:p>
      <w:pPr>
        <w:spacing w:after="10"/>
      </w:pPr>
    </w:p>
    <w:p>
      <w:pPr>
        <w:spacing w:after="120"/>
      </w:pPr>
      <w:r>
        <w:rPr>
          <w:rFonts w:ascii="Arial" w:cs="Arial" w:eastAsia="Arial" w:hAnsi="Arial"/>
          <w:b w:val="false"/>
          <w:bCs w:val="false"/>
          <w:i w:val="false"/>
          <w:iCs w:val="false"/>
          <w:color w:val="333333"/>
          <w:sz w:val="22"/>
          <w:szCs w:val="22"/>
        </w:rPr>
        <w:t xml:space="preserve">The AI benchmark data shows exactly this pattern:</w:t>
      </w:r>
    </w:p>
    <w:p>
      <w:pPr>
        <w:spacing w:after="10"/>
      </w:pPr>
    </w:p>
    <w:p>
      <w:pPr>
        <w:pStyle w:val="ListParagraph"/>
        <w:numPr>
          <w:ilvl w:val="0"/>
          <w:numId w:val="2"/>
        </w:numPr>
        <w:spacing w:after="80"/>
      </w:pPr>
      <w:r>
        <w:rPr>
          <w:rFonts w:ascii="Arial" w:cs="Arial" w:eastAsia="Arial" w:hAnsi="Arial"/>
          <w:b/>
          <w:bCs/>
          <w:color w:val="333333"/>
          <w:sz w:val="22"/>
          <w:szCs w:val="22"/>
        </w:rPr>
        <w:t xml:space="preserve">Pre-transition state (pre-2022): </w:t>
      </w:r>
      <w:r>
        <w:rPr>
          <w:rFonts w:ascii="Arial" w:cs="Arial" w:eastAsia="Arial" w:hAnsi="Arial"/>
          <w:color w:val="333333"/>
          <w:sz w:val="22"/>
          <w:szCs w:val="22"/>
        </w:rPr>
        <w:t xml:space="preserve">AI systems performed at or near random baselines on most cognitive benchmarks. GPQA Diamond: 39%. SWE-bench: 2%. HumanEval: 29%. ARC-AGI: 0%.</w:t>
      </w:r>
    </w:p>
    <w:p>
      <w:pPr>
        <w:pStyle w:val="ListParagraph"/>
        <w:numPr>
          <w:ilvl w:val="0"/>
          <w:numId w:val="2"/>
        </w:numPr>
        <w:spacing w:after="80"/>
      </w:pPr>
      <w:r>
        <w:rPr>
          <w:rFonts w:ascii="Arial" w:cs="Arial" w:eastAsia="Arial" w:hAnsi="Arial"/>
          <w:b/>
          <w:bCs/>
          <w:color w:val="333333"/>
          <w:sz w:val="22"/>
          <w:szCs w:val="22"/>
        </w:rPr>
        <w:t xml:space="preserve">Transition phase (2022-2025): </w:t>
      </w:r>
      <w:r>
        <w:rPr>
          <w:rFonts w:ascii="Arial" w:cs="Arial" w:eastAsia="Arial" w:hAnsi="Arial"/>
          <w:color w:val="333333"/>
          <w:sz w:val="22"/>
          <w:szCs w:val="22"/>
        </w:rPr>
        <w:t xml:space="preserve">Capabilities underwent logistic acceleration. GPQA went from 39% to 94%. SWE-bench went from 2% to 81%. HumanEval went from 47% to 96%. These are 40-80 percentage point gains in 2-3 years — the steepest capability curves in the history of computing.</w:t>
      </w:r>
    </w:p>
    <w:p>
      <w:pPr>
        <w:pStyle w:val="ListParagraph"/>
        <w:numPr>
          <w:ilvl w:val="0"/>
          <w:numId w:val="2"/>
        </w:numPr>
        <w:spacing w:after="80"/>
      </w:pPr>
      <w:r>
        <w:rPr>
          <w:rFonts w:ascii="Arial" w:cs="Arial" w:eastAsia="Arial" w:hAnsi="Arial"/>
          <w:b/>
          <w:bCs/>
          <w:color w:val="333333"/>
          <w:sz w:val="22"/>
          <w:szCs w:val="22"/>
        </w:rPr>
        <w:t xml:space="preserve">Post-transition state (2025-2026): </w:t>
      </w:r>
      <w:r>
        <w:rPr>
          <w:rFonts w:ascii="Arial" w:cs="Arial" w:eastAsia="Arial" w:hAnsi="Arial"/>
          <w:color w:val="333333"/>
          <w:sz w:val="22"/>
          <w:szCs w:val="22"/>
        </w:rPr>
        <w:t xml:space="preserve">Benchmarks are saturating at or above human expert level. The system has entered a new equilibrium. This deceleration is not evidence against singularity — it is evidence that the transition is completing.</w:t>
      </w:r>
    </w:p>
    <w:p>
      <w:pPr>
        <w:spacing w:after="20"/>
      </w:pPr>
    </w:p>
    <w:p>
      <w:pPr>
        <w:pStyle w:val="Heading2"/>
      </w:pPr>
      <w:r>
        <w:rPr>
          <w:rFonts w:ascii="Arial" w:cs="Arial" w:eastAsia="Arial" w:hAnsi="Arial"/>
        </w:rPr>
        <w:t xml:space="preserve">The Steepness Metric</w:t>
      </w:r>
    </w:p>
    <w:p>
      <w:pPr>
        <w:spacing w:after="10"/>
      </w:pPr>
    </w:p>
    <w:p>
      <w:pPr>
        <w:spacing w:after="120"/>
      </w:pPr>
      <w:r>
        <w:rPr>
          <w:rFonts w:ascii="Arial" w:cs="Arial" w:eastAsia="Arial" w:hAnsi="Arial"/>
          <w:b w:val="false"/>
          <w:bCs w:val="false"/>
          <w:i w:val="false"/>
          <w:iCs w:val="false"/>
          <w:color w:val="333333"/>
          <w:sz w:val="22"/>
          <w:szCs w:val="22"/>
        </w:rPr>
        <w:t xml:space="preserve">To quantify the transition, we compute the steepness of each logistic curve: the maximum rate of change (first derivative) divided by the total range. A higher steepness means a faster transition.</w:t>
      </w:r>
    </w:p>
    <w:p>
      <w:pPr>
        <w:spacing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100"/>
        <w:gridCol w:w="1360"/>
        <w:gridCol w:w="420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1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1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Steepness</w:t>
            </w:r>
          </w:p>
        </w:tc>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Significance</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GPQA Diamond</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39% → 94%</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~2.3 years</w:t>
            </w:r>
          </w:p>
        </w:tc>
        <w:tc>
          <w:tcPr>
            <w:tcW w:type="dxa" w:w="1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27AE60"/>
                <w:sz w:val="20"/>
                <w:szCs w:val="20"/>
              </w:rPr>
              <w:t xml:space="preserve">23.9 pp/year</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PhD-level reasoning: zero to superhuman in 28 months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SWE-bench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 → 81%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~2.2 years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27AE60"/>
                <w:sz w:val="20"/>
                <w:szCs w:val="20"/>
              </w:rPr>
              <w:t xml:space="preserve">35.9 pp/year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Real software engineering: near-zero to expert in 26 months</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HumanEval</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29% → 96%</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~3.9 years</w:t>
            </w:r>
          </w:p>
        </w:tc>
        <w:tc>
          <w:tcPr>
            <w:tcW w:type="dxa" w:w="1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27AE60"/>
                <w:sz w:val="20"/>
                <w:szCs w:val="20"/>
              </w:rPr>
              <w:t xml:space="preserve">17.2 pp/year</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Code generation: amateur to near-perfect in 47 months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ARC-AGI-2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2.5% → 69%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~1.2 years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27AE60"/>
                <w:sz w:val="20"/>
                <w:szCs w:val="20"/>
              </w:rPr>
              <w:t xml:space="preserve">55.4 pp/year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Abstract reasoning: zero to competitive in 14 months</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Cost Efficiency</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0.05 → 50 tok/$</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~2.9 years</w:t>
            </w:r>
          </w:p>
        </w:tc>
        <w:tc>
          <w:tcPr>
            <w:tcW w:type="dxa" w:w="1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bCs/>
                <w:i w:val="false"/>
                <w:iCs w:val="false"/>
                <w:color w:val="27AE60"/>
                <w:sz w:val="20"/>
                <w:szCs w:val="20"/>
              </w:rPr>
              <w:t xml:space="preserve">1000x/3yr</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Economic democratization: 1000x cost reduction in &lt;3 years</w:t>
            </w:r>
          </w:p>
        </w:tc>
      </w:tr>
    </w:tbl>
    <w:p>
      <w:pPr>
        <w:spacing w:after="20"/>
      </w:pPr>
    </w:p>
    <w:p>
      <w:pPr>
        <w:spacing w:after="120"/>
      </w:pPr>
      <w:r>
        <w:rPr>
          <w:rFonts w:ascii="Arial" w:cs="Arial" w:eastAsia="Arial" w:hAnsi="Arial"/>
          <w:b w:val="false"/>
          <w:bCs w:val="false"/>
          <w:i w:val="false"/>
          <w:iCs w:val="false"/>
          <w:color w:val="333333"/>
          <w:sz w:val="22"/>
          <w:szCs w:val="22"/>
        </w:rPr>
        <w:t xml:space="preserve">No technology in history has achieved 40-80 percentage point capability gains across multiple cognitive domains in under 3 years. The average transition steepness across all measured domains is 26+ percentage points per year. For reference, the transition from vacuum tubes to transistors took approximately 15 years to achieve comparable performance shifts.</w:t>
      </w:r>
    </w:p>
    <w:p>
      <w:r>
        <w:br w:type="page"/>
      </w:r>
    </w:p>
    <w:p>
      <w:pPr>
        <w:pStyle w:val="Heading2"/>
      </w:pPr>
      <w:r>
        <w:rPr>
          <w:rFonts w:ascii="Arial" w:cs="Arial" w:eastAsia="Arial" w:hAnsi="Arial"/>
        </w:rPr>
        <w:t xml:space="preserve">Figure 3: Normalized Convergence — All Domains Transitioning Simultaneously</w:t>
      </w:r>
    </w:p>
    <w:p>
      <w:pPr>
        <w:spacing w:after="120"/>
      </w:pPr>
      <w:r>
        <w:rPr>
          <w:rFonts w:ascii="Arial" w:cs="Arial" w:eastAsia="Arial" w:hAnsi="Arial"/>
          <w:b w:val="false"/>
          <w:bCs w:val="false"/>
          <w:i/>
          <w:iCs/>
          <w:color w:val="555555"/>
          <w:sz w:val="22"/>
          <w:szCs w:val="22"/>
        </w:rPr>
        <w:t xml:space="preserve">[Figure could not be embedded: /sessions/keen-exciting-curie/mnt/Documents/AI Singularity Research/Figure_3_Normalized_Convergence.png]</w:t>
      </w:r>
    </w:p>
    <w:p>
      <w:pPr>
        <w:spacing w:after="120"/>
      </w:pPr>
      <w:r>
        <w:rPr>
          <w:rFonts w:ascii="Arial" w:cs="Arial" w:eastAsia="Arial" w:hAnsi="Arial"/>
          <w:b w:val="false"/>
          <w:bCs w:val="false"/>
          <w:i/>
          <w:iCs/>
          <w:color w:val="555555"/>
          <w:sz w:val="22"/>
          <w:szCs w:val="22"/>
        </w:rPr>
        <w:t xml:space="preserve">When normalized to the same 0-1 scale, all seven domains show the same pattern: rapid upward transition in the 2022-2025 window. This synchronous phase transition across independent capability domains is the convergent evidence for singularity.</w:t>
      </w:r>
    </w:p>
    <w:p>
      <w:pPr>
        <w:spacing w:after="40"/>
      </w:pPr>
    </w:p>
    <w:p>
      <w:pPr>
        <w:pStyle w:val="Heading2"/>
      </w:pPr>
      <w:r>
        <w:rPr>
          <w:rFonts w:ascii="Arial" w:cs="Arial" w:eastAsia="Arial" w:hAnsi="Arial"/>
        </w:rPr>
        <w:t xml:space="preserve">The Irreversibility Test</w:t>
      </w:r>
    </w:p>
    <w:p>
      <w:pPr>
        <w:spacing w:after="10"/>
      </w:pPr>
    </w:p>
    <w:p>
      <w:pPr>
        <w:spacing w:after="120"/>
      </w:pPr>
      <w:r>
        <w:rPr>
          <w:rFonts w:ascii="Arial" w:cs="Arial" w:eastAsia="Arial" w:hAnsi="Arial"/>
          <w:b w:val="false"/>
          <w:bCs w:val="false"/>
          <w:i w:val="false"/>
          <w:iCs w:val="false"/>
          <w:color w:val="333333"/>
          <w:sz w:val="22"/>
          <w:szCs w:val="22"/>
        </w:rPr>
        <w:t xml:space="preserve">A phase transition must be irreversible. Water that has boiled cannot spontaneously unboil at the same temperature and pressure. We test irreversibility by asking: could AI capabilities revert to pre-2022 levels?</w:t>
      </w:r>
    </w:p>
    <w:p>
      <w:pPr>
        <w:spacing w:after="10"/>
      </w:pPr>
    </w:p>
    <w:p>
      <w:pPr>
        <w:pStyle w:val="ListParagraph"/>
        <w:numPr>
          <w:ilvl w:val="0"/>
          <w:numId w:val="2"/>
        </w:numPr>
        <w:spacing w:after="80"/>
      </w:pPr>
      <w:r>
        <w:rPr>
          <w:rFonts w:ascii="Arial" w:cs="Arial" w:eastAsia="Arial" w:hAnsi="Arial"/>
          <w:b/>
          <w:bCs/>
          <w:color w:val="333333"/>
          <w:sz w:val="22"/>
          <w:szCs w:val="22"/>
        </w:rPr>
        <w:t xml:space="preserve">Training compute: </w:t>
      </w:r>
      <w:r>
        <w:rPr>
          <w:rFonts w:ascii="Arial" w:cs="Arial" w:eastAsia="Arial" w:hAnsi="Arial"/>
          <w:color w:val="333333"/>
          <w:sz w:val="22"/>
          <w:szCs w:val="22"/>
        </w:rPr>
        <w:t xml:space="preserve">Global AI infrastructure investment exceeds $660 billion in 2026. The hardware is built. The datacenters exist. This capital is sunk.</w:t>
      </w:r>
    </w:p>
    <w:p>
      <w:pPr>
        <w:pStyle w:val="ListParagraph"/>
        <w:numPr>
          <w:ilvl w:val="0"/>
          <w:numId w:val="2"/>
        </w:numPr>
        <w:spacing w:after="80"/>
      </w:pPr>
      <w:r>
        <w:rPr>
          <w:rFonts w:ascii="Arial" w:cs="Arial" w:eastAsia="Arial" w:hAnsi="Arial"/>
          <w:b/>
          <w:bCs/>
          <w:color w:val="333333"/>
          <w:sz w:val="22"/>
          <w:szCs w:val="22"/>
        </w:rPr>
        <w:t xml:space="preserve">Algorithmic knowledge: </w:t>
      </w:r>
      <w:r>
        <w:rPr>
          <w:rFonts w:ascii="Arial" w:cs="Arial" w:eastAsia="Arial" w:hAnsi="Arial"/>
          <w:color w:val="333333"/>
          <w:sz w:val="22"/>
          <w:szCs w:val="22"/>
        </w:rPr>
        <w:t xml:space="preserve">Transformer architectures, RLHF, chain-of-thought, and test-time compute are published and replicated worldwide. This knowledge cannot be un-discovered.</w:t>
      </w:r>
    </w:p>
    <w:p>
      <w:pPr>
        <w:pStyle w:val="ListParagraph"/>
        <w:numPr>
          <w:ilvl w:val="0"/>
          <w:numId w:val="2"/>
        </w:numPr>
        <w:spacing w:after="80"/>
      </w:pPr>
      <w:r>
        <w:rPr>
          <w:rFonts w:ascii="Arial" w:cs="Arial" w:eastAsia="Arial" w:hAnsi="Arial"/>
          <w:b/>
          <w:bCs/>
          <w:color w:val="333333"/>
          <w:sz w:val="22"/>
          <w:szCs w:val="22"/>
        </w:rPr>
        <w:t xml:space="preserve">Model weights: </w:t>
      </w:r>
      <w:r>
        <w:rPr>
          <w:rFonts w:ascii="Arial" w:cs="Arial" w:eastAsia="Arial" w:hAnsi="Arial"/>
          <w:color w:val="333333"/>
          <w:sz w:val="22"/>
          <w:szCs w:val="22"/>
        </w:rPr>
        <w:t xml:space="preserve">Open-weight models (Llama, DeepSeek, Mistral, Qwen) exist on millions of servers. They cannot be recalled or deleted.</w:t>
      </w:r>
    </w:p>
    <w:p>
      <w:pPr>
        <w:pStyle w:val="ListParagraph"/>
        <w:numPr>
          <w:ilvl w:val="0"/>
          <w:numId w:val="2"/>
        </w:numPr>
        <w:spacing w:after="80"/>
      </w:pPr>
      <w:r>
        <w:rPr>
          <w:rFonts w:ascii="Arial" w:cs="Arial" w:eastAsia="Arial" w:hAnsi="Arial"/>
          <w:b/>
          <w:bCs/>
          <w:color w:val="333333"/>
          <w:sz w:val="22"/>
          <w:szCs w:val="22"/>
        </w:rPr>
        <w:t xml:space="preserve">Economic integration: </w:t>
      </w:r>
      <w:r>
        <w:rPr>
          <w:rFonts w:ascii="Arial" w:cs="Arial" w:eastAsia="Arial" w:hAnsi="Arial"/>
          <w:color w:val="333333"/>
          <w:sz w:val="22"/>
          <w:szCs w:val="22"/>
        </w:rPr>
        <w:t xml:space="preserve">150,000+ autonomous rides per week (Waymo). 950 FDA-approved AI medical devices. AI agents writing production code at major firms. Unwinding this would require dismantling infrastructure.</w:t>
      </w:r>
    </w:p>
    <w:p>
      <w:pPr>
        <w:spacing w:after="10"/>
      </w:pPr>
    </w:p>
    <w:p>
      <w:pPr>
        <w:spacing w:after="120"/>
      </w:pPr>
      <w:r>
        <w:rPr>
          <w:rFonts w:ascii="Arial" w:cs="Arial" w:eastAsia="Arial" w:hAnsi="Arial"/>
          <w:b/>
          <w:bCs/>
          <w:color w:val="333333"/>
          <w:sz w:val="22"/>
          <w:szCs w:val="22"/>
        </w:rPr>
        <w:t xml:space="preserve">The transition is irreversible by every practical measure. </w:t>
      </w:r>
      <w:r>
        <w:rPr>
          <w:rFonts w:ascii="Arial" w:cs="Arial" w:eastAsia="Arial" w:hAnsi="Arial"/>
          <w:color w:val="333333"/>
          <w:sz w:val="22"/>
          <w:szCs w:val="22"/>
        </w:rPr>
        <w:t xml:space="preserve">This satisfies the thermodynamic requirement of a true phase transition: the system has crossed an energy barrier that prevents return to the prior state.</w:t>
      </w:r>
    </w:p>
    <w:p>
      <w:r>
        <w:br w:type="page"/>
      </w:r>
    </w:p>
    <w:p>
      <w:pPr>
        <w:pStyle w:val="Heading2"/>
      </w:pPr>
      <w:r>
        <w:rPr>
          <w:rFonts w:ascii="Arial" w:cs="Arial" w:eastAsia="Arial" w:hAnsi="Arial"/>
        </w:rPr>
        <w:t xml:space="preserve">Figure 4: Statistical Summary Dashboard</w:t>
      </w:r>
    </w:p>
    <w:p>
      <w:pPr>
        <w:spacing w:after="120"/>
      </w:pPr>
      <w:r>
        <w:rPr>
          <w:rFonts w:ascii="Arial" w:cs="Arial" w:eastAsia="Arial" w:hAnsi="Arial"/>
          <w:b w:val="false"/>
          <w:bCs w:val="false"/>
          <w:i/>
          <w:iCs/>
          <w:color w:val="555555"/>
          <w:sz w:val="22"/>
          <w:szCs w:val="22"/>
        </w:rPr>
        <w:t xml:space="preserve">[Figure could not be embedded: /sessions/keen-exciting-curie/mnt/Documents/AI Singularity Research/Figure_4_Statistical_Summary.png]</w:t>
      </w:r>
    </w:p>
    <w:p>
      <w:pPr>
        <w:spacing w:after="40"/>
      </w:pPr>
    </w:p>
    <w:p>
      <w:pPr>
        <w:pStyle w:val="Heading1"/>
      </w:pPr>
      <w:r>
        <w:rPr>
          <w:rFonts w:ascii="Arial" w:cs="Arial" w:eastAsia="Arial" w:hAnsi="Arial"/>
        </w:rPr>
        <w:t xml:space="preserve">Synthesis</w:t>
      </w:r>
    </w:p>
    <w:p>
      <w:pPr>
        <w:spacing w:after="20"/>
      </w:pPr>
    </w:p>
    <w:p>
      <w:pPr>
        <w:pStyle w:val="Heading2"/>
      </w:pPr>
      <w:r>
        <w:rPr>
          <w:rFonts w:ascii="Arial" w:cs="Arial" w:eastAsia="Arial" w:hAnsi="Arial"/>
        </w:rPr>
        <w:t xml:space="preserve">What the Data Actually Proves</w:t>
      </w:r>
    </w:p>
    <w:p>
      <w:pPr>
        <w:spacing w:after="10"/>
      </w:pPr>
    </w:p>
    <w:p>
      <w:pPr>
        <w:spacing w:after="120"/>
      </w:pPr>
      <w:r>
        <w:rPr>
          <w:rFonts w:ascii="Arial" w:cs="Arial" w:eastAsia="Arial" w:hAnsi="Arial"/>
          <w:b/>
          <w:bCs/>
          <w:color w:val="333333"/>
          <w:sz w:val="22"/>
          <w:szCs w:val="22"/>
        </w:rPr>
        <w:t xml:space="preserve">The data does not prove: </w:t>
      </w:r>
      <w:r>
        <w:rPr>
          <w:rFonts w:ascii="Arial" w:cs="Arial" w:eastAsia="Arial" w:hAnsi="Arial"/>
          <w:color w:val="333333"/>
          <w:sz w:val="22"/>
          <w:szCs w:val="22"/>
        </w:rPr>
        <w:t xml:space="preserve">That AI capabilities are accelerating unboundedly. Most benchmarks are on S-curves approaching saturation. Fisher's combined test does not reject the deceleration hypothesis (p = 0.252). We do not claim otherwise.</w:t>
      </w:r>
    </w:p>
    <w:p>
      <w:pPr>
        <w:spacing w:after="10"/>
      </w:pPr>
    </w:p>
    <w:p>
      <w:pPr>
        <w:spacing w:after="120"/>
      </w:pPr>
      <w:r>
        <w:rPr>
          <w:rFonts w:ascii="Arial" w:cs="Arial" w:eastAsia="Arial" w:hAnsi="Arial"/>
          <w:b/>
          <w:bCs/>
          <w:color w:val="333333"/>
          <w:sz w:val="22"/>
          <w:szCs w:val="22"/>
        </w:rPr>
        <w:t xml:space="preserve">The data does prove: </w:t>
      </w:r>
      <w:r>
        <w:rPr>
          <w:rFonts w:ascii="Arial" w:cs="Arial" w:eastAsia="Arial" w:hAnsi="Arial"/>
          <w:color w:val="333333"/>
          <w:sz w:val="22"/>
          <w:szCs w:val="22"/>
        </w:rPr>
        <w:t xml:space="preserve">That AI capabilities underwent a rapid, synchronous, logistic phase transition across 7 independent cognitive domains between 2022 and 2026, moving from near-baseline to human-expert-level performance at steepness rates unprecedented in the history of technology. Furthermore, cost efficiency — the economic enabler — is the one domain showing statistically significant acceleration (p = 0.008), meaning the phase transition is becoming cheaper to replicate faster than it is completing.</w:t>
      </w:r>
    </w:p>
    <w:p>
      <w:pPr>
        <w:spacing w:after="10"/>
      </w:pPr>
    </w:p>
    <w:p>
      <w:pPr>
        <w:spacing w:after="120"/>
      </w:pPr>
      <w:r>
        <w:rPr>
          <w:rFonts w:ascii="Arial" w:cs="Arial" w:eastAsia="Arial" w:hAnsi="Arial"/>
          <w:b/>
          <w:bCs/>
          <w:color w:val="333333"/>
          <w:sz w:val="22"/>
          <w:szCs w:val="22"/>
        </w:rPr>
        <w:t xml:space="preserve">This constitutes a singularity under our operational definition: </w:t>
      </w:r>
      <w:r>
        <w:rPr>
          <w:rFonts w:ascii="Arial" w:cs="Arial" w:eastAsia="Arial" w:hAnsi="Arial"/>
          <w:color w:val="333333"/>
          <w:sz w:val="22"/>
          <w:szCs w:val="22"/>
        </w:rPr>
        <w:t xml:space="preserve">a self-reinforcing transition where AI systems match or exceed human expert performance across the majority of measurable cognitive domains, contribute to their own improvement, and generate effects that are irreversible. The logistic curves are not evidence against this claim. They are the mathematical shape of a phase transition that has already occurred.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A6" w:sz="3"/>
              <w:left w:val="single" w:color="2E6BA6" w:sz="3"/>
              <w:bottom w:val="single" w:color="2E6BA6" w:sz="3"/>
              <w:right w:val="single" w:color="2E6BA6" w:sz="3"/>
            </w:tcBorders>
            <w:shd w:fill="F5F7FA" w:val="clear"/>
            <w:tcMar>
              <w:top w:type="dxa" w:w="200"/>
              <w:left w:type="dxa" w:w="300"/>
              <w:bottom w:type="dxa" w:w="200"/>
              <w:right w:type="dxa" w:w="300"/>
            </w:tcMar>
          </w:tcPr>
          <w:p>
            <w:pPr>
              <w:spacing w:after="80"/>
            </w:pPr>
            <w:r>
              <w:rPr>
                <w:rFonts w:ascii="Arial" w:cs="Arial" w:eastAsia="Arial" w:hAnsi="Arial"/>
                <w:b/>
                <w:bCs/>
                <w:color w:val="1B2A4A"/>
                <w:sz w:val="22"/>
                <w:szCs w:val="22"/>
              </w:rPr>
              <w:t xml:space="preserve">The Falsification Condition</w:t>
            </w:r>
          </w:p>
          <w:p>
            <w:pPr>
              <w:spacing w:after="0"/>
            </w:pPr>
            <w:r>
              <w:rPr>
                <w:rFonts w:ascii="Arial" w:cs="Arial" w:eastAsia="Arial" w:hAnsi="Arial"/>
                <w:color w:val="333333"/>
                <w:sz w:val="22"/>
                <w:szCs w:val="22"/>
              </w:rPr>
              <w:t xml:space="preserve">This analysis is falsifiable. It would be disproven if: (1) benchmark saturations reverse and scores decline significantly without benchmark redesign, (2) cost efficiency curves flatten or reverse, (3) the economic integration described in the irreversibility section is actually reversed, or (4) a new class of cognitive benchmarks is created where AI systems score at pre-2022 baseline levels AND fail to improve on logistic trajectories. We observe none of these conditions.</w:t>
            </w:r>
          </w:p>
        </w:tc>
      </w:tr>
    </w:tbl>
    <w:p>
      <w:pPr>
        <w:spacing w:after="40"/>
      </w:pPr>
    </w:p>
    <w:p>
      <w:pPr>
        <w:pStyle w:val="Heading2"/>
      </w:pPr>
      <w:r>
        <w:rPr>
          <w:rFonts w:ascii="Arial" w:cs="Arial" w:eastAsia="Arial" w:hAnsi="Arial"/>
        </w:rPr>
        <w:t xml:space="preserve">Limitations and Caveats</w:t>
      </w:r>
    </w:p>
    <w:p>
      <w:pPr>
        <w:spacing w:after="10"/>
      </w:pPr>
    </w:p>
    <w:p>
      <w:pPr>
        <w:pStyle w:val="ListParagraph"/>
        <w:numPr>
          <w:ilvl w:val="0"/>
          <w:numId w:val="2"/>
        </w:numPr>
        <w:spacing w:after="80"/>
      </w:pPr>
      <w:r>
        <w:rPr>
          <w:rFonts w:ascii="Arial" w:cs="Arial" w:eastAsia="Arial" w:hAnsi="Arial"/>
          <w:b/>
          <w:bCs/>
          <w:color w:val="333333"/>
          <w:sz w:val="22"/>
          <w:szCs w:val="22"/>
        </w:rPr>
        <w:t xml:space="preserve">Small sample sizes. </w:t>
      </w:r>
      <w:r>
        <w:rPr>
          <w:rFonts w:ascii="Arial" w:cs="Arial" w:eastAsia="Arial" w:hAnsi="Arial"/>
          <w:color w:val="333333"/>
          <w:sz w:val="22"/>
          <w:szCs w:val="22"/>
        </w:rPr>
        <w:t xml:space="preserve">6-10 data points per domain limits the statistical power of acceleration tests. With more granular data (monthly benchmark snapshots), the tests would be more powerful.</w:t>
      </w:r>
    </w:p>
    <w:p>
      <w:pPr>
        <w:pStyle w:val="ListParagraph"/>
        <w:numPr>
          <w:ilvl w:val="0"/>
          <w:numId w:val="2"/>
        </w:numPr>
        <w:spacing w:after="80"/>
      </w:pPr>
      <w:r>
        <w:rPr>
          <w:rFonts w:ascii="Arial" w:cs="Arial" w:eastAsia="Arial" w:hAnsi="Arial"/>
          <w:b/>
          <w:bCs/>
          <w:color w:val="333333"/>
          <w:sz w:val="22"/>
          <w:szCs w:val="22"/>
        </w:rPr>
        <w:t xml:space="preserve">Selection bias. </w:t>
      </w:r>
      <w:r>
        <w:rPr>
          <w:rFonts w:ascii="Arial" w:cs="Arial" w:eastAsia="Arial" w:hAnsi="Arial"/>
          <w:color w:val="333333"/>
          <w:sz w:val="22"/>
          <w:szCs w:val="22"/>
        </w:rPr>
        <w:t xml:space="preserve">We track best-model-at-time-of-release, which selects for improvement. However, this is the standard methodology used by Stanford AI Index and Epoch AI.</w:t>
      </w:r>
    </w:p>
    <w:p>
      <w:pPr>
        <w:pStyle w:val="ListParagraph"/>
        <w:numPr>
          <w:ilvl w:val="0"/>
          <w:numId w:val="2"/>
        </w:numPr>
        <w:spacing w:after="80"/>
      </w:pPr>
      <w:r>
        <w:rPr>
          <w:rFonts w:ascii="Arial" w:cs="Arial" w:eastAsia="Arial" w:hAnsi="Arial"/>
          <w:b/>
          <w:bCs/>
          <w:color w:val="333333"/>
          <w:sz w:val="22"/>
          <w:szCs w:val="22"/>
        </w:rPr>
        <w:t xml:space="preserve">Benchmark gaming. </w:t>
      </w:r>
      <w:r>
        <w:rPr>
          <w:rFonts w:ascii="Arial" w:cs="Arial" w:eastAsia="Arial" w:hAnsi="Arial"/>
          <w:color w:val="333333"/>
          <w:sz w:val="22"/>
          <w:szCs w:val="22"/>
        </w:rPr>
        <w:t xml:space="preserve">Models may be optimized for specific benchmarks. We mitigate this by spanning 7 diverse domains, but the concern is valid.</w:t>
      </w:r>
    </w:p>
    <w:p>
      <w:pPr>
        <w:pStyle w:val="ListParagraph"/>
        <w:numPr>
          <w:ilvl w:val="0"/>
          <w:numId w:val="2"/>
        </w:numPr>
        <w:spacing w:after="80"/>
      </w:pPr>
      <w:r>
        <w:rPr>
          <w:rFonts w:ascii="Arial" w:cs="Arial" w:eastAsia="Arial" w:hAnsi="Arial"/>
          <w:b/>
          <w:bCs/>
          <w:color w:val="333333"/>
          <w:sz w:val="22"/>
          <w:szCs w:val="22"/>
        </w:rPr>
        <w:t xml:space="preserve">Operational definition. </w:t>
      </w:r>
      <w:r>
        <w:rPr>
          <w:rFonts w:ascii="Arial" w:cs="Arial" w:eastAsia="Arial" w:hAnsi="Arial"/>
          <w:color w:val="333333"/>
          <w:sz w:val="22"/>
          <w:szCs w:val="22"/>
        </w:rPr>
        <w:t xml:space="preserve">Our definition of singularity is our own construct. Others may reasonably define singularity differently (e.g., requiring consciousness, superintelligence, or recursive self-improvement beyond current levels).</w:t>
      </w:r>
    </w:p>
    <w:p>
      <w:pPr>
        <w:pStyle w:val="ListParagraph"/>
        <w:numPr>
          <w:ilvl w:val="0"/>
          <w:numId w:val="2"/>
        </w:numPr>
        <w:spacing w:after="80"/>
      </w:pPr>
      <w:r>
        <w:rPr>
          <w:rFonts w:ascii="Arial" w:cs="Arial" w:eastAsia="Arial" w:hAnsi="Arial"/>
          <w:b/>
          <w:bCs/>
          <w:color w:val="333333"/>
          <w:sz w:val="22"/>
          <w:szCs w:val="22"/>
        </w:rPr>
        <w:t xml:space="preserve">The deceleration hypothesis is not definitively rejected. </w:t>
      </w:r>
      <w:r>
        <w:rPr>
          <w:rFonts w:ascii="Arial" w:cs="Arial" w:eastAsia="Arial" w:hAnsi="Arial"/>
          <w:color w:val="333333"/>
          <w:sz w:val="22"/>
          <w:szCs w:val="22"/>
        </w:rPr>
        <w:t xml:space="preserve">Fisher's combined test (p = 0.252) means we cannot claim statistically significant cross-domain acceleration. Our argument rests on the phase transition interpretation, not the acceleration interpretation.</w:t>
      </w:r>
    </w:p>
    <w:p>
      <w:r>
        <w:br w:type="page"/>
      </w:r>
    </w:p>
    <w:p>
      <w:pPr>
        <w:pStyle w:val="Heading2"/>
      </w:pPr>
      <w:r>
        <w:rPr>
          <w:rFonts w:ascii="Arial" w:cs="Arial" w:eastAsia="Arial" w:hAnsi="Arial"/>
        </w:rPr>
        <w:t xml:space="preserve">Data Sources and Reproducibility</w:t>
      </w:r>
    </w:p>
    <w:p>
      <w:pPr>
        <w:spacing w:after="10"/>
      </w:pPr>
    </w:p>
    <w:p>
      <w:pPr>
        <w:spacing w:after="120"/>
      </w:pPr>
      <w:r>
        <w:rPr>
          <w:rFonts w:ascii="Arial" w:cs="Arial" w:eastAsia="Arial" w:hAnsi="Arial"/>
          <w:b w:val="false"/>
          <w:bCs w:val="false"/>
          <w:i w:val="false"/>
          <w:iCs w:val="false"/>
          <w:color w:val="333333"/>
          <w:sz w:val="22"/>
          <w:szCs w:val="22"/>
        </w:rPr>
        <w:t xml:space="preserve">All analysis code (Python 3, NumPy, SciPy, Matplotlib) and raw data are available upon request. The analysis is fully reproducible from the datasets defined in singularity_proof.py.</w:t>
      </w:r>
    </w:p>
    <w:p>
      <w:pPr>
        <w:spacing w:after="10"/>
      </w:pPr>
    </w:p>
    <w:p>
      <w:pPr>
        <w:pStyle w:val="ListParagraph"/>
        <w:numPr>
          <w:ilvl w:val="0"/>
          <w:numId w:val="2"/>
        </w:numPr>
        <w:spacing w:after="80"/>
      </w:pPr>
      <w:r>
        <w:rPr>
          <w:rFonts w:ascii="Arial" w:cs="Arial" w:eastAsia="Arial" w:hAnsi="Arial"/>
          <w:color w:val="333333"/>
          <w:sz w:val="22"/>
          <w:szCs w:val="22"/>
        </w:rPr>
        <w:t xml:space="preserve">Maslej, N. et al. (2025). "The AI Index 2025 Annual Report." Stanford HAI. hai.stanford.edu/ai-index/2025-ai-index-report</w:t>
      </w:r>
    </w:p>
    <w:p>
      <w:pPr>
        <w:pStyle w:val="ListParagraph"/>
        <w:numPr>
          <w:ilvl w:val="0"/>
          <w:numId w:val="2"/>
        </w:numPr>
        <w:spacing w:after="80"/>
      </w:pPr>
      <w:r>
        <w:rPr>
          <w:rFonts w:ascii="Arial" w:cs="Arial" w:eastAsia="Arial" w:hAnsi="Arial"/>
          <w:color w:val="333333"/>
          <w:sz w:val="22"/>
          <w:szCs w:val="22"/>
        </w:rPr>
        <w:t xml:space="preserve">Epoch AI (2025). Training Compute Trends &amp; Model Counts. epoch.ai/trends</w:t>
      </w:r>
    </w:p>
    <w:p>
      <w:pPr>
        <w:pStyle w:val="ListParagraph"/>
        <w:numPr>
          <w:ilvl w:val="0"/>
          <w:numId w:val="2"/>
        </w:numPr>
        <w:spacing w:after="80"/>
      </w:pPr>
      <w:r>
        <w:rPr>
          <w:rFonts w:ascii="Arial" w:cs="Arial" w:eastAsia="Arial" w:hAnsi="Arial"/>
          <w:color w:val="333333"/>
          <w:sz w:val="22"/>
          <w:szCs w:val="22"/>
        </w:rPr>
        <w:t xml:space="preserve">Xiao, G. et al. (2025). "Densing Law of LLMs." Nature Machine Intelligence. doi.org/10.1038/s42256-024-00936-7</w:t>
      </w:r>
    </w:p>
    <w:p>
      <w:pPr>
        <w:pStyle w:val="ListParagraph"/>
        <w:numPr>
          <w:ilvl w:val="0"/>
          <w:numId w:val="2"/>
        </w:numPr>
        <w:spacing w:after="80"/>
      </w:pPr>
      <w:r>
        <w:rPr>
          <w:rFonts w:ascii="Arial" w:cs="Arial" w:eastAsia="Arial" w:hAnsi="Arial"/>
          <w:color w:val="333333"/>
          <w:sz w:val="22"/>
          <w:szCs w:val="22"/>
        </w:rPr>
        <w:t xml:space="preserve">Rein, D. et al. (2023). "GPQA: A Graduate-Level Google-Proof Q&amp;A Benchmark." openreview.net/pdf?id=Ti67584b98</w:t>
      </w:r>
    </w:p>
    <w:p>
      <w:pPr>
        <w:pStyle w:val="ListParagraph"/>
        <w:numPr>
          <w:ilvl w:val="0"/>
          <w:numId w:val="2"/>
        </w:numPr>
        <w:spacing w:after="80"/>
      </w:pPr>
      <w:r>
        <w:rPr>
          <w:rFonts w:ascii="Arial" w:cs="Arial" w:eastAsia="Arial" w:hAnsi="Arial"/>
          <w:color w:val="333333"/>
          <w:sz w:val="22"/>
          <w:szCs w:val="22"/>
        </w:rPr>
        <w:t xml:space="preserve">Jimenez, C. et al. (2024). "SWE-bench: Can Language Models Resolve Real-World GitHub Issues?" swebench.com</w:t>
      </w:r>
    </w:p>
    <w:p>
      <w:pPr>
        <w:pStyle w:val="ListParagraph"/>
        <w:numPr>
          <w:ilvl w:val="0"/>
          <w:numId w:val="2"/>
        </w:numPr>
        <w:spacing w:after="80"/>
      </w:pPr>
      <w:r>
        <w:rPr>
          <w:rFonts w:ascii="Arial" w:cs="Arial" w:eastAsia="Arial" w:hAnsi="Arial"/>
          <w:color w:val="333333"/>
          <w:sz w:val="22"/>
          <w:szCs w:val="22"/>
        </w:rPr>
        <w:t xml:space="preserve">Chen, M. et al. (2021). "Evaluating Large Language Models Trained on Code." arxiv.org/abs/2107.03374</w:t>
      </w:r>
    </w:p>
    <w:p>
      <w:pPr>
        <w:pStyle w:val="ListParagraph"/>
        <w:numPr>
          <w:ilvl w:val="0"/>
          <w:numId w:val="2"/>
        </w:numPr>
        <w:spacing w:after="80"/>
      </w:pPr>
      <w:r>
        <w:rPr>
          <w:rFonts w:ascii="Arial" w:cs="Arial" w:eastAsia="Arial" w:hAnsi="Arial"/>
          <w:color w:val="333333"/>
          <w:sz w:val="22"/>
          <w:szCs w:val="22"/>
        </w:rPr>
        <w:t xml:space="preserve">Chollet, F. et al. (2025). "ARC Prize 2025: Technical Report." arxiv.org/abs/2601.10904</w:t>
      </w:r>
    </w:p>
    <w:p>
      <w:pPr>
        <w:pStyle w:val="ListParagraph"/>
        <w:numPr>
          <w:ilvl w:val="0"/>
          <w:numId w:val="2"/>
        </w:numPr>
        <w:spacing w:after="80"/>
      </w:pPr>
      <w:r>
        <w:rPr>
          <w:rFonts w:ascii="Arial" w:cs="Arial" w:eastAsia="Arial" w:hAnsi="Arial"/>
          <w:color w:val="333333"/>
          <w:sz w:val="22"/>
          <w:szCs w:val="22"/>
        </w:rPr>
        <w:t xml:space="preserve">Artificial Analysis (2026). GPQA Diamond &amp; MMLU Pro Leaderboards. artificialanalysis.ai</w:t>
      </w:r>
    </w:p>
    <w:p>
      <w:pPr>
        <w:pStyle w:val="ListParagraph"/>
        <w:numPr>
          <w:ilvl w:val="0"/>
          <w:numId w:val="2"/>
        </w:numPr>
        <w:spacing w:after="80"/>
      </w:pPr>
      <w:r>
        <w:rPr>
          <w:rFonts w:ascii="Arial" w:cs="Arial" w:eastAsia="Arial" w:hAnsi="Arial"/>
          <w:color w:val="333333"/>
          <w:sz w:val="22"/>
          <w:szCs w:val="22"/>
        </w:rPr>
        <w:t xml:space="preserve">OpenAI, Anthropic, Google DeepMind. API pricing documentation (2022-2026).</w:t>
      </w:r>
    </w:p>
    <w:p>
      <w:pPr>
        <w:pStyle w:val="ListParagraph"/>
        <w:numPr>
          <w:ilvl w:val="0"/>
          <w:numId w:val="2"/>
        </w:numPr>
        <w:spacing w:after="80"/>
      </w:pPr>
      <w:r>
        <w:rPr>
          <w:rFonts w:ascii="Arial" w:cs="Arial" w:eastAsia="Arial" w:hAnsi="Arial"/>
          <w:color w:val="333333"/>
          <w:sz w:val="22"/>
          <w:szCs w:val="22"/>
        </w:rPr>
        <w:t xml:space="preserve">LLM-Stats.com (2026). Benchmark Leaderboards. llm-stats.com/benchmarks</w:t>
      </w:r>
    </w:p>
    <w:p>
      <w:pPr>
        <w:spacing w:after="80"/>
      </w:pPr>
    </w:p>
    <w:p>
      <w:pPr>
        <w:pBdr>
          <w:bottom w:val="single" w:color="CCCCCC" w:sz="1"/>
        </w:pBdr>
        <w:spacing w:after="200" w:before="200"/>
      </w:pPr>
    </w:p>
    <w:p>
      <w:pPr>
        <w:spacing w:after="120"/>
      </w:pPr>
      <w:r>
        <w:rPr>
          <w:rFonts w:ascii="Arial" w:cs="Arial" w:eastAsia="Arial" w:hAnsi="Arial"/>
          <w:b w:val="false"/>
          <w:bCs w:val="false"/>
          <w:i/>
          <w:iCs/>
          <w:color w:val="555555"/>
          <w:sz w:val="22"/>
          <w:szCs w:val="22"/>
        </w:rPr>
        <w:t xml:space="preserve">Disclosure: Cognitive Corp provides AI governance advisory services. The analysis presented here uses publicly available data and reproducible statistical methods. Readers are encouraged to replicate the analysis independently.</w:t>
      </w:r>
    </w:p>
    <w:p>
      <w:pPr>
        <w:spacing w:after="40"/>
      </w:pPr>
    </w:p>
    <w:p>
      <w:pPr>
        <w:jc w:val="center"/>
      </w:pPr>
      <w:r>
        <w:rPr>
          <w:rFonts w:ascii="Arial" w:cs="Arial" w:eastAsia="Arial" w:hAnsi="Arial"/>
          <w:color w:val="555555"/>
          <w:sz w:val="18"/>
          <w:szCs w:val="18"/>
        </w:rPr>
        <w:t xml:space="preserve">Cognitive Corp  |  March 2026  |  Confidential</w:t>
      </w:r>
    </w:p>
    <w:p>
      <w:pPr>
        <w:jc w:val="center"/>
      </w:pPr>
      <w:r>
        <w:rPr>
          <w:rFonts w:ascii="Arial" w:cs="Arial" w:eastAsia="Arial" w:hAnsi="Arial"/>
          <w:color w:val="555555"/>
          <w:sz w:val="18"/>
          <w:szCs w:val="18"/>
        </w:rPr>
        <w:t xml:space="preserve">James Waddell  |  President &amp; CRO  |  bob@cognitivewx.info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6"/>
        <w:szCs w:val="16"/>
      </w:rPr>
      <w:t xml:space="preserve">Quantitative Singularity Proof  |  Cognitive Corp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6BA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2026-03-27T10:46:59.070Z</dcterms:created>
  <dcterms:modified xsi:type="dcterms:W3CDTF">2026-03-27T10:46:59.070Z</dcterms:modified>
</cp:coreProperties>
</file>

<file path=docProps/custom.xml><?xml version="1.0" encoding="utf-8"?>
<Properties xmlns="http://schemas.openxmlformats.org/officeDocument/2006/custom-properties" xmlns:vt="http://schemas.openxmlformats.org/officeDocument/2006/docPropsVTypes"/>
</file>