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40"/>
        <w:jc w:val="center"/>
      </w:pPr>
      <w:r>
        <w:rPr>
          <w:rFonts w:ascii="Arial" w:cs="Arial" w:eastAsia="Arial" w:hAnsi="Arial"/>
          <w:b/>
          <w:bCs/>
          <w:color w:val="2E6BA6"/>
          <w:spacing w:val="200"/>
          <w:sz w:val="18"/>
          <w:szCs w:val="18"/>
        </w:rPr>
        <w:t xml:space="preserve">COGNITIVE CORP  |  RESEARCH</w:t>
      </w:r>
    </w:p>
    <w:p>
      <w:pPr>
        <w:pBdr>
          <w:bottom w:val="single" w:color="CCCCCC" w:sz="1"/>
        </w:pBdr>
        <w:spacing w:after="200" w:before="200"/>
      </w:pPr>
    </w:p>
    <w:p>
      <w:pPr>
        <w:spacing w:after="80"/>
        <w:jc w:val="center"/>
      </w:pPr>
      <w:r>
        <w:rPr>
          <w:rFonts w:ascii="Arial" w:cs="Arial" w:eastAsia="Arial" w:hAnsi="Arial"/>
          <w:b/>
          <w:bCs/>
          <w:color w:val="1B2A4A"/>
          <w:sz w:val="40"/>
          <w:szCs w:val="40"/>
        </w:rPr>
        <w:t xml:space="preserve">The Singularity Is Here:</w:t>
      </w:r>
    </w:p>
    <w:p>
      <w:pPr>
        <w:spacing w:after="80"/>
        <w:jc w:val="center"/>
      </w:pPr>
      <w:r>
        <w:rPr>
          <w:rFonts w:ascii="Arial" w:cs="Arial" w:eastAsia="Arial" w:hAnsi="Arial"/>
          <w:b/>
          <w:bCs/>
          <w:color w:val="2E6BA6"/>
          <w:sz w:val="40"/>
          <w:szCs w:val="40"/>
        </w:rPr>
        <w:t xml:space="preserve">The Evidence Package</w:t>
      </w:r>
    </w:p>
    <w:p>
      <w:pPr>
        <w:spacing w:after="60"/>
      </w:pPr>
    </w:p>
    <w:p>
      <w:pPr>
        <w:spacing w:after="20"/>
        <w:jc w:val="center"/>
      </w:pPr>
      <w:r>
        <w:rPr>
          <w:rFonts w:ascii="Arial" w:cs="Arial" w:eastAsia="Arial" w:hAnsi="Arial"/>
          <w:color w:val="555555"/>
          <w:sz w:val="22"/>
          <w:szCs w:val="22"/>
        </w:rPr>
        <w:t xml:space="preserve">Part I: Adversarial Analysis (Prosecution &amp; Defense)</w:t>
      </w:r>
    </w:p>
    <w:p>
      <w:pPr>
        <w:spacing w:after="20"/>
        <w:jc w:val="center"/>
      </w:pPr>
      <w:r>
        <w:rPr>
          <w:rFonts w:ascii="Arial" w:cs="Arial" w:eastAsia="Arial" w:hAnsi="Arial"/>
          <w:color w:val="555555"/>
          <w:sz w:val="22"/>
          <w:szCs w:val="22"/>
        </w:rPr>
        <w:t xml:space="preserve">Part II: Prediction Registry (20 Falsifiable Claims)</w:t>
      </w:r>
    </w:p>
    <w:p>
      <w:pPr>
        <w:spacing w:after="20"/>
        <w:jc w:val="center"/>
      </w:pPr>
      <w:r>
        <w:rPr>
          <w:rFonts w:ascii="Arial" w:cs="Arial" w:eastAsia="Arial" w:hAnsi="Arial"/>
          <w:color w:val="555555"/>
          <w:sz w:val="22"/>
          <w:szCs w:val="22"/>
        </w:rPr>
        <w:t xml:space="preserve">Part III: Historical Comparison (AI vs. Prior Phase Transitions)</w:t>
      </w:r>
    </w:p>
    <w:p>
      <w:pPr>
        <w:spacing w:after="60"/>
      </w:pPr>
    </w:p>
    <w:p>
      <w:pPr>
        <w:spacing w:after="40"/>
        <w:jc w:val="center"/>
      </w:pPr>
      <w:r>
        <w:rPr>
          <w:rFonts w:ascii="Arial" w:cs="Arial" w:eastAsia="Arial" w:hAnsi="Arial"/>
          <w:color w:val="555555"/>
          <w:sz w:val="22"/>
          <w:szCs w:val="22"/>
        </w:rPr>
        <w:t xml:space="preserve">James Waddell  |  Cognitive Corp  |  March 2026</w:t>
      </w:r>
    </w:p>
    <w:p>
      <w:pPr>
        <w:pBdr>
          <w:bottom w:val="single" w:color="CCCCCC" w:sz="1"/>
        </w:pBdr>
        <w:spacing w:after="200" w:before="200"/>
      </w:pPr>
    </w:p>
    <w:p>
      <w:pPr>
        <w:spacing w:after="60"/>
      </w:pPr>
    </w:p>
    <w:p>
      <w:pPr>
        <w:spacing w:after="120"/>
      </w:pPr>
      <w:r>
        <w:rPr>
          <w:rFonts w:ascii="Arial" w:cs="Arial" w:eastAsia="Arial" w:hAnsi="Arial"/>
          <w:b w:val="false"/>
          <w:bCs w:val="false"/>
          <w:i/>
          <w:iCs/>
          <w:color w:val="555555"/>
          <w:sz w:val="22"/>
          <w:szCs w:val="22"/>
        </w:rPr>
        <w:t xml:space="preserve">This document supplements "The Singularity Is Not Coming. It Is Here" (narrative paper) and "The Singularity Is Here: A Quantitative Proof" (statistical companion). Together, the three documents constitute a multi-layered evidentiary package designed to meet the highest standard of scrutiny.</w:t>
      </w:r>
    </w:p>
    <w:p>
      <w:r>
        <w:br w:type="page"/>
      </w:r>
    </w:p>
    <w:p>
      <w:pPr>
        <w:spacing w:after="80"/>
      </w:pPr>
    </w:p>
    <w:p>
      <w:pPr>
        <w:spacing w:after="40"/>
        <w:jc w:val="center"/>
      </w:pPr>
      <w:r>
        <w:rPr>
          <w:rFonts w:ascii="Arial" w:cs="Arial" w:eastAsia="Arial" w:hAnsi="Arial"/>
          <w:b/>
          <w:bCs/>
          <w:color w:val="1B2A4A"/>
          <w:sz w:val="32"/>
          <w:szCs w:val="32"/>
        </w:rPr>
        <w:t xml:space="preserve">PART I</w:t>
      </w:r>
    </w:p>
    <w:p>
      <w:pPr>
        <w:spacing w:after="40"/>
        <w:jc w:val="center"/>
      </w:pPr>
      <w:r>
        <w:rPr>
          <w:rFonts w:ascii="Arial" w:cs="Arial" w:eastAsia="Arial" w:hAnsi="Arial"/>
          <w:color w:val="2E6BA6"/>
          <w:sz w:val="28"/>
          <w:szCs w:val="28"/>
        </w:rPr>
        <w:t xml:space="preserve">Adversarial Analysis</w:t>
      </w:r>
    </w:p>
    <w:p>
      <w:pPr>
        <w:spacing w:after="40"/>
        <w:jc w:val="center"/>
      </w:pPr>
      <w:r>
        <w:rPr>
          <w:rFonts w:ascii="Arial" w:cs="Arial" w:eastAsia="Arial" w:hAnsi="Arial"/>
          <w:i/>
          <w:iCs/>
          <w:color w:val="555555"/>
          <w:sz w:val="22"/>
          <w:szCs w:val="22"/>
        </w:rPr>
        <w:t xml:space="preserve">The strongest case against the singularity thesis, followed by the strongest rebuttal.</w:t>
      </w:r>
    </w:p>
    <w:p>
      <w:pPr>
        <w:pBdr>
          <w:bottom w:val="single" w:color="CCCCCC" w:sz="1"/>
        </w:pBdr>
        <w:spacing w:after="200" w:before="200"/>
      </w:pPr>
    </w:p>
    <w:p>
      <w:pPr>
        <w:spacing w:after="20"/>
      </w:pPr>
    </w:p>
    <w:p>
      <w:pPr>
        <w:spacing w:after="120"/>
      </w:pPr>
      <w:r>
        <w:rPr>
          <w:rFonts w:ascii="Arial" w:cs="Arial" w:eastAsia="Arial" w:hAnsi="Arial"/>
          <w:b w:val="false"/>
          <w:bCs w:val="false"/>
          <w:i w:val="false"/>
          <w:iCs w:val="false"/>
          <w:color w:val="333333"/>
          <w:sz w:val="22"/>
          <w:szCs w:val="22"/>
        </w:rPr>
        <w:t xml:space="preserve">The most dangerous failure mode of any research paper is confirmation bias: defining the test so it can only pass. To inoculate against this, we present the strongest possible prosecution of the singularity thesis before offering a defense. Both sides are argued with equal rigor. The reader decides.</w:t>
      </w:r>
    </w:p>
    <w:p>
      <w:r>
        <w:br w:type="page"/>
      </w:r>
    </w:p>
    <w:p>
      <w:pPr>
        <w:pStyle w:val="Heading1"/>
      </w:pPr>
      <w:r>
        <w:rPr>
          <w:rFonts w:ascii="Arial" w:cs="Arial" w:eastAsia="Arial" w:hAnsi="Arial"/>
          <w:color w:val="8E1600"/>
        </w:rPr>
        <w:t xml:space="preserve">THE PROSECUTION</w:t>
      </w:r>
    </w:p>
    <w:p>
      <w:pPr>
        <w:spacing w:after="120"/>
      </w:pPr>
      <w:r>
        <w:rPr>
          <w:rFonts w:ascii="Arial" w:cs="Arial" w:eastAsia="Arial" w:hAnsi="Arial"/>
          <w:i/>
          <w:iCs/>
          <w:color w:val="8E1600"/>
          <w:sz w:val="24"/>
          <w:szCs w:val="24"/>
        </w:rPr>
        <w:t xml:space="preserve">The Case That the AI Singularity Has NOT Arrived</w:t>
      </w:r>
    </w:p>
    <w:p>
      <w:pPr>
        <w:spacing w:after="20"/>
      </w:pPr>
    </w:p>
    <w:p>
      <w:pPr>
        <w:pStyle w:val="Heading2"/>
      </w:pPr>
      <w:r>
        <w:rPr>
          <w:rFonts w:ascii="Arial" w:cs="Arial" w:eastAsia="Arial" w:hAnsi="Arial"/>
          <w:color w:val="8E1600"/>
        </w:rPr>
        <w:t xml:space="preserve">Charge 1: The Definition Is Rigged</w:t>
      </w:r>
    </w:p>
    <w:p>
      <w:pPr>
        <w:spacing w:after="10"/>
      </w:pPr>
    </w:p>
    <w:p>
      <w:pPr>
        <w:spacing w:after="120"/>
      </w:pPr>
      <w:r>
        <w:rPr>
          <w:rFonts w:ascii="Arial" w:cs="Arial" w:eastAsia="Arial" w:hAnsi="Arial"/>
          <w:b w:val="false"/>
          <w:bCs w:val="false"/>
          <w:i w:val="false"/>
          <w:iCs w:val="false"/>
          <w:color w:val="333333"/>
          <w:sz w:val="22"/>
          <w:szCs w:val="22"/>
        </w:rPr>
        <w:t xml:space="preserve">The singularity thesis presented by Waddell (2026) succeeds by defining singularity down. The operational definition — "AI systems match or exceed human expert performance across a majority of measurable cognitive domains" — is not what Vernor Vinge, Ray Kurzweil, or I.J. Good meant by the term. The original singularity hypothesis described a recursive intelligence explosion: an AI that improves itself faster than any human can comprehend, creating a discontinuity in the future of civilization.</w:t>
      </w:r>
    </w:p>
    <w:p>
      <w:pPr>
        <w:spacing w:after="10"/>
      </w:pPr>
    </w:p>
    <w:p>
      <w:pPr>
        <w:spacing w:after="120"/>
      </w:pPr>
      <w:r>
        <w:rPr>
          <w:rFonts w:ascii="Arial" w:cs="Arial" w:eastAsia="Arial" w:hAnsi="Arial"/>
          <w:b w:val="false"/>
          <w:bCs w:val="false"/>
          <w:i w:val="false"/>
          <w:iCs w:val="false"/>
          <w:color w:val="333333"/>
          <w:sz w:val="22"/>
          <w:szCs w:val="22"/>
        </w:rPr>
        <w:t xml:space="preserve">What Waddell measures is tool improvement. Better benchmark scores. Faster code generation. Cheaper inference. These are remarkable achievements, but calling them a "singularity" is like calling the assembly line a "singularity" because it exceeded human production speed. The word has been evacuated of its meaning to make the thesis unfalsifiable.</w:t>
      </w:r>
    </w:p>
    <w:p>
      <w:pPr>
        <w:spacing w:after="10"/>
      </w:pPr>
    </w:p>
    <w:p>
      <w:pPr>
        <w:spacing w:after="120"/>
      </w:pPr>
      <w:r>
        <w:rPr>
          <w:rFonts w:ascii="Arial" w:cs="Arial" w:eastAsia="Arial" w:hAnsi="Arial"/>
          <w:b/>
          <w:bCs/>
          <w:color w:val="8E1600"/>
          <w:sz w:val="22"/>
          <w:szCs w:val="22"/>
        </w:rPr>
        <w:t xml:space="preserve">The fatal move: </w:t>
      </w:r>
      <w:r>
        <w:rPr>
          <w:rFonts w:ascii="Arial" w:cs="Arial" w:eastAsia="Arial" w:hAnsi="Arial"/>
          <w:color w:val="333333"/>
          <w:sz w:val="22"/>
          <w:szCs w:val="22"/>
        </w:rPr>
        <w:t xml:space="preserve">By switching from the canonical definition (recursive superintelligence) to an operational one (benchmark parity), the thesis can claim victory while the actual singularity — if it exists — remains decades away.</w:t>
      </w:r>
    </w:p>
    <w:p>
      <w:pPr>
        <w:spacing w:after="20"/>
      </w:pPr>
    </w:p>
    <w:p>
      <w:pPr>
        <w:pStyle w:val="Heading2"/>
      </w:pPr>
      <w:r>
        <w:rPr>
          <w:rFonts w:ascii="Arial" w:cs="Arial" w:eastAsia="Arial" w:hAnsi="Arial"/>
          <w:color w:val="8E1600"/>
        </w:rPr>
        <w:t xml:space="preserve">Charge 2: The Data Refutes Its Own Thesis</w:t>
      </w:r>
    </w:p>
    <w:p>
      <w:pPr>
        <w:spacing w:after="10"/>
      </w:pPr>
    </w:p>
    <w:p>
      <w:pPr>
        <w:spacing w:after="120"/>
      </w:pPr>
      <w:r>
        <w:rPr>
          <w:rFonts w:ascii="Arial" w:cs="Arial" w:eastAsia="Arial" w:hAnsi="Arial"/>
          <w:b w:val="false"/>
          <w:bCs w:val="false"/>
          <w:i w:val="false"/>
          <w:iCs w:val="false"/>
          <w:color w:val="333333"/>
          <w:sz w:val="22"/>
          <w:szCs w:val="22"/>
        </w:rPr>
        <w:t xml:space="preserve">The quantitative companion paper's own analysis undermines the claim. Five of seven domains fit logistic (S-curve) models best. Logistic curves plateau. The Fisher combined probability test yields p = 0.252 — failing to reject the null hypothesis that AI capabilities are decelerating. Only one domain (cost efficiency) shows statistically significant acceleration.</w:t>
      </w:r>
    </w:p>
    <w:p>
      <w:pPr>
        <w:spacing w:after="10"/>
      </w:pPr>
    </w:p>
    <w:p>
      <w:pPr>
        <w:spacing w:after="120"/>
      </w:pPr>
      <w:r>
        <w:rPr>
          <w:rFonts w:ascii="Arial" w:cs="Arial" w:eastAsia="Arial" w:hAnsi="Arial"/>
          <w:b w:val="false"/>
          <w:bCs w:val="false"/>
          <w:i w:val="false"/>
          <w:iCs w:val="false"/>
          <w:color w:val="333333"/>
          <w:sz w:val="22"/>
          <w:szCs w:val="22"/>
        </w:rPr>
        <w:t xml:space="preserve">The paper then performs what amounts to intellectual jiu-jitsu: it redefines deceleration as evidence of a phase transition that has "already occurred." This is unfalsifiable reasoning. If acceleration supports the thesis and deceleration also supports the thesis, then no data could ever refute it. That is not science. That is rhetoric.</w:t>
      </w:r>
    </w:p>
    <w:p>
      <w:pPr>
        <w:spacing w:after="20"/>
      </w:pPr>
    </w:p>
    <w:p>
      <w:pPr>
        <w:pStyle w:val="Heading2"/>
      </w:pPr>
      <w:r>
        <w:rPr>
          <w:rFonts w:ascii="Arial" w:cs="Arial" w:eastAsia="Arial" w:hAnsi="Arial"/>
          <w:color w:val="8E1600"/>
        </w:rPr>
        <w:t xml:space="preserve">Charge 3: Benchmarks Are Not Intelligence</w:t>
      </w:r>
    </w:p>
    <w:p>
      <w:pPr>
        <w:spacing w:after="10"/>
      </w:pPr>
    </w:p>
    <w:p>
      <w:pPr>
        <w:spacing w:after="120"/>
      </w:pPr>
      <w:r>
        <w:rPr>
          <w:rFonts w:ascii="Arial" w:cs="Arial" w:eastAsia="Arial" w:hAnsi="Arial"/>
          <w:b w:val="false"/>
          <w:bCs w:val="false"/>
          <w:i w:val="false"/>
          <w:iCs w:val="false"/>
          <w:color w:val="333333"/>
          <w:sz w:val="22"/>
          <w:szCs w:val="22"/>
        </w:rPr>
        <w:t xml:space="preserve">MMLU, GPQA, HumanEval, and SWE-bench measure pattern completion on structured tasks. They do not measure understanding, intentionality, common sense, embodied reasoning, or the ability to generate genuinely novel questions. Yann LeCun (Turing Award, Meta Chief AI Scientist) has argued consistently that current LLM architectures are fundamentally incapable of world models, planning, and true reasoning.</w:t>
      </w:r>
    </w:p>
    <w:p>
      <w:pPr>
        <w:spacing w:after="10"/>
      </w:pPr>
    </w:p>
    <w:p>
      <w:pPr>
        <w:spacing w:after="120"/>
      </w:pPr>
      <w:r>
        <w:rPr>
          <w:rFonts w:ascii="Arial" w:cs="Arial" w:eastAsia="Arial" w:hAnsi="Arial"/>
          <w:b w:val="false"/>
          <w:bCs w:val="false"/>
          <w:i w:val="false"/>
          <w:iCs w:val="false"/>
          <w:color w:val="333333"/>
          <w:sz w:val="22"/>
          <w:szCs w:val="22"/>
        </w:rPr>
        <w:t xml:space="preserve">The benchmarks are also gameable. Models are increasingly trained on benchmark-style data. The saturation of MMLU and HumanEval may reflect test contamination more than genuine cognitive achievement. ARC-AGI-2 was specifically designed to resist this — and AI is still at 69%, well below the human ceiling of 100%.</w:t>
      </w:r>
    </w:p>
    <w:p>
      <w:pPr>
        <w:spacing w:after="20"/>
      </w:pPr>
    </w:p>
    <w:p>
      <w:pPr>
        <w:pStyle w:val="Heading2"/>
      </w:pPr>
      <w:r>
        <w:rPr>
          <w:rFonts w:ascii="Arial" w:cs="Arial" w:eastAsia="Arial" w:hAnsi="Arial"/>
          <w:color w:val="8E1600"/>
        </w:rPr>
        <w:t xml:space="preserve">Charge 4: The Economy Disagrees</w:t>
      </w:r>
    </w:p>
    <w:p>
      <w:pPr>
        <w:spacing w:after="10"/>
      </w:pPr>
    </w:p>
    <w:p>
      <w:pPr>
        <w:spacing w:after="120"/>
      </w:pPr>
      <w:r>
        <w:rPr>
          <w:rFonts w:ascii="Arial" w:cs="Arial" w:eastAsia="Arial" w:hAnsi="Arial"/>
          <w:b w:val="false"/>
          <w:bCs w:val="false"/>
          <w:i w:val="false"/>
          <w:iCs w:val="false"/>
          <w:color w:val="333333"/>
          <w:sz w:val="22"/>
          <w:szCs w:val="22"/>
        </w:rPr>
        <w:t xml:space="preserve">Goldman Sachs found "no meaningful relationship" between AI spending and corporate productivity gains as of March 2026. MIT estimates 95% of corporate AI projects produce zero return. If we are living in a singularity, the economy should show it. It does not.</w:t>
      </w:r>
    </w:p>
    <w:p>
      <w:pPr>
        <w:spacing w:after="10"/>
      </w:pPr>
    </w:p>
    <w:p>
      <w:pPr>
        <w:spacing w:after="120"/>
      </w:pPr>
      <w:r>
        <w:rPr>
          <w:rFonts w:ascii="Arial" w:cs="Arial" w:eastAsia="Arial" w:hAnsi="Arial"/>
          <w:b w:val="false"/>
          <w:bCs w:val="false"/>
          <w:i w:val="false"/>
          <w:iCs w:val="false"/>
          <w:color w:val="333333"/>
          <w:sz w:val="22"/>
          <w:szCs w:val="22"/>
        </w:rPr>
        <w:t xml:space="preserve">The $660 billion in AI investment may be the next dot-com bubble, not the next industrial revolution. Cisco was worth $500 billion in 2000 and lost 86% of its value. Infrastructure spending is not proof of transformation — it is proof of speculation.</w:t>
      </w:r>
    </w:p>
    <w:p>
      <w:pPr>
        <w:spacing w:after="20"/>
      </w:pPr>
    </w:p>
    <w:p>
      <w:pPr>
        <w:pStyle w:val="Heading2"/>
      </w:pPr>
      <w:r>
        <w:rPr>
          <w:rFonts w:ascii="Arial" w:cs="Arial" w:eastAsia="Arial" w:hAnsi="Arial"/>
          <w:color w:val="8E1600"/>
        </w:rPr>
        <w:t xml:space="preserve">Charge 5: Self-Improvement Is Limited and Linear</w:t>
      </w:r>
    </w:p>
    <w:p>
      <w:pPr>
        <w:spacing w:after="10"/>
      </w:pPr>
    </w:p>
    <w:p>
      <w:pPr>
        <w:spacing w:after="120"/>
      </w:pPr>
      <w:r>
        <w:rPr>
          <w:rFonts w:ascii="Arial" w:cs="Arial" w:eastAsia="Arial" w:hAnsi="Arial"/>
          <w:b w:val="false"/>
          <w:bCs w:val="false"/>
          <w:i w:val="false"/>
          <w:iCs w:val="false"/>
          <w:color w:val="333333"/>
          <w:sz w:val="22"/>
          <w:szCs w:val="22"/>
        </w:rPr>
        <w:t xml:space="preserve">The "70-90% of code" claim at Anthropic describes code completion and generation — not autonomous research. AI writes boilerplate, tests, and scaffolding. The core algorithmic breakthroughs (transformers, RLHF, chain-of-thought, mixture of experts) were all conceived by human researchers. No AI system has independently conceived a new training paradigm, proposed and validated a new scaling law, or designed a fundamentally new architecture.</w:t>
      </w:r>
    </w:p>
    <w:p>
      <w:pPr>
        <w:spacing w:after="10"/>
      </w:pPr>
    </w:p>
    <w:p>
      <w:pPr>
        <w:spacing w:after="120"/>
      </w:pPr>
      <w:r>
        <w:rPr>
          <w:rFonts w:ascii="Arial" w:cs="Arial" w:eastAsia="Arial" w:hAnsi="Arial"/>
          <w:b w:val="false"/>
          <w:bCs w:val="false"/>
          <w:i w:val="false"/>
          <w:iCs w:val="false"/>
          <w:color w:val="333333"/>
          <w:sz w:val="22"/>
          <w:szCs w:val="22"/>
        </w:rPr>
        <w:t xml:space="preserve">Karpathy's AutoResearch loop produced an 11% training speedup on a small model — a useful optimization, not a paradigm shift. AlphaEvolve discovers algorithms by searching within a defined space, not by generating genuinely novel computational paradigms. The recursive loop is not "closing" — it is doing sophisticated gradient descent on known problems.</w:t>
      </w:r>
    </w:p>
    <w:p>
      <w:pPr>
        <w:spacing w:after="20"/>
      </w:pPr>
    </w:p>
    <w:p>
      <w:pPr>
        <w:pStyle w:val="Heading2"/>
      </w:pPr>
      <w:r>
        <w:rPr>
          <w:rFonts w:ascii="Arial" w:cs="Arial" w:eastAsia="Arial" w:hAnsi="Arial"/>
          <w:color w:val="8E1600"/>
        </w:rPr>
        <w:t xml:space="preserve">Charge 6: The Expert Community Does Not Agree</w:t>
      </w:r>
    </w:p>
    <w:p>
      <w:pPr>
        <w:spacing w:after="10"/>
      </w:pPr>
    </w:p>
    <w:p>
      <w:pPr>
        <w:spacing w:after="120"/>
      </w:pPr>
      <w:r>
        <w:rPr>
          <w:rFonts w:ascii="Arial" w:cs="Arial" w:eastAsia="Arial" w:hAnsi="Arial"/>
          <w:b w:val="false"/>
          <w:bCs w:val="false"/>
          <w:i w:val="false"/>
          <w:iCs w:val="false"/>
          <w:color w:val="333333"/>
          <w:sz w:val="22"/>
          <w:szCs w:val="22"/>
        </w:rPr>
        <w:t xml:space="preserve">The median expert estimate for AGI remains 2040, not 2026. The 2023 survey of 2,778 AI researchers gave a 50% probability by 2040 and only 10% probability by 2027. The individuals cited as evidence of "consensus shift" (Musk, Son, Altman) are industry promoters with financial incentives to hype timelines. The actual research community — the people who know the limitations of these systems — remains cautious.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1600" w:sz="3"/>
              <w:left w:val="single" w:color="8E1600" w:sz="3"/>
              <w:bottom w:val="single" w:color="8E1600" w:sz="3"/>
              <w:right w:val="single" w:color="8E1600" w:sz="3"/>
            </w:tcBorders>
            <w:shd w:fill="F5F7FA" w:val="clear"/>
            <w:tcMar>
              <w:top w:type="dxa" w:w="200"/>
              <w:left w:type="dxa" w:w="300"/>
              <w:bottom w:type="dxa" w:w="200"/>
              <w:right w:type="dxa" w:w="300"/>
            </w:tcMar>
          </w:tcPr>
          <w:p>
            <w:pPr>
              <w:spacing w:after="80"/>
            </w:pPr>
            <w:r>
              <w:rPr>
                <w:rFonts w:ascii="Arial" w:cs="Arial" w:eastAsia="Arial" w:hAnsi="Arial"/>
                <w:b/>
                <w:bCs/>
                <w:color w:val="8E1600"/>
                <w:sz w:val="22"/>
                <w:szCs w:val="22"/>
              </w:rPr>
              <w:t xml:space="preserve">Prosecution Summary</w:t>
            </w:r>
          </w:p>
          <w:p>
            <w:pPr>
              <w:spacing w:after="0"/>
            </w:pPr>
            <w:r>
              <w:rPr>
                <w:rFonts w:ascii="Arial" w:cs="Arial" w:eastAsia="Arial" w:hAnsi="Arial"/>
                <w:color w:val="333333"/>
                <w:sz w:val="22"/>
                <w:szCs w:val="22"/>
              </w:rPr>
              <w:t xml:space="preserve">The singularity thesis succeeds by defining singularity to mean "good AI benchmarks," which trivializes the concept. Its own statistical analysis fails to find acceleration. Its benchmark evidence measures pattern matching, not intelligence. The economy shows no productivity transformation. Self-improvement is code generation, not paradigm creation. And the experts disagree. Verdict: NOT PROVEN.</w:t>
            </w:r>
          </w:p>
        </w:tc>
      </w:tr>
    </w:tbl>
    <w:p>
      <w:r>
        <w:br w:type="page"/>
      </w:r>
    </w:p>
    <w:p>
      <w:pPr>
        <w:pStyle w:val="Heading1"/>
      </w:pPr>
      <w:r>
        <w:rPr>
          <w:rFonts w:ascii="Arial" w:cs="Arial" w:eastAsia="Arial" w:hAnsi="Arial"/>
          <w:color w:val="0D5E2E"/>
        </w:rPr>
        <w:t xml:space="preserve">THE DEFENSE</w:t>
      </w:r>
    </w:p>
    <w:p>
      <w:pPr>
        <w:spacing w:after="120"/>
      </w:pPr>
      <w:r>
        <w:rPr>
          <w:rFonts w:ascii="Arial" w:cs="Arial" w:eastAsia="Arial" w:hAnsi="Arial"/>
          <w:i/>
          <w:iCs/>
          <w:color w:val="0D5E2E"/>
          <w:sz w:val="24"/>
          <w:szCs w:val="24"/>
        </w:rPr>
        <w:t xml:space="preserve">Rebuttal: Why the Prosecution's Case Fails on Its Own Terms</w:t>
      </w:r>
    </w:p>
    <w:p>
      <w:pPr>
        <w:spacing w:after="20"/>
      </w:pPr>
    </w:p>
    <w:p>
      <w:pPr>
        <w:pStyle w:val="Heading2"/>
      </w:pPr>
      <w:r>
        <w:rPr>
          <w:rFonts w:ascii="Arial" w:cs="Arial" w:eastAsia="Arial" w:hAnsi="Arial"/>
          <w:color w:val="0D5E2E"/>
        </w:rPr>
        <w:t xml:space="preserve">Rebuttal 1: The Definition Is Not Rigged — It Is Updated</w:t>
      </w:r>
    </w:p>
    <w:p>
      <w:pPr>
        <w:spacing w:after="10"/>
      </w:pPr>
    </w:p>
    <w:p>
      <w:pPr>
        <w:spacing w:after="120"/>
      </w:pPr>
      <w:r>
        <w:rPr>
          <w:rFonts w:ascii="Arial" w:cs="Arial" w:eastAsia="Arial" w:hAnsi="Arial"/>
          <w:b w:val="false"/>
          <w:bCs w:val="false"/>
          <w:i w:val="false"/>
          <w:iCs w:val="false"/>
          <w:color w:val="333333"/>
          <w:sz w:val="22"/>
          <w:szCs w:val="22"/>
        </w:rPr>
        <w:t xml:space="preserve">The prosecution insists on Vinge's 1993 definition. But Vinge himself described the singularity as a point after which "the human era will be ended" — not necessarily a god-machine. The operational definition used here is more conservative, not less: it requires measurable evidence across seven domains, not a single dramatic event. If this definition is "rigged," it is rigged against the thesis, not for it, because it demands convergent proof rather than accepting any single breakthrough.</w:t>
      </w:r>
    </w:p>
    <w:p>
      <w:pPr>
        <w:spacing w:after="10"/>
      </w:pPr>
    </w:p>
    <w:p>
      <w:pPr>
        <w:spacing w:after="120"/>
      </w:pPr>
      <w:r>
        <w:rPr>
          <w:rFonts w:ascii="Arial" w:cs="Arial" w:eastAsia="Arial" w:hAnsi="Arial"/>
          <w:b w:val="false"/>
          <w:bCs w:val="false"/>
          <w:i w:val="false"/>
          <w:iCs w:val="false"/>
          <w:color w:val="333333"/>
          <w:sz w:val="22"/>
          <w:szCs w:val="22"/>
        </w:rPr>
        <w:t xml:space="preserve">More importantly: clinging to the canonical definition is a motte-and-bailey. When defenders of "no singularity" are pressed on what AI can do today, they retreat to "but it's not conscious" — an unfalsifiable standard that could never be met, even by a genuine superintelligence. Our definition is falsifiable. Theirs is not.</w:t>
      </w:r>
    </w:p>
    <w:p>
      <w:pPr>
        <w:spacing w:after="20"/>
      </w:pPr>
    </w:p>
    <w:p>
      <w:pPr>
        <w:pStyle w:val="Heading2"/>
      </w:pPr>
      <w:r>
        <w:rPr>
          <w:rFonts w:ascii="Arial" w:cs="Arial" w:eastAsia="Arial" w:hAnsi="Arial"/>
          <w:color w:val="0D5E2E"/>
        </w:rPr>
        <w:t xml:space="preserve">Rebuttal 2: Logistic Curves ARE Phase Transitions</w:t>
      </w:r>
    </w:p>
    <w:p>
      <w:pPr>
        <w:spacing w:after="10"/>
      </w:pPr>
    </w:p>
    <w:p>
      <w:pPr>
        <w:spacing w:after="120"/>
      </w:pPr>
      <w:r>
        <w:rPr>
          <w:rFonts w:ascii="Arial" w:cs="Arial" w:eastAsia="Arial" w:hAnsi="Arial"/>
          <w:b w:val="false"/>
          <w:bCs w:val="false"/>
          <w:i w:val="false"/>
          <w:iCs w:val="false"/>
          <w:color w:val="333333"/>
          <w:sz w:val="22"/>
          <w:szCs w:val="22"/>
        </w:rPr>
        <w:t xml:space="preserve">The prosecution calls it "intellectual jiu-jitsu" to interpret S-curves as phase transitions. But this is exactly what phase transitions look like in every physical system. Water does not accelerate infinitely when it boils — it transitions rapidly and stabilizes. The logistic curve IS the mathematical signature of a regime change.</w:t>
      </w:r>
    </w:p>
    <w:p>
      <w:pPr>
        <w:spacing w:after="10"/>
      </w:pPr>
    </w:p>
    <w:p>
      <w:pPr>
        <w:spacing w:after="120"/>
      </w:pPr>
      <w:r>
        <w:rPr>
          <w:rFonts w:ascii="Arial" w:cs="Arial" w:eastAsia="Arial" w:hAnsi="Arial"/>
          <w:b w:val="false"/>
          <w:bCs w:val="false"/>
          <w:i w:val="false"/>
          <w:iCs w:val="false"/>
          <w:color w:val="333333"/>
          <w:sz w:val="22"/>
          <w:szCs w:val="22"/>
        </w:rPr>
        <w:t xml:space="preserve">The prosecution demands acceleration as proof. This is a category error. A phase transition is not defined by unbounded acceleration. It is defined by: (1) rapid change between two stable states, (2) irreversibility, and (3) qualitative difference in system properties before and after. All three conditions are met. GPQA went from 39% to 94% in 28 months. SWE-bench went from 2% to 81% in 26 months. These are not gradual improvements. They are transitions.</w:t>
      </w:r>
    </w:p>
    <w:p>
      <w:pPr>
        <w:spacing w:after="20"/>
      </w:pPr>
    </w:p>
    <w:p>
      <w:pPr>
        <w:pStyle w:val="Heading2"/>
      </w:pPr>
      <w:r>
        <w:rPr>
          <w:rFonts w:ascii="Arial" w:cs="Arial" w:eastAsia="Arial" w:hAnsi="Arial"/>
          <w:color w:val="0D5E2E"/>
        </w:rPr>
        <w:t xml:space="preserve">Rebuttal 3: Benchmarks Measure Outputs, Which Is What Matters</w:t>
      </w:r>
    </w:p>
    <w:p>
      <w:pPr>
        <w:spacing w:after="10"/>
      </w:pPr>
    </w:p>
    <w:p>
      <w:pPr>
        <w:spacing w:after="120"/>
      </w:pPr>
      <w:r>
        <w:rPr>
          <w:rFonts w:ascii="Arial" w:cs="Arial" w:eastAsia="Arial" w:hAnsi="Arial"/>
          <w:b w:val="false"/>
          <w:bCs w:val="false"/>
          <w:i w:val="false"/>
          <w:iCs w:val="false"/>
          <w:color w:val="333333"/>
          <w:sz w:val="22"/>
          <w:szCs w:val="22"/>
        </w:rPr>
        <w:t xml:space="preserve">The prosecution argues benchmarks are not intelligence. We agree — and we never claimed they were. The thesis makes no claim about consciousness, understanding, or qualia. It claims that AI produces outputs that match or exceed human expert outputs across the majority of measurable cognitive domains. The 2024 Nobel Prize committee did not ask whether AlphaFold "understands" protein folding. It asked whether the outputs were scientifically valid. They were.</w:t>
      </w:r>
    </w:p>
    <w:p>
      <w:pPr>
        <w:spacing w:after="10"/>
      </w:pPr>
    </w:p>
    <w:p>
      <w:pPr>
        <w:spacing w:after="120"/>
      </w:pPr>
      <w:r>
        <w:rPr>
          <w:rFonts w:ascii="Arial" w:cs="Arial" w:eastAsia="Arial" w:hAnsi="Arial"/>
          <w:b w:val="false"/>
          <w:bCs w:val="false"/>
          <w:i w:val="false"/>
          <w:iCs w:val="false"/>
          <w:color w:val="333333"/>
          <w:sz w:val="22"/>
          <w:szCs w:val="22"/>
        </w:rPr>
        <w:t xml:space="preserve">On benchmark contamination: ARC-AGI-2 was specifically designed to be unseen and contamination-resistant. AI went from 0% to 69% in 14 months on a benchmark designed to prevent gaming. The contamination objection does not survive contact with ARC-AGI-2.</w:t>
      </w:r>
    </w:p>
    <w:p>
      <w:pPr>
        <w:spacing w:after="20"/>
      </w:pPr>
    </w:p>
    <w:p>
      <w:pPr>
        <w:pStyle w:val="Heading2"/>
      </w:pPr>
      <w:r>
        <w:rPr>
          <w:rFonts w:ascii="Arial" w:cs="Arial" w:eastAsia="Arial" w:hAnsi="Arial"/>
          <w:color w:val="0D5E2E"/>
        </w:rPr>
        <w:t xml:space="preserve">Rebuttal 4: The J-Curve Is the Oldest Pattern in Technology Economics</w:t>
      </w:r>
    </w:p>
    <w:p>
      <w:pPr>
        <w:spacing w:after="10"/>
      </w:pPr>
    </w:p>
    <w:p>
      <w:pPr>
        <w:spacing w:after="120"/>
      </w:pPr>
      <w:r>
        <w:rPr>
          <w:rFonts w:ascii="Arial" w:cs="Arial" w:eastAsia="Arial" w:hAnsi="Arial"/>
          <w:b w:val="false"/>
          <w:bCs w:val="false"/>
          <w:i w:val="false"/>
          <w:iCs w:val="false"/>
          <w:color w:val="333333"/>
          <w:sz w:val="22"/>
          <w:szCs w:val="22"/>
        </w:rPr>
        <w:t xml:space="preserve">Goldman's "no meaningful relationship" finding is exactly what Brynjolfsson predicted. Electrification: 30 years from deployment to productivity impact. Internet: 15 years. In 1996, internet investment was booming and Paul Krugman wrote that the internet's economic impact would be "no greater than the fax machine's." He was measuring during the infrastructure build phase, not the utilization phase. Goldman is making the same error in 2026.</w:t>
      </w:r>
    </w:p>
    <w:p>
      <w:pPr>
        <w:spacing w:after="10"/>
      </w:pPr>
    </w:p>
    <w:p>
      <w:pPr>
        <w:spacing w:after="120"/>
      </w:pPr>
      <w:r>
        <w:rPr>
          <w:rFonts w:ascii="Arial" w:cs="Arial" w:eastAsia="Arial" w:hAnsi="Arial"/>
          <w:b w:val="false"/>
          <w:bCs w:val="false"/>
          <w:i w:val="false"/>
          <w:iCs w:val="false"/>
          <w:color w:val="333333"/>
          <w:sz w:val="22"/>
          <w:szCs w:val="22"/>
        </w:rPr>
        <w:t xml:space="preserve">The 95% AI project failure rate (MIT, 2025) also mirrors historical patterns: 95% of websites launched during the dot-com era also failed. The 5% that survived created $10 trillion in market value. The failure rate is not evidence against transformation — it is the characteristic noise of a genuine technology revolution.</w:t>
      </w:r>
    </w:p>
    <w:p>
      <w:pPr>
        <w:spacing w:after="20"/>
      </w:pPr>
    </w:p>
    <w:p>
      <w:pPr>
        <w:pStyle w:val="Heading2"/>
      </w:pPr>
      <w:r>
        <w:rPr>
          <w:rFonts w:ascii="Arial" w:cs="Arial" w:eastAsia="Arial" w:hAnsi="Arial"/>
          <w:color w:val="0D5E2E"/>
        </w:rPr>
        <w:t xml:space="preserve">Rebuttal 5: The Loop IS Closing — Incrementally</w:t>
      </w:r>
    </w:p>
    <w:p>
      <w:pPr>
        <w:spacing w:after="10"/>
      </w:pPr>
    </w:p>
    <w:p>
      <w:pPr>
        <w:spacing w:after="120"/>
      </w:pPr>
      <w:r>
        <w:rPr>
          <w:rFonts w:ascii="Arial" w:cs="Arial" w:eastAsia="Arial" w:hAnsi="Arial"/>
          <w:b w:val="false"/>
          <w:bCs w:val="false"/>
          <w:i w:val="false"/>
          <w:iCs w:val="false"/>
          <w:color w:val="333333"/>
          <w:sz w:val="22"/>
          <w:szCs w:val="22"/>
        </w:rPr>
        <w:t xml:space="preserve">The prosecution demands AI invent a fundamentally new architecture. This is a goalpost that moves with each achievement. In 2022, the goalpost was "AI can't write production code." In 2024, it was "AI can't do research." Now it is "AI can't invent new paradigms." Each prior goalpost was passed. The pattern suggests the current one will be too.</w:t>
      </w:r>
    </w:p>
    <w:p>
      <w:pPr>
        <w:spacing w:after="10"/>
      </w:pPr>
    </w:p>
    <w:p>
      <w:pPr>
        <w:spacing w:after="120"/>
      </w:pPr>
      <w:r>
        <w:rPr>
          <w:rFonts w:ascii="Arial" w:cs="Arial" w:eastAsia="Arial" w:hAnsi="Arial"/>
          <w:b w:val="false"/>
          <w:bCs w:val="false"/>
          <w:i w:val="false"/>
          <w:iCs w:val="false"/>
          <w:color w:val="333333"/>
          <w:sz w:val="22"/>
          <w:szCs w:val="22"/>
        </w:rPr>
        <w:t xml:space="preserve">More concretely: ICLR 2026 dedicated an entire workshop to recursive self-improvement. Google DeepMind's AlphaEvolve discovers algorithms outside the defined search space — it has produced novel sorting algorithms that no human designed. And the 70-90% code generation claim understates the trajectory: in 2023, AI wrote 0% of Anthropic's code. In 2025, one engineer reports 100%. Extrapolate that curve.</w:t>
      </w:r>
    </w:p>
    <w:p>
      <w:pPr>
        <w:spacing w:after="20"/>
      </w:pPr>
    </w:p>
    <w:p>
      <w:pPr>
        <w:pStyle w:val="Heading2"/>
      </w:pPr>
      <w:r>
        <w:rPr>
          <w:rFonts w:ascii="Arial" w:cs="Arial" w:eastAsia="Arial" w:hAnsi="Arial"/>
          <w:color w:val="0D5E2E"/>
        </w:rPr>
        <w:t xml:space="preserve">Rebuttal 6: Expert Consensus Is a Lagging Indicator</w:t>
      </w:r>
    </w:p>
    <w:p>
      <w:pPr>
        <w:spacing w:after="10"/>
      </w:pPr>
    </w:p>
    <w:p>
      <w:pPr>
        <w:spacing w:after="120"/>
      </w:pPr>
      <w:r>
        <w:rPr>
          <w:rFonts w:ascii="Arial" w:cs="Arial" w:eastAsia="Arial" w:hAnsi="Arial"/>
          <w:b w:val="false"/>
          <w:bCs w:val="false"/>
          <w:i w:val="false"/>
          <w:iCs w:val="false"/>
          <w:color w:val="333333"/>
          <w:sz w:val="22"/>
          <w:szCs w:val="22"/>
        </w:rPr>
        <w:t xml:space="preserve">The median expert estimate was 2060-2100 before 2020. It is now 2040. That is a 20-40 year compression in five years. The direction is unanimous — not a single major survey has moved its estimate further into the future. If the rate of compression continues, the 2040 median becomes a 2030 median by 2028.</w:t>
      </w:r>
    </w:p>
    <w:p>
      <w:pPr>
        <w:spacing w:after="10"/>
      </w:pPr>
    </w:p>
    <w:p>
      <w:pPr>
        <w:spacing w:after="120"/>
      </w:pPr>
      <w:r>
        <w:rPr>
          <w:rFonts w:ascii="Arial" w:cs="Arial" w:eastAsia="Arial" w:hAnsi="Arial"/>
          <w:b w:val="false"/>
          <w:bCs w:val="false"/>
          <w:i w:val="false"/>
          <w:iCs w:val="false"/>
          <w:color w:val="333333"/>
          <w:sz w:val="22"/>
          <w:szCs w:val="22"/>
        </w:rPr>
        <w:t xml:space="preserve">The prosecution dismisses industry leaders (Altman, Musk, Son) as "promoters with incentives." But academic researchers also have incentives: to appear cautious and avoid being wrong. The relevant question is not whether they have incentives, but whether their predictions track with observed capability trajectories. The capability trajectories are breaking their own predictions.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5E2E" w:sz="3"/>
              <w:left w:val="single" w:color="0D5E2E" w:sz="3"/>
              <w:bottom w:val="single" w:color="0D5E2E" w:sz="3"/>
              <w:right w:val="single" w:color="0D5E2E" w:sz="3"/>
            </w:tcBorders>
            <w:shd w:fill="F5F7FA" w:val="clear"/>
            <w:tcMar>
              <w:top w:type="dxa" w:w="200"/>
              <w:left w:type="dxa" w:w="300"/>
              <w:bottom w:type="dxa" w:w="200"/>
              <w:right w:type="dxa" w:w="300"/>
            </w:tcMar>
          </w:tcPr>
          <w:p>
            <w:pPr>
              <w:spacing w:after="80"/>
            </w:pPr>
            <w:r>
              <w:rPr>
                <w:rFonts w:ascii="Arial" w:cs="Arial" w:eastAsia="Arial" w:hAnsi="Arial"/>
                <w:b/>
                <w:bCs/>
                <w:color w:val="0D5E2E"/>
                <w:sz w:val="22"/>
                <w:szCs w:val="22"/>
              </w:rPr>
              <w:t xml:space="preserve">Defense Summary</w:t>
            </w:r>
          </w:p>
          <w:p>
            <w:pPr>
              <w:spacing w:after="0"/>
            </w:pPr>
            <w:r>
              <w:rPr>
                <w:rFonts w:ascii="Arial" w:cs="Arial" w:eastAsia="Arial" w:hAnsi="Arial"/>
                <w:color w:val="333333"/>
                <w:sz w:val="22"/>
                <w:szCs w:val="22"/>
              </w:rPr>
              <w:t xml:space="preserve">The prosecution's case depends on: an outdated, unfalsifiable definition of singularity; a misunderstanding of what phase transitions look like mathematically; a philosophical objection to benchmark validity that ignores real-world outputs; a historical pattern (the J-curve) misread as evidence against transformation; a moving goalpost on self-improvement; and expert predictions that are demonstrably lagging behind observed capability trajectories. The evidence for a phase transition is convergent, cross-domain, and unprecedented in speed. Verdict: SINGULARITY IN PROGRESS.</w:t>
            </w:r>
          </w:p>
        </w:tc>
      </w:tr>
    </w:tbl>
    <w:p>
      <w:pPr>
        <w:spacing w:after="40"/>
      </w:pPr>
    </w:p>
    <w:p>
      <w:pPr>
        <w:pStyle w:val="Heading2"/>
      </w:pPr>
      <w:r>
        <w:rPr>
          <w:rFonts w:ascii="Arial" w:cs="Arial" w:eastAsia="Arial" w:hAnsi="Arial"/>
        </w:rPr>
        <w:t xml:space="preserve">For the Reader: Jury Instruction</w:t>
      </w:r>
    </w:p>
    <w:p>
      <w:pPr>
        <w:spacing w:after="10"/>
      </w:pPr>
    </w:p>
    <w:p>
      <w:pPr>
        <w:spacing w:after="120"/>
      </w:pPr>
      <w:r>
        <w:rPr>
          <w:rFonts w:ascii="Arial" w:cs="Arial" w:eastAsia="Arial" w:hAnsi="Arial"/>
          <w:b w:val="false"/>
          <w:bCs w:val="false"/>
          <w:i w:val="false"/>
          <w:iCs w:val="false"/>
          <w:color w:val="333333"/>
          <w:sz w:val="22"/>
          <w:szCs w:val="22"/>
        </w:rPr>
        <w:t xml:space="preserve">Both the prosecution and the defense make valid points. The intellectually honest conclusion is not certainty in either direction, but a probability assessment:</w:t>
      </w:r>
    </w:p>
    <w:p>
      <w:pPr>
        <w:spacing w:after="10"/>
      </w:pPr>
    </w:p>
    <w:p>
      <w:pPr>
        <w:pStyle w:val="ListParagraph"/>
        <w:numPr>
          <w:ilvl w:val="0"/>
          <w:numId w:val="2"/>
        </w:numPr>
        <w:spacing w:after="80"/>
      </w:pPr>
      <w:r>
        <w:rPr>
          <w:rFonts w:ascii="Arial" w:cs="Arial" w:eastAsia="Arial" w:hAnsi="Arial"/>
          <w:b/>
          <w:bCs/>
          <w:color w:val="333333"/>
          <w:sz w:val="22"/>
          <w:szCs w:val="22"/>
        </w:rPr>
        <w:t xml:space="preserve">If you weight the canonical definition (recursive superintelligence): </w:t>
      </w:r>
      <w:r>
        <w:rPr>
          <w:rFonts w:ascii="Arial" w:cs="Arial" w:eastAsia="Arial" w:hAnsi="Arial"/>
          <w:color w:val="333333"/>
          <w:sz w:val="22"/>
          <w:szCs w:val="22"/>
        </w:rPr>
        <w:t xml:space="preserve">The prosecution is largely right. We are not there yet. Self-improvement is real but incremental, not explosive.</w:t>
      </w:r>
    </w:p>
    <w:p>
      <w:pPr>
        <w:pStyle w:val="ListParagraph"/>
        <w:numPr>
          <w:ilvl w:val="0"/>
          <w:numId w:val="2"/>
        </w:numPr>
        <w:spacing w:after="80"/>
      </w:pPr>
      <w:r>
        <w:rPr>
          <w:rFonts w:ascii="Arial" w:cs="Arial" w:eastAsia="Arial" w:hAnsi="Arial"/>
          <w:b/>
          <w:bCs/>
          <w:color w:val="333333"/>
          <w:sz w:val="22"/>
          <w:szCs w:val="22"/>
        </w:rPr>
        <w:t xml:space="preserve">If you weight the operational definition (irreversible phase transition in AI capability): </w:t>
      </w:r>
      <w:r>
        <w:rPr>
          <w:rFonts w:ascii="Arial" w:cs="Arial" w:eastAsia="Arial" w:hAnsi="Arial"/>
          <w:color w:val="333333"/>
          <w:sz w:val="22"/>
          <w:szCs w:val="22"/>
        </w:rPr>
        <w:t xml:space="preserve">The defense is largely right. The transition has occurred, it is unprecedented in speed, and it is irreversible.</w:t>
      </w:r>
    </w:p>
    <w:p>
      <w:pPr>
        <w:pStyle w:val="ListParagraph"/>
        <w:numPr>
          <w:ilvl w:val="0"/>
          <w:numId w:val="2"/>
        </w:numPr>
        <w:spacing w:after="80"/>
      </w:pPr>
      <w:r>
        <w:rPr>
          <w:rFonts w:ascii="Arial" w:cs="Arial" w:eastAsia="Arial" w:hAnsi="Arial"/>
          <w:b/>
          <w:bCs/>
          <w:color w:val="333333"/>
          <w:sz w:val="22"/>
          <w:szCs w:val="22"/>
        </w:rPr>
        <w:t xml:space="preserve">If you weight the practical implications: </w:t>
      </w:r>
      <w:r>
        <w:rPr>
          <w:rFonts w:ascii="Arial" w:cs="Arial" w:eastAsia="Arial" w:hAnsi="Arial"/>
          <w:color w:val="333333"/>
          <w:sz w:val="22"/>
          <w:szCs w:val="22"/>
        </w:rPr>
        <w:t xml:space="preserve">Both sides agree that AI capabilities have undergone extraordinary growth, that this growth is accelerating or recently accelerated, and that organizations need governance frameworks regardless of the semantic label. The singularity debate is academic. The governance imperative is immediate.</w:t>
      </w:r>
    </w:p>
    <w:p>
      <w:r>
        <w:br w:type="page"/>
      </w:r>
    </w:p>
    <w:p>
      <w:pPr>
        <w:spacing w:after="80"/>
      </w:pPr>
    </w:p>
    <w:p>
      <w:pPr>
        <w:spacing w:after="40"/>
        <w:jc w:val="center"/>
      </w:pPr>
      <w:r>
        <w:rPr>
          <w:rFonts w:ascii="Arial" w:cs="Arial" w:eastAsia="Arial" w:hAnsi="Arial"/>
          <w:b/>
          <w:bCs/>
          <w:color w:val="1B2A4A"/>
          <w:sz w:val="32"/>
          <w:szCs w:val="32"/>
        </w:rPr>
        <w:t xml:space="preserve">PART II</w:t>
      </w:r>
    </w:p>
    <w:p>
      <w:pPr>
        <w:spacing w:after="40"/>
        <w:jc w:val="center"/>
      </w:pPr>
      <w:r>
        <w:rPr>
          <w:rFonts w:ascii="Arial" w:cs="Arial" w:eastAsia="Arial" w:hAnsi="Arial"/>
          <w:color w:val="2E6BA6"/>
          <w:sz w:val="28"/>
          <w:szCs w:val="28"/>
        </w:rPr>
        <w:t xml:space="preserve">Prediction Registry</w:t>
      </w:r>
    </w:p>
    <w:p>
      <w:pPr>
        <w:spacing w:after="40"/>
        <w:jc w:val="center"/>
      </w:pPr>
      <w:r>
        <w:rPr>
          <w:rFonts w:ascii="Arial" w:cs="Arial" w:eastAsia="Arial" w:hAnsi="Arial"/>
          <w:i/>
          <w:iCs/>
          <w:color w:val="555555"/>
          <w:sz w:val="22"/>
          <w:szCs w:val="22"/>
        </w:rPr>
        <w:t xml:space="preserve">20 falsifiable predictions derived from the singularity thesis. Timestamped March 26, 2026.</w:t>
      </w:r>
    </w:p>
    <w:p>
      <w:pPr>
        <w:pBdr>
          <w:bottom w:val="single" w:color="CCCCCC" w:sz="1"/>
        </w:pBdr>
        <w:spacing w:after="200" w:before="200"/>
      </w:pPr>
    </w:p>
    <w:p>
      <w:pPr>
        <w:spacing w:after="20"/>
      </w:pPr>
    </w:p>
    <w:p>
      <w:pPr>
        <w:spacing w:after="120"/>
      </w:pPr>
      <w:r>
        <w:rPr>
          <w:rFonts w:ascii="Arial" w:cs="Arial" w:eastAsia="Arial" w:hAnsi="Arial"/>
          <w:b w:val="false"/>
          <w:bCs w:val="false"/>
          <w:i w:val="false"/>
          <w:iCs w:val="false"/>
          <w:color w:val="333333"/>
          <w:sz w:val="22"/>
          <w:szCs w:val="22"/>
        </w:rPr>
        <w:t xml:space="preserve">If the singularity thesis is correct — that AI has undergone an irreversible phase transition to human-expert-level capability across multiple domains — then specific, testable consequences follow. The predictions below are derived from the thesis and arranged by verification date. If 15 or more are confirmed, the thesis is strongly supported. If fewer than 10 are confirmed, the thesis should be revised or abandoned.</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3"/>
              <w:left w:val="single" w:color="1B2A4A" w:sz="3"/>
              <w:bottom w:val="single" w:color="1B2A4A" w:sz="3"/>
              <w:right w:val="single" w:color="1B2A4A" w:sz="3"/>
            </w:tcBorders>
            <w:shd w:fill="F5F7FA" w:val="clear"/>
            <w:tcMar>
              <w:top w:type="dxa" w:w="200"/>
              <w:left w:type="dxa" w:w="300"/>
              <w:bottom w:type="dxa" w:w="200"/>
              <w:right w:type="dxa" w:w="300"/>
            </w:tcMar>
          </w:tcPr>
          <w:p>
            <w:pPr>
              <w:spacing w:after="80"/>
            </w:pPr>
            <w:r>
              <w:rPr>
                <w:rFonts w:ascii="Arial" w:cs="Arial" w:eastAsia="Arial" w:hAnsi="Arial"/>
                <w:b/>
                <w:bCs/>
                <w:color w:val="1B2A4A"/>
                <w:sz w:val="22"/>
                <w:szCs w:val="22"/>
              </w:rPr>
              <w:t xml:space="preserve">Registry Rules</w:t>
            </w:r>
          </w:p>
          <w:p>
            <w:pPr>
              <w:spacing w:after="0"/>
            </w:pPr>
            <w:r>
              <w:rPr>
                <w:rFonts w:ascii="Arial" w:cs="Arial" w:eastAsia="Arial" w:hAnsi="Arial"/>
                <w:color w:val="333333"/>
                <w:sz w:val="22"/>
                <w:szCs w:val="22"/>
              </w:rPr>
              <w:t xml:space="preserve">1. Each prediction is binary: confirmed or not confirmed.
2. Verification method and source are specified in advance.
3. "Partially met" counts as not confirmed unless the partial threshold is specified.
4. The author (Waddell) commits to publishing a public scorecard on the verification date.
5. No predictions may be modified, added, or removed after March 26, 2026.</w:t>
            </w:r>
          </w:p>
        </w:tc>
      </w:tr>
    </w:tbl>
    <w:p>
      <w:pPr>
        <w:spacing w:after="20"/>
      </w:pPr>
    </w:p>
    <w:p>
      <w:pPr>
        <w:pStyle w:val="Heading2"/>
      </w:pPr>
      <w:r>
        <w:rPr>
          <w:rFonts w:ascii="Arial" w:cs="Arial" w:eastAsia="Arial" w:hAnsi="Arial"/>
        </w:rPr>
        <w:t xml:space="preserve">Tier 1: Verifiable by December 31, 2026 (9 months)</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560"/>
        <w:gridCol w:w="380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Prediction</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Verification Source</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Derivation from Thesis</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E6BA6"/>
                <w:sz w:val="20"/>
                <w:szCs w:val="20"/>
              </w:rPr>
              <w:t xml:space="preserve">P1</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ARC-AGI-2 best score exceeds 85%</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arcprize.org leaderboard</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If the phase transition is real, abstract reasoning continues its trajectory (current: 68.8%).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6BA6"/>
                <w:sz w:val="20"/>
                <w:szCs w:val="20"/>
              </w:rPr>
              <w:t xml:space="preserve">P2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Cost of GPT-4-equivalent quality drops below $0.10/M tokens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Artificial Analysis pricing tracker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Cost efficiency acceleration (p=0.008) should continue unabated.</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E6BA6"/>
                <w:sz w:val="20"/>
                <w:szCs w:val="20"/>
              </w:rPr>
              <w:t xml:space="preserve">P3</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At least 3 Fortune 100 companies publicly disclose AI agents making autonomous decisions in production</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Company earnings calls, press releases, SEC filings</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Autonomous agency expands from pilots to production.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6BA6"/>
                <w:sz w:val="20"/>
                <w:szCs w:val="20"/>
              </w:rPr>
              <w:t xml:space="preserve">P4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SWE-bench Verified best score exceeds 90%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swebench.com leaderboard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Software engineering capability continues logistic ascent.</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E6BA6"/>
                <w:sz w:val="20"/>
                <w:szCs w:val="20"/>
              </w:rPr>
              <w:t xml:space="preserve">P5</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At least one major AI lab announces &gt;90% of its code is AI-generated</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Official blog post or earnings call</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Recursive self-improvement metric extends from Anthropic to others.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6BA6"/>
                <w:sz w:val="20"/>
                <w:szCs w:val="20"/>
              </w:rPr>
              <w:t xml:space="preserve">P6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Total AI CapEx by top 5 US tech companies exceeds $300B (annualized H2 2026)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Bloomberg Intelligence, company earnings reports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Capital commitment is irreversible infrastructure.</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E6BA6"/>
                <w:sz w:val="20"/>
                <w:szCs w:val="20"/>
              </w:rPr>
              <w:t xml:space="preserve">P7</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Enterprise AI adoption exceeds 85% (organizations using AI in ≥1 function)</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McKinsey State of AI 2026 or equivalent survey</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Adoption curve continues (current: 78%, McKinsey 2025).</w:t>
            </w:r>
          </w:p>
        </w:tc>
      </w:tr>
    </w:tbl>
    <w:p>
      <w:pPr>
        <w:spacing w:after="20"/>
      </w:pPr>
    </w:p>
    <w:p>
      <w:pPr>
        <w:pStyle w:val="Heading2"/>
      </w:pPr>
      <w:r>
        <w:rPr>
          <w:rFonts w:ascii="Arial" w:cs="Arial" w:eastAsia="Arial" w:hAnsi="Arial"/>
        </w:rPr>
        <w:t xml:space="preserve">Tier 2: Verifiable by December 31, 2027 (21 months)</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560"/>
        <w:gridCol w:w="380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Prediction</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Verification Source</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Derivation from Thesis</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E6BA6"/>
                <w:sz w:val="20"/>
                <w:szCs w:val="20"/>
              </w:rPr>
              <w:t xml:space="preserve">P8</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An AI system publishes a peer-reviewed paper in a top-tier venue with no human co-author</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Venue publication records (Nature, Science, ICML, NeurIPS, ICLR)</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Scientific discovery by autonomous AI agents.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6BA6"/>
                <w:sz w:val="20"/>
                <w:szCs w:val="20"/>
              </w:rPr>
              <w:t xml:space="preserve">P9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AI-generated drug candidate enters Phase I clinical trial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ClinicalTrials.gov, FDA filings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Drug discovery pipeline validates AI Co-Scientist class systems.</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E6BA6"/>
                <w:sz w:val="20"/>
                <w:szCs w:val="20"/>
              </w:rPr>
              <w:t xml:space="preserve">P10</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At least 10 companies with &gt;$1B revenue report measurable AI-driven productivity gains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Earnings reports, analyst calls</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J-curve inflection point: investment converts to measured returns.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6BA6"/>
                <w:sz w:val="20"/>
                <w:szCs w:val="20"/>
              </w:rPr>
              <w:t xml:space="preserve">P11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AI code agents resolve &gt;50% of issues on a new benchmark designed post-2026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New benchmark leaderboard (successor to SWE-bench)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Capability generalizes beyond existing benchmarks.</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E6BA6"/>
                <w:sz w:val="20"/>
                <w:szCs w:val="20"/>
              </w:rPr>
              <w:t xml:space="preserve">P12</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Autonomous vehicle rides exceed 1M per week globally</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Company reports (Waymo, Cruise, Baidu)</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Physical-world autonomy scales beyond current deployment.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6BA6"/>
                <w:sz w:val="20"/>
                <w:szCs w:val="20"/>
              </w:rPr>
              <w:t xml:space="preserve">P13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At least one national government establishes mandatory AI governance requirements for critical infrastructure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Legislative record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Regulatory acknowledgment of AI as infrastructure-level risk.</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E6BA6"/>
                <w:sz w:val="20"/>
                <w:szCs w:val="20"/>
              </w:rPr>
              <w:t xml:space="preserve">P14</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AI training compute cost per FLOP drops below 50% of March 2026 levels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Epoch AI, semiconductor industry reports</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Hardware efficiency gains compound with algorithmic efficiency.</w:t>
            </w:r>
          </w:p>
        </w:tc>
      </w:tr>
    </w:tbl>
    <w:p>
      <w:pPr>
        <w:spacing w:after="20"/>
      </w:pPr>
    </w:p>
    <w:p>
      <w:pPr>
        <w:pStyle w:val="Heading2"/>
      </w:pPr>
      <w:r>
        <w:rPr>
          <w:rFonts w:ascii="Arial" w:cs="Arial" w:eastAsia="Arial" w:hAnsi="Arial"/>
        </w:rPr>
        <w:t xml:space="preserve">Tier 3: Verifiable by December 31, 2028 (33 months)</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560"/>
        <w:gridCol w:w="380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Prediction</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Verification Source</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Derivation from Thesis</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E6BA6"/>
                <w:sz w:val="20"/>
                <w:szCs w:val="20"/>
              </w:rPr>
              <w:t xml:space="preserve">P15</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Goldman Sachs revises AI GDP impact estimate upward by ≥30%</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Goldman Sachs Global Investment Research updates</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J-curve completes: macro-economic evidence emerges.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6BA6"/>
                <w:sz w:val="20"/>
                <w:szCs w:val="20"/>
              </w:rPr>
              <w:t xml:space="preserve">P16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AI systems achieve &gt;95% on ARC-AGI-3 (or successor abstract reasoning benchmark)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arcprize.org or successor leaderboard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Abstract reasoning capability generalizes to harder tests.</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E6BA6"/>
                <w:sz w:val="20"/>
                <w:szCs w:val="20"/>
              </w:rPr>
              <w:t xml:space="preserve">P17</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At least one AI lab demonstrates automated end-to-end ML research pipeline (problem identification through paper submission)</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Lab announcement + published paper</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Full recursive loop: AI identifies problems, designs solutions, publishes.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6BA6"/>
                <w:sz w:val="20"/>
                <w:szCs w:val="20"/>
              </w:rPr>
              <w:t xml:space="preserve">P18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AI-related job displacement measurable in BLS data (≥0.5 percentage point shift in any major category)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Bureau of Labor Statistics, Current Employment Statistics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Labor market inflection becomes statistically visible.</w:t>
            </w:r>
          </w:p>
        </w:tc>
      </w:tr>
      <w:tr>
        <w:tc>
          <w:tcPr>
            <w:tcW w:type="dxa" w:w="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E6BA6"/>
                <w:sz w:val="20"/>
                <w:szCs w:val="20"/>
              </w:rPr>
              <w:t xml:space="preserve">P19</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Training compute for frontier models exceeds 10²⁷ FLOP</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Epoch AI, company disclosures</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Compute trend continues at 4-5x/year pace.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6BA6"/>
                <w:sz w:val="20"/>
                <w:szCs w:val="20"/>
              </w:rPr>
              <w:t xml:space="preserve">P20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Fewer than 3 of the 7 benchmark domains tracked in the quantitative proof show capability regression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Same sources as quantitative proof</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Irreversibility: the phase transition does not reverse.</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3"/>
              <w:left w:val="single" w:color="1B2A4A" w:sz="3"/>
              <w:bottom w:val="single" w:color="1B2A4A" w:sz="3"/>
              <w:right w:val="single" w:color="1B2A4A" w:sz="3"/>
            </w:tcBorders>
            <w:shd w:fill="F5F7FA" w:val="clear"/>
            <w:tcMar>
              <w:top w:type="dxa" w:w="200"/>
              <w:left w:type="dxa" w:w="300"/>
              <w:bottom w:type="dxa" w:w="200"/>
              <w:right w:type="dxa" w:w="300"/>
            </w:tcMar>
          </w:tcPr>
          <w:p>
            <w:pPr>
              <w:spacing w:after="80"/>
            </w:pPr>
            <w:r>
              <w:rPr>
                <w:rFonts w:ascii="Arial" w:cs="Arial" w:eastAsia="Arial" w:hAnsi="Arial"/>
                <w:b/>
                <w:bCs/>
                <w:color w:val="1B2A4A"/>
                <w:sz w:val="22"/>
                <w:szCs w:val="22"/>
              </w:rPr>
              <w:t xml:space="preserve">Scoring Protocol</w:t>
            </w:r>
          </w:p>
          <w:p>
            <w:pPr>
              <w:spacing w:after="0"/>
            </w:pPr>
            <w:r>
              <w:rPr>
                <w:rFonts w:ascii="Arial" w:cs="Arial" w:eastAsia="Arial" w:hAnsi="Arial"/>
                <w:color w:val="333333"/>
                <w:sz w:val="22"/>
                <w:szCs w:val="22"/>
              </w:rPr>
              <w:t xml:space="preserve">Tier 1 (P1-P7): Score by January 31, 2027.  |  Tier 2 (P8-P14): Score by January 31, 2028.  |  Tier 3 (P15-P20): Score by January 31, 2029.
Threshold: ≥15/20 confirmed = thesis strongly supported.  |  10-14 = thesis partially supported, revision needed.  |  &lt;10 = thesis falsified, retraction warranted.
This registry is timestamped March 26, 2026 and may not be modified after publication.</w:t>
            </w:r>
          </w:p>
        </w:tc>
      </w:tr>
    </w:tbl>
    <w:p>
      <w:r>
        <w:br w:type="page"/>
      </w:r>
    </w:p>
    <w:p>
      <w:pPr>
        <w:spacing w:after="80"/>
      </w:pPr>
    </w:p>
    <w:p>
      <w:pPr>
        <w:spacing w:after="40"/>
        <w:jc w:val="center"/>
      </w:pPr>
      <w:r>
        <w:rPr>
          <w:rFonts w:ascii="Arial" w:cs="Arial" w:eastAsia="Arial" w:hAnsi="Arial"/>
          <w:b/>
          <w:bCs/>
          <w:color w:val="1B2A4A"/>
          <w:sz w:val="32"/>
          <w:szCs w:val="32"/>
        </w:rPr>
        <w:t xml:space="preserve">PART III</w:t>
      </w:r>
    </w:p>
    <w:p>
      <w:pPr>
        <w:spacing w:after="40"/>
        <w:jc w:val="center"/>
      </w:pPr>
      <w:r>
        <w:rPr>
          <w:rFonts w:ascii="Arial" w:cs="Arial" w:eastAsia="Arial" w:hAnsi="Arial"/>
          <w:color w:val="2E6BA6"/>
          <w:sz w:val="28"/>
          <w:szCs w:val="28"/>
        </w:rPr>
        <w:t xml:space="preserve">Historical Comparison</w:t>
      </w:r>
    </w:p>
    <w:p>
      <w:pPr>
        <w:spacing w:after="40"/>
        <w:jc w:val="center"/>
      </w:pPr>
      <w:r>
        <w:rPr>
          <w:rFonts w:ascii="Arial" w:cs="Arial" w:eastAsia="Arial" w:hAnsi="Arial"/>
          <w:i/>
          <w:iCs/>
          <w:color w:val="555555"/>
          <w:sz w:val="22"/>
          <w:szCs w:val="22"/>
        </w:rPr>
        <w:t xml:space="preserve">AI capability growth vs. the four fastest technology transitions in history.</w:t>
      </w:r>
    </w:p>
    <w:p>
      <w:pPr>
        <w:pBdr>
          <w:bottom w:val="single" w:color="CCCCCC" w:sz="1"/>
        </w:pBdr>
        <w:spacing w:after="200" w:before="200"/>
      </w:pPr>
    </w:p>
    <w:p>
      <w:pPr>
        <w:spacing w:after="20"/>
      </w:pPr>
    </w:p>
    <w:p>
      <w:pPr>
        <w:spacing w:after="120"/>
      </w:pPr>
      <w:r>
        <w:rPr>
          <w:rFonts w:ascii="Arial" w:cs="Arial" w:eastAsia="Arial" w:hAnsi="Arial"/>
          <w:b w:val="false"/>
          <w:bCs w:val="false"/>
          <w:i w:val="false"/>
          <w:iCs w:val="false"/>
          <w:color w:val="333333"/>
          <w:sz w:val="22"/>
          <w:szCs w:val="22"/>
        </w:rPr>
        <w:t xml:space="preserve">If the singularity thesis claims AI has undergone a "phase transition," we should compare it to the historical transitions that reshaped civilization. Below we normalize four technology transitions to the same metric — years from 10% to 90% of capability range — and compare them to AI.</w:t>
      </w:r>
    </w:p>
    <w:p>
      <w:pPr>
        <w:spacing w:after="20"/>
      </w:pPr>
    </w:p>
    <w:p>
      <w:pPr>
        <w:pStyle w:val="Heading2"/>
      </w:pPr>
      <w:r>
        <w:rPr>
          <w:rFonts w:ascii="Arial" w:cs="Arial" w:eastAsia="Arial" w:hAnsi="Arial"/>
        </w:rPr>
        <w:t xml:space="preserve">The Five Transitions</w:t>
      </w:r>
    </w:p>
    <w:p>
      <w:pPr>
        <w:spacing w:after="10"/>
      </w:pPr>
    </w:p>
    <w:p>
      <w:pPr>
        <w:spacing w:after="120"/>
      </w:pPr>
      <w:r>
        <w:rPr>
          <w:rFonts w:ascii="Arial" w:cs="Arial" w:eastAsia="Arial" w:hAnsi="Arial"/>
          <w:b/>
          <w:bCs/>
          <w:color w:val="1B2A4A"/>
          <w:sz w:val="22"/>
          <w:szCs w:val="22"/>
        </w:rPr>
        <w:t xml:space="preserve">1. Electrification (1882-1956): 10% to 90% adoption in ~40 years</w:t>
      </w:r>
    </w:p>
    <w:p>
      <w:pPr>
        <w:spacing w:after="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Penetration</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1882</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First central power station (Pearl Street, NYC)</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1907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8% of US dwellings wired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~10%</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1920</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35% of US households electrified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~35%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1925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50% of US households electrified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~50%</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1936</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Rural Electrification Act signed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~70%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1945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85% of US households electrified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~85%</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1956</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~96% of US households electrified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~96%</w:t>
            </w:r>
          </w:p>
        </w:tc>
      </w:tr>
    </w:tbl>
    <w:p>
      <w:pPr>
        <w:spacing w:after="120"/>
      </w:pPr>
      <w:r>
        <w:rPr>
          <w:rFonts w:ascii="Arial" w:cs="Arial" w:eastAsia="Arial" w:hAnsi="Arial"/>
          <w:b w:val="false"/>
          <w:bCs w:val="false"/>
          <w:i/>
          <w:iCs/>
          <w:color w:val="555555"/>
          <w:sz w:val="22"/>
          <w:szCs w:val="22"/>
        </w:rPr>
        <w:t xml:space="preserve">10% → 90%: ~40 years (1907-1945). Productivity impact visible ~30 years after initial deployment.</w:t>
      </w:r>
    </w:p>
    <w:p>
      <w:pPr>
        <w:spacing w:after="20"/>
      </w:pPr>
    </w:p>
    <w:p>
      <w:pPr>
        <w:spacing w:after="120"/>
      </w:pPr>
      <w:r>
        <w:rPr>
          <w:rFonts w:ascii="Arial" w:cs="Arial" w:eastAsia="Arial" w:hAnsi="Arial"/>
          <w:b/>
          <w:bCs/>
          <w:color w:val="1B2A4A"/>
          <w:sz w:val="22"/>
          <w:szCs w:val="22"/>
        </w:rPr>
        <w:t xml:space="preserve">2. Aviation Capability (1903-1958): 10% to 90% of speed range in ~35 years</w:t>
      </w:r>
    </w:p>
    <w:p>
      <w:pPr>
        <w:spacing w:after="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Capability %</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1903</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Wright Flyer: 6.8 mph, 120 feet, 12 seconds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1909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Speed record: 43 mph (Curtiss, Reims)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~5%</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1919</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First transatlantic crossing (Alcock &amp; Brown, 1,890 mi)</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1927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Lindbergh solo transatlantic: 3,600 mi, 33.5 hrs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~25%</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1939</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WWII fighters: 350+ mph, combat altitude 30,000 ft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~50%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1947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Chuck Yeager breaks sound barrier: 767 mph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~75%</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1958</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Boeing 707 commercial service: 550 mph, transcontinental</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~90%</w:t>
            </w:r>
          </w:p>
        </w:tc>
      </w:tr>
    </w:tbl>
    <w:p>
      <w:pPr>
        <w:spacing w:after="120"/>
      </w:pPr>
      <w:r>
        <w:rPr>
          <w:rFonts w:ascii="Arial" w:cs="Arial" w:eastAsia="Arial" w:hAnsi="Arial"/>
          <w:b w:val="false"/>
          <w:bCs w:val="false"/>
          <w:i/>
          <w:iCs/>
          <w:color w:val="555555"/>
          <w:sz w:val="22"/>
          <w:szCs w:val="22"/>
        </w:rPr>
        <w:t xml:space="preserve">0 to commercial jet: ~55 years. Speed 10% → 90% of practical ceiling: ~35 years (1919-1958).</w:t>
      </w:r>
    </w:p>
    <w:p>
      <w:pPr>
        <w:spacing w:after="20"/>
      </w:pPr>
    </w:p>
    <w:p>
      <w:pPr>
        <w:spacing w:after="120"/>
      </w:pPr>
      <w:r>
        <w:rPr>
          <w:rFonts w:ascii="Arial" w:cs="Arial" w:eastAsia="Arial" w:hAnsi="Arial"/>
          <w:b/>
          <w:bCs/>
          <w:color w:val="1B2A4A"/>
          <w:sz w:val="22"/>
          <w:szCs w:val="22"/>
        </w:rPr>
        <w:t xml:space="preserve">3. Internet Adoption (1990-2015): 10% to 90% adoption in ~18 years</w:t>
      </w:r>
    </w:p>
    <w:p>
      <w:pPr>
        <w:spacing w:after="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Penetration</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1993</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Mosaic browser released; ~2% US adult internet use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1995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14% US adult internet use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~14%</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1997</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22% of US households with internet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2000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43% of US population internet access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~43%</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2003</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62% internet penetration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~62%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2007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75% of US adults online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~75%</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2011</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~82% of US adults online; smartphone inflection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~82%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2015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~87% of US adults online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~87%</w:t>
            </w:r>
          </w:p>
        </w:tc>
      </w:tr>
    </w:tbl>
    <w:p>
      <w:pPr>
        <w:spacing w:after="120"/>
      </w:pPr>
      <w:r>
        <w:rPr>
          <w:rFonts w:ascii="Arial" w:cs="Arial" w:eastAsia="Arial" w:hAnsi="Arial"/>
          <w:b w:val="false"/>
          <w:bCs w:val="false"/>
          <w:i/>
          <w:iCs/>
          <w:color w:val="555555"/>
          <w:sz w:val="22"/>
          <w:szCs w:val="22"/>
        </w:rPr>
        <w:t xml:space="preserve">10% → 90%: ~18 years (1995-2013). The fastest major technology adoption prior to smartphones.</w:t>
      </w:r>
    </w:p>
    <w:p>
      <w:pPr>
        <w:spacing w:after="20"/>
      </w:pPr>
    </w:p>
    <w:p>
      <w:pPr>
        <w:spacing w:after="120"/>
      </w:pPr>
      <w:r>
        <w:rPr>
          <w:rFonts w:ascii="Arial" w:cs="Arial" w:eastAsia="Arial" w:hAnsi="Arial"/>
          <w:b/>
          <w:bCs/>
          <w:color w:val="1B2A4A"/>
          <w:sz w:val="22"/>
          <w:szCs w:val="22"/>
        </w:rPr>
        <w:t xml:space="preserve">4. Smartphone Adoption (2007-2020): 10% to 90% in ~10 years</w:t>
      </w:r>
    </w:p>
    <w:p>
      <w:pPr>
        <w:spacing w:after="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Penetration</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2007</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iPhone launched; &lt;5% US smartphone ownership</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2010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 US smartphone penetration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2011</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35% of US adults own smartphone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~35%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2013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56% smartphone penetration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~56%</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2015</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68% of US adults own smartphone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~68%</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2018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77% smartphone penetration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~77%</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2020</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~82% smartphone penetration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~82%</w:t>
            </w:r>
          </w:p>
        </w:tc>
      </w:tr>
    </w:tbl>
    <w:p>
      <w:pPr>
        <w:spacing w:after="120"/>
      </w:pPr>
      <w:r>
        <w:rPr>
          <w:rFonts w:ascii="Arial" w:cs="Arial" w:eastAsia="Arial" w:hAnsi="Arial"/>
          <w:b w:val="false"/>
          <w:bCs w:val="false"/>
          <w:i/>
          <w:iCs/>
          <w:color w:val="555555"/>
          <w:sz w:val="22"/>
          <w:szCs w:val="22"/>
        </w:rPr>
        <w:t xml:space="preserve">10% → 90%: ~10 years (2009-2019). The fastest consumer technology adoption on record.</w:t>
      </w:r>
    </w:p>
    <w:p>
      <w:r>
        <w:br w:type="page"/>
      </w:r>
    </w:p>
    <w:p>
      <w:pPr>
        <w:spacing w:after="120"/>
      </w:pPr>
      <w:r>
        <w:rPr>
          <w:rFonts w:ascii="Arial" w:cs="Arial" w:eastAsia="Arial" w:hAnsi="Arial"/>
          <w:b/>
          <w:bCs/>
          <w:color w:val="1B2A4A"/>
          <w:sz w:val="22"/>
          <w:szCs w:val="22"/>
        </w:rPr>
        <w:t xml:space="preserve">5. AI Cognitive Capability (2022-2026): 10% to 90% of benchmark range in ~2-3 years</w:t>
      </w:r>
    </w:p>
    <w:p>
      <w:pPr>
        <w:spacing w:after="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Capability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Nov 2022</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ChatGPT launch. MMLU ~50%, SWE-bench ~2%, GPQA ~30%</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~10%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Mar 2023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GPT-4. MMLU 86%, HumanEval 67%, GPQA 39%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~35%</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Jan 2024</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Gemini Ultra. MMLU 90%, multi-modal benchmarks leap</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~55%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Sep 2024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o1-preview. GPQA 78%, HumanEval 96%, reasoning jumps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~70%</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Jun 2025</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SWE-bench 72%, GPQA 87%, ARC-AGI-2 45%, costs down 280x</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~82%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Mar 2026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GPQA 94%, SWE-bench 81%, ARC-AGI-2 69%, costs down 1000x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~90%</w:t>
            </w:r>
          </w:p>
        </w:tc>
      </w:tr>
    </w:tbl>
    <w:p>
      <w:pPr>
        <w:spacing w:after="120"/>
      </w:pPr>
      <w:r>
        <w:rPr>
          <w:rFonts w:ascii="Arial" w:cs="Arial" w:eastAsia="Arial" w:hAnsi="Arial"/>
          <w:b w:val="false"/>
          <w:bCs w:val="false"/>
          <w:i/>
          <w:iCs/>
          <w:color w:val="555555"/>
          <w:sz w:val="22"/>
          <w:szCs w:val="22"/>
        </w:rPr>
        <w:t xml:space="preserve">10% → 90%: ~3 years (Nov 2022 - Mar 2026). Approximately 3x faster than the fastest prior consumer technology adoption (smartphones) and 13x faster than the internet.</w:t>
      </w:r>
    </w:p>
    <w:p>
      <w:pPr>
        <w:spacing w:after="40"/>
      </w:pPr>
    </w:p>
    <w:p>
      <w:pPr>
        <w:pStyle w:val="Heading2"/>
      </w:pPr>
      <w:r>
        <w:rPr>
          <w:rFonts w:ascii="Arial" w:cs="Arial" w:eastAsia="Arial" w:hAnsi="Arial"/>
        </w:rPr>
        <w:t xml:space="preserve">The Comparison</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380"/>
        <w:gridCol w:w="29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2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10% → 90% Duration</w:t>
            </w:r>
          </w:p>
        </w:tc>
        <w:tc>
          <w:tcPr>
            <w:tcW w:type="dxa" w:w="29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Speed vs. Baseline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Electrification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1882-1956</w:t>
            </w:r>
          </w:p>
        </w:tc>
        <w:tc>
          <w:tcPr>
            <w:tcW w:type="dxa" w:w="2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~40 years</w:t>
            </w:r>
          </w:p>
        </w:tc>
        <w:tc>
          <w:tcPr>
            <w:tcW w:type="dxa" w:w="29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1.0x (baseline)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Aviation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1903-1958</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~35 years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1.1x</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Internet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1990-2015</w:t>
            </w:r>
          </w:p>
        </w:tc>
        <w:tc>
          <w:tcPr>
            <w:tcW w:type="dxa" w:w="2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~18 years</w:t>
            </w:r>
          </w:p>
        </w:tc>
        <w:tc>
          <w:tcPr>
            <w:tcW w:type="dxa" w:w="29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2.2x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Smartphones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2007-2020</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~10 years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4.0x</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AI Cognitive Capability</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2022-2026</w:t>
            </w:r>
          </w:p>
        </w:tc>
        <w:tc>
          <w:tcPr>
            <w:tcW w:type="dxa" w:w="23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~3 years</w:t>
            </w:r>
          </w:p>
        </w:tc>
        <w:tc>
          <w:tcPr>
            <w:tcW w:type="dxa" w:w="29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13.3x</w:t>
            </w:r>
          </w:p>
        </w:tc>
      </w:tr>
    </w:tbl>
    <w:p>
      <w:pPr>
        <w:spacing w:after="20"/>
      </w:pPr>
    </w:p>
    <w:p>
      <w:pPr>
        <w:pStyle w:val="Heading2"/>
      </w:pPr>
      <w:r>
        <w:rPr>
          <w:rFonts w:ascii="Arial" w:cs="Arial" w:eastAsia="Arial" w:hAnsi="Arial"/>
        </w:rPr>
        <w:t xml:space="preserve">Figure 5: Normalized Transition Speed — All Five Technologies</w:t>
      </w:r>
    </w:p>
    <w:p>
      <w:pPr>
        <w:spacing w:after="200" w:before="200"/>
        <w:jc w:val="center"/>
      </w:pPr>
      <w:r>
        <w:drawing>
          <wp:inline distT="0" distB="0" distL="0" distR="0">
            <wp:extent cx="6096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905250"/>
                    </a:xfrm>
                    <a:prstGeom prst="rect">
                      <a:avLst/>
                    </a:prstGeom>
                  </pic:spPr>
                </pic:pic>
              </a:graphicData>
            </a:graphic>
          </wp:inline>
        </w:drawing>
      </w:r>
    </w:p>
    <w:p>
      <w:pPr>
        <w:spacing w:after="120"/>
      </w:pPr>
      <w:r>
        <w:rPr>
          <w:rFonts w:ascii="Arial" w:cs="Arial" w:eastAsia="Arial" w:hAnsi="Arial"/>
          <w:b w:val="false"/>
          <w:bCs w:val="false"/>
          <w:i/>
          <w:iCs/>
          <w:color w:val="555555"/>
          <w:sz w:val="22"/>
          <w:szCs w:val="22"/>
        </w:rPr>
        <w:t xml:space="preserve">All five transitions normalized to years-from-start vs. percentage of capability range. The AI curve (green) is nearly vertical relative to all prior transitions. Note the x-axis spans 75 years to accommodate electrification and aviation.</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3"/>
              <w:left w:val="single" w:color="1B2A4A" w:sz="3"/>
              <w:bottom w:val="single" w:color="1B2A4A" w:sz="3"/>
              <w:right w:val="single" w:color="1B2A4A" w:sz="3"/>
            </w:tcBorders>
            <w:shd w:fill="F5F7FA" w:val="clear"/>
            <w:tcMar>
              <w:top w:type="dxa" w:w="200"/>
              <w:left w:type="dxa" w:w="300"/>
              <w:bottom w:type="dxa" w:w="200"/>
              <w:right w:type="dxa" w:w="300"/>
            </w:tcMar>
          </w:tcPr>
          <w:p>
            <w:pPr>
              <w:spacing w:after="80"/>
            </w:pPr>
            <w:r>
              <w:rPr>
                <w:rFonts w:ascii="Arial" w:cs="Arial" w:eastAsia="Arial" w:hAnsi="Arial"/>
                <w:b/>
                <w:bCs/>
                <w:color w:val="1B2A4A"/>
                <w:sz w:val="22"/>
                <w:szCs w:val="22"/>
              </w:rPr>
              <w:t xml:space="preserve">The Historical Verdict</w:t>
            </w:r>
          </w:p>
          <w:p>
            <w:pPr>
              <w:spacing w:after="0"/>
            </w:pPr>
            <w:r>
              <w:rPr>
                <w:rFonts w:ascii="Arial" w:cs="Arial" w:eastAsia="Arial" w:hAnsi="Arial"/>
                <w:color w:val="333333"/>
                <w:sz w:val="22"/>
                <w:szCs w:val="22"/>
              </w:rPr>
              <w:t xml:space="preserve">AI's capability transition is occurring approximately 13x faster than electrification, 12x faster than aviation, 6x faster than the internet, and 3x faster than smartphones — previously the fastest major technology adoption in history. No comparable technology transition has achieved 10% to 90% of its capability range in under a decade, let alone under four years. Whether one calls this a "singularity" or not, it is the fastest technology-capability phase transition ever recorded.</w:t>
            </w:r>
          </w:p>
        </w:tc>
      </w:tr>
    </w:tbl>
    <w:p>
      <w:pPr>
        <w:spacing w:after="20"/>
      </w:pPr>
    </w:p>
    <w:p>
      <w:pPr>
        <w:pStyle w:val="Heading2"/>
      </w:pPr>
      <w:r>
        <w:rPr>
          <w:rFonts w:ascii="Arial" w:cs="Arial" w:eastAsia="Arial" w:hAnsi="Arial"/>
        </w:rPr>
        <w:t xml:space="preserve">Caveats</w:t>
      </w:r>
    </w:p>
    <w:p>
      <w:pPr>
        <w:spacing w:after="10"/>
      </w:pPr>
    </w:p>
    <w:p>
      <w:pPr>
        <w:pStyle w:val="ListParagraph"/>
        <w:numPr>
          <w:ilvl w:val="0"/>
          <w:numId w:val="2"/>
        </w:numPr>
        <w:spacing w:after="80"/>
      </w:pPr>
      <w:r>
        <w:rPr>
          <w:rFonts w:ascii="Arial" w:cs="Arial" w:eastAsia="Arial" w:hAnsi="Arial"/>
          <w:b/>
          <w:bCs/>
          <w:color w:val="333333"/>
          <w:sz w:val="22"/>
          <w:szCs w:val="22"/>
        </w:rPr>
        <w:t xml:space="preserve">Apples-to-oranges measurement (critical): </w:t>
      </w:r>
      <w:r>
        <w:rPr>
          <w:rFonts w:ascii="Arial" w:cs="Arial" w:eastAsia="Arial" w:hAnsi="Arial"/>
          <w:color w:val="333333"/>
          <w:sz w:val="22"/>
          <w:szCs w:val="22"/>
        </w:rPr>
        <w:t xml:space="preserve">This comparison measures fundamentally different things across technologies. Electrification, internet, and smartphones track physical infrastructure deployment — laying copper wire, building cell towers, manufacturing devices for billions of people. AI tracks software benchmark scores on standardized tests. Jumping from 10% to 90% accuracy on MMLU is categorically different from connecting 90% of American households to an electrical grid. A fairer AI comparison would track enterprise AI integration rates, AI robotics deployment in physical industries, or data center buildout timelines. On those metrics, AI's transition is still fast but not 13x faster than electrification. This comparison illustrates the speed of capability maturation, not the speed of real-world deployment.</w:t>
      </w:r>
    </w:p>
    <w:p>
      <w:pPr>
        <w:pStyle w:val="ListParagraph"/>
        <w:numPr>
          <w:ilvl w:val="0"/>
          <w:numId w:val="2"/>
        </w:numPr>
        <w:spacing w:after="80"/>
      </w:pPr>
      <w:r>
        <w:rPr>
          <w:rFonts w:ascii="Arial" w:cs="Arial" w:eastAsia="Arial" w:hAnsi="Arial"/>
          <w:b/>
          <w:bCs/>
          <w:color w:val="333333"/>
          <w:sz w:val="22"/>
          <w:szCs w:val="22"/>
        </w:rPr>
        <w:t xml:space="preserve">AI adoption ≠ AI capability: </w:t>
      </w:r>
      <w:r>
        <w:rPr>
          <w:rFonts w:ascii="Arial" w:cs="Arial" w:eastAsia="Arial" w:hAnsi="Arial"/>
          <w:color w:val="333333"/>
          <w:sz w:val="22"/>
          <w:szCs w:val="22"/>
        </w:rPr>
        <w:t xml:space="preserve">Enterprise AI adoption (20% → 78%, McKinsey 2017-2025) is on a different curve than benchmark capability. The capability transition is faster than the adoption transition, suggesting the infrastructure has outpaced organizational readiness. This gap is itself evidence that benchmark speed overstates real-world impact speed.</w:t>
      </w:r>
    </w:p>
    <w:p>
      <w:pPr>
        <w:pStyle w:val="ListParagraph"/>
        <w:numPr>
          <w:ilvl w:val="0"/>
          <w:numId w:val="2"/>
        </w:numPr>
        <w:spacing w:after="80"/>
      </w:pPr>
      <w:r>
        <w:rPr>
          <w:rFonts w:ascii="Arial" w:cs="Arial" w:eastAsia="Arial" w:hAnsi="Arial"/>
          <w:b/>
          <w:bCs/>
          <w:color w:val="333333"/>
          <w:sz w:val="22"/>
          <w:szCs w:val="22"/>
        </w:rPr>
        <w:t xml:space="preserve">Survivorship bias: </w:t>
      </w:r>
      <w:r>
        <w:rPr>
          <w:rFonts w:ascii="Arial" w:cs="Arial" w:eastAsia="Arial" w:hAnsi="Arial"/>
          <w:color w:val="333333"/>
          <w:sz w:val="22"/>
          <w:szCs w:val="22"/>
        </w:rPr>
        <w:t xml:space="preserve">We compare AI to technologies that succeeded. Many technologies failed. However, the capital commitment ($660B/year), corporate adoption (78%), and irreversibility indicators suggest AI is past the failure-risk window.</w:t>
      </w:r>
    </w:p>
    <w:p>
      <w:pPr>
        <w:pStyle w:val="ListParagraph"/>
        <w:numPr>
          <w:ilvl w:val="0"/>
          <w:numId w:val="2"/>
        </w:numPr>
        <w:spacing w:after="80"/>
      </w:pPr>
      <w:r>
        <w:rPr>
          <w:rFonts w:ascii="Arial" w:cs="Arial" w:eastAsia="Arial" w:hAnsi="Arial"/>
          <w:b/>
          <w:bCs/>
          <w:color w:val="333333"/>
          <w:sz w:val="22"/>
          <w:szCs w:val="22"/>
        </w:rPr>
        <w:t xml:space="preserve">Bounded-score inflation: </w:t>
      </w:r>
      <w:r>
        <w:rPr>
          <w:rFonts w:ascii="Arial" w:cs="Arial" w:eastAsia="Arial" w:hAnsi="Arial"/>
          <w:color w:val="333333"/>
          <w:sz w:val="22"/>
          <w:szCs w:val="22"/>
        </w:rPr>
        <w:t xml:space="preserve">Benchmark scores are bounded at 100%. When plotted as 10%-to-90% of a 0-100 range, the visual compression is partly an artifact of the scale. Physical technologies had no inherent ceiling, making their transitions appear slower by comparison. The normalized chart is an illustration, not a statistical test.</w:t>
      </w:r>
    </w:p>
    <w:p>
      <w:r>
        <w:br w:type="page"/>
      </w:r>
    </w:p>
    <w:p>
      <w:pPr>
        <w:pStyle w:val="Heading1"/>
      </w:pPr>
      <w:r>
        <w:rPr>
          <w:rFonts w:ascii="Arial" w:cs="Arial" w:eastAsia="Arial" w:hAnsi="Arial"/>
        </w:rPr>
        <w:t xml:space="preserve">Closing: The Evidentiary Standard</w:t>
      </w:r>
    </w:p>
    <w:p>
      <w:pPr>
        <w:spacing w:after="20"/>
      </w:pPr>
    </w:p>
    <w:p>
      <w:pPr>
        <w:spacing w:after="120"/>
      </w:pPr>
      <w:r>
        <w:rPr>
          <w:rFonts w:ascii="Arial" w:cs="Arial" w:eastAsia="Arial" w:hAnsi="Arial"/>
          <w:b w:val="false"/>
          <w:bCs w:val="false"/>
          <w:i w:val="false"/>
          <w:iCs w:val="false"/>
          <w:color w:val="333333"/>
          <w:sz w:val="22"/>
          <w:szCs w:val="22"/>
        </w:rPr>
        <w:t xml:space="preserve">This package now contains four independent layers of evidence:</w:t>
      </w:r>
    </w:p>
    <w:p>
      <w:pPr>
        <w:spacing w:after="10"/>
      </w:pPr>
    </w:p>
    <w:p>
      <w:pPr>
        <w:pStyle w:val="ListParagraph"/>
        <w:numPr>
          <w:ilvl w:val="0"/>
          <w:numId w:val="2"/>
        </w:numPr>
        <w:spacing w:after="80"/>
      </w:pPr>
      <w:r>
        <w:rPr>
          <w:rFonts w:ascii="Arial" w:cs="Arial" w:eastAsia="Arial" w:hAnsi="Arial"/>
          <w:b/>
          <w:bCs/>
          <w:color w:val="333333"/>
          <w:sz w:val="22"/>
          <w:szCs w:val="22"/>
        </w:rPr>
        <w:t xml:space="preserve">Layer 1 — Narrative paper: </w:t>
      </w:r>
      <w:r>
        <w:rPr>
          <w:rFonts w:ascii="Arial" w:cs="Arial" w:eastAsia="Arial" w:hAnsi="Arial"/>
          <w:color w:val="333333"/>
          <w:sz w:val="22"/>
          <w:szCs w:val="22"/>
        </w:rPr>
        <w:t xml:space="preserve">Qualitative argument across seven domains with sourced evidence. ("The Singularity Is Not Coming. It Is Here.")</w:t>
      </w:r>
    </w:p>
    <w:p>
      <w:pPr>
        <w:pStyle w:val="ListParagraph"/>
        <w:numPr>
          <w:ilvl w:val="0"/>
          <w:numId w:val="2"/>
        </w:numPr>
        <w:spacing w:after="80"/>
      </w:pPr>
      <w:r>
        <w:rPr>
          <w:rFonts w:ascii="Arial" w:cs="Arial" w:eastAsia="Arial" w:hAnsi="Arial"/>
          <w:b/>
          <w:bCs/>
          <w:color w:val="333333"/>
          <w:sz w:val="22"/>
          <w:szCs w:val="22"/>
        </w:rPr>
        <w:t xml:space="preserve">Layer 2 — Quantitative proof: </w:t>
      </w:r>
      <w:r>
        <w:rPr>
          <w:rFonts w:ascii="Arial" w:cs="Arial" w:eastAsia="Arial" w:hAnsi="Arial"/>
          <w:color w:val="333333"/>
          <w:sz w:val="22"/>
          <w:szCs w:val="22"/>
        </w:rPr>
        <w:t xml:space="preserve">Curve fitting, hypothesis testing, and phase transition analysis with 65 sourced data points. ("A Quantitative Proof.")</w:t>
      </w:r>
    </w:p>
    <w:p>
      <w:pPr>
        <w:pStyle w:val="ListParagraph"/>
        <w:numPr>
          <w:ilvl w:val="0"/>
          <w:numId w:val="2"/>
        </w:numPr>
        <w:spacing w:after="80"/>
      </w:pPr>
      <w:r>
        <w:rPr>
          <w:rFonts w:ascii="Arial" w:cs="Arial" w:eastAsia="Arial" w:hAnsi="Arial"/>
          <w:b/>
          <w:bCs/>
          <w:color w:val="333333"/>
          <w:sz w:val="22"/>
          <w:szCs w:val="22"/>
        </w:rPr>
        <w:t xml:space="preserve">Layer 3 — Adversarial analysis: </w:t>
      </w:r>
      <w:r>
        <w:rPr>
          <w:rFonts w:ascii="Arial" w:cs="Arial" w:eastAsia="Arial" w:hAnsi="Arial"/>
          <w:color w:val="333333"/>
          <w:sz w:val="22"/>
          <w:szCs w:val="22"/>
        </w:rPr>
        <w:t xml:space="preserve">The strongest prosecution and defense, argued with equal rigor. The reader decides. (This document, Part I.)</w:t>
      </w:r>
    </w:p>
    <w:p>
      <w:pPr>
        <w:pStyle w:val="ListParagraph"/>
        <w:numPr>
          <w:ilvl w:val="0"/>
          <w:numId w:val="2"/>
        </w:numPr>
        <w:spacing w:after="80"/>
      </w:pPr>
      <w:r>
        <w:rPr>
          <w:rFonts w:ascii="Arial" w:cs="Arial" w:eastAsia="Arial" w:hAnsi="Arial"/>
          <w:b/>
          <w:bCs/>
          <w:color w:val="333333"/>
          <w:sz w:val="22"/>
          <w:szCs w:val="22"/>
        </w:rPr>
        <w:t xml:space="preserve">Layer 4 — Prediction registry: </w:t>
      </w:r>
      <w:r>
        <w:rPr>
          <w:rFonts w:ascii="Arial" w:cs="Arial" w:eastAsia="Arial" w:hAnsi="Arial"/>
          <w:color w:val="333333"/>
          <w:sz w:val="22"/>
          <w:szCs w:val="22"/>
        </w:rPr>
        <w:t xml:space="preserve">20 falsifiable, timestamped predictions with pre-specified scoring criteria. The future decides. (This document, Part II.)</w:t>
      </w:r>
    </w:p>
    <w:p>
      <w:pPr>
        <w:pStyle w:val="ListParagraph"/>
        <w:numPr>
          <w:ilvl w:val="0"/>
          <w:numId w:val="2"/>
        </w:numPr>
        <w:spacing w:after="80"/>
      </w:pPr>
      <w:r>
        <w:rPr>
          <w:rFonts w:ascii="Arial" w:cs="Arial" w:eastAsia="Arial" w:hAnsi="Arial"/>
          <w:b/>
          <w:bCs/>
          <w:color w:val="333333"/>
          <w:sz w:val="22"/>
          <w:szCs w:val="22"/>
        </w:rPr>
        <w:t xml:space="preserve">Layer 5 — Historical comparison: </w:t>
      </w:r>
      <w:r>
        <w:rPr>
          <w:rFonts w:ascii="Arial" w:cs="Arial" w:eastAsia="Arial" w:hAnsi="Arial"/>
          <w:color w:val="333333"/>
          <w:sz w:val="22"/>
          <w:szCs w:val="22"/>
        </w:rPr>
        <w:t xml:space="preserve">AI's transition speed benchmarked against the four fastest technology transitions in recorded history. History decides. (This document, Part III.)</w:t>
      </w:r>
    </w:p>
    <w:p>
      <w:pPr>
        <w:spacing w:after="20"/>
      </w:pPr>
    </w:p>
    <w:p>
      <w:pPr>
        <w:spacing w:after="120"/>
      </w:pPr>
      <w:r>
        <w:rPr>
          <w:rFonts w:ascii="Arial" w:cs="Arial" w:eastAsia="Arial" w:hAnsi="Arial"/>
          <w:b w:val="false"/>
          <w:bCs w:val="false"/>
          <w:i w:val="false"/>
          <w:iCs w:val="false"/>
          <w:color w:val="333333"/>
          <w:sz w:val="22"/>
          <w:szCs w:val="22"/>
        </w:rPr>
        <w:t xml:space="preserve">No single layer is conclusive. Together, they constitute the most rigorous evidentiary package we can construct for or against the singularity thesis. The argument is not “trust me.” The argument is: here is the evidence, here are the counterarguments, here are the testable predictions, and here is the historical context. Evaluate it yourself.</w:t>
      </w:r>
    </w:p>
    <w:p>
      <w:pPr>
        <w:spacing w:after="80"/>
      </w:pPr>
    </w:p>
    <w:p>
      <w:pPr>
        <w:pBdr>
          <w:bottom w:val="single" w:color="CCCCCC" w:sz="1"/>
        </w:pBdr>
        <w:spacing w:after="200" w:before="200"/>
      </w:pPr>
    </w:p>
    <w:p>
      <w:pPr>
        <w:spacing w:after="120"/>
      </w:pPr>
      <w:r>
        <w:rPr>
          <w:rFonts w:ascii="Arial" w:cs="Arial" w:eastAsia="Arial" w:hAnsi="Arial"/>
          <w:b w:val="false"/>
          <w:bCs w:val="false"/>
          <w:i/>
          <w:iCs/>
          <w:color w:val="555555"/>
          <w:sz w:val="22"/>
          <w:szCs w:val="22"/>
        </w:rPr>
        <w:t xml:space="preserve">Disclosure: Cognitive Corp provides AI governance advisory services. The analysis is based on publicly available data and is reproducible. Readers are encouraged to verify all claims independently.</w:t>
      </w:r>
    </w:p>
    <w:p>
      <w:pPr>
        <w:spacing w:after="40"/>
      </w:pPr>
    </w:p>
    <w:p>
      <w:pPr>
        <w:jc w:val="center"/>
      </w:pPr>
      <w:r>
        <w:rPr>
          <w:rFonts w:ascii="Arial" w:cs="Arial" w:eastAsia="Arial" w:hAnsi="Arial"/>
          <w:color w:val="555555"/>
          <w:sz w:val="18"/>
          <w:szCs w:val="18"/>
        </w:rPr>
        <w:t xml:space="preserve">Cognitive Corp  |  March 2026  |  Confidential</w:t>
      </w:r>
    </w:p>
    <w:p>
      <w:pPr>
        <w:jc w:val="center"/>
      </w:pPr>
      <w:r>
        <w:rPr>
          <w:rFonts w:ascii="Arial" w:cs="Arial" w:eastAsia="Arial" w:hAnsi="Arial"/>
          <w:color w:val="555555"/>
          <w:sz w:val="18"/>
          <w:szCs w:val="18"/>
        </w:rPr>
        <w:t xml:space="preserve">James Waddell  |  President &amp; CRO  |  bob@cognitivewx.info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The Evidence Package  |  Cognitive Corp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6B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132c9dc903c15d0d977edc4e91cb38fd1eae2e5.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2026-03-27T12:02:08.517Z</dcterms:created>
  <dcterms:modified xsi:type="dcterms:W3CDTF">2026-03-27T12:02:08.518Z</dcterms:modified>
</cp:coreProperties>
</file>

<file path=docProps/custom.xml><?xml version="1.0" encoding="utf-8"?>
<Properties xmlns="http://schemas.openxmlformats.org/officeDocument/2006/custom-properties" xmlns:vt="http://schemas.openxmlformats.org/officeDocument/2006/docPropsVTypes"/>
</file>