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3752"/>
          <w:sz w:val="48"/>
        </w:rPr>
        <w:t>Cognityx Global &amp; DataForge CLI Issues</w:t>
      </w:r>
    </w:p>
    <w:p>
      <w:pPr>
        <w:jc w:val="center"/>
      </w:pPr>
      <w:r>
        <w:rPr>
          <w:rFonts w:ascii="Aptos" w:hAnsi="Aptos"/>
          <w:i/>
          <w:color w:val="5A5A5A"/>
          <w:sz w:val="24"/>
        </w:rPr>
        <w:t>Consolidated thoughts from hands-on Ingest → DataForge testing</w:t>
      </w:r>
    </w:p>
    <w:p>
      <w:pPr>
        <w:jc w:val="center"/>
      </w:pPr>
      <w:r>
        <w:rPr>
          <w:rFonts w:ascii="Aptos" w:hAnsi="Aptos"/>
          <w:color w:val="6E6E6E"/>
          <w:sz w:val="19"/>
        </w:rPr>
        <w:t>Working thought document — issues retained after moving Configuration and Jobs/Events into separate workstreams</w:t>
      </w:r>
    </w:p>
    <w:p>
      <w:pPr>
        <w:spacing w:before="160"/>
      </w:pPr>
      <w:r>
        <w:rPr>
          <w:rFonts w:ascii="Aptos" w:hAnsi="Aptos"/>
          <w:b/>
          <w:sz w:val="21"/>
        </w:rPr>
        <w:t xml:space="preserve">Purpose. </w:t>
      </w:r>
      <w:r>
        <w:rPr>
          <w:rFonts w:ascii="Aptos" w:hAnsi="Aptos"/>
          <w:sz w:val="21"/>
        </w:rPr>
        <w:t>Capture the remaining CLI/product usability ideas discovered while manually exercising Cognityx Ingest and DataForge, so a later design/research session can turn them into coherent requirements and Codex tasks without reconstructing the discussion from chat history.</w:t>
      </w:r>
    </w:p>
    <w:p>
      <w:r>
        <w:rPr>
          <w:rFonts w:ascii="Aptos" w:hAnsi="Aptos"/>
          <w:b/>
          <w:sz w:val="21"/>
        </w:rPr>
        <w:t xml:space="preserve">Explicitly excluded. </w:t>
      </w:r>
      <w:r>
        <w:rPr>
          <w:rFonts w:ascii="Aptos" w:hAnsi="Aptos"/>
          <w:sz w:val="21"/>
        </w:rPr>
        <w:t>Configuration consistency (saved separately as the P29/configuration workstream) and Jobs / Events / Scheduling / Resource Control (captured separately in cognityx-job_event_thought.docx).</w:t>
      </w:r>
    </w:p>
    <w:p>
      <w:pPr>
        <w:pStyle w:val="Heading1"/>
        <w:keepNext/>
      </w:pPr>
      <w:r>
        <w:t>1. Focused Issue Map</w:t>
      </w:r>
    </w:p>
    <w:tbl>
      <w:tblPr>
        <w:tblStyle w:val="TableGrid"/>
        <w:tblW w:type="auto" w:w="0"/>
        <w:jc w:val="center"/>
        <w:tblLook w:firstColumn="1" w:firstRow="1" w:lastColumn="0" w:lastRow="0" w:noHBand="0" w:noVBand="1" w:val="04A0"/>
      </w:tblPr>
      <w:tblGrid>
        <w:gridCol w:w="5040"/>
        <w:gridCol w:w="5040"/>
      </w:tblGrid>
      <w:tr>
        <w:tc>
          <w:tcPr>
            <w:tcW w:type="dxa" w:w="2592"/>
            <w:shd w:fill="EAF0F7"/>
            <w:tcMar>
              <w:top w:w="90" w:type="dxa"/>
              <w:start w:w="100" w:type="dxa"/>
              <w:bottom w:w="90" w:type="dxa"/>
              <w:end w:w="100" w:type="dxa"/>
            </w:tcMar>
            <w:vAlign w:val="top"/>
          </w:tcPr>
          <w:p>
            <w:pPr>
              <w:spacing w:after="40"/>
            </w:pPr>
            <w:r>
              <w:rPr>
                <w:rFonts w:ascii="Aptos" w:hAnsi="Aptos"/>
                <w:b/>
                <w:sz w:val="19"/>
              </w:rPr>
              <w:t>Issue 1</w:t>
            </w:r>
          </w:p>
        </w:tc>
        <w:tc>
          <w:tcPr>
            <w:tcW w:type="dxa" w:w="7056"/>
            <w:tcMar>
              <w:top w:w="90" w:type="dxa"/>
              <w:start w:w="100" w:type="dxa"/>
              <w:bottom w:w="90" w:type="dxa"/>
              <w:end w:w="100" w:type="dxa"/>
            </w:tcMar>
            <w:vAlign w:val="top"/>
          </w:tcPr>
          <w:p>
            <w:pPr>
              <w:spacing w:after="40"/>
            </w:pPr>
            <w:r>
              <w:rPr>
                <w:rFonts w:ascii="Aptos" w:hAnsi="Aptos"/>
                <w:sz w:val="19"/>
              </w:rPr>
              <w:t>End-to-end CLI handoff: make Ingest → DataForge → Training executable with natural Cognityx handles instead of manual manifest-URI plumbing.</w:t>
            </w:r>
          </w:p>
        </w:tc>
      </w:tr>
      <w:tr>
        <w:tc>
          <w:tcPr>
            <w:tcW w:type="dxa" w:w="2592"/>
            <w:shd w:fill="EAF0F7"/>
            <w:tcMar>
              <w:top w:w="90" w:type="dxa"/>
              <w:start w:w="100" w:type="dxa"/>
              <w:bottom w:w="90" w:type="dxa"/>
              <w:end w:w="100" w:type="dxa"/>
            </w:tcMar>
            <w:vAlign w:val="top"/>
          </w:tcPr>
          <w:p>
            <w:pPr>
              <w:spacing w:after="40"/>
            </w:pPr>
            <w:r>
              <w:rPr>
                <w:rFonts w:ascii="Aptos" w:hAnsi="Aptos"/>
                <w:b/>
                <w:sz w:val="19"/>
              </w:rPr>
              <w:t>Issue 2</w:t>
            </w:r>
          </w:p>
        </w:tc>
        <w:tc>
          <w:tcPr>
            <w:tcW w:type="dxa" w:w="7056"/>
            <w:tcMar>
              <w:top w:w="90" w:type="dxa"/>
              <w:start w:w="100" w:type="dxa"/>
              <w:bottom w:w="90" w:type="dxa"/>
              <w:end w:w="100" w:type="dxa"/>
            </w:tcMar>
            <w:vAlign w:val="top"/>
          </w:tcPr>
          <w:p>
            <w:pPr>
              <w:spacing w:after="40"/>
            </w:pPr>
            <w:r>
              <w:rPr>
                <w:rFonts w:ascii="Aptos" w:hAnsi="Aptos"/>
                <w:sz w:val="19"/>
              </w:rPr>
              <w:t>Friendly stable handles and artifact discovery: IDs are the normal user reference; immutable manifests/Storage URIs remain the machine/reproducibility contract.</w:t>
            </w:r>
          </w:p>
        </w:tc>
      </w:tr>
      <w:tr>
        <w:tc>
          <w:tcPr>
            <w:tcW w:type="dxa" w:w="2592"/>
            <w:shd w:fill="EAF0F7"/>
            <w:tcMar>
              <w:top w:w="90" w:type="dxa"/>
              <w:start w:w="100" w:type="dxa"/>
              <w:bottom w:w="90" w:type="dxa"/>
              <w:end w:w="100" w:type="dxa"/>
            </w:tcMar>
            <w:vAlign w:val="top"/>
          </w:tcPr>
          <w:p>
            <w:pPr>
              <w:spacing w:after="40"/>
            </w:pPr>
            <w:r>
              <w:rPr>
                <w:rFonts w:ascii="Aptos" w:hAnsi="Aptos"/>
                <w:b/>
                <w:sz w:val="19"/>
              </w:rPr>
              <w:t>Issue 3</w:t>
            </w:r>
          </w:p>
        </w:tc>
        <w:tc>
          <w:tcPr>
            <w:tcW w:type="dxa" w:w="7056"/>
            <w:tcMar>
              <w:top w:w="90" w:type="dxa"/>
              <w:start w:w="100" w:type="dxa"/>
              <w:bottom w:w="90" w:type="dxa"/>
              <w:end w:w="100" w:type="dxa"/>
            </w:tcMar>
            <w:vAlign w:val="top"/>
          </w:tcPr>
          <w:p>
            <w:pPr>
              <w:spacing w:after="40"/>
            </w:pPr>
            <w:r>
              <w:rPr>
                <w:rFonts w:ascii="Aptos" w:hAnsi="Aptos"/>
                <w:sz w:val="19"/>
              </w:rPr>
              <w:t>Unified cogni application CLI: one normal front door across Cognityx while component repos keep ownership and expert/developer CLIs remain available.</w:t>
            </w:r>
          </w:p>
        </w:tc>
      </w:tr>
      <w:tr>
        <w:tc>
          <w:tcPr>
            <w:tcW w:type="dxa" w:w="2592"/>
            <w:shd w:fill="EAF0F7"/>
            <w:tcMar>
              <w:top w:w="90" w:type="dxa"/>
              <w:start w:w="100" w:type="dxa"/>
              <w:bottom w:w="90" w:type="dxa"/>
              <w:end w:w="100" w:type="dxa"/>
            </w:tcMar>
            <w:vAlign w:val="top"/>
          </w:tcPr>
          <w:p>
            <w:pPr>
              <w:spacing w:after="40"/>
            </w:pPr>
            <w:r>
              <w:rPr>
                <w:rFonts w:ascii="Aptos" w:hAnsi="Aptos"/>
                <w:b/>
                <w:sz w:val="19"/>
              </w:rPr>
              <w:t>Issue 4</w:t>
            </w:r>
          </w:p>
        </w:tc>
        <w:tc>
          <w:tcPr>
            <w:tcW w:type="dxa" w:w="7056"/>
            <w:tcMar>
              <w:top w:w="90" w:type="dxa"/>
              <w:start w:w="100" w:type="dxa"/>
              <w:bottom w:w="90" w:type="dxa"/>
              <w:end w:w="100" w:type="dxa"/>
            </w:tcMar>
            <w:vAlign w:val="top"/>
          </w:tcPr>
          <w:p>
            <w:pPr>
              <w:spacing w:after="40"/>
            </w:pPr>
            <w:r>
              <w:rPr>
                <w:rFonts w:ascii="Aptos" w:hAnsi="Aptos"/>
                <w:sz w:val="19"/>
              </w:rPr>
              <w:t>Pretty output by default: terminal-friendly tables, summaries and detail views; explicit JSON/JSONL modes for automation; no routine dependence on jq.</w:t>
            </w:r>
          </w:p>
        </w:tc>
      </w:tr>
    </w:tbl>
    <w:p>
      <w:pPr>
        <w:pStyle w:val="Heading1"/>
        <w:keepNext/>
      </w:pPr>
      <w:r>
        <w:t>2. Issue 1 — End-to-End CLI Handoff: Ingest → DataForge → Training</w:t>
      </w:r>
    </w:p>
    <w:p>
      <w:r>
        <w:rPr>
          <w:rFonts w:ascii="Aptos" w:hAnsi="Aptos"/>
          <w:b/>
          <w:sz w:val="21"/>
        </w:rPr>
        <w:t xml:space="preserve">One-line requirement: </w:t>
      </w:r>
      <w:r>
        <w:rPr>
          <w:rFonts w:ascii="Aptos" w:hAnsi="Aptos"/>
          <w:sz w:val="21"/>
        </w:rPr>
        <w:t>A user should be able to move a source, asset, bundle, document or explicit ingest run into DataForge and then into Training without manually discovering or constructing internal Storage manifest URIs.</w:t>
      </w:r>
    </w:p>
    <w:p>
      <w:pPr>
        <w:pStyle w:val="Heading2"/>
        <w:keepNext/>
      </w:pPr>
      <w:r>
        <w:t>2.1 What the manual test exposed</w:t>
      </w:r>
    </w:p>
    <w:p>
      <w:pPr>
        <w:pStyle w:val="ListBullet"/>
        <w:spacing w:after="40"/>
      </w:pPr>
      <w:r>
        <w:rPr>
          <w:rFonts w:ascii="Aptos" w:hAnsi="Aptos"/>
          <w:sz w:val="21"/>
        </w:rPr>
        <w:t>The conceptual architecture is already clear, but the executable CLI lineage is not. Documentation can show “Ingest → DataForge” while still leaving the user to derive a run-manifest URI by hand.</w:t>
      </w:r>
    </w:p>
    <w:p>
      <w:pPr>
        <w:pStyle w:val="ListBullet"/>
        <w:spacing w:after="40"/>
      </w:pPr>
      <w:r>
        <w:rPr>
          <w:rFonts w:ascii="Aptos" w:hAnsi="Aptos"/>
          <w:sz w:val="21"/>
        </w:rPr>
        <w:t>DataForge currently accepts --source as a completed Ingest run-manifest Storage URI (or an input-selection manifest). That is a valid low-level contract, but it is not a friendly normal workflow.</w:t>
      </w:r>
    </w:p>
    <w:p>
      <w:pPr>
        <w:pStyle w:val="ListBullet"/>
        <w:spacing w:after="40"/>
      </w:pPr>
      <w:r>
        <w:rPr>
          <w:rFonts w:ascii="Aptos" w:hAnsi="Aptos"/>
          <w:sz w:val="21"/>
        </w:rPr>
        <w:t>The current cogni run locate behavior does not reliably expose the run manifest as a first-class entry, which forced manual derivation of storage://.../ingest/runs/&lt;run-id&gt;/manifest.json during the test.</w:t>
      </w:r>
    </w:p>
    <w:p>
      <w:pPr>
        <w:pStyle w:val="ListBullet"/>
        <w:spacing w:after="40"/>
      </w:pPr>
      <w:r>
        <w:rPr>
          <w:rFonts w:ascii="Aptos" w:hAnsi="Aptos"/>
          <w:sz w:val="21"/>
        </w:rPr>
        <w:t>After DataForge, Training already supports a DataForge manifest URI. This proves the durable lineage concept, but repeats the same usability pattern: the user must carry the manifest URI rather than a friendly dataset handle.</w:t>
      </w:r>
    </w:p>
    <w:p>
      <w:pPr>
        <w:pStyle w:val="Heading2"/>
        <w:keepNext/>
      </w:pPr>
      <w:r>
        <w:t>2.2 Target user mental model</w:t>
      </w:r>
    </w:p>
    <w:p>
      <w:pPr>
        <w:pStyle w:val="CodeBlock"/>
      </w:pPr>
      <w:r>
        <w:rPr>
          <w:rFonts w:ascii="Consolas" w:hAnsi="Consolas"/>
          <w:sz w:val="18"/>
        </w:rPr>
        <w:t>source file / SourceAsset / bundle / document / ingest run</w:t>
      </w:r>
      <w:r>
        <w:br/>
      </w:r>
      <w:r>
        <w:rPr>
          <w:rFonts w:ascii="Consolas" w:hAnsi="Consolas"/>
          <w:sz w:val="18"/>
        </w:rPr>
        <w:t xml:space="preserve">                    ↓</w:t>
      </w:r>
      <w:r>
        <w:br/>
      </w:r>
      <w:r>
        <w:rPr>
          <w:rFonts w:ascii="Consolas" w:hAnsi="Consolas"/>
          <w:sz w:val="18"/>
        </w:rPr>
        <w:t xml:space="preserve">           Cognityx source resolver</w:t>
      </w:r>
      <w:r>
        <w:br/>
      </w:r>
      <w:r>
        <w:rPr>
          <w:rFonts w:ascii="Consolas" w:hAnsi="Consolas"/>
          <w:sz w:val="18"/>
        </w:rPr>
        <w:t xml:space="preserve">                    ↓</w:t>
      </w:r>
      <w:r>
        <w:br/>
      </w:r>
      <w:r>
        <w:rPr>
          <w:rFonts w:ascii="Consolas" w:hAnsi="Consolas"/>
          <w:sz w:val="18"/>
        </w:rPr>
        <w:t xml:space="preserve">      exact successful consumable document set</w:t>
      </w:r>
      <w:r>
        <w:br/>
      </w:r>
      <w:r>
        <w:rPr>
          <w:rFonts w:ascii="Consolas" w:hAnsi="Consolas"/>
          <w:sz w:val="18"/>
        </w:rPr>
        <w:t xml:space="preserve">                    ↓</w:t>
      </w:r>
      <w:r>
        <w:br/>
      </w:r>
      <w:r>
        <w:rPr>
          <w:rFonts w:ascii="Consolas" w:hAnsi="Consolas"/>
          <w:sz w:val="18"/>
        </w:rPr>
        <w:t xml:space="preserve">       frozen DataForge input selection</w:t>
      </w:r>
      <w:r>
        <w:br/>
      </w:r>
      <w:r>
        <w:rPr>
          <w:rFonts w:ascii="Consolas" w:hAnsi="Consolas"/>
          <w:sz w:val="18"/>
        </w:rPr>
        <w:t xml:space="preserve">                    ↓</w:t>
      </w:r>
      <w:r>
        <w:br/>
      </w:r>
      <w:r>
        <w:rPr>
          <w:rFonts w:ascii="Consolas" w:hAnsi="Consolas"/>
          <w:sz w:val="18"/>
        </w:rPr>
        <w:t xml:space="preserve">                DataForge</w:t>
      </w:r>
      <w:r>
        <w:br/>
      </w:r>
      <w:r>
        <w:rPr>
          <w:rFonts w:ascii="Consolas" w:hAnsi="Consolas"/>
          <w:sz w:val="18"/>
        </w:rPr>
        <w:t xml:space="preserve">                    ↓</w:t>
      </w:r>
      <w:r>
        <w:br/>
      </w:r>
      <w:r>
        <w:rPr>
          <w:rFonts w:ascii="Consolas" w:hAnsi="Consolas"/>
          <w:sz w:val="18"/>
        </w:rPr>
        <w:t xml:space="preserve">              dataset_id</w:t>
      </w:r>
      <w:r>
        <w:br/>
      </w:r>
      <w:r>
        <w:rPr>
          <w:rFonts w:ascii="Consolas" w:hAnsi="Consolas"/>
          <w:sz w:val="18"/>
        </w:rPr>
        <w:t xml:space="preserve">                    ↓</w:t>
      </w:r>
      <w:r>
        <w:br/>
      </w:r>
      <w:r>
        <w:rPr>
          <w:rFonts w:ascii="Consolas" w:hAnsi="Consolas"/>
          <w:sz w:val="18"/>
        </w:rPr>
        <w:t xml:space="preserve">                Training</w:t>
      </w:r>
      <w:r>
        <w:br/>
      </w:r>
      <w:r>
        <w:rPr>
          <w:rFonts w:ascii="Consolas" w:hAnsi="Consolas"/>
          <w:sz w:val="18"/>
        </w:rPr>
        <w:t xml:space="preserve">                    ↓</w:t>
      </w:r>
      <w:r>
        <w:br/>
      </w:r>
      <w:r>
        <w:rPr>
          <w:rFonts w:ascii="Consolas" w:hAnsi="Consolas"/>
          <w:sz w:val="18"/>
        </w:rPr>
        <w:t xml:space="preserve">        training_run_id / adapter_id</w:t>
      </w:r>
    </w:p>
    <w:p>
      <w:r>
        <w:rPr>
          <w:rFonts w:ascii="Aptos" w:hAnsi="Aptos"/>
          <w:sz w:val="21"/>
        </w:rPr>
        <w:t xml:space="preserve">The important distinction is between </w:t>
      </w:r>
      <w:r>
        <w:rPr>
          <w:rFonts w:ascii="Aptos" w:hAnsi="Aptos"/>
          <w:b/>
          <w:sz w:val="21"/>
        </w:rPr>
        <w:t>selection convenience</w:t>
      </w:r>
      <w:r>
        <w:rPr>
          <w:rFonts w:ascii="Aptos" w:hAnsi="Aptos"/>
          <w:sz w:val="21"/>
        </w:rPr>
        <w:t xml:space="preserve"> and </w:t>
      </w:r>
      <w:r>
        <w:rPr>
          <w:rFonts w:ascii="Aptos" w:hAnsi="Aptos"/>
          <w:b/>
          <w:sz w:val="21"/>
        </w:rPr>
        <w:t>reproducibility</w:t>
      </w:r>
      <w:r>
        <w:rPr>
          <w:rFonts w:ascii="Aptos" w:hAnsi="Aptos"/>
          <w:sz w:val="21"/>
        </w:rPr>
        <w:t>. A natural handle may resolve “latest successful” at submission time, but the resulting input selection must immediately freeze the exact run, document(s), hashes and artifact references used.</w:t>
      </w:r>
    </w:p>
    <w:p>
      <w:pPr>
        <w:pStyle w:val="Heading2"/>
        <w:keepNext/>
      </w:pPr>
      <w:r>
        <w:t>2.3 Source selectors DataForge should eventually accept</w:t>
      </w:r>
    </w:p>
    <w:tbl>
      <w:tblPr>
        <w:tblStyle w:val="TableGrid"/>
        <w:tblW w:type="auto" w:w="0"/>
        <w:jc w:val="center"/>
        <w:tblLook w:firstColumn="1" w:firstRow="1" w:lastColumn="0" w:lastRow="0" w:noHBand="0" w:noVBand="1" w:val="04A0"/>
      </w:tblPr>
      <w:tblGrid>
        <w:gridCol w:w="5040"/>
        <w:gridCol w:w="5040"/>
      </w:tblGrid>
      <w:tr>
        <w:tc>
          <w:tcPr>
            <w:tcW w:type="dxa" w:w="2592"/>
            <w:shd w:fill="EAF0F7"/>
            <w:tcMar>
              <w:top w:w="90" w:type="dxa"/>
              <w:start w:w="100" w:type="dxa"/>
              <w:bottom w:w="90" w:type="dxa"/>
              <w:end w:w="100" w:type="dxa"/>
            </w:tcMar>
            <w:vAlign w:val="top"/>
          </w:tcPr>
          <w:p>
            <w:pPr>
              <w:spacing w:after="40"/>
            </w:pPr>
            <w:r>
              <w:rPr>
                <w:rFonts w:ascii="Aptos" w:hAnsi="Aptos"/>
                <w:b/>
                <w:sz w:val="19"/>
              </w:rPr>
              <w:t>Document</w:t>
            </w:r>
          </w:p>
        </w:tc>
        <w:tc>
          <w:tcPr>
            <w:tcW w:type="dxa" w:w="7056"/>
            <w:tcMar>
              <w:top w:w="90" w:type="dxa"/>
              <w:start w:w="100" w:type="dxa"/>
              <w:bottom w:w="90" w:type="dxa"/>
              <w:end w:w="100" w:type="dxa"/>
            </w:tcMar>
            <w:vAlign w:val="top"/>
          </w:tcPr>
          <w:p>
            <w:pPr>
              <w:spacing w:after="40"/>
            </w:pPr>
            <w:r>
              <w:rPr>
                <w:rFonts w:ascii="Aptos" w:hAnsi="Aptos"/>
                <w:sz w:val="19"/>
              </w:rPr>
              <w:t>Use the selected document. If multiple successful ingest runs exist, resolve the latest successful consumable version unless --run is supplied.</w:t>
            </w:r>
          </w:p>
        </w:tc>
      </w:tr>
      <w:tr>
        <w:tc>
          <w:tcPr>
            <w:tcW w:type="dxa" w:w="2592"/>
            <w:shd w:fill="EAF0F7"/>
            <w:tcMar>
              <w:top w:w="90" w:type="dxa"/>
              <w:start w:w="100" w:type="dxa"/>
              <w:bottom w:w="90" w:type="dxa"/>
              <w:end w:w="100" w:type="dxa"/>
            </w:tcMar>
            <w:vAlign w:val="top"/>
          </w:tcPr>
          <w:p>
            <w:pPr>
              <w:spacing w:after="40"/>
            </w:pPr>
            <w:r>
              <w:rPr>
                <w:rFonts w:ascii="Aptos" w:hAnsi="Aptos"/>
                <w:b/>
                <w:sz w:val="19"/>
              </w:rPr>
              <w:t>SourceAsset</w:t>
            </w:r>
          </w:p>
        </w:tc>
        <w:tc>
          <w:tcPr>
            <w:tcW w:type="dxa" w:w="7056"/>
            <w:tcMar>
              <w:top w:w="90" w:type="dxa"/>
              <w:start w:w="100" w:type="dxa"/>
              <w:bottom w:w="90" w:type="dxa"/>
              <w:end w:w="100" w:type="dxa"/>
            </w:tcMar>
            <w:vAlign w:val="top"/>
          </w:tcPr>
          <w:p>
            <w:pPr>
              <w:spacing w:after="40"/>
            </w:pPr>
            <w:r>
              <w:rPr>
                <w:rFonts w:ascii="Aptos" w:hAnsi="Aptos"/>
                <w:sz w:val="19"/>
              </w:rPr>
              <w:t>Resolve the latest successful consumable document produced from that asset in the same ResourceContext.</w:t>
            </w:r>
          </w:p>
        </w:tc>
      </w:tr>
      <w:tr>
        <w:tc>
          <w:tcPr>
            <w:tcW w:type="dxa" w:w="2592"/>
            <w:shd w:fill="EAF0F7"/>
            <w:tcMar>
              <w:top w:w="90" w:type="dxa"/>
              <w:start w:w="100" w:type="dxa"/>
              <w:bottom w:w="90" w:type="dxa"/>
              <w:end w:w="100" w:type="dxa"/>
            </w:tcMar>
            <w:vAlign w:val="top"/>
          </w:tcPr>
          <w:p>
            <w:pPr>
              <w:spacing w:after="40"/>
            </w:pPr>
            <w:r>
              <w:rPr>
                <w:rFonts w:ascii="Aptos" w:hAnsi="Aptos"/>
                <w:b/>
                <w:sz w:val="19"/>
              </w:rPr>
              <w:t>Bundle</w:t>
            </w:r>
          </w:p>
        </w:tc>
        <w:tc>
          <w:tcPr>
            <w:tcW w:type="dxa" w:w="7056"/>
            <w:tcMar>
              <w:top w:w="90" w:type="dxa"/>
              <w:start w:w="100" w:type="dxa"/>
              <w:bottom w:w="90" w:type="dxa"/>
              <w:end w:w="100" w:type="dxa"/>
            </w:tcMar>
            <w:vAlign w:val="top"/>
          </w:tcPr>
          <w:p>
            <w:pPr>
              <w:spacing w:after="40"/>
            </w:pPr>
            <w:r>
              <w:rPr>
                <w:rFonts w:ascii="Aptos" w:hAnsi="Aptos"/>
                <w:sz w:val="19"/>
              </w:rPr>
              <w:t>Resolve the active collection beneath the bundle, then freeze the exact set of successful consumable documents selected for this DataForge run.</w:t>
            </w:r>
          </w:p>
        </w:tc>
      </w:tr>
      <w:tr>
        <w:tc>
          <w:tcPr>
            <w:tcW w:type="dxa" w:w="2592"/>
            <w:shd w:fill="EAF0F7"/>
            <w:tcMar>
              <w:top w:w="90" w:type="dxa"/>
              <w:start w:w="100" w:type="dxa"/>
              <w:bottom w:w="90" w:type="dxa"/>
              <w:end w:w="100" w:type="dxa"/>
            </w:tcMar>
            <w:vAlign w:val="top"/>
          </w:tcPr>
          <w:p>
            <w:pPr>
              <w:spacing w:after="40"/>
            </w:pPr>
            <w:r>
              <w:rPr>
                <w:rFonts w:ascii="Aptos" w:hAnsi="Aptos"/>
                <w:b/>
                <w:sz w:val="19"/>
              </w:rPr>
              <w:t>Run</w:t>
            </w:r>
          </w:p>
        </w:tc>
        <w:tc>
          <w:tcPr>
            <w:tcW w:type="dxa" w:w="7056"/>
            <w:tcMar>
              <w:top w:w="90" w:type="dxa"/>
              <w:start w:w="100" w:type="dxa"/>
              <w:bottom w:w="90" w:type="dxa"/>
              <w:end w:w="100" w:type="dxa"/>
            </w:tcMar>
            <w:vAlign w:val="top"/>
          </w:tcPr>
          <w:p>
            <w:pPr>
              <w:spacing w:after="40"/>
            </w:pPr>
            <w:r>
              <w:rPr>
                <w:rFonts w:ascii="Aptos" w:hAnsi="Aptos"/>
                <w:sz w:val="19"/>
              </w:rPr>
              <w:t>Use that exact ingest run. This is the cleanest explicit historical/reproducible form.</w:t>
            </w:r>
          </w:p>
        </w:tc>
      </w:tr>
      <w:tr>
        <w:tc>
          <w:tcPr>
            <w:tcW w:type="dxa" w:w="2592"/>
            <w:shd w:fill="EAF0F7"/>
            <w:tcMar>
              <w:top w:w="90" w:type="dxa"/>
              <w:start w:w="100" w:type="dxa"/>
              <w:bottom w:w="90" w:type="dxa"/>
              <w:end w:w="100" w:type="dxa"/>
            </w:tcMar>
            <w:vAlign w:val="top"/>
          </w:tcPr>
          <w:p>
            <w:pPr>
              <w:spacing w:after="40"/>
            </w:pPr>
            <w:r>
              <w:rPr>
                <w:rFonts w:ascii="Aptos" w:hAnsi="Aptos"/>
                <w:b/>
                <w:sz w:val="19"/>
              </w:rPr>
              <w:t>Storage URI</w:t>
            </w:r>
          </w:p>
        </w:tc>
        <w:tc>
          <w:tcPr>
            <w:tcW w:type="dxa" w:w="7056"/>
            <w:tcMar>
              <w:top w:w="90" w:type="dxa"/>
              <w:start w:w="100" w:type="dxa"/>
              <w:bottom w:w="90" w:type="dxa"/>
              <w:end w:w="100" w:type="dxa"/>
            </w:tcMar>
            <w:vAlign w:val="top"/>
          </w:tcPr>
          <w:p>
            <w:pPr>
              <w:spacing w:after="40"/>
            </w:pPr>
            <w:r>
              <w:rPr>
                <w:rFonts w:ascii="Aptos" w:hAnsi="Aptos"/>
                <w:sz w:val="19"/>
              </w:rPr>
              <w:t>Keep as an advanced/expert and machine interface. It must not be the only normal interface.</w:t>
            </w:r>
          </w:p>
        </w:tc>
      </w:tr>
    </w:tbl>
    <w:p>
      <w:r>
        <w:rPr>
          <w:rFonts w:ascii="Aptos" w:hAnsi="Aptos"/>
          <w:b/>
          <w:sz w:val="21"/>
        </w:rPr>
        <w:t>Possible future surface (illustrative, not yet a frozen command contract):</w:t>
      </w:r>
    </w:p>
    <w:p>
      <w:pPr>
        <w:pStyle w:val="CodeBlock"/>
      </w:pPr>
      <w:r>
        <w:rPr>
          <w:rFonts w:ascii="Consolas" w:hAnsi="Consolas"/>
          <w:sz w:val="18"/>
        </w:rPr>
        <w:t>cogni dataforge build paragraph-qa --document &lt;document-id&gt; --experiment &lt;id&gt;</w:t>
      </w:r>
      <w:r>
        <w:br/>
      </w:r>
      <w:r>
        <w:rPr>
          <w:rFonts w:ascii="Consolas" w:hAnsi="Consolas"/>
          <w:sz w:val="18"/>
        </w:rPr>
        <w:t>cogni dataforge build paragraph-qa --asset &lt;asset-id&gt; --experiment &lt;id&gt;</w:t>
      </w:r>
      <w:r>
        <w:br/>
      </w:r>
      <w:r>
        <w:rPr>
          <w:rFonts w:ascii="Consolas" w:hAnsi="Consolas"/>
          <w:sz w:val="18"/>
        </w:rPr>
        <w:t>cogni dataforge build paragraph-qa --bundle hr/policies --experiment &lt;id&gt;</w:t>
      </w:r>
      <w:r>
        <w:br/>
      </w:r>
      <w:r>
        <w:rPr>
          <w:rFonts w:ascii="Consolas" w:hAnsi="Consolas"/>
          <w:sz w:val="18"/>
        </w:rPr>
        <w:t>cogni dataforge build paragraph-qa --run &lt;ingest-run-id&gt; --experiment &lt;id&gt;</w:t>
      </w:r>
      <w:r>
        <w:br/>
      </w:r>
      <w:r>
        <w:rPr>
          <w:rFonts w:ascii="Consolas" w:hAnsi="Consolas"/>
          <w:sz w:val="18"/>
        </w:rPr>
      </w:r>
      <w:r>
        <w:br/>
      </w:r>
      <w:r>
        <w:rPr>
          <w:rFonts w:ascii="Consolas" w:hAnsi="Consolas"/>
          <w:sz w:val="18"/>
        </w:rPr>
        <w:t># Explicitly bind a natural object to a historical run</w:t>
      </w:r>
      <w:r>
        <w:br/>
      </w:r>
      <w:r>
        <w:rPr>
          <w:rFonts w:ascii="Consolas" w:hAnsi="Consolas"/>
          <w:sz w:val="18"/>
        </w:rPr>
        <w:t>cogni dataforge build paragraph-qa --asset &lt;asset-id&gt; --run &lt;ingest-run-id&gt; --experiment &lt;id&gt;</w:t>
      </w:r>
    </w:p>
    <w:p>
      <w:pPr>
        <w:pStyle w:val="Heading2"/>
        <w:keepNext/>
      </w:pPr>
      <w:r>
        <w:t>2.4 Exact meaning of “latest”</w:t>
      </w:r>
    </w:p>
    <w:p>
      <w:r>
        <w:rPr>
          <w:rFonts w:ascii="Aptos" w:hAnsi="Aptos"/>
          <w:sz w:val="21"/>
        </w:rPr>
        <w:t xml:space="preserve">“Latest” must be a deterministic domain rule, not filesystem order or whichever manifest was discovered first. Recommended semantic: </w:t>
      </w:r>
      <w:r>
        <w:rPr>
          <w:rFonts w:ascii="Aptos" w:hAnsi="Aptos"/>
          <w:b/>
          <w:sz w:val="21"/>
        </w:rPr>
        <w:t>latest successfully completed, non-deleted, DataForge-consumable ingest result within the same ResourceContext, ordered by authoritative run lifecycle metadata.</w:t>
      </w:r>
    </w:p>
    <w:p>
      <w:pPr>
        <w:pStyle w:val="ListBullet"/>
        <w:spacing w:after="40"/>
      </w:pPr>
      <w:r>
        <w:rPr>
          <w:rFonts w:ascii="Aptos" w:hAnsi="Aptos"/>
          <w:sz w:val="21"/>
        </w:rPr>
        <w:t>A failed, cancelled, incomplete, unauthorized or deleted result must not become the automatic selection.</w:t>
      </w:r>
    </w:p>
    <w:p>
      <w:pPr>
        <w:pStyle w:val="ListBullet"/>
        <w:spacing w:after="40"/>
      </w:pPr>
      <w:r>
        <w:rPr>
          <w:rFonts w:ascii="Aptos" w:hAnsi="Aptos"/>
          <w:sz w:val="21"/>
        </w:rPr>
        <w:t>A run must satisfy the DataForge handoff contract (required provenance/canonical/source-graph/address artifacts as appropriate to the recipe).</w:t>
      </w:r>
    </w:p>
    <w:p>
      <w:pPr>
        <w:pStyle w:val="ListBullet"/>
        <w:spacing w:after="40"/>
      </w:pPr>
      <w:r>
        <w:rPr>
          <w:rFonts w:ascii="Aptos" w:hAnsi="Aptos"/>
          <w:sz w:val="21"/>
        </w:rPr>
        <w:t>Once DataForge begins, the resolved selection is immutable for that run. A later ingest must never silently change an existing DataForge dataset lineage.</w:t>
      </w:r>
    </w:p>
    <w:p>
      <w:pPr>
        <w:pStyle w:val="ListBullet"/>
        <w:spacing w:after="40"/>
      </w:pPr>
      <w:r>
        <w:rPr>
          <w:rFonts w:ascii="Aptos" w:hAnsi="Aptos"/>
          <w:sz w:val="21"/>
        </w:rPr>
        <w:t>An explicit --run must always override “latest” selection and make the historical choice obvious in the resulting lineage.</w:t>
      </w:r>
    </w:p>
    <w:p>
      <w:pPr>
        <w:pStyle w:val="Heading2"/>
        <w:keepNext/>
      </w:pPr>
      <w:r>
        <w:t>2.5 Collection / bundle semantics</w:t>
      </w:r>
    </w:p>
    <w:p>
      <w:pPr>
        <w:pStyle w:val="ListBullet"/>
        <w:spacing w:after="40"/>
      </w:pPr>
      <w:r>
        <w:rPr>
          <w:rFonts w:ascii="Aptos" w:hAnsi="Aptos"/>
          <w:sz w:val="21"/>
        </w:rPr>
        <w:t>A bundle is not merely a convenience filename. It represents a logical collection that may expand to many SourceAssets/documents.</w:t>
      </w:r>
    </w:p>
    <w:p>
      <w:pPr>
        <w:pStyle w:val="ListBullet"/>
        <w:spacing w:after="40"/>
      </w:pPr>
      <w:r>
        <w:rPr>
          <w:rFonts w:ascii="Aptos" w:hAnsi="Aptos"/>
          <w:sz w:val="21"/>
        </w:rPr>
        <w:t>The DataForge submission should resolve the collection once and persist the selected members in an input-selection manifest.</w:t>
      </w:r>
    </w:p>
    <w:p>
      <w:pPr>
        <w:pStyle w:val="ListBullet"/>
        <w:spacing w:after="40"/>
      </w:pPr>
      <w:r>
        <w:rPr>
          <w:rFonts w:ascii="Aptos" w:hAnsi="Aptos"/>
          <w:sz w:val="21"/>
        </w:rPr>
        <w:t>The selection should record skipped/unusable members with reasons when that is operationally valuable, rather than silently shrinking the requested set.</w:t>
      </w:r>
    </w:p>
    <w:p>
      <w:pPr>
        <w:pStyle w:val="ListBullet"/>
        <w:spacing w:after="40"/>
      </w:pPr>
      <w:r>
        <w:rPr>
          <w:rFonts w:ascii="Aptos" w:hAnsi="Aptos"/>
          <w:sz w:val="21"/>
        </w:rPr>
        <w:t>Cross-document Knowledge Unit work may require graph relations that do not yet exist across independent per-document Source Graphs. Collection acceptance must not imply unsupported semantic graph merging.</w:t>
      </w:r>
    </w:p>
    <w:p>
      <w:pPr>
        <w:pStyle w:val="Heading2"/>
        <w:keepNext/>
      </w:pPr>
      <w:r>
        <w:t>2.6 DataForge → Training handoff</w:t>
      </w:r>
    </w:p>
    <w:p>
      <w:r>
        <w:rPr>
          <w:rFonts w:ascii="Aptos" w:hAnsi="Aptos"/>
          <w:sz w:val="21"/>
        </w:rPr>
        <w:t>The same principle should continue downstream. Training already accepts a DataForge manifest as a durable source. The normal user-facing form should ultimately accept the dataset handle, while the training run freezes the exact dataset manifest/version internally.</w:t>
      </w:r>
    </w:p>
    <w:p>
      <w:pPr>
        <w:pStyle w:val="CodeBlock"/>
      </w:pPr>
      <w:r>
        <w:rPr>
          <w:rFonts w:ascii="Consolas" w:hAnsi="Consolas"/>
          <w:sz w:val="18"/>
        </w:rPr>
        <w:t># Preferred eventual mental model</w:t>
      </w:r>
      <w:r>
        <w:br/>
      </w:r>
      <w:r>
        <w:rPr>
          <w:rFonts w:ascii="Consolas" w:hAnsi="Consolas"/>
          <w:sz w:val="18"/>
        </w:rPr>
        <w:t>cogni train --dataset &lt;dataset-id&gt; --config &lt;training-config&gt;</w:t>
      </w:r>
      <w:r>
        <w:br/>
      </w:r>
      <w:r>
        <w:rPr>
          <w:rFonts w:ascii="Consolas" w:hAnsi="Consolas"/>
          <w:sz w:val="18"/>
        </w:rPr>
      </w:r>
      <w:r>
        <w:br/>
      </w:r>
      <w:r>
        <w:rPr>
          <w:rFonts w:ascii="Consolas" w:hAnsi="Consolas"/>
          <w:sz w:val="18"/>
        </w:rPr>
        <w:t># Advanced reproducibility form may remain</w:t>
      </w:r>
      <w:r>
        <w:br/>
      </w:r>
      <w:r>
        <w:rPr>
          <w:rFonts w:ascii="Consolas" w:hAnsi="Consolas"/>
          <w:sz w:val="18"/>
        </w:rPr>
        <w:t>cognityx-train --config ...   # config can contain exact storage://.../manifest.json</w:t>
      </w:r>
    </w:p>
    <w:p>
      <w:pPr>
        <w:pStyle w:val="ListBullet"/>
        <w:spacing w:after="40"/>
      </w:pPr>
      <w:r>
        <w:rPr>
          <w:rFonts w:ascii="Aptos" w:hAnsi="Aptos"/>
          <w:sz w:val="21"/>
        </w:rPr>
        <w:t>Training must preserve experiment_id, DataForge dataset_id/version, source manifest checksum and records checksum in its report/adapter lineage.</w:t>
      </w:r>
    </w:p>
    <w:p>
      <w:pPr>
        <w:pStyle w:val="ListBullet"/>
        <w:spacing w:after="40"/>
      </w:pPr>
      <w:r>
        <w:rPr>
          <w:rFonts w:ascii="Aptos" w:hAnsi="Aptos"/>
          <w:sz w:val="21"/>
        </w:rPr>
        <w:t>The user-friendly handle must never weaken immutable manifest/checksum validation.</w:t>
      </w:r>
    </w:p>
    <w:p>
      <w:pPr>
        <w:pStyle w:val="ListBullet"/>
        <w:spacing w:after="40"/>
      </w:pPr>
      <w:r>
        <w:rPr>
          <w:rFonts w:ascii="Aptos" w:hAnsi="Aptos"/>
          <w:sz w:val="21"/>
        </w:rPr>
        <w:t>Training should not reopen Ingest source documents; it consumes the DataForge dataset boundary.</w:t>
      </w:r>
    </w:p>
    <w:p>
      <w:pPr>
        <w:pStyle w:val="Heading2"/>
        <w:keepNext/>
      </w:pPr>
      <w:r>
        <w:t>2.7 Documentation requirement</w:t>
      </w:r>
    </w:p>
    <w:p>
      <w:r>
        <w:rPr>
          <w:rFonts w:ascii="Aptos" w:hAnsi="Aptos"/>
          <w:sz w:val="21"/>
        </w:rPr>
        <w:t>Documentation must contain one complete copy-paste journey, not only an object diagram:</w:t>
      </w:r>
    </w:p>
    <w:p>
      <w:pPr>
        <w:pStyle w:val="CodeBlock"/>
      </w:pPr>
      <w:r>
        <w:rPr>
          <w:rFonts w:ascii="Consolas" w:hAnsi="Consolas"/>
          <w:sz w:val="18"/>
        </w:rPr>
        <w:t>1. ingest a file / asset / bundle</w:t>
      </w:r>
      <w:r>
        <w:br/>
      </w:r>
      <w:r>
        <w:rPr>
          <w:rFonts w:ascii="Consolas" w:hAnsi="Consolas"/>
          <w:sz w:val="18"/>
        </w:rPr>
        <w:t>2. obtain the friendly run/document handle</w:t>
      </w:r>
      <w:r>
        <w:br/>
      </w:r>
      <w:r>
        <w:rPr>
          <w:rFonts w:ascii="Consolas" w:hAnsi="Consolas"/>
          <w:sz w:val="18"/>
        </w:rPr>
        <w:t>3. build a DataForge dataset from that handle</w:t>
      </w:r>
      <w:r>
        <w:br/>
      </w:r>
      <w:r>
        <w:rPr>
          <w:rFonts w:ascii="Consolas" w:hAnsi="Consolas"/>
          <w:sz w:val="18"/>
        </w:rPr>
        <w:t>4. inspect the dataset by dataset_id</w:t>
      </w:r>
      <w:r>
        <w:br/>
      </w:r>
      <w:r>
        <w:rPr>
          <w:rFonts w:ascii="Consolas" w:hAnsi="Consolas"/>
          <w:sz w:val="18"/>
        </w:rPr>
        <w:t>5. train from dataset_id</w:t>
      </w:r>
      <w:r>
        <w:br/>
      </w:r>
      <w:r>
        <w:rPr>
          <w:rFonts w:ascii="Consolas" w:hAnsi="Consolas"/>
          <w:sz w:val="18"/>
        </w:rPr>
        <w:t>6. obtain training_run_id and adapter_id</w:t>
      </w:r>
      <w:r>
        <w:br/>
      </w:r>
      <w:r>
        <w:rPr>
          <w:rFonts w:ascii="Consolas" w:hAnsi="Consolas"/>
          <w:sz w:val="18"/>
        </w:rPr>
        <w:t>7. inspect lineage back to the exact DataForge and Ingest inputs</w:t>
      </w:r>
    </w:p>
    <w:p>
      <w:pPr>
        <w:pStyle w:val="Heading1"/>
        <w:keepNext/>
      </w:pPr>
      <w:r>
        <w:t>3. Issue 2 — Friendly Stable Handles and Artifact Discovery</w:t>
      </w:r>
    </w:p>
    <w:p>
      <w:r>
        <w:rPr>
          <w:rFonts w:ascii="Aptos" w:hAnsi="Aptos"/>
          <w:b/>
          <w:sz w:val="21"/>
        </w:rPr>
        <w:t xml:space="preserve">One-line requirement: </w:t>
      </w:r>
      <w:r>
        <w:rPr>
          <w:rFonts w:ascii="Aptos" w:hAnsi="Aptos"/>
          <w:sz w:val="21"/>
        </w:rPr>
        <w:t>Use stable Cognityx IDs as the normal human/API handles, while keeping manifest and Storage URIs as immutable internal locations and reproducibility evidence.</w:t>
      </w:r>
    </w:p>
    <w:p>
      <w:pPr>
        <w:pStyle w:val="Heading2"/>
        <w:keepNext/>
      </w:pPr>
      <w:r>
        <w:t>3.1 Why IDs and URIs should have different jobs</w:t>
      </w:r>
    </w:p>
    <w:tbl>
      <w:tblPr>
        <w:tblStyle w:val="TableGrid"/>
        <w:tblW w:type="auto" w:w="0"/>
        <w:jc w:val="center"/>
        <w:tblLook w:firstColumn="1" w:firstRow="1" w:lastColumn="0" w:lastRow="0" w:noHBand="0" w:noVBand="1" w:val="04A0"/>
      </w:tblPr>
      <w:tblGrid>
        <w:gridCol w:w="5040"/>
        <w:gridCol w:w="5040"/>
      </w:tblGrid>
      <w:tr>
        <w:tc>
          <w:tcPr>
            <w:tcW w:type="dxa" w:w="2592"/>
            <w:shd w:fill="EAF0F7"/>
            <w:tcMar>
              <w:top w:w="90" w:type="dxa"/>
              <w:start w:w="100" w:type="dxa"/>
              <w:bottom w:w="90" w:type="dxa"/>
              <w:end w:w="100" w:type="dxa"/>
            </w:tcMar>
            <w:vAlign w:val="top"/>
          </w:tcPr>
          <w:p>
            <w:pPr>
              <w:spacing w:after="40"/>
            </w:pPr>
            <w:r>
              <w:rPr>
                <w:rFonts w:ascii="Aptos" w:hAnsi="Aptos"/>
                <w:b/>
                <w:sz w:val="19"/>
              </w:rPr>
              <w:t>Friendly ID</w:t>
            </w:r>
          </w:p>
        </w:tc>
        <w:tc>
          <w:tcPr>
            <w:tcW w:type="dxa" w:w="7056"/>
            <w:tcMar>
              <w:top w:w="90" w:type="dxa"/>
              <w:start w:w="100" w:type="dxa"/>
              <w:bottom w:w="90" w:type="dxa"/>
              <w:end w:w="100" w:type="dxa"/>
            </w:tcMar>
            <w:vAlign w:val="top"/>
          </w:tcPr>
          <w:p>
            <w:pPr>
              <w:spacing w:after="40"/>
            </w:pPr>
            <w:r>
              <w:rPr>
                <w:rFonts w:ascii="Aptos" w:hAnsi="Aptos"/>
                <w:sz w:val="19"/>
              </w:rPr>
              <w:t>What users copy, remember, pass to normal commands and see in summaries: document_id, run_id, dataset_id, training_run_id, adapter_id.</w:t>
            </w:r>
          </w:p>
        </w:tc>
      </w:tr>
      <w:tr>
        <w:tc>
          <w:tcPr>
            <w:tcW w:type="dxa" w:w="2592"/>
            <w:shd w:fill="EAF0F7"/>
            <w:tcMar>
              <w:top w:w="90" w:type="dxa"/>
              <w:start w:w="100" w:type="dxa"/>
              <w:bottom w:w="90" w:type="dxa"/>
              <w:end w:w="100" w:type="dxa"/>
            </w:tcMar>
            <w:vAlign w:val="top"/>
          </w:tcPr>
          <w:p>
            <w:pPr>
              <w:spacing w:after="40"/>
            </w:pPr>
            <w:r>
              <w:rPr>
                <w:rFonts w:ascii="Aptos" w:hAnsi="Aptos"/>
                <w:b/>
                <w:sz w:val="19"/>
              </w:rPr>
              <w:t>Manifest URI</w:t>
            </w:r>
          </w:p>
        </w:tc>
        <w:tc>
          <w:tcPr>
            <w:tcW w:type="dxa" w:w="7056"/>
            <w:tcMar>
              <w:top w:w="90" w:type="dxa"/>
              <w:start w:w="100" w:type="dxa"/>
              <w:bottom w:w="90" w:type="dxa"/>
              <w:end w:w="100" w:type="dxa"/>
            </w:tcMar>
            <w:vAlign w:val="top"/>
          </w:tcPr>
          <w:p>
            <w:pPr>
              <w:spacing w:after="40"/>
            </w:pPr>
            <w:r>
              <w:rPr>
                <w:rFonts w:ascii="Aptos" w:hAnsi="Aptos"/>
                <w:sz w:val="19"/>
              </w:rPr>
              <w:t>Durable machine contract that freezes exact object locations, checksums, versions and lineage.</w:t>
            </w:r>
          </w:p>
        </w:tc>
      </w:tr>
      <w:tr>
        <w:tc>
          <w:tcPr>
            <w:tcW w:type="dxa" w:w="2592"/>
            <w:shd w:fill="EAF0F7"/>
            <w:tcMar>
              <w:top w:w="90" w:type="dxa"/>
              <w:start w:w="100" w:type="dxa"/>
              <w:bottom w:w="90" w:type="dxa"/>
              <w:end w:w="100" w:type="dxa"/>
            </w:tcMar>
            <w:vAlign w:val="top"/>
          </w:tcPr>
          <w:p>
            <w:pPr>
              <w:spacing w:after="40"/>
            </w:pPr>
            <w:r>
              <w:rPr>
                <w:rFonts w:ascii="Aptos" w:hAnsi="Aptos"/>
                <w:b/>
                <w:sz w:val="19"/>
              </w:rPr>
              <w:t>Physical path</w:t>
            </w:r>
          </w:p>
        </w:tc>
        <w:tc>
          <w:tcPr>
            <w:tcW w:type="dxa" w:w="7056"/>
            <w:tcMar>
              <w:top w:w="90" w:type="dxa"/>
              <w:start w:w="100" w:type="dxa"/>
              <w:bottom w:w="90" w:type="dxa"/>
              <w:end w:w="100" w:type="dxa"/>
            </w:tcMar>
            <w:vAlign w:val="top"/>
          </w:tcPr>
          <w:p>
            <w:pPr>
              <w:spacing w:after="40"/>
            </w:pPr>
            <w:r>
              <w:rPr>
                <w:rFonts w:ascii="Aptos" w:hAnsi="Aptos"/>
                <w:sz w:val="19"/>
              </w:rPr>
              <w:t>Operator/backend implementation detail. It should not become the normal cross-component contract.</w:t>
            </w:r>
          </w:p>
        </w:tc>
      </w:tr>
    </w:tbl>
    <w:p>
      <w:r>
        <w:rPr>
          <w:rFonts w:ascii="Aptos" w:hAnsi="Aptos"/>
          <w:sz w:val="21"/>
        </w:rPr>
        <w:t xml:space="preserve">The key rule is: </w:t>
      </w:r>
      <w:r>
        <w:rPr>
          <w:rFonts w:ascii="Aptos" w:hAnsi="Aptos"/>
          <w:b/>
          <w:sz w:val="21"/>
        </w:rPr>
        <w:t>do not remove manifests; stop forcing users to manipulate them directly.</w:t>
      </w:r>
    </w:p>
    <w:p>
      <w:pPr>
        <w:pStyle w:val="Heading2"/>
        <w:keepNext/>
      </w:pPr>
      <w:r>
        <w:t>3.2 DataForge dataset handle</w:t>
      </w:r>
    </w:p>
    <w:p>
      <w:pPr>
        <w:pStyle w:val="ListBullet"/>
        <w:spacing w:after="40"/>
      </w:pPr>
      <w:r>
        <w:rPr>
          <w:rFonts w:ascii="Aptos" w:hAnsi="Aptos"/>
          <w:sz w:val="21"/>
        </w:rPr>
        <w:t>The successful real run already returns dataset_id and dataset_version. These should become first-class lookup keys, not merely metadata printed beside the manifest URI.</w:t>
      </w:r>
    </w:p>
    <w:p>
      <w:pPr>
        <w:pStyle w:val="ListBullet"/>
        <w:spacing w:after="40"/>
      </w:pPr>
      <w:r>
        <w:rPr>
          <w:rFonts w:ascii="Aptos" w:hAnsi="Aptos"/>
          <w:sz w:val="21"/>
        </w:rPr>
        <w:t>dataset show/export should accept dataset_id (and when required a version selector), with the resolver locating and validating the immutable manifest internally.</w:t>
      </w:r>
    </w:p>
    <w:p>
      <w:pPr>
        <w:pStyle w:val="ListBullet"/>
        <w:spacing w:after="40"/>
      </w:pPr>
      <w:r>
        <w:rPr>
          <w:rFonts w:ascii="Aptos" w:hAnsi="Aptos"/>
          <w:sz w:val="21"/>
        </w:rPr>
        <w:t>If dataset_id can map to multiple versions, the CLI must either choose a well-defined latest published version or require/allow an explicit version. Ambiguity must be surfaced, not guessed.</w:t>
      </w:r>
    </w:p>
    <w:p>
      <w:pPr>
        <w:pStyle w:val="ListBullet"/>
        <w:spacing w:after="40"/>
      </w:pPr>
      <w:r>
        <w:rPr>
          <w:rFonts w:ascii="Aptos" w:hAnsi="Aptos"/>
          <w:sz w:val="21"/>
        </w:rPr>
        <w:t>The final DataForge response should emphasize the friendly IDs, while still including the manifest URI for automation and provenance.</w:t>
      </w:r>
    </w:p>
    <w:p>
      <w:r>
        <w:rPr>
          <w:rFonts w:ascii="Aptos" w:hAnsi="Aptos"/>
          <w:b/>
          <w:sz w:val="21"/>
        </w:rPr>
        <w:t>Illustrative surface:</w:t>
      </w:r>
    </w:p>
    <w:p>
      <w:pPr>
        <w:pStyle w:val="CodeBlock"/>
      </w:pPr>
      <w:r>
        <w:rPr>
          <w:rFonts w:ascii="Consolas" w:hAnsi="Consolas"/>
          <w:sz w:val="18"/>
        </w:rPr>
        <w:t>cogni dataforge dataset show &lt;dataset-id&gt;</w:t>
      </w:r>
      <w:r>
        <w:br/>
      </w:r>
      <w:r>
        <w:rPr>
          <w:rFonts w:ascii="Consolas" w:hAnsi="Consolas"/>
          <w:sz w:val="18"/>
        </w:rPr>
        <w:t>cogni dataforge dataset export &lt;dataset-id&gt; --output training.jsonl</w:t>
      </w:r>
      <w:r>
        <w:br/>
      </w:r>
      <w:r>
        <w:rPr>
          <w:rFonts w:ascii="Consolas" w:hAnsi="Consolas"/>
          <w:sz w:val="18"/>
        </w:rPr>
      </w:r>
      <w:r>
        <w:br/>
      </w:r>
      <w:r>
        <w:rPr>
          <w:rFonts w:ascii="Consolas" w:hAnsi="Consolas"/>
          <w:sz w:val="18"/>
        </w:rPr>
        <w:t># Exact machine form remains possible</w:t>
      </w:r>
      <w:r>
        <w:br/>
      </w:r>
      <w:r>
        <w:rPr>
          <w:rFonts w:ascii="Consolas" w:hAnsi="Consolas"/>
          <w:sz w:val="18"/>
        </w:rPr>
        <w:t>cogni dataforge dataset show --manifest storage://.../manifest.json</w:t>
      </w:r>
    </w:p>
    <w:p>
      <w:pPr>
        <w:pStyle w:val="Heading2"/>
        <w:keepNext/>
      </w:pPr>
      <w:r>
        <w:t>3.3 Run-manifest visibility</w:t>
      </w:r>
    </w:p>
    <w:p>
      <w:pPr>
        <w:pStyle w:val="ListBullet"/>
        <w:spacing w:after="40"/>
      </w:pPr>
      <w:r>
        <w:rPr>
          <w:rFonts w:ascii="Aptos" w:hAnsi="Aptos"/>
          <w:sz w:val="21"/>
        </w:rPr>
        <w:t>cogni run locate &lt;run-id&gt; should always expose the run’s own canonical manifest reference. The user should never need to reconstruct it from directory naming conventions.</w:t>
      </w:r>
    </w:p>
    <w:p>
      <w:pPr>
        <w:pStyle w:val="ListBullet"/>
        <w:spacing w:after="40"/>
      </w:pPr>
      <w:r>
        <w:rPr>
          <w:rFonts w:ascii="Aptos" w:hAnsi="Aptos"/>
          <w:sz w:val="21"/>
        </w:rPr>
        <w:t>A locate response may contain internal/debug metadata, but the canonical logical URI must be explicit and stable.</w:t>
      </w:r>
    </w:p>
    <w:p>
      <w:pPr>
        <w:pStyle w:val="ListBullet"/>
        <w:spacing w:after="40"/>
      </w:pPr>
      <w:r>
        <w:rPr>
          <w:rFonts w:ascii="Aptos" w:hAnsi="Aptos"/>
          <w:sz w:val="21"/>
        </w:rPr>
        <w:t>The run manifest is a producer handoff object; its discoverability should therefore be a contract rather than an accidental field present only when embedded in the manifest itself.</w:t>
      </w:r>
    </w:p>
    <w:p>
      <w:pPr>
        <w:pStyle w:val="Heading2"/>
        <w:keepNext/>
      </w:pPr>
      <w:r>
        <w:t>3.4 DataForge artifact facade</w:t>
      </w:r>
    </w:p>
    <w:p>
      <w:r>
        <w:rPr>
          <w:rFonts w:ascii="Aptos" w:hAnsi="Aptos"/>
          <w:sz w:val="21"/>
        </w:rPr>
        <w:t>The DataForge manifest already references multiple generated artifacts. A user should not have to inspect the manifest, extract model_calls_uri, then manually open Storage. Mirror the successful bounded-artifact idea from Ingest.</w:t>
      </w:r>
    </w:p>
    <w:p>
      <w:pPr>
        <w:pStyle w:val="CodeBlock"/>
      </w:pPr>
      <w:r>
        <w:rPr>
          <w:rFonts w:ascii="Consolas" w:hAnsi="Consolas"/>
          <w:sz w:val="18"/>
        </w:rPr>
        <w:t>cogni dataforge artifact available &lt;dataset-id&gt;</w:t>
      </w:r>
      <w:r>
        <w:br/>
      </w:r>
      <w:r>
        <w:rPr>
          <w:rFonts w:ascii="Consolas" w:hAnsi="Consolas"/>
          <w:sz w:val="18"/>
        </w:rPr>
        <w:t>cogni dataforge artifact read &lt;dataset-id&gt; records</w:t>
      </w:r>
      <w:r>
        <w:br/>
      </w:r>
      <w:r>
        <w:rPr>
          <w:rFonts w:ascii="Consolas" w:hAnsi="Consolas"/>
          <w:sz w:val="18"/>
        </w:rPr>
        <w:t>cogni dataforge artifact read &lt;dataset-id&gt; model-calls</w:t>
      </w:r>
      <w:r>
        <w:br/>
      </w:r>
      <w:r>
        <w:rPr>
          <w:rFonts w:ascii="Consolas" w:hAnsi="Consolas"/>
          <w:sz w:val="18"/>
        </w:rPr>
        <w:t>cogni dataforge artifact read &lt;dataset-id&gt; rejections</w:t>
      </w:r>
      <w:r>
        <w:br/>
      </w:r>
      <w:r>
        <w:rPr>
          <w:rFonts w:ascii="Consolas" w:hAnsi="Consolas"/>
          <w:sz w:val="18"/>
        </w:rPr>
        <w:t>cogni dataforge artifact read &lt;dataset-id&gt; validations</w:t>
      </w:r>
      <w:r>
        <w:br/>
      </w:r>
      <w:r>
        <w:rPr>
          <w:rFonts w:ascii="Consolas" w:hAnsi="Consolas"/>
          <w:sz w:val="18"/>
        </w:rPr>
        <w:t>cogni dataforge artifact read &lt;dataset-id&gt; knowledge-units</w:t>
      </w:r>
      <w:r>
        <w:br/>
      </w:r>
      <w:r>
        <w:rPr>
          <w:rFonts w:ascii="Consolas" w:hAnsi="Consolas"/>
          <w:sz w:val="18"/>
        </w:rPr>
        <w:t>cogni dataforge artifact read &lt;dataset-id&gt; run-events</w:t>
      </w:r>
    </w:p>
    <w:p>
      <w:pPr>
        <w:pStyle w:val="ListBullet"/>
        <w:spacing w:after="40"/>
      </w:pPr>
      <w:r>
        <w:rPr>
          <w:rFonts w:ascii="Aptos" w:hAnsi="Aptos"/>
          <w:sz w:val="21"/>
        </w:rPr>
        <w:t>Use a closed, documented public artifact vocabulary rather than arbitrary Storage keys or filenames.</w:t>
      </w:r>
    </w:p>
    <w:p>
      <w:pPr>
        <w:pStyle w:val="ListBullet"/>
        <w:spacing w:after="40"/>
      </w:pPr>
      <w:r>
        <w:rPr>
          <w:rFonts w:ascii="Aptos" w:hAnsi="Aptos"/>
          <w:sz w:val="21"/>
        </w:rPr>
        <w:t>Artifact lookup should validate dataset ownership/manifest integrity before opening bytes, following the same trust-boundary principle used for Ingest artifacts.</w:t>
      </w:r>
    </w:p>
    <w:p>
      <w:pPr>
        <w:pStyle w:val="ListBullet"/>
        <w:spacing w:after="40"/>
      </w:pPr>
      <w:r>
        <w:rPr>
          <w:rFonts w:ascii="Aptos" w:hAnsi="Aptos"/>
          <w:sz w:val="21"/>
        </w:rPr>
        <w:t>An artifact may be optional depending on recipe; available should state what exists rather than making the caller know recipe internals.</w:t>
      </w:r>
    </w:p>
    <w:p>
      <w:pPr>
        <w:pStyle w:val="ListBullet"/>
        <w:spacing w:after="40"/>
      </w:pPr>
      <w:r>
        <w:rPr>
          <w:rFonts w:ascii="Aptos" w:hAnsi="Aptos"/>
          <w:sz w:val="21"/>
        </w:rPr>
        <w:t>The facade should return logical Storage metadata and authorized bytes, not make physical local paths part of the application contract.</w:t>
      </w:r>
    </w:p>
    <w:p>
      <w:pPr>
        <w:pStyle w:val="Heading2"/>
        <w:keepNext/>
      </w:pPr>
      <w:r>
        <w:t>3.5 Handle resolution must be contextual</w:t>
      </w:r>
    </w:p>
    <w:p>
      <w:pPr>
        <w:pStyle w:val="ListBullet"/>
        <w:spacing w:after="40"/>
      </w:pPr>
      <w:r>
        <w:rPr>
          <w:rFonts w:ascii="Aptos" w:hAnsi="Aptos"/>
          <w:sz w:val="21"/>
        </w:rPr>
        <w:t>All friendly ID resolution must respect ResourceContext/tenant/project/workspace ownership and authorization.</w:t>
      </w:r>
    </w:p>
    <w:p>
      <w:pPr>
        <w:pStyle w:val="ListBullet"/>
        <w:spacing w:after="40"/>
      </w:pPr>
      <w:r>
        <w:rPr>
          <w:rFonts w:ascii="Aptos" w:hAnsi="Aptos"/>
          <w:sz w:val="21"/>
        </w:rPr>
        <w:t>A globally short ID must not accidentally resolve an object from another context.</w:t>
      </w:r>
    </w:p>
    <w:p>
      <w:pPr>
        <w:pStyle w:val="ListBullet"/>
        <w:spacing w:after="40"/>
      </w:pPr>
      <w:r>
        <w:rPr>
          <w:rFonts w:ascii="Aptos" w:hAnsi="Aptos"/>
          <w:sz w:val="21"/>
        </w:rPr>
        <w:t>Deleted/obsolete objects need explicit status semantics; a friendly ID should not silently redirect to unrelated content.</w:t>
      </w:r>
    </w:p>
    <w:p>
      <w:pPr>
        <w:pStyle w:val="ListBullet"/>
        <w:spacing w:after="40"/>
      </w:pPr>
      <w:r>
        <w:rPr>
          <w:rFonts w:ascii="Aptos" w:hAnsi="Aptos"/>
          <w:sz w:val="21"/>
        </w:rPr>
        <w:t>Resolvers should return enough lineage to explain what exact manifest/version was selected.</w:t>
      </w:r>
    </w:p>
    <w:p>
      <w:pPr>
        <w:pStyle w:val="Heading1"/>
        <w:keepNext/>
      </w:pPr>
      <w:r>
        <w:t>4. Issue 3 — Unified cogni Application CLI</w:t>
      </w:r>
    </w:p>
    <w:p>
      <w:r>
        <w:rPr>
          <w:rFonts w:ascii="Aptos" w:hAnsi="Aptos"/>
          <w:b/>
          <w:sz w:val="21"/>
        </w:rPr>
        <w:t xml:space="preserve">One-line requirement: </w:t>
      </w:r>
      <w:r>
        <w:rPr>
          <w:rFonts w:ascii="Aptos" w:hAnsi="Aptos"/>
          <w:sz w:val="21"/>
        </w:rPr>
        <w:t>Normal users should have one Cognityx application front door — cogni — while component repositories retain domain ownership and their specialist CLIs remain available for development/operations.</w:t>
      </w:r>
    </w:p>
    <w:p>
      <w:pPr>
        <w:pStyle w:val="Heading2"/>
        <w:keepNext/>
      </w:pPr>
      <w:r>
        <w:t>4.1 Current friction</w:t>
      </w:r>
    </w:p>
    <w:p>
      <w:r>
        <w:rPr>
          <w:rFonts w:ascii="Aptos" w:hAnsi="Aptos"/>
          <w:sz w:val="21"/>
        </w:rPr>
        <w:t>A single workflow currently makes the user switch mental and executable contexts:</w:t>
      </w:r>
    </w:p>
    <w:p>
      <w:pPr>
        <w:pStyle w:val="CodeBlock"/>
      </w:pPr>
      <w:r>
        <w:rPr>
          <w:rFonts w:ascii="Consolas" w:hAnsi="Consolas"/>
          <w:sz w:val="18"/>
        </w:rPr>
        <w:t>cogni ingest ...</w:t>
      </w:r>
      <w:r>
        <w:br/>
      </w:r>
      <w:r>
        <w:rPr>
          <w:rFonts w:ascii="Consolas" w:hAnsi="Consolas"/>
          <w:sz w:val="18"/>
        </w:rPr>
        <w:t>cognityx-dataforge build ...</w:t>
      </w:r>
      <w:r>
        <w:br/>
      </w:r>
      <w:r>
        <w:rPr>
          <w:rFonts w:ascii="Consolas" w:hAnsi="Consolas"/>
          <w:sz w:val="18"/>
        </w:rPr>
        <w:t>cognityx-train ...</w:t>
      </w:r>
      <w:r>
        <w:br/>
      </w:r>
      <w:r>
        <w:rPr>
          <w:rFonts w:ascii="Consolas" w:hAnsi="Consolas"/>
          <w:sz w:val="18"/>
        </w:rPr>
        <w:t>cognityx-inference ...</w:t>
      </w:r>
    </w:p>
    <w:p>
      <w:r>
        <w:rPr>
          <w:rFonts w:ascii="Aptos" w:hAnsi="Aptos"/>
          <w:sz w:val="21"/>
        </w:rPr>
        <w:t>This is understandable at repository level, but it is not the best product-level interface when the user thinks “I am doing a Cognityx workflow.”</w:t>
      </w:r>
    </w:p>
    <w:p>
      <w:pPr>
        <w:pStyle w:val="Heading2"/>
        <w:keepNext/>
      </w:pPr>
      <w:r>
        <w:t>4.2 Target command tree</w:t>
      </w:r>
    </w:p>
    <w:p>
      <w:pPr>
        <w:pStyle w:val="CodeBlock"/>
      </w:pPr>
      <w:r>
        <w:rPr>
          <w:rFonts w:ascii="Consolas" w:hAnsi="Consolas"/>
          <w:sz w:val="18"/>
        </w:rPr>
        <w:t>cogni</w:t>
      </w:r>
      <w:r>
        <w:br/>
      </w:r>
      <w:r>
        <w:rPr>
          <w:rFonts w:ascii="Consolas" w:hAnsi="Consolas"/>
          <w:sz w:val="18"/>
        </w:rPr>
        <w:t>├── asset ...</w:t>
      </w:r>
      <w:r>
        <w:br/>
      </w:r>
      <w:r>
        <w:rPr>
          <w:rFonts w:ascii="Consolas" w:hAnsi="Consolas"/>
          <w:sz w:val="18"/>
        </w:rPr>
        <w:t>├── bundle ...</w:t>
      </w:r>
      <w:r>
        <w:br/>
      </w:r>
      <w:r>
        <w:rPr>
          <w:rFonts w:ascii="Consolas" w:hAnsi="Consolas"/>
          <w:sz w:val="18"/>
        </w:rPr>
        <w:t>├── ingest ...</w:t>
      </w:r>
      <w:r>
        <w:br/>
      </w:r>
      <w:r>
        <w:rPr>
          <w:rFonts w:ascii="Consolas" w:hAnsi="Consolas"/>
          <w:sz w:val="18"/>
        </w:rPr>
        <w:t>├── run ...</w:t>
      </w:r>
      <w:r>
        <w:br/>
      </w:r>
      <w:r>
        <w:rPr>
          <w:rFonts w:ascii="Consolas" w:hAnsi="Consolas"/>
          <w:sz w:val="18"/>
        </w:rPr>
        <w:t>├── document ...</w:t>
      </w:r>
      <w:r>
        <w:br/>
      </w:r>
      <w:r>
        <w:rPr>
          <w:rFonts w:ascii="Consolas" w:hAnsi="Consolas"/>
          <w:sz w:val="18"/>
        </w:rPr>
        <w:t>├── artifact ...</w:t>
      </w:r>
      <w:r>
        <w:br/>
      </w:r>
      <w:r>
        <w:rPr>
          <w:rFonts w:ascii="Consolas" w:hAnsi="Consolas"/>
          <w:sz w:val="18"/>
        </w:rPr>
        <w:t>├── provenance ...</w:t>
      </w:r>
      <w:r>
        <w:br/>
      </w:r>
      <w:r>
        <w:rPr>
          <w:rFonts w:ascii="Consolas" w:hAnsi="Consolas"/>
          <w:sz w:val="18"/>
        </w:rPr>
        <w:t>│</w:t>
      </w:r>
      <w:r>
        <w:br/>
      </w:r>
      <w:r>
        <w:rPr>
          <w:rFonts w:ascii="Consolas" w:hAnsi="Consolas"/>
          <w:sz w:val="18"/>
        </w:rPr>
        <w:t>├── dataforge</w:t>
      </w:r>
      <w:r>
        <w:br/>
      </w:r>
      <w:r>
        <w:rPr>
          <w:rFonts w:ascii="Consolas" w:hAnsi="Consolas"/>
          <w:sz w:val="18"/>
        </w:rPr>
        <w:t>│   ├── build ...</w:t>
      </w:r>
      <w:r>
        <w:br/>
      </w:r>
      <w:r>
        <w:rPr>
          <w:rFonts w:ascii="Consolas" w:hAnsi="Consolas"/>
          <w:sz w:val="18"/>
        </w:rPr>
        <w:t>│   ├── dataset ...</w:t>
      </w:r>
      <w:r>
        <w:br/>
      </w:r>
      <w:r>
        <w:rPr>
          <w:rFonts w:ascii="Consolas" w:hAnsi="Consolas"/>
          <w:sz w:val="18"/>
        </w:rPr>
        <w:t>│   ├── artifact ...</w:t>
      </w:r>
      <w:r>
        <w:br/>
      </w:r>
      <w:r>
        <w:rPr>
          <w:rFonts w:ascii="Consolas" w:hAnsi="Consolas"/>
          <w:sz w:val="18"/>
        </w:rPr>
        <w:t>│   └── job ...</w:t>
      </w:r>
      <w:r>
        <w:br/>
      </w:r>
      <w:r>
        <w:rPr>
          <w:rFonts w:ascii="Consolas" w:hAnsi="Consolas"/>
          <w:sz w:val="18"/>
        </w:rPr>
        <w:t>│</w:t>
      </w:r>
      <w:r>
        <w:br/>
      </w:r>
      <w:r>
        <w:rPr>
          <w:rFonts w:ascii="Consolas" w:hAnsi="Consolas"/>
          <w:sz w:val="18"/>
        </w:rPr>
        <w:t>├── train ...</w:t>
      </w:r>
      <w:r>
        <w:br/>
      </w:r>
      <w:r>
        <w:rPr>
          <w:rFonts w:ascii="Consolas" w:hAnsi="Consolas"/>
          <w:sz w:val="18"/>
        </w:rPr>
        <w:t>├── evaluate ...</w:t>
      </w:r>
      <w:r>
        <w:br/>
      </w:r>
      <w:r>
        <w:rPr>
          <w:rFonts w:ascii="Consolas" w:hAnsi="Consolas"/>
          <w:sz w:val="18"/>
        </w:rPr>
        <w:t>│</w:t>
      </w:r>
      <w:r>
        <w:br/>
      </w:r>
      <w:r>
        <w:rPr>
          <w:rFonts w:ascii="Consolas" w:hAnsi="Consolas"/>
          <w:sz w:val="18"/>
        </w:rPr>
        <w:t>└── inference ...        # only where product-level operation is appropriate</w:t>
      </w:r>
    </w:p>
    <w:p>
      <w:r>
        <w:rPr>
          <w:rFonts w:ascii="Aptos" w:hAnsi="Aptos"/>
          <w:sz w:val="21"/>
        </w:rPr>
        <w:t xml:space="preserve">This does </w:t>
      </w:r>
      <w:r>
        <w:rPr>
          <w:rFonts w:ascii="Aptos" w:hAnsi="Aptos"/>
          <w:b/>
          <w:sz w:val="21"/>
        </w:rPr>
        <w:t>not</w:t>
      </w:r>
      <w:r>
        <w:rPr>
          <w:rFonts w:ascii="Aptos" w:hAnsi="Aptos"/>
          <w:sz w:val="21"/>
        </w:rPr>
        <w:t xml:space="preserve"> mean moving DataForge, Training or Inference logic into cognityx-sdk. The SDK/CLI should compose public component APIs/clients and preserve component-owned boundaries.</w:t>
      </w:r>
    </w:p>
    <w:p>
      <w:pPr>
        <w:pStyle w:val="Heading2"/>
        <w:keepNext/>
      </w:pPr>
      <w:r>
        <w:t>4.3 Component CLIs should remain</w:t>
      </w:r>
    </w:p>
    <w:p>
      <w:pPr>
        <w:pStyle w:val="ListBullet"/>
        <w:spacing w:after="40"/>
      </w:pPr>
      <w:r>
        <w:rPr>
          <w:rFonts w:ascii="Aptos" w:hAnsi="Aptos"/>
          <w:sz w:val="21"/>
        </w:rPr>
        <w:t>cognityx-dataforge, cognityx-train and cognityx-inference remain useful for repository development, troubleshooting, backend-specific operation and advanced automation.</w:t>
      </w:r>
    </w:p>
    <w:p>
      <w:pPr>
        <w:pStyle w:val="ListBullet"/>
        <w:spacing w:after="40"/>
      </w:pPr>
      <w:r>
        <w:rPr>
          <w:rFonts w:ascii="Aptos" w:hAnsi="Aptos"/>
          <w:sz w:val="21"/>
        </w:rPr>
        <w:t>The unified CLI is an application facade, not a replacement for component ownership.</w:t>
      </w:r>
    </w:p>
    <w:p>
      <w:pPr>
        <w:pStyle w:val="ListBullet"/>
        <w:spacing w:after="40"/>
      </w:pPr>
      <w:r>
        <w:rPr>
          <w:rFonts w:ascii="Aptos" w:hAnsi="Aptos"/>
          <w:sz w:val="21"/>
        </w:rPr>
        <w:t>Component CLIs can expose lower-level expert controls that would clutter the normal cogni surface.</w:t>
      </w:r>
    </w:p>
    <w:p>
      <w:pPr>
        <w:pStyle w:val="ListBullet"/>
        <w:spacing w:after="40"/>
      </w:pPr>
      <w:r>
        <w:rPr>
          <w:rFonts w:ascii="Aptos" w:hAnsi="Aptos"/>
          <w:sz w:val="21"/>
        </w:rPr>
        <w:t>Deprecation should be used only when there is truly duplicate user-facing surface; specialist CLIs are not inherently legacy.</w:t>
      </w:r>
    </w:p>
    <w:p>
      <w:pPr>
        <w:pStyle w:val="Heading2"/>
        <w:keepNext/>
      </w:pPr>
      <w:r>
        <w:t>4.4 SDK composition principle</w:t>
      </w:r>
    </w:p>
    <w:tbl>
      <w:tblPr>
        <w:tblStyle w:val="TableGrid"/>
        <w:tblW w:type="auto" w:w="0"/>
        <w:jc w:val="center"/>
        <w:tblLook w:firstColumn="1" w:firstRow="1" w:lastColumn="0" w:lastRow="0" w:noHBand="0" w:noVBand="1" w:val="04A0"/>
      </w:tblPr>
      <w:tblGrid>
        <w:gridCol w:w="5040"/>
        <w:gridCol w:w="5040"/>
      </w:tblGrid>
      <w:tr>
        <w:tc>
          <w:tcPr>
            <w:tcW w:type="dxa" w:w="2592"/>
            <w:shd w:fill="EAF0F7"/>
            <w:tcMar>
              <w:top w:w="90" w:type="dxa"/>
              <w:start w:w="100" w:type="dxa"/>
              <w:bottom w:w="90" w:type="dxa"/>
              <w:end w:w="100" w:type="dxa"/>
            </w:tcMar>
            <w:vAlign w:val="top"/>
          </w:tcPr>
          <w:p>
            <w:pPr>
              <w:spacing w:after="40"/>
            </w:pPr>
            <w:r>
              <w:rPr>
                <w:rFonts w:ascii="Aptos" w:hAnsi="Aptos"/>
                <w:b/>
                <w:sz w:val="19"/>
              </w:rPr>
              <w:t>SDK / cogni owns</w:t>
            </w:r>
          </w:p>
        </w:tc>
        <w:tc>
          <w:tcPr>
            <w:tcW w:type="dxa" w:w="7056"/>
            <w:tcMar>
              <w:top w:w="90" w:type="dxa"/>
              <w:start w:w="100" w:type="dxa"/>
              <w:bottom w:w="90" w:type="dxa"/>
              <w:end w:w="100" w:type="dxa"/>
            </w:tcMar>
            <w:vAlign w:val="top"/>
          </w:tcPr>
          <w:p>
            <w:pPr>
              <w:spacing w:after="40"/>
            </w:pPr>
            <w:r>
              <w:rPr>
                <w:rFonts w:ascii="Aptos" w:hAnsi="Aptos"/>
                <w:sz w:val="19"/>
              </w:rPr>
              <w:t>User-facing command composition, common context propagation, common output conventions, friendly handle resolution entry points, and routing to component-owned clients/facades.</w:t>
            </w:r>
          </w:p>
        </w:tc>
      </w:tr>
      <w:tr>
        <w:tc>
          <w:tcPr>
            <w:tcW w:type="dxa" w:w="2592"/>
            <w:shd w:fill="EAF0F7"/>
            <w:tcMar>
              <w:top w:w="90" w:type="dxa"/>
              <w:start w:w="100" w:type="dxa"/>
              <w:bottom w:w="90" w:type="dxa"/>
              <w:end w:w="100" w:type="dxa"/>
            </w:tcMar>
            <w:vAlign w:val="top"/>
          </w:tcPr>
          <w:p>
            <w:pPr>
              <w:spacing w:after="40"/>
            </w:pPr>
            <w:r>
              <w:rPr>
                <w:rFonts w:ascii="Aptos" w:hAnsi="Aptos"/>
                <w:b/>
                <w:sz w:val="19"/>
              </w:rPr>
              <w:t>DataForge owns</w:t>
            </w:r>
          </w:p>
        </w:tc>
        <w:tc>
          <w:tcPr>
            <w:tcW w:type="dxa" w:w="7056"/>
            <w:tcMar>
              <w:top w:w="90" w:type="dxa"/>
              <w:start w:w="100" w:type="dxa"/>
              <w:bottom w:w="90" w:type="dxa"/>
              <w:end w:w="100" w:type="dxa"/>
            </w:tcMar>
            <w:vAlign w:val="top"/>
          </w:tcPr>
          <w:p>
            <w:pPr>
              <w:spacing w:after="40"/>
            </w:pPr>
            <w:r>
              <w:rPr>
                <w:rFonts w:ascii="Aptos" w:hAnsi="Aptos"/>
                <w:sz w:val="19"/>
              </w:rPr>
              <w:t>Dataset recipes, source validation, generation, Knowledge Units, dataset publication, DataForge artifact semantics.</w:t>
            </w:r>
          </w:p>
        </w:tc>
      </w:tr>
      <w:tr>
        <w:tc>
          <w:tcPr>
            <w:tcW w:type="dxa" w:w="2592"/>
            <w:shd w:fill="EAF0F7"/>
            <w:tcMar>
              <w:top w:w="90" w:type="dxa"/>
              <w:start w:w="100" w:type="dxa"/>
              <w:bottom w:w="90" w:type="dxa"/>
              <w:end w:w="100" w:type="dxa"/>
            </w:tcMar>
            <w:vAlign w:val="top"/>
          </w:tcPr>
          <w:p>
            <w:pPr>
              <w:spacing w:after="40"/>
            </w:pPr>
            <w:r>
              <w:rPr>
                <w:rFonts w:ascii="Aptos" w:hAnsi="Aptos"/>
                <w:b/>
                <w:sz w:val="19"/>
              </w:rPr>
              <w:t>Training owns</w:t>
            </w:r>
          </w:p>
        </w:tc>
        <w:tc>
          <w:tcPr>
            <w:tcW w:type="dxa" w:w="7056"/>
            <w:tcMar>
              <w:top w:w="90" w:type="dxa"/>
              <w:start w:w="100" w:type="dxa"/>
              <w:bottom w:w="90" w:type="dxa"/>
              <w:end w:w="100" w:type="dxa"/>
            </w:tcMar>
            <w:vAlign w:val="top"/>
          </w:tcPr>
          <w:p>
            <w:pPr>
              <w:spacing w:after="40"/>
            </w:pPr>
            <w:r>
              <w:rPr>
                <w:rFonts w:ascii="Aptos" w:hAnsi="Aptos"/>
                <w:sz w:val="19"/>
              </w:rPr>
              <w:t>Training configuration, dataset preflight, trainer backends, adapters, training reports and publication.</w:t>
            </w:r>
          </w:p>
        </w:tc>
      </w:tr>
      <w:tr>
        <w:tc>
          <w:tcPr>
            <w:tcW w:type="dxa" w:w="2592"/>
            <w:shd w:fill="EAF0F7"/>
            <w:tcMar>
              <w:top w:w="90" w:type="dxa"/>
              <w:start w:w="100" w:type="dxa"/>
              <w:bottom w:w="90" w:type="dxa"/>
              <w:end w:w="100" w:type="dxa"/>
            </w:tcMar>
            <w:vAlign w:val="top"/>
          </w:tcPr>
          <w:p>
            <w:pPr>
              <w:spacing w:after="40"/>
            </w:pPr>
            <w:r>
              <w:rPr>
                <w:rFonts w:ascii="Aptos" w:hAnsi="Aptos"/>
                <w:b/>
                <w:sz w:val="19"/>
              </w:rPr>
              <w:t>Inference owns</w:t>
            </w:r>
          </w:p>
        </w:tc>
        <w:tc>
          <w:tcPr>
            <w:tcW w:type="dxa" w:w="7056"/>
            <w:tcMar>
              <w:top w:w="90" w:type="dxa"/>
              <w:start w:w="100" w:type="dxa"/>
              <w:bottom w:w="90" w:type="dxa"/>
              <w:end w:w="100" w:type="dxa"/>
            </w:tcMar>
            <w:vAlign w:val="top"/>
          </w:tcPr>
          <w:p>
            <w:pPr>
              <w:spacing w:after="40"/>
            </w:pPr>
            <w:r>
              <w:rPr>
                <w:rFonts w:ascii="Aptos" w:hAnsi="Aptos"/>
                <w:sz w:val="19"/>
              </w:rPr>
              <w:t>Model lifecycle, model routing/backend execution, inference telemetry/capabilities.</w:t>
            </w:r>
          </w:p>
        </w:tc>
      </w:tr>
      <w:tr>
        <w:tc>
          <w:tcPr>
            <w:tcW w:type="dxa" w:w="2592"/>
            <w:shd w:fill="EAF0F7"/>
            <w:tcMar>
              <w:top w:w="90" w:type="dxa"/>
              <w:start w:w="100" w:type="dxa"/>
              <w:bottom w:w="90" w:type="dxa"/>
              <w:end w:w="100" w:type="dxa"/>
            </w:tcMar>
            <w:vAlign w:val="top"/>
          </w:tcPr>
          <w:p>
            <w:pPr>
              <w:spacing w:after="40"/>
            </w:pPr>
            <w:r>
              <w:rPr>
                <w:rFonts w:ascii="Aptos" w:hAnsi="Aptos"/>
                <w:b/>
                <w:sz w:val="19"/>
              </w:rPr>
              <w:t>Storage/Jobs/Resource own</w:t>
            </w:r>
          </w:p>
        </w:tc>
        <w:tc>
          <w:tcPr>
            <w:tcW w:type="dxa" w:w="7056"/>
            <w:tcMar>
              <w:top w:w="90" w:type="dxa"/>
              <w:start w:w="100" w:type="dxa"/>
              <w:bottom w:w="90" w:type="dxa"/>
              <w:end w:w="100" w:type="dxa"/>
            </w:tcMar>
            <w:vAlign w:val="top"/>
          </w:tcPr>
          <w:p>
            <w:pPr>
              <w:spacing w:after="40"/>
            </w:pPr>
            <w:r>
              <w:rPr>
                <w:rFonts w:ascii="Aptos" w:hAnsi="Aptos"/>
                <w:sz w:val="19"/>
              </w:rPr>
              <w:t>Their respective persistence, lifecycle and context contracts.</w:t>
            </w:r>
          </w:p>
        </w:tc>
      </w:tr>
    </w:tbl>
    <w:p>
      <w:pPr>
        <w:pStyle w:val="Heading2"/>
        <w:keepNext/>
      </w:pPr>
      <w:r>
        <w:t>4.5 Cross-repository invocation should be invisible to normal users</w:t>
      </w:r>
    </w:p>
    <w:p>
      <w:r>
        <w:rPr>
          <w:rFonts w:ascii="Aptos" w:hAnsi="Aptos"/>
          <w:sz w:val="21"/>
        </w:rPr>
        <w:t>During development it is acceptable to use uv run --project ../cognityx-sdk ..., but the product interface should not require the user to understand which repository owns which executable. The installation should expose cogni once and compose installed component packages behind it.</w:t>
      </w:r>
    </w:p>
    <w:p>
      <w:pPr>
        <w:pStyle w:val="Heading2"/>
        <w:keepNext/>
      </w:pPr>
      <w:r>
        <w:t>4.6 Migration and compatibility</w:t>
      </w:r>
    </w:p>
    <w:p>
      <w:pPr>
        <w:pStyle w:val="ListBullet"/>
        <w:spacing w:after="40"/>
      </w:pPr>
      <w:r>
        <w:rPr>
          <w:rFonts w:ascii="Aptos" w:hAnsi="Aptos"/>
          <w:sz w:val="21"/>
        </w:rPr>
        <w:t>Introduce unified commands additively first; do not break working component commands during experimental CLI consolidation.</w:t>
      </w:r>
    </w:p>
    <w:p>
      <w:pPr>
        <w:pStyle w:val="ListBullet"/>
        <w:spacing w:after="40"/>
      </w:pPr>
      <w:r>
        <w:rPr>
          <w:rFonts w:ascii="Aptos" w:hAnsi="Aptos"/>
          <w:sz w:val="21"/>
        </w:rPr>
        <w:t>Document one preferred path clearly. Compatibility paths belong in a dedicated deprecated/advanced section rather than competing equally with the normal journey.</w:t>
      </w:r>
    </w:p>
    <w:p>
      <w:pPr>
        <w:pStyle w:val="ListBullet"/>
        <w:spacing w:after="40"/>
      </w:pPr>
      <w:r>
        <w:rPr>
          <w:rFonts w:ascii="Aptos" w:hAnsi="Aptos"/>
          <w:sz w:val="21"/>
        </w:rPr>
        <w:t>Command output IDs and semantics should remain aligned between cogni and component CLIs so automation can migrate predictably.</w:t>
      </w:r>
    </w:p>
    <w:p>
      <w:pPr>
        <w:pStyle w:val="Heading1"/>
        <w:keepNext/>
      </w:pPr>
      <w:r>
        <w:t>5. Issue 4 — Pretty CLI Output by Default</w:t>
      </w:r>
    </w:p>
    <w:p>
      <w:r>
        <w:rPr>
          <w:rFonts w:ascii="Aptos" w:hAnsi="Aptos"/>
          <w:b/>
          <w:sz w:val="21"/>
        </w:rPr>
        <w:t xml:space="preserve">One-line requirement: </w:t>
      </w:r>
      <w:r>
        <w:rPr>
          <w:rFonts w:ascii="Aptos" w:hAnsi="Aptos"/>
          <w:sz w:val="21"/>
        </w:rPr>
        <w:t>A user-facing Cognityx command should be readable without piping every result through jq; machine-readable JSON remains an explicit, stable output mode.</w:t>
      </w:r>
    </w:p>
    <w:p>
      <w:pPr>
        <w:pStyle w:val="Heading2"/>
        <w:keepNext/>
      </w:pPr>
      <w:r>
        <w:t>5.1 Default terminal experience</w:t>
      </w:r>
    </w:p>
    <w:p>
      <w:pPr>
        <w:pStyle w:val="ListBullet"/>
        <w:spacing w:after="40"/>
      </w:pPr>
      <w:r>
        <w:rPr>
          <w:rFonts w:ascii="Aptos" w:hAnsi="Aptos"/>
          <w:sz w:val="21"/>
        </w:rPr>
        <w:t>Lists should render compact tables with the important identifiers and states.</w:t>
      </w:r>
    </w:p>
    <w:p>
      <w:pPr>
        <w:pStyle w:val="ListBullet"/>
        <w:spacing w:after="40"/>
      </w:pPr>
      <w:r>
        <w:rPr>
          <w:rFonts w:ascii="Aptos" w:hAnsi="Aptos"/>
          <w:sz w:val="21"/>
        </w:rPr>
        <w:t>Show/detail commands should render aligned key/value groups with meaningful headings.</w:t>
      </w:r>
    </w:p>
    <w:p>
      <w:pPr>
        <w:pStyle w:val="ListBullet"/>
        <w:spacing w:after="40"/>
      </w:pPr>
      <w:r>
        <w:rPr>
          <w:rFonts w:ascii="Aptos" w:hAnsi="Aptos"/>
          <w:sz w:val="21"/>
        </w:rPr>
        <w:t>Hierarchical objects should use trees or indented sections where that explains relationships better than raw JSON.</w:t>
      </w:r>
    </w:p>
    <w:p>
      <w:pPr>
        <w:pStyle w:val="ListBullet"/>
        <w:spacing w:after="40"/>
      </w:pPr>
      <w:r>
        <w:rPr>
          <w:rFonts w:ascii="Aptos" w:hAnsi="Aptos"/>
          <w:sz w:val="21"/>
        </w:rPr>
        <w:t>Long URIs should remain available but should not dominate the primary summary when a friendly ID exists.</w:t>
      </w:r>
    </w:p>
    <w:p>
      <w:pPr>
        <w:pStyle w:val="ListBullet"/>
        <w:spacing w:after="40"/>
      </w:pPr>
      <w:r>
        <w:rPr>
          <w:rFonts w:ascii="Aptos" w:hAnsi="Aptos"/>
          <w:sz w:val="21"/>
        </w:rPr>
        <w:t>Warnings, progress and operational diagnostics should be visually distinct from the final result.</w:t>
      </w:r>
    </w:p>
    <w:p>
      <w:pPr>
        <w:pStyle w:val="CodeBlock"/>
      </w:pPr>
      <w:r>
        <w:rPr>
          <w:rFonts w:ascii="Consolas" w:hAnsi="Consolas"/>
          <w:sz w:val="18"/>
        </w:rPr>
        <w:t>$ cogni dataforge dataset show ab9aca5c6c90...</w:t>
      </w:r>
      <w:r>
        <w:br/>
      </w:r>
      <w:r>
        <w:rPr>
          <w:rFonts w:ascii="Consolas" w:hAnsi="Consolas"/>
          <w:sz w:val="18"/>
        </w:rPr>
      </w:r>
      <w:r>
        <w:br/>
      </w:r>
      <w:r>
        <w:rPr>
          <w:rFonts w:ascii="Consolas" w:hAnsi="Consolas"/>
          <w:sz w:val="18"/>
        </w:rPr>
        <w:t>Dataset</w:t>
      </w:r>
      <w:r>
        <w:br/>
      </w:r>
      <w:r>
        <w:rPr>
          <w:rFonts w:ascii="Consolas" w:hAnsi="Consolas"/>
          <w:sz w:val="18"/>
        </w:rPr>
        <w:t xml:space="preserve">  ID              ab9aca5c6c90d6ea1ffd7e680b626f2e</w:t>
      </w:r>
      <w:r>
        <w:br/>
      </w:r>
      <w:r>
        <w:rPr>
          <w:rFonts w:ascii="Consolas" w:hAnsi="Consolas"/>
          <w:sz w:val="18"/>
        </w:rPr>
        <w:t xml:space="preserve">  Version         9c1d7d0608e0d19262b78ac6872283b3</w:t>
      </w:r>
      <w:r>
        <w:br/>
      </w:r>
      <w:r>
        <w:rPr>
          <w:rFonts w:ascii="Consolas" w:hAnsi="Consolas"/>
          <w:sz w:val="18"/>
        </w:rPr>
        <w:t xml:space="preserve">  Recipe          paragraph-qa</w:t>
      </w:r>
      <w:r>
        <w:br/>
      </w:r>
      <w:r>
        <w:rPr>
          <w:rFonts w:ascii="Consolas" w:hAnsi="Consolas"/>
          <w:sz w:val="18"/>
        </w:rPr>
        <w:t xml:space="preserve">  Experiment      lunavane-basic-paragraph-qa</w:t>
      </w:r>
      <w:r>
        <w:br/>
      </w:r>
      <w:r>
        <w:rPr>
          <w:rFonts w:ascii="Consolas" w:hAnsi="Consolas"/>
          <w:sz w:val="18"/>
        </w:rPr>
        <w:t xml:space="preserve">  Records         29</w:t>
      </w:r>
      <w:r>
        <w:br/>
      </w:r>
      <w:r>
        <w:rPr>
          <w:rFonts w:ascii="Consolas" w:hAnsi="Consolas"/>
          <w:sz w:val="18"/>
        </w:rPr>
      </w:r>
      <w:r>
        <w:br/>
      </w:r>
      <w:r>
        <w:rPr>
          <w:rFonts w:ascii="Consolas" w:hAnsi="Consolas"/>
          <w:sz w:val="18"/>
        </w:rPr>
        <w:t>Generation</w:t>
      </w:r>
      <w:r>
        <w:br/>
      </w:r>
      <w:r>
        <w:rPr>
          <w:rFonts w:ascii="Consolas" w:hAnsi="Consolas"/>
          <w:sz w:val="18"/>
        </w:rPr>
        <w:t xml:space="preserve">  Model           Qwen/Qwen3-8B</w:t>
      </w:r>
      <w:r>
        <w:br/>
      </w:r>
      <w:r>
        <w:rPr>
          <w:rFonts w:ascii="Consolas" w:hAnsi="Consolas"/>
          <w:sz w:val="18"/>
        </w:rPr>
        <w:t xml:space="preserve">  Candidates      29</w:t>
      </w:r>
      <w:r>
        <w:br/>
      </w:r>
      <w:r>
        <w:rPr>
          <w:rFonts w:ascii="Consolas" w:hAnsi="Consolas"/>
          <w:sz w:val="18"/>
        </w:rPr>
        <w:t xml:space="preserve">  Accepted        29</w:t>
      </w:r>
      <w:r>
        <w:br/>
      </w:r>
      <w:r>
        <w:rPr>
          <w:rFonts w:ascii="Consolas" w:hAnsi="Consolas"/>
          <w:sz w:val="18"/>
        </w:rPr>
        <w:t xml:space="preserve">  Rejected         0</w:t>
      </w:r>
      <w:r>
        <w:br/>
      </w:r>
      <w:r>
        <w:rPr>
          <w:rFonts w:ascii="Consolas" w:hAnsi="Consolas"/>
          <w:sz w:val="18"/>
        </w:rPr>
        <w:t xml:space="preserve">  Failures         0</w:t>
      </w:r>
      <w:r>
        <w:br/>
      </w:r>
      <w:r>
        <w:rPr>
          <w:rFonts w:ascii="Consolas" w:hAnsi="Consolas"/>
          <w:sz w:val="18"/>
        </w:rPr>
        <w:t xml:space="preserve">  Truncations      0</w:t>
      </w:r>
      <w:r>
        <w:br/>
      </w:r>
      <w:r>
        <w:rPr>
          <w:rFonts w:ascii="Consolas" w:hAnsi="Consolas"/>
          <w:sz w:val="18"/>
        </w:rPr>
      </w:r>
      <w:r>
        <w:br/>
      </w:r>
      <w:r>
        <w:rPr>
          <w:rFonts w:ascii="Consolas" w:hAnsi="Consolas"/>
          <w:sz w:val="18"/>
        </w:rPr>
        <w:t>Source</w:t>
      </w:r>
      <w:r>
        <w:br/>
      </w:r>
      <w:r>
        <w:rPr>
          <w:rFonts w:ascii="Consolas" w:hAnsi="Consolas"/>
          <w:sz w:val="18"/>
        </w:rPr>
        <w:t xml:space="preserve">  Ingest Run      ae236603-50e0-48a9-bbd4-2f422c6c3b66</w:t>
      </w:r>
      <w:r>
        <w:br/>
      </w:r>
      <w:r>
        <w:rPr>
          <w:rFonts w:ascii="Consolas" w:hAnsi="Consolas"/>
          <w:sz w:val="18"/>
        </w:rPr>
        <w:t xml:space="preserve">  Documents        1</w:t>
      </w:r>
      <w:r>
        <w:br/>
      </w:r>
      <w:r>
        <w:rPr>
          <w:rFonts w:ascii="Consolas" w:hAnsi="Consolas"/>
          <w:sz w:val="18"/>
        </w:rPr>
      </w:r>
      <w:r>
        <w:br/>
      </w:r>
      <w:r>
        <w:rPr>
          <w:rFonts w:ascii="Consolas" w:hAnsi="Consolas"/>
          <w:sz w:val="18"/>
        </w:rPr>
        <w:t>Use --json for the complete machine payload.</w:t>
      </w:r>
    </w:p>
    <w:p>
      <w:pPr>
        <w:pStyle w:val="Heading2"/>
        <w:keepNext/>
      </w:pPr>
      <w:r>
        <w:t>5.2 Standard output modes</w:t>
      </w:r>
    </w:p>
    <w:tbl>
      <w:tblPr>
        <w:tblStyle w:val="TableGrid"/>
        <w:tblW w:type="auto" w:w="0"/>
        <w:jc w:val="center"/>
        <w:tblLook w:firstColumn="1" w:firstRow="1" w:lastColumn="0" w:lastRow="0" w:noHBand="0" w:noVBand="1" w:val="04A0"/>
      </w:tblPr>
      <w:tblGrid>
        <w:gridCol w:w="5040"/>
        <w:gridCol w:w="5040"/>
      </w:tblGrid>
      <w:tr>
        <w:tc>
          <w:tcPr>
            <w:tcW w:type="dxa" w:w="2592"/>
            <w:shd w:fill="EAF0F7"/>
            <w:tcMar>
              <w:top w:w="90" w:type="dxa"/>
              <w:start w:w="100" w:type="dxa"/>
              <w:bottom w:w="90" w:type="dxa"/>
              <w:end w:w="100" w:type="dxa"/>
            </w:tcMar>
            <w:vAlign w:val="top"/>
          </w:tcPr>
          <w:p>
            <w:pPr>
              <w:spacing w:after="40"/>
            </w:pPr>
            <w:r>
              <w:rPr>
                <w:rFonts w:ascii="Aptos" w:hAnsi="Aptos"/>
                <w:b/>
                <w:sz w:val="19"/>
              </w:rPr>
              <w:t>default</w:t>
            </w:r>
          </w:p>
        </w:tc>
        <w:tc>
          <w:tcPr>
            <w:tcW w:type="dxa" w:w="7056"/>
            <w:tcMar>
              <w:top w:w="90" w:type="dxa"/>
              <w:start w:w="100" w:type="dxa"/>
              <w:bottom w:w="90" w:type="dxa"/>
              <w:end w:w="100" w:type="dxa"/>
            </w:tcMar>
            <w:vAlign w:val="top"/>
          </w:tcPr>
          <w:p>
            <w:pPr>
              <w:spacing w:after="40"/>
            </w:pPr>
            <w:r>
              <w:rPr>
                <w:rFonts w:ascii="Aptos" w:hAnsi="Aptos"/>
                <w:sz w:val="19"/>
              </w:rPr>
              <w:t>Pretty human-readable terminal output.</w:t>
            </w:r>
          </w:p>
        </w:tc>
      </w:tr>
      <w:tr>
        <w:tc>
          <w:tcPr>
            <w:tcW w:type="dxa" w:w="2592"/>
            <w:shd w:fill="EAF0F7"/>
            <w:tcMar>
              <w:top w:w="90" w:type="dxa"/>
              <w:start w:w="100" w:type="dxa"/>
              <w:bottom w:w="90" w:type="dxa"/>
              <w:end w:w="100" w:type="dxa"/>
            </w:tcMar>
            <w:vAlign w:val="top"/>
          </w:tcPr>
          <w:p>
            <w:pPr>
              <w:spacing w:after="40"/>
            </w:pPr>
            <w:r>
              <w:rPr>
                <w:rFonts w:ascii="Aptos" w:hAnsi="Aptos"/>
                <w:b/>
                <w:sz w:val="19"/>
              </w:rPr>
              <w:t>--json</w:t>
            </w:r>
          </w:p>
        </w:tc>
        <w:tc>
          <w:tcPr>
            <w:tcW w:type="dxa" w:w="7056"/>
            <w:tcMar>
              <w:top w:w="90" w:type="dxa"/>
              <w:start w:w="100" w:type="dxa"/>
              <w:bottom w:w="90" w:type="dxa"/>
              <w:end w:w="100" w:type="dxa"/>
            </w:tcMar>
            <w:vAlign w:val="top"/>
          </w:tcPr>
          <w:p>
            <w:pPr>
              <w:spacing w:after="40"/>
            </w:pPr>
            <w:r>
              <w:rPr>
                <w:rFonts w:ascii="Aptos" w:hAnsi="Aptos"/>
                <w:sz w:val="19"/>
              </w:rPr>
              <w:t>Complete stable JSON object/array intended for scripts, archival and exact field access.</w:t>
            </w:r>
          </w:p>
        </w:tc>
      </w:tr>
      <w:tr>
        <w:tc>
          <w:tcPr>
            <w:tcW w:type="dxa" w:w="2592"/>
            <w:shd w:fill="EAF0F7"/>
            <w:tcMar>
              <w:top w:w="90" w:type="dxa"/>
              <w:start w:w="100" w:type="dxa"/>
              <w:bottom w:w="90" w:type="dxa"/>
              <w:end w:w="100" w:type="dxa"/>
            </w:tcMar>
            <w:vAlign w:val="top"/>
          </w:tcPr>
          <w:p>
            <w:pPr>
              <w:spacing w:after="40"/>
            </w:pPr>
            <w:r>
              <w:rPr>
                <w:rFonts w:ascii="Aptos" w:hAnsi="Aptos"/>
                <w:b/>
                <w:sz w:val="19"/>
              </w:rPr>
              <w:t>--jsonl</w:t>
            </w:r>
          </w:p>
        </w:tc>
        <w:tc>
          <w:tcPr>
            <w:tcW w:type="dxa" w:w="7056"/>
            <w:tcMar>
              <w:top w:w="90" w:type="dxa"/>
              <w:start w:w="100" w:type="dxa"/>
              <w:bottom w:w="90" w:type="dxa"/>
              <w:end w:w="100" w:type="dxa"/>
            </w:tcMar>
            <w:vAlign w:val="top"/>
          </w:tcPr>
          <w:p>
            <w:pPr>
              <w:spacing w:after="40"/>
            </w:pPr>
            <w:r>
              <w:rPr>
                <w:rFonts w:ascii="Aptos" w:hAnsi="Aptos"/>
                <w:sz w:val="19"/>
              </w:rPr>
              <w:t>Streaming/event-oriented records where the command naturally produces a sequence.</w:t>
            </w:r>
          </w:p>
        </w:tc>
      </w:tr>
      <w:tr>
        <w:tc>
          <w:tcPr>
            <w:tcW w:type="dxa" w:w="2592"/>
            <w:shd w:fill="EAF0F7"/>
            <w:tcMar>
              <w:top w:w="90" w:type="dxa"/>
              <w:start w:w="100" w:type="dxa"/>
              <w:bottom w:w="90" w:type="dxa"/>
              <w:end w:w="100" w:type="dxa"/>
            </w:tcMar>
            <w:vAlign w:val="top"/>
          </w:tcPr>
          <w:p>
            <w:pPr>
              <w:spacing w:after="40"/>
            </w:pPr>
            <w:r>
              <w:rPr>
                <w:rFonts w:ascii="Aptos" w:hAnsi="Aptos"/>
                <w:b/>
                <w:sz w:val="19"/>
              </w:rPr>
              <w:t>--quiet</w:t>
            </w:r>
          </w:p>
        </w:tc>
        <w:tc>
          <w:tcPr>
            <w:tcW w:type="dxa" w:w="7056"/>
            <w:tcMar>
              <w:top w:w="90" w:type="dxa"/>
              <w:start w:w="100" w:type="dxa"/>
              <w:bottom w:w="90" w:type="dxa"/>
              <w:end w:w="100" w:type="dxa"/>
            </w:tcMar>
            <w:vAlign w:val="top"/>
          </w:tcPr>
          <w:p>
            <w:pPr>
              <w:spacing w:after="40"/>
            </w:pPr>
            <w:r>
              <w:rPr>
                <w:rFonts w:ascii="Aptos" w:hAnsi="Aptos"/>
                <w:sz w:val="19"/>
              </w:rPr>
              <w:t>Minimal identifiers/final result, useful in shell composition.</w:t>
            </w:r>
          </w:p>
        </w:tc>
      </w:tr>
      <w:tr>
        <w:tc>
          <w:tcPr>
            <w:tcW w:type="dxa" w:w="2592"/>
            <w:shd w:fill="EAF0F7"/>
            <w:tcMar>
              <w:top w:w="90" w:type="dxa"/>
              <w:start w:w="100" w:type="dxa"/>
              <w:bottom w:w="90" w:type="dxa"/>
              <w:end w:w="100" w:type="dxa"/>
            </w:tcMar>
            <w:vAlign w:val="top"/>
          </w:tcPr>
          <w:p>
            <w:pPr>
              <w:spacing w:after="40"/>
            </w:pPr>
            <w:r>
              <w:rPr>
                <w:rFonts w:ascii="Aptos" w:hAnsi="Aptos"/>
                <w:b/>
                <w:sz w:val="19"/>
              </w:rPr>
              <w:t>--verbose</w:t>
            </w:r>
          </w:p>
        </w:tc>
        <w:tc>
          <w:tcPr>
            <w:tcW w:type="dxa" w:w="7056"/>
            <w:tcMar>
              <w:top w:w="90" w:type="dxa"/>
              <w:start w:w="100" w:type="dxa"/>
              <w:bottom w:w="90" w:type="dxa"/>
              <w:end w:w="100" w:type="dxa"/>
            </w:tcMar>
            <w:vAlign w:val="top"/>
          </w:tcPr>
          <w:p>
            <w:pPr>
              <w:spacing w:after="40"/>
            </w:pPr>
            <w:r>
              <w:rPr>
                <w:rFonts w:ascii="Aptos" w:hAnsi="Aptos"/>
                <w:sz w:val="19"/>
              </w:rPr>
              <w:t>Additional operational/lineage detail without switching to raw debug logs.</w:t>
            </w:r>
          </w:p>
        </w:tc>
      </w:tr>
    </w:tbl>
    <w:p>
      <w:r>
        <w:rPr>
          <w:rFonts w:ascii="Aptos" w:hAnsi="Aptos"/>
          <w:sz w:val="21"/>
        </w:rPr>
        <w:t>The exact flag spelling should be standardized globally once, rather than having --format json in one component and raw JSON-only behavior in another.</w:t>
      </w:r>
    </w:p>
    <w:p>
      <w:pPr>
        <w:pStyle w:val="Heading2"/>
        <w:keepNext/>
      </w:pPr>
      <w:r>
        <w:t>5.3 stdout / stderr discipline</w:t>
      </w:r>
    </w:p>
    <w:p>
      <w:pPr>
        <w:pStyle w:val="ListBullet"/>
        <w:spacing w:after="40"/>
      </w:pPr>
      <w:r>
        <w:rPr>
          <w:rFonts w:ascii="Aptos" w:hAnsi="Aptos"/>
          <w:sz w:val="21"/>
        </w:rPr>
        <w:t>Final result belongs on stdout.</w:t>
      </w:r>
    </w:p>
    <w:p>
      <w:pPr>
        <w:pStyle w:val="ListBullet"/>
        <w:spacing w:after="40"/>
      </w:pPr>
      <w:r>
        <w:rPr>
          <w:rFonts w:ascii="Aptos" w:hAnsi="Aptos"/>
          <w:sz w:val="21"/>
        </w:rPr>
        <w:t>Progress bars, live events, warnings and human diagnostics belong on stderr.</w:t>
      </w:r>
    </w:p>
    <w:p>
      <w:pPr>
        <w:pStyle w:val="ListBullet"/>
        <w:spacing w:after="40"/>
      </w:pPr>
      <w:r>
        <w:rPr>
          <w:rFonts w:ascii="Aptos" w:hAnsi="Aptos"/>
          <w:sz w:val="21"/>
        </w:rPr>
        <w:t>This preserves safe piping and redirection without mixing progress text into machine output.</w:t>
      </w:r>
    </w:p>
    <w:p>
      <w:pPr>
        <w:pStyle w:val="ListBullet"/>
        <w:spacing w:after="40"/>
      </w:pPr>
      <w:r>
        <w:rPr>
          <w:rFonts w:ascii="Aptos" w:hAnsi="Aptos"/>
          <w:sz w:val="21"/>
        </w:rPr>
        <w:t>A command explicitly invoked with --json should never silently insert human decoration into that JSON stream.</w:t>
      </w:r>
    </w:p>
    <w:p>
      <w:pPr>
        <w:pStyle w:val="CodeBlock"/>
      </w:pPr>
      <w:r>
        <w:rPr>
          <w:rFonts w:ascii="Consolas" w:hAnsi="Consolas"/>
          <w:sz w:val="18"/>
        </w:rPr>
        <w:t># Automation</w:t>
      </w:r>
      <w:r>
        <w:br/>
      </w:r>
      <w:r>
        <w:rPr>
          <w:rFonts w:ascii="Consolas" w:hAnsi="Consolas"/>
          <w:sz w:val="18"/>
        </w:rPr>
        <w:t>cogni dataforge dataset show &lt;dataset-id&gt; --json | jq '.accepted_count'</w:t>
      </w:r>
      <w:r>
        <w:br/>
      </w:r>
      <w:r>
        <w:rPr>
          <w:rFonts w:ascii="Consolas" w:hAnsi="Consolas"/>
          <w:sz w:val="18"/>
        </w:rPr>
      </w:r>
      <w:r>
        <w:br/>
      </w:r>
      <w:r>
        <w:rPr>
          <w:rFonts w:ascii="Consolas" w:hAnsi="Consolas"/>
          <w:sz w:val="18"/>
        </w:rPr>
        <w:t># Human use</w:t>
      </w:r>
      <w:r>
        <w:br/>
      </w:r>
      <w:r>
        <w:rPr>
          <w:rFonts w:ascii="Consolas" w:hAnsi="Consolas"/>
          <w:sz w:val="18"/>
        </w:rPr>
        <w:t>cogni dataforge dataset show &lt;dataset-id&gt;</w:t>
      </w:r>
      <w:r>
        <w:br/>
      </w:r>
      <w:r>
        <w:rPr>
          <w:rFonts w:ascii="Consolas" w:hAnsi="Consolas"/>
          <w:sz w:val="18"/>
        </w:rPr>
      </w:r>
      <w:r>
        <w:br/>
      </w:r>
      <w:r>
        <w:rPr>
          <w:rFonts w:ascii="Consolas" w:hAnsi="Consolas"/>
          <w:sz w:val="18"/>
        </w:rPr>
        <w:t># Save exact result while still seeing progress for a long command</w:t>
      </w:r>
      <w:r>
        <w:br/>
      </w:r>
      <w:r>
        <w:rPr>
          <w:rFonts w:ascii="Consolas" w:hAnsi="Consolas"/>
          <w:sz w:val="18"/>
        </w:rPr>
        <w:t>cogni dataforge build ... --json &gt; result.json</w:t>
      </w:r>
    </w:p>
    <w:p>
      <w:pPr>
        <w:pStyle w:val="Heading2"/>
        <w:keepNext/>
      </w:pPr>
      <w:r>
        <w:t>5.4 TTY detection versus explicit formats</w:t>
      </w:r>
    </w:p>
    <w:p>
      <w:r>
        <w:rPr>
          <w:rFonts w:ascii="Aptos" w:hAnsi="Aptos"/>
          <w:sz w:val="21"/>
        </w:rPr>
        <w:t>TTY detection can improve rendering, but explicit format flags should remain authoritative. Silent changes in data shape merely because stdout is piped can break scripts. Recommended principle: default pretty for ordinary interactive use, explicit --json/--jsonl for automation, and avoid clever format changes that make the same command unpredictably change schema.</w:t>
      </w:r>
    </w:p>
    <w:p>
      <w:pPr>
        <w:pStyle w:val="Heading2"/>
        <w:keepNext/>
      </w:pPr>
      <w:r>
        <w:t>5.5 Shared renderer, not four different formatting systems</w:t>
      </w:r>
    </w:p>
    <w:p>
      <w:pPr>
        <w:pStyle w:val="ListBullet"/>
        <w:spacing w:after="40"/>
      </w:pPr>
      <w:r>
        <w:rPr>
          <w:rFonts w:ascii="Aptos" w:hAnsi="Aptos"/>
          <w:sz w:val="21"/>
        </w:rPr>
        <w:t>The common application CLI layer should provide table/detail/tree/JSON/JSONL rendering helpers.</w:t>
      </w:r>
    </w:p>
    <w:p>
      <w:pPr>
        <w:pStyle w:val="ListBullet"/>
        <w:spacing w:after="40"/>
      </w:pPr>
      <w:r>
        <w:rPr>
          <w:rFonts w:ascii="Aptos" w:hAnsi="Aptos"/>
          <w:sz w:val="21"/>
        </w:rPr>
        <w:t>Domain components should return typed/structured results and should not embed terminal formatting into core business methods.</w:t>
      </w:r>
    </w:p>
    <w:p>
      <w:pPr>
        <w:pStyle w:val="ListBullet"/>
        <w:spacing w:after="40"/>
      </w:pPr>
      <w:r>
        <w:rPr>
          <w:rFonts w:ascii="Aptos" w:hAnsi="Aptos"/>
          <w:sz w:val="21"/>
        </w:rPr>
        <w:t>Component CLIs may reuse the same renderer package/helpers where practical so output conventions remain recognizable.</w:t>
      </w:r>
    </w:p>
    <w:p>
      <w:pPr>
        <w:pStyle w:val="ListBullet"/>
        <w:spacing w:after="40"/>
      </w:pPr>
      <w:r>
        <w:rPr>
          <w:rFonts w:ascii="Aptos" w:hAnsi="Aptos"/>
          <w:sz w:val="21"/>
        </w:rPr>
        <w:t>Errors should have a consistent shape and exit-code policy across cogni subcommands.</w:t>
      </w:r>
    </w:p>
    <w:p>
      <w:pPr>
        <w:pStyle w:val="Heading1"/>
        <w:keepNext/>
      </w:pPr>
      <w:r>
        <w:t>6. Cross-Cutting Principles Across the Four Issues</w:t>
      </w:r>
    </w:p>
    <w:p>
      <w:pPr>
        <w:pStyle w:val="ListNumber"/>
        <w:spacing w:after="60"/>
      </w:pPr>
      <w:r>
        <w:rPr>
          <w:rFonts w:ascii="Aptos" w:hAnsi="Aptos"/>
          <w:sz w:val="21"/>
        </w:rPr>
        <w:t>Human-friendly handles and immutable machine manifests are complementary. Do not trade reproducibility for convenience.</w:t>
      </w:r>
    </w:p>
    <w:p>
      <w:pPr>
        <w:pStyle w:val="ListNumber"/>
        <w:spacing w:after="60"/>
      </w:pPr>
      <w:r>
        <w:rPr>
          <w:rFonts w:ascii="Aptos" w:hAnsi="Aptos"/>
          <w:sz w:val="21"/>
        </w:rPr>
        <w:t>Resolve convenience references only at submission time, then freeze exact IDs, versions, hashes and URIs in lineage.</w:t>
      </w:r>
    </w:p>
    <w:p>
      <w:pPr>
        <w:pStyle w:val="ListNumber"/>
        <w:spacing w:after="60"/>
      </w:pPr>
      <w:r>
        <w:rPr>
          <w:rFonts w:ascii="Aptos" w:hAnsi="Aptos"/>
          <w:sz w:val="21"/>
        </w:rPr>
        <w:t>Keep component ownership intact. A unified CLI is a composition layer, not a reason to centralize all domain logic in the SDK.</w:t>
      </w:r>
    </w:p>
    <w:p>
      <w:pPr>
        <w:pStyle w:val="ListNumber"/>
        <w:spacing w:after="60"/>
      </w:pPr>
      <w:r>
        <w:rPr>
          <w:rFonts w:ascii="Aptos" w:hAnsi="Aptos"/>
          <w:sz w:val="21"/>
        </w:rPr>
        <w:t>Prefer additive compatibility. Make the normal path obvious and move legacy/expert forms out of the primary narrative.</w:t>
      </w:r>
    </w:p>
    <w:p>
      <w:pPr>
        <w:pStyle w:val="ListNumber"/>
        <w:spacing w:after="60"/>
      </w:pPr>
      <w:r>
        <w:rPr>
          <w:rFonts w:ascii="Aptos" w:hAnsi="Aptos"/>
          <w:sz w:val="21"/>
        </w:rPr>
        <w:t>Authorization and ResourceContext apply to every friendly resolver; convenient IDs must never bypass ownership boundaries.</w:t>
      </w:r>
    </w:p>
    <w:p>
      <w:pPr>
        <w:pStyle w:val="ListNumber"/>
        <w:spacing w:after="60"/>
      </w:pPr>
      <w:r>
        <w:rPr>
          <w:rFonts w:ascii="Aptos" w:hAnsi="Aptos"/>
          <w:sz w:val="21"/>
        </w:rPr>
        <w:t>Storage URIs are good cross-component machine addresses but poor primary human handles. Physical paths are even lower-level and should remain backend/operator details.</w:t>
      </w:r>
    </w:p>
    <w:p>
      <w:pPr>
        <w:pStyle w:val="ListNumber"/>
        <w:spacing w:after="60"/>
      </w:pPr>
      <w:r>
        <w:rPr>
          <w:rFonts w:ascii="Aptos" w:hAnsi="Aptos"/>
          <w:sz w:val="21"/>
        </w:rPr>
        <w:t>The same CLI conventions should carry through Ingest, DataForge, Training, Evaluation and later Cognityx components.</w:t>
      </w:r>
    </w:p>
    <w:p>
      <w:pPr>
        <w:pStyle w:val="Heading1"/>
        <w:keepNext/>
      </w:pPr>
      <w:r>
        <w:t>7. Suggested Acceptance Criteria for a Later Implementation Plan</w:t>
      </w:r>
    </w:p>
    <w:p>
      <w:pPr>
        <w:pStyle w:val="ListBullet"/>
        <w:spacing w:after="40"/>
      </w:pPr>
      <w:r>
        <w:rPr>
          <w:rFonts w:ascii="Aptos" w:hAnsi="Aptos"/>
          <w:sz w:val="21"/>
        </w:rPr>
        <w:t>A new user can follow one documented sequence from a PDF to an ingest result, a DataForge dataset and a small training run without constructing a storage:// URI manually.</w:t>
      </w:r>
    </w:p>
    <w:p>
      <w:pPr>
        <w:pStyle w:val="ListBullet"/>
        <w:spacing w:after="40"/>
      </w:pPr>
      <w:r>
        <w:rPr>
          <w:rFonts w:ascii="Aptos" w:hAnsi="Aptos"/>
          <w:sz w:val="21"/>
        </w:rPr>
        <w:t>DataForge build accepts at least document/run handles in the first implementation slice; asset/bundle resolution can be phased if necessary but must fit the same resolver contract.</w:t>
      </w:r>
    </w:p>
    <w:p>
      <w:pPr>
        <w:pStyle w:val="ListBullet"/>
        <w:spacing w:after="40"/>
      </w:pPr>
      <w:r>
        <w:rPr>
          <w:rFonts w:ascii="Aptos" w:hAnsi="Aptos"/>
          <w:sz w:val="21"/>
        </w:rPr>
        <w:t>Every convenience resolution persists the exact selected ingest run/document artifact references in the DataForge input-selection lineage.</w:t>
      </w:r>
    </w:p>
    <w:p>
      <w:pPr>
        <w:pStyle w:val="ListBullet"/>
        <w:spacing w:after="40"/>
      </w:pPr>
      <w:r>
        <w:rPr>
          <w:rFonts w:ascii="Aptos" w:hAnsi="Aptos"/>
          <w:sz w:val="21"/>
        </w:rPr>
        <w:t>dataset show/export work by dataset_id and still verify the authoritative immutable manifest/checksums.</w:t>
      </w:r>
    </w:p>
    <w:p>
      <w:pPr>
        <w:pStyle w:val="ListBullet"/>
        <w:spacing w:after="40"/>
      </w:pPr>
      <w:r>
        <w:rPr>
          <w:rFonts w:ascii="Aptos" w:hAnsi="Aptos"/>
          <w:sz w:val="21"/>
        </w:rPr>
        <w:t>DataForge generated artifacts are discoverable through a closed dataset artifact facade rather than manual URI spelunking.</w:t>
      </w:r>
    </w:p>
    <w:p>
      <w:pPr>
        <w:pStyle w:val="ListBullet"/>
        <w:spacing w:after="40"/>
      </w:pPr>
      <w:r>
        <w:rPr>
          <w:rFonts w:ascii="Aptos" w:hAnsi="Aptos"/>
          <w:sz w:val="21"/>
        </w:rPr>
        <w:t>cogni exposes the normal DataForge and Training journey while component CLIs continue to work.</w:t>
      </w:r>
    </w:p>
    <w:p>
      <w:pPr>
        <w:pStyle w:val="ListBullet"/>
        <w:spacing w:after="40"/>
      </w:pPr>
      <w:r>
        <w:rPr>
          <w:rFonts w:ascii="Aptos" w:hAnsi="Aptos"/>
          <w:sz w:val="21"/>
        </w:rPr>
        <w:t>Normal terminal commands are readable without jq; --json provides the complete stable payload for scripts.</w:t>
      </w:r>
    </w:p>
    <w:p>
      <w:pPr>
        <w:pStyle w:val="ListBullet"/>
        <w:spacing w:after="40"/>
      </w:pPr>
      <w:r>
        <w:rPr>
          <w:rFonts w:ascii="Aptos" w:hAnsi="Aptos"/>
          <w:sz w:val="21"/>
        </w:rPr>
        <w:t>No implementation weakens current authorization, manifest integrity, checksum validation or component boundaries merely to simplify the CLI.</w:t>
      </w:r>
    </w:p>
    <w:p>
      <w:pPr>
        <w:pStyle w:val="Heading1"/>
        <w:keepNext/>
      </w:pPr>
      <w:r>
        <w:t>8. Deferred / Separate Workstreams</w:t>
      </w:r>
    </w:p>
    <w:p>
      <w:r>
        <w:rPr>
          <w:rFonts w:ascii="Aptos" w:hAnsi="Aptos"/>
          <w:sz w:val="21"/>
        </w:rPr>
        <w:t>The following topics were intentionally removed from this document to keep the next CLI discussion focused:</w:t>
      </w:r>
    </w:p>
    <w:p>
      <w:pPr>
        <w:pStyle w:val="ListBullet"/>
        <w:spacing w:after="40"/>
      </w:pPr>
      <w:r>
        <w:rPr>
          <w:rFonts w:ascii="Aptos" w:hAnsi="Aptos"/>
          <w:sz w:val="21"/>
        </w:rPr>
        <w:t>Configuration consistency and single-active-config-file semantics — retained in the separate P29/configuration workstream.</w:t>
      </w:r>
    </w:p>
    <w:p>
      <w:pPr>
        <w:pStyle w:val="ListBullet"/>
        <w:spacing w:after="40"/>
      </w:pPr>
      <w:r>
        <w:rPr>
          <w:rFonts w:ascii="Aptos" w:hAnsi="Aptos"/>
          <w:sz w:val="21"/>
        </w:rPr>
        <w:t>Jobs, events, live progress, asynchronous execution, scheduling, priority/resource control, GPU telemetry, CloudEvents/OpenTelemetry and backend-neutral worker/event architecture — retained in cognityx-job_event_thought.docx.</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Cognityx — Global &amp; DataForge CLI Issues | Working Thought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75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527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C4C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75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360" w:right="216"/>
      <w:shd w:fill="F4F6F8"/>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