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8"/>
          <w:sz w:val="48"/>
        </w:rPr>
        <w:t>Cognityx Ingest</w:t>
      </w:r>
    </w:p>
    <w:p>
      <w:pPr>
        <w:jc w:val="center"/>
      </w:pPr>
      <w:r>
        <w:rPr>
          <w:b/>
          <w:color w:val="2F75B5"/>
          <w:sz w:val="38"/>
        </w:rPr>
        <w:t>Provenance Test Objectives and Fixture Recipe</w:t>
      </w:r>
    </w:p>
    <w:p>
      <w:pPr>
        <w:spacing w:before="280"/>
        <w:jc w:val="center"/>
      </w:pPr>
      <w:r>
        <w:rPr>
          <w:i/>
          <w:sz w:val="22"/>
        </w:rPr>
        <w:t>A test-first specification for document structure, provenance, relations, parser plugins, and DataForge handoff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Draft for architecture review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Primary fixture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Lunavane synthetic policy — enhanced test edition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Target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cognityx-ingest and cognityx-sdk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 August 2026</w:t>
            </w:r>
          </w:p>
        </w:tc>
      </w:tr>
    </w:tbl>
    <w:p/>
    <w:p>
      <w:pPr>
        <w:pStyle w:val="Callout"/>
        <w:jc w:val="center"/>
      </w:pPr>
      <w:r>
        <w:t>Principle: define the expected truth first; then require every implementation to pass the same objectives.</w:t>
      </w:r>
    </w:p>
    <w:p>
      <w:r>
        <w:br w:type="page"/>
      </w:r>
    </w:p>
    <w:p>
      <w:pPr>
        <w:pStyle w:val="Heading1"/>
      </w:pPr>
      <w:r>
        <w:t>1. Agreement and testing strategy</w:t>
      </w:r>
    </w:p>
    <w:p>
      <w:r>
        <w:t>Yes. This is the correct next step. The fixture and its machine-readable ground truth must be defined before Codex writes or changes tests. Tests must verify user-visible provenance outcomes, not mirror the current implementation.</w:t>
      </w:r>
    </w:p>
    <w:p>
      <w:pPr>
        <w:pStyle w:val="ListBullet"/>
        <w:spacing w:after="40"/>
        <w:ind w:left="360"/>
      </w:pPr>
      <w:r>
        <w:rPr>
          <w:sz w:val="18"/>
        </w:rPr>
        <w:t>The test fixture defines what is true in the source document.</w:t>
      </w:r>
    </w:p>
    <w:p>
      <w:pPr>
        <w:pStyle w:val="ListBullet"/>
        <w:spacing w:after="40"/>
        <w:ind w:left="360"/>
      </w:pPr>
      <w:r>
        <w:rPr>
          <w:sz w:val="18"/>
        </w:rPr>
        <w:t>The ground-truth file defines the exact expected pages, sections, objects, and relations.</w:t>
      </w:r>
    </w:p>
    <w:p>
      <w:pPr>
        <w:pStyle w:val="ListBullet"/>
        <w:spacing w:after="40"/>
        <w:ind w:left="360"/>
      </w:pPr>
      <w:r>
        <w:rPr>
          <w:sz w:val="18"/>
        </w:rPr>
        <w:t>The code may use Docling, PyMuPDF, deterministic rules, or bounded inference, but the canonical result must satisfy the same objectives.</w:t>
      </w:r>
    </w:p>
    <w:p>
      <w:pPr>
        <w:pStyle w:val="ListBullet"/>
        <w:spacing w:after="40"/>
        <w:ind w:left="360"/>
      </w:pPr>
      <w:r>
        <w:rPr>
          <w:sz w:val="18"/>
        </w:rPr>
        <w:t>Backend-specific capability tests are separate from canonical acceptance tests.</w:t>
      </w:r>
    </w:p>
    <w:p>
      <w:pPr>
        <w:pStyle w:val="ListBullet"/>
        <w:spacing w:after="40"/>
        <w:ind w:left="360"/>
      </w:pPr>
      <w:r>
        <w:rPr>
          <w:sz w:val="18"/>
        </w:rPr>
        <w:t>An unresolved result is acceptable only where the fixture deliberately creates ambiguity; silent omission is not acceptable.</w:t>
      </w:r>
    </w:p>
    <w:p>
      <w:pPr>
        <w:pStyle w:val="Heading2"/>
      </w:pPr>
      <w:r>
        <w:t>Acceptance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Minimum expectation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L0 — Source truth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Exact bytes and page observations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Asset ID, SHA-256, page indexes, exact extracted text</w:t>
            </w:r>
          </w:p>
        </w:tc>
      </w:tr>
      <w:tr>
        <w:tc>
          <w:tcPr>
            <w:tcW w:type="dxa" w:w="172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L1 — Deterministic structure</w:t>
            </w:r>
          </w:p>
        </w:tc>
        <w:tc>
          <w:tcPr>
            <w:tcW w:type="dxa" w:w="36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Repeatable layout and rule-based results</w:t>
            </w:r>
          </w:p>
        </w:tc>
        <w:tc>
          <w:tcPr>
            <w:tcW w:type="dxa" w:w="518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Blocks, headings, section spans, native links, printed page labels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L2 — Hybrid relations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Semantic or ambiguous relations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Bounded proposal, deterministic validation, confidence, unresolved state</w:t>
            </w:r>
          </w:p>
        </w:tc>
      </w:tr>
      <w:tr>
        <w:tc>
          <w:tcPr>
            <w:tcW w:type="dxa" w:w="172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L3 — Research gold</w:t>
            </w:r>
          </w:p>
        </w:tc>
        <w:tc>
          <w:tcPr>
            <w:tcW w:type="dxa" w:w="36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Human-verified truth</w:t>
            </w:r>
          </w:p>
        </w:tc>
        <w:tc>
          <w:tcPr>
            <w:tcW w:type="dxa" w:w="518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Approved evaluation set; no weak or inferred label treated as final truth</w:t>
            </w:r>
          </w:p>
        </w:tc>
      </w:tr>
    </w:tbl>
    <w:p>
      <w:pPr>
        <w:spacing w:after="0"/>
      </w:pPr>
    </w:p>
    <w:p>
      <w:pPr>
        <w:pStyle w:val="Heading1"/>
      </w:pPr>
      <w:r>
        <w:t>2. Required fixture package</w:t>
      </w:r>
    </w:p>
    <w:p>
      <w:r>
        <w:t>Create a versioned fixture package independent of production code:</w:t>
      </w:r>
    </w:p>
    <w:p>
      <w:pPr>
        <w:pStyle w:val="IntenseQuote"/>
      </w:pPr>
      <w:r>
        <w:t>tests/fixtures/provenance_v1/</w:t>
        <w:br/>
        <w:t xml:space="preserve">  main_policy_v2.docx</w:t>
        <w:br/>
        <w:t xml:space="preserve">  main_policy_v2.pdf</w:t>
        <w:br/>
        <w:t xml:space="preserve">  related_travel_policy_v1.docx</w:t>
        <w:br/>
        <w:t xml:space="preserve">  related_travel_policy_v1.pdf</w:t>
        <w:br/>
        <w:t xml:space="preserve">  related_travel_policy_v2.docx</w:t>
        <w:br/>
        <w:t xml:space="preserve">  related_travel_policy_v2.pdf</w:t>
        <w:br/>
        <w:t xml:space="preserve">  mixed_scanned_native.pdf</w:t>
        <w:br/>
        <w:t xml:space="preserve">  assets/diagram.png</w:t>
        <w:br/>
        <w:t xml:space="preserve">  expected/ground_truth.json</w:t>
        <w:br/>
        <w:t xml:space="preserve">  expected/sha256sums.txt</w:t>
        <w:br/>
        <w:t xml:space="preserve">  README.md</w:t>
      </w:r>
    </w:p>
    <w:p>
      <w:r>
        <w:t>The DOCX files are the editable source fixtures. PDFs are generated once, visually checked, and frozen. The JSON ground truth is the authoritative oracle used by tests.</w:t>
      </w:r>
    </w:p>
    <w:p>
      <w:pPr>
        <w:pStyle w:val="Heading2"/>
      </w:pPr>
      <w:r>
        <w:t>Why several documents are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Fixture</w:t>
            </w:r>
          </w:p>
        </w:tc>
        <w:tc>
          <w:tcPr>
            <w:tcW w:type="dxa" w:w="748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main_policy_v2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Sections, subsections, page labels, cross-page spans, tables, figures, appendices, internal references</w:t>
            </w:r>
          </w:p>
        </w:tc>
      </w:tr>
      <w:tr>
        <w:tc>
          <w:tcPr>
            <w:tcW w:type="dxa" w:w="316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related_travel_policy_v1</w:t>
            </w:r>
          </w:p>
        </w:tc>
        <w:tc>
          <w:tcPr>
            <w:tcW w:type="dxa" w:w="748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Resolvable cross-document reference and historical version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related_travel_policy_v2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Version/supersedes relation and changed section target</w:t>
            </w:r>
          </w:p>
        </w:tc>
      </w:tr>
      <w:tr>
        <w:tc>
          <w:tcPr>
            <w:tcW w:type="dxa" w:w="316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mixed_scanned_native</w:t>
            </w:r>
          </w:p>
        </w:tc>
        <w:tc>
          <w:tcPr>
            <w:tcW w:type="dxa" w:w="748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OCR routing, mixed extraction, and no loss of page identity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same bytes under aliases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Physical deduplication without loss of logical filenames and bundle occurrences</w:t>
            </w:r>
          </w:p>
        </w:tc>
      </w:tr>
    </w:tbl>
    <w:p>
      <w:pPr>
        <w:spacing w:after="0"/>
      </w:pPr>
    </w:p>
    <w:p>
      <w:pPr>
        <w:pStyle w:val="Heading1"/>
      </w:pPr>
      <w:r>
        <w:t>3. Main fixture recipe</w:t>
      </w:r>
    </w:p>
    <w:p>
      <w:r>
        <w:t>Enhance the existing Lunavane policy rather than replacing its fictional rules. The revised document must deliberately contain every provenance condition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8352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construction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Document identity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Visible document ID, title, version, effective date, canonical filename, revision, classification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Page systems</w:t>
            </w:r>
          </w:p>
        </w:tc>
        <w:tc>
          <w:tcPr>
            <w:tcW w:type="dxa" w:w="835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Roman-numbered front matter; Arabic body pages; one appendix page labelled A-1; visible footer labels different from physical PDF indexes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Same-page boundaries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Two top-level sections on one physical page and several subsections on one page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Cross-page section</w:t>
            </w:r>
          </w:p>
        </w:tc>
        <w:tc>
          <w:tcPr>
            <w:tcW w:type="dxa" w:w="835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One subsection starts near the bottom of a page and continues for at least two pages before the next heading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False continuation control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 page ends with a complete paragraph and the next page begins a new section; must not be linked as continuation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Cross-page table</w:t>
            </w:r>
          </w:p>
        </w:tc>
        <w:tc>
          <w:tcPr>
            <w:tcW w:type="dxa" w:w="835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Captioned table spans two pages with repeated header row and one merged cell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Figure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One diagram with caption; body text says 'see Figure 2' and later 'the diagram above'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Footnote</w:t>
            </w:r>
          </w:p>
        </w:tc>
        <w:tc>
          <w:tcPr>
            <w:tcW w:type="dxa" w:w="835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 subsection contains a numbered footnote that changes an exception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Internal references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Exact Section 7.2, plural Sections 7.2 and 11.3, page reference, Appendix C, 'above', and 'below'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Appendix relations</w:t>
            </w:r>
          </w:p>
        </w:tc>
        <w:tc>
          <w:tcPr>
            <w:tcW w:type="dxa" w:w="835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Appendix index points back to many sections; main section points forward to an appendix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URLs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One embedded hyperlink and one plain-text URL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Cross-document</w:t>
            </w:r>
          </w:p>
        </w:tc>
        <w:tc>
          <w:tcPr>
            <w:tcW w:type="dxa" w:w="835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Reference related travel policy by title, version, section, and document 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Unresolved reference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Reference a fictional document that is intentionally absent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Ambiguous reference</w:t>
            </w:r>
          </w:p>
        </w:tc>
        <w:tc>
          <w:tcPr>
            <w:tcW w:type="dxa" w:w="835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Use 'the relevant travel rule' where two candidate sections exist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Version relation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State that related_travel_policy_v2 supersedes v1 while retaining the same policy family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Header/footer noise</w:t>
            </w:r>
          </w:p>
        </w:tc>
        <w:tc>
          <w:tcPr>
            <w:tcW w:type="dxa" w:w="8352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Repeated company header, confidentiality footer, and printed page label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Object-rich page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One page contains heading, paragraph, list, table, figure, caption, and footnote</w:t>
            </w:r>
          </w:p>
        </w:tc>
      </w:tr>
    </w:tbl>
    <w:p>
      <w:pPr>
        <w:spacing w:after="0"/>
      </w:pPr>
    </w:p>
    <w:p>
      <w:pPr>
        <w:pStyle w:val="Heading2"/>
      </w:pPr>
      <w:r>
        <w:t>Ground-truth authoring rules</w:t>
      </w:r>
    </w:p>
    <w:p>
      <w:pPr>
        <w:pStyle w:val="ListNumber"/>
        <w:spacing w:after="40"/>
      </w:pPr>
      <w:r>
        <w:rPr>
          <w:sz w:val="18"/>
        </w:rPr>
        <w:t>Assign stable fixture IDs to every expected document, page, section, object, and relation.</w:t>
      </w:r>
    </w:p>
    <w:p>
      <w:pPr>
        <w:pStyle w:val="ListNumber"/>
        <w:spacing w:after="40"/>
      </w:pPr>
      <w:r>
        <w:rPr>
          <w:sz w:val="18"/>
        </w:rPr>
        <w:t>Record exact start and end anchors for every section using physical page index plus block ordinal.</w:t>
      </w:r>
    </w:p>
    <w:p>
      <w:pPr>
        <w:pStyle w:val="ListNumber"/>
        <w:spacing w:after="40"/>
      </w:pPr>
      <w:r>
        <w:rPr>
          <w:sz w:val="18"/>
        </w:rPr>
        <w:t>Record both physical page index and visible printed page label.</w:t>
      </w:r>
    </w:p>
    <w:p>
      <w:pPr>
        <w:pStyle w:val="ListNumber"/>
        <w:spacing w:after="40"/>
      </w:pPr>
      <w:r>
        <w:rPr>
          <w:sz w:val="18"/>
        </w:rPr>
        <w:t>Record literal reference text and its intended target.</w:t>
      </w:r>
    </w:p>
    <w:p>
      <w:pPr>
        <w:pStyle w:val="ListNumber"/>
        <w:spacing w:after="40"/>
      </w:pPr>
      <w:r>
        <w:rPr>
          <w:sz w:val="18"/>
        </w:rPr>
        <w:t>Mark each expected relation as observed, deterministic, semantic, ambiguous, or intentionally unresolved.</w:t>
      </w:r>
    </w:p>
    <w:p>
      <w:pPr>
        <w:pStyle w:val="ListNumber"/>
        <w:spacing w:after="40"/>
      </w:pPr>
      <w:r>
        <w:rPr>
          <w:sz w:val="18"/>
        </w:rPr>
        <w:t>Freeze SHA-256 values after the PDF files are approved; tests must fail if fixture bytes change silently.</w:t>
      </w:r>
    </w:p>
    <w:p>
      <w:pPr>
        <w:pStyle w:val="Heading1"/>
      </w:pPr>
      <w:r>
        <w:t>4. Canonical provenance test objectives</w:t>
      </w:r>
    </w:p>
    <w:p>
      <w:r>
        <w:t>These tests are implementation-independent. They verify the canonical output, not a specific parser’s private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720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Exact source identity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SHA-256 and SourceAsset point to the frozen PDF bytes; re-ingest preserves source lineage.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P-02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Logical occurrence identity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Same bytes under different names/bundles reuse physical Blob but retain every logical occurrence and alias.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Physical page identity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PDF page has a stable zero-based physical index and one-based sequence number.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P-04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Printed page identity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Visible Roman, Arabic, and appendix labels are captured separately from physical index.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Header/footer handling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Repeated headers/footers are identified without being merged into body section text.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P-06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Block reading order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Heading, paragraph, list, table, figure, caption, and footnote blocks appear in correct reading order.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P-07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Section hierarchy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Top-level and nested section numbers, titles, parents, and paths are correct.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P-08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Same-page section boundaries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Two sections on one page have distinct exact start/end block anchors.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Cross-page section span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 section beginning on one page and ending two pages later has the correct complete span.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P-10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Continuation relation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True continuation is recorded; the deliberately complete page break is not falsely linked.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Table structure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Rows, columns, cells, caption, page anchors, and section ownership are preserved.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P-12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Cross-page table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 multi-page table remains one logical table with page-part relations.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Figure and caption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Figure, caption, bounding page, and text-to-figure references resolve correctly.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P-14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Footnote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Footnote text, marker, source anchor, and governing subsection relation are preserved.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Exact section reference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Literal 'Section 7.2' resolves to the canonical section anchor.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P-16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Multiple section reference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One phrase referring to Sections 7.2 and 11.3 creates two validated relations.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P-17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Appendix reference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Forward and reverse appendix links resolve to canonical anchors.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P-18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Page reference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 printed-page reference resolves using the printed label, not physical index alone.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P-19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Native hyperlink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Embedded internal and external links preserve source rectangle/text and target.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P-20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Plain URL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Visible non-embedded URL is detected and stored as a URL relation.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Cross-document reference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Document title/version/section resolves to the correct related SourceAsset and section.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P-22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Version relationship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Supersedes/superseded-by relation is represented without losing old-version provenance.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Unresolved reference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Missing target is emitted as unresolved with literal text and reason; never silently dropped.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P-24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Ambiguous reference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Multiple plausible targets produce an ambiguity task, not an arbitrary resolution.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Decision trace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Every parser/rule/model selection records considered tools, invoked tools, reason, method, and confidence.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P-26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Inference safety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Model-proposed nonexistent anchors or disallowed relation types are rejected and retained as failed decisions.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P-27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Canonical artifact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provenance.json contains documents, pages, blocks, sections, objects, evidence, relations, decisions, and unresolved items.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P-28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DataForge handoff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DataForge can consume provenance.json without reopening the PDF and retains all source anchor IDs.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P-29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Reproducibility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Same bytes, configuration, parser versions, and model settings produce equivalent canonical structure and decision identity.</w:t>
            </w:r>
          </w:p>
        </w:tc>
      </w:tr>
      <w:tr>
        <w:tc>
          <w:tcPr>
            <w:tcW w:type="dxa" w:w="93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P-30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Backward compatibility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Stored v1 documents remain readable; new v2 output is not silently downgraded.</w:t>
            </w:r>
          </w:p>
        </w:tc>
      </w:tr>
    </w:tbl>
    <w:p>
      <w:pPr>
        <w:spacing w:after="0"/>
      </w:pPr>
    </w:p>
    <w:p>
      <w:pPr>
        <w:pStyle w:val="Heading1"/>
      </w:pPr>
      <w:r>
        <w:t>5. Parser and policy test objectives</w:t>
      </w:r>
    </w:p>
    <w:p>
      <w:r>
        <w:t>Do not require every backend to provide the same richness. Test each backend’s declared capability, then test the canonical rich profile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864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test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Basic / fixed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Must produce exact source, page, page text, evidence, and honest absence of richer claims.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PyMuPDF / fixed</w:t>
            </w:r>
          </w:p>
        </w:tc>
        <w:tc>
          <w:tcPr>
            <w:tcW w:type="dxa" w:w="864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Must add native page labels, blocks, outlines, hyperlinks, annotations, and native object facts when present.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Docling / fixed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Must add richer block types, reading order, headings, section candidates, tables, figures, and captions when present.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Fallback</w:t>
            </w:r>
          </w:p>
        </w:tc>
        <w:tc>
          <w:tcPr>
            <w:tcW w:type="dxa" w:w="864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Must attempt configured backends in order, record each failure, and select first successful backend.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Rule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Must select only from approved backends using recorded measurable conditions.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Compare</w:t>
            </w:r>
          </w:p>
        </w:tc>
        <w:tc>
          <w:tcPr>
            <w:tcW w:type="dxa" w:w="864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Must run all available candidates, retain candidate decision evidence, and select by documented scoring.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Agent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May select only from allowlist; proposal is bounded, recorded, and validated.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Rich canonical profile</w:t>
            </w:r>
          </w:p>
        </w:tc>
        <w:tc>
          <w:tcPr>
            <w:tcW w:type="dxa" w:w="864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Must combine or otherwise preserve required complementary facts so no selected-backend choice discards required native or structural evidence.</w:t>
            </w:r>
          </w:p>
        </w:tc>
      </w:tr>
    </w:tbl>
    <w:p>
      <w:pPr>
        <w:spacing w:after="0"/>
      </w:pPr>
    </w:p>
    <w:p>
      <w:pPr>
        <w:pStyle w:val="Callout"/>
      </w:pPr>
      <w:r>
        <w:t>Critical acceptance decision: the rich canonical profile must not lose PyMuPDF-native facts when Docling supplies the section structure. Whether implemented as fusion or a multi-source canonical graph is an implementation choice; preserving both is the test objective.</w:t>
      </w:r>
    </w:p>
    <w:p>
      <w:pPr>
        <w:pStyle w:val="Heading1"/>
      </w:pPr>
      <w:r>
        <w:t>6. Deterministic and model-assisted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5904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method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Exact numbered section reference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Deterministic pattern detection and exact target lookup</w:t>
            </w:r>
          </w:p>
        </w:tc>
      </w:tr>
      <w:tr>
        <w:tc>
          <w:tcPr>
            <w:tcW w:type="dxa" w:w="489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Printed footer page label</w:t>
            </w:r>
          </w:p>
        </w:tc>
        <w:tc>
          <w:tcPr>
            <w:tcW w:type="dxa" w:w="590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Deterministic header/footer analysis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Native PDF hyperlink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Observed native PDF fact</w:t>
            </w:r>
          </w:p>
        </w:tc>
      </w:tr>
      <w:tr>
        <w:tc>
          <w:tcPr>
            <w:tcW w:type="dxa" w:w="489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Section hierarchy 7 → 7.2</w:t>
            </w:r>
          </w:p>
        </w:tc>
        <w:tc>
          <w:tcPr>
            <w:tcW w:type="dxa" w:w="590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Deterministic numbering and heading hierarchy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Cross-page continuation with strong layout cues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Deterministic or parser-inferred, with confidence</w:t>
            </w:r>
          </w:p>
        </w:tc>
      </w:tr>
      <w:tr>
        <w:tc>
          <w:tcPr>
            <w:tcW w:type="dxa" w:w="489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'Relevant travel rule' with two candidates</w:t>
            </w:r>
          </w:p>
        </w:tc>
        <w:tc>
          <w:tcPr>
            <w:tcW w:type="dxa" w:w="590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Ambiguity task; optional bounded model proposal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Absent external document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Unresolved; model must not invent target</w:t>
            </w:r>
          </w:p>
        </w:tc>
      </w:tr>
      <w:tr>
        <w:tc>
          <w:tcPr>
            <w:tcW w:type="dxa" w:w="489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Model proposes fake section ID</w:t>
            </w:r>
          </w:p>
        </w:tc>
        <w:tc>
          <w:tcPr>
            <w:tcW w:type="dxa" w:w="590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Deterministic rejection</w:t>
            </w:r>
          </w:p>
        </w:tc>
      </w:tr>
    </w:tbl>
    <w:p>
      <w:pPr>
        <w:spacing w:after="0"/>
      </w:pPr>
    </w:p>
    <w:p>
      <w:r>
        <w:t>The deterministic workflow controls execution. A model may only receive explicit ambiguity tasks, propose an allowed target, and return structured output. Canonical validation remains authoritative.</w:t>
      </w:r>
    </w:p>
    <w:p>
      <w:pPr>
        <w:pStyle w:val="Heading1"/>
      </w:pPr>
      <w:r>
        <w:t>7. DataForge handoff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7056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D-01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Load handoff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DataForge loads provenance.json directly by URI.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D-02</w:t>
            </w:r>
          </w:p>
        </w:tc>
        <w:tc>
          <w:tcPr>
            <w:tcW w:type="dxa" w:w="302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Knowledge unit lineage</w:t>
            </w:r>
          </w:p>
        </w:tc>
        <w:tc>
          <w:tcPr>
            <w:tcW w:type="dxa" w:w="705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Every unit retains document, asset, SHA-256, section, page, block, and evidence IDs.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D-03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Relation expansion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 unit may include cited appendix/table/section evidence without re-parsing the PDF.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D-04</w:t>
            </w:r>
          </w:p>
        </w:tc>
        <w:tc>
          <w:tcPr>
            <w:tcW w:type="dxa" w:w="302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Reusable representation identity</w:t>
            </w:r>
          </w:p>
        </w:tc>
        <w:tc>
          <w:tcPr>
            <w:tcW w:type="dxa" w:w="705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Equivalent summary/question/provenance representation is reused by content hash, anchors, method, model, and config hash.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D-05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index coupling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Ingest output contains no vector-database-specific schema or embeddings.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D-06</w:t>
            </w:r>
          </w:p>
        </w:tc>
        <w:tc>
          <w:tcPr>
            <w:tcW w:type="dxa" w:w="3024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Unresolved safety</w:t>
            </w:r>
          </w:p>
        </w:tc>
        <w:tc>
          <w:tcPr>
            <w:tcW w:type="dxa" w:w="7056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Unresolved or weak relations are not promoted to gold training provenance.</w:t>
            </w:r>
          </w:p>
        </w:tc>
      </w:tr>
    </w:tbl>
    <w:p>
      <w:pPr>
        <w:spacing w:after="0"/>
      </w:pPr>
    </w:p>
    <w:p>
      <w:pPr>
        <w:pStyle w:val="Heading1"/>
      </w:pPr>
      <w:r>
        <w:t>8. Lifecycle, negative, and regression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792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behaviour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headings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Fallback section exists, but method states fallback and confidence does not imply rich detection.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Malformed heading numbering</w:t>
            </w:r>
          </w:p>
        </w:tc>
        <w:tc>
          <w:tcPr>
            <w:tcW w:type="dxa" w:w="792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Retain literal heading and ambiguity; do not fabricate hierarchy.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Duplicate section numbers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 not resolve name-only reference without disambiguation.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Broken hyperlink</w:t>
            </w:r>
          </w:p>
        </w:tc>
        <w:tc>
          <w:tcPr>
            <w:tcW w:type="dxa" w:w="792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Preserve literal link and mark unresolved/broken.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Encrypted or corrupt PDF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Fail safely with job failure and no partial authoritative document.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Missing optional parser</w:t>
            </w:r>
          </w:p>
        </w:tc>
        <w:tc>
          <w:tcPr>
            <w:tcW w:type="dxa" w:w="792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Fallback works when configured; fixed mode reports clear missing-extra error.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Document deletion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Removes generated document artifacts only; SourceAsset remains.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deletion</w:t>
            </w:r>
          </w:p>
        </w:tc>
        <w:tc>
          <w:tcPr>
            <w:tcW w:type="dxa" w:w="792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Removes run metadata only; document and SourceAsset remain.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Asset deletion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Logical deletion; physical Blob remains while referenced.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Blob cleanup</w:t>
            </w:r>
          </w:p>
        </w:tc>
        <w:tc>
          <w:tcPr>
            <w:tcW w:type="dxa" w:w="792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Deletes only unreferenced Blob after Storage revalidation.</w:t>
            </w:r>
          </w:p>
        </w:tc>
      </w:tr>
    </w:tbl>
    <w:p>
      <w:pPr>
        <w:spacing w:after="0"/>
      </w:pPr>
    </w:p>
    <w:p>
      <w:pPr>
        <w:pStyle w:val="Heading1"/>
      </w:pPr>
      <w:r>
        <w:t>9. Rules for Codex and test implementation</w:t>
      </w:r>
    </w:p>
    <w:p>
      <w:pPr>
        <w:pStyle w:val="ListBullet"/>
        <w:spacing w:after="40"/>
        <w:ind w:left="360"/>
      </w:pPr>
      <w:r>
        <w:rPr>
          <w:sz w:val="18"/>
        </w:rPr>
        <w:t>Write or freeze the fixture and ground_truth.json before changing production parsing logic.</w:t>
      </w:r>
    </w:p>
    <w:p>
      <w:pPr>
        <w:pStyle w:val="ListBullet"/>
        <w:spacing w:after="40"/>
        <w:ind w:left="360"/>
      </w:pPr>
      <w:r>
        <w:rPr>
          <w:sz w:val="18"/>
        </w:rPr>
        <w:t>Tests must assert canonical facts from ground truth, not entire JSON snapshots produced by the current code.</w:t>
      </w:r>
    </w:p>
    <w:p>
      <w:pPr>
        <w:pStyle w:val="ListBullet"/>
        <w:spacing w:after="40"/>
        <w:ind w:left="360"/>
      </w:pPr>
      <w:r>
        <w:rPr>
          <w:sz w:val="18"/>
        </w:rPr>
        <w:t>Keep parser-private output tests separate from canonical provenance tests.</w:t>
      </w:r>
    </w:p>
    <w:p>
      <w:pPr>
        <w:pStyle w:val="ListBullet"/>
        <w:spacing w:after="40"/>
        <w:ind w:left="360"/>
      </w:pPr>
      <w:r>
        <w:rPr>
          <w:sz w:val="18"/>
        </w:rPr>
        <w:t>Every expected relation must include literal source text and source/target anchors.</w:t>
      </w:r>
    </w:p>
    <w:p>
      <w:pPr>
        <w:pStyle w:val="ListBullet"/>
        <w:spacing w:after="40"/>
        <w:ind w:left="360"/>
      </w:pPr>
      <w:r>
        <w:rPr>
          <w:sz w:val="18"/>
        </w:rPr>
        <w:t>Test both positive and negative cases to prevent false relations.</w:t>
      </w:r>
    </w:p>
    <w:p>
      <w:pPr>
        <w:pStyle w:val="ListBullet"/>
        <w:spacing w:after="40"/>
        <w:ind w:left="360"/>
      </w:pPr>
      <w:r>
        <w:rPr>
          <w:sz w:val="18"/>
        </w:rPr>
        <w:t>Do not weaken an objective merely to match current implementation.</w:t>
      </w:r>
    </w:p>
    <w:p>
      <w:pPr>
        <w:pStyle w:val="ListBullet"/>
        <w:spacing w:after="40"/>
        <w:ind w:left="360"/>
      </w:pPr>
      <w:r>
        <w:rPr>
          <w:sz w:val="18"/>
        </w:rPr>
        <w:t>When a capability is intentionally deferred, mark the test xfail with a linked issue and explicit reason; do not silently omit it.</w:t>
      </w:r>
    </w:p>
    <w:p>
      <w:pPr>
        <w:pStyle w:val="ListBullet"/>
        <w:spacing w:after="40"/>
        <w:ind w:left="360"/>
      </w:pPr>
      <w:r>
        <w:rPr>
          <w:sz w:val="18"/>
        </w:rPr>
        <w:t>Run the same canonical acceptance suite across fixed, fallback, compare, and agent-assisted profiles where applicable.</w:t>
      </w:r>
    </w:p>
    <w:p>
      <w:pPr>
        <w:pStyle w:val="ListBullet"/>
        <w:spacing w:after="40"/>
        <w:ind w:left="360"/>
      </w:pPr>
      <w:r>
        <w:rPr>
          <w:sz w:val="18"/>
        </w:rPr>
        <w:t>Record parser/model versions and configuration hashes in test output for reproducibility.</w:t>
      </w:r>
    </w:p>
    <w:p>
      <w:pPr>
        <w:pStyle w:val="ListBullet"/>
        <w:spacing w:after="40"/>
        <w:ind w:left="360"/>
      </w:pPr>
      <w:r>
        <w:rPr>
          <w:sz w:val="18"/>
        </w:rPr>
        <w:t>CI must validate fixture SHA-256 values so test data cannot drift unnoticed.</w:t>
      </w:r>
    </w:p>
    <w:p>
      <w:pPr>
        <w:pStyle w:val="Heading1"/>
      </w:pPr>
      <w:r>
        <w:t>10. Recommended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920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Phase 1 — Fixture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Create enhanced DOCX/PDF set, render visually, freeze SHA-256, author ground_truth.json.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Phase 2 — Baseline</w:t>
            </w:r>
          </w:p>
        </w:tc>
        <w:tc>
          <w:tcPr>
            <w:tcW w:type="dxa" w:w="792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Make source/page/evidence identity tests pass with basic parser without false rich claims.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Phase 3 — Rich parsers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Pass Docling and PyMuPDF capability tests independently.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Phase 4 — Canonical rich profile</w:t>
            </w:r>
          </w:p>
        </w:tc>
        <w:tc>
          <w:tcPr>
            <w:tcW w:type="dxa" w:w="792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Preserve complementary section, object, native-link, and page-label facts in one canonical result.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Phase 5 — Relations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Pass deterministic section, appendix, URL, page, and cross-document reference tests.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Phase 6 — Hybrid ambiguity</w:t>
            </w:r>
          </w:p>
        </w:tc>
        <w:tc>
          <w:tcPr>
            <w:tcW w:type="dxa" w:w="7920"/>
            <w:shd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Add bounded model resolution and rejection tests for only the ambiguous cases.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Phase 7 — DataForge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Pass direct provenance handoff and reusable representation identity tests.</w:t>
            </w:r>
          </w:p>
        </w:tc>
      </w:tr>
    </w:tbl>
    <w:p>
      <w:pPr>
        <w:spacing w:after="0"/>
      </w:pPr>
    </w:p>
    <w:p>
      <w:pPr>
        <w:pStyle w:val="Heading2"/>
      </w:pPr>
      <w:r>
        <w:t>Definition of done</w:t>
      </w:r>
    </w:p>
    <w:p>
      <w:pPr>
        <w:pStyle w:val="Callout"/>
      </w:pPr>
      <w:r>
        <w:t>The implementation is ready for provenance-training research only when all mandatory canonical objectives pass against the frozen fixture, all unresolved cases are explicit, and DataForge can build training units without reopening the source PDF.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Test objectives first • implementation-independent • DataForge-ready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COGNITYX INGEST — PROVENANCE TEST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80"/>
      <w:ind w:left="288" w:right="288"/>
    </w:pPr>
    <w:rPr>
      <w:rFonts w:ascii="Aptos" w:hAnsi="Aptos"/>
      <w:b/>
      <w:color w:val="1F4E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