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7365D"/>
          <w:sz w:val="56"/>
        </w:rPr>
        <w:t>Cognityx Ingest v3.2</w:t>
      </w:r>
    </w:p>
    <w:p>
      <w:pPr>
        <w:jc w:val="center"/>
      </w:pPr>
      <w:r>
        <w:rPr>
          <w:rFonts w:ascii="Aptos Display" w:hAnsi="Aptos Display"/>
          <w:color w:val="1F4E78"/>
          <w:sz w:val="36"/>
        </w:rPr>
        <w:t>Parser-Neutral Document Intelligence,</w:t>
        <w:br/>
        <w:t>Adaptive Segmentation, Source Graph and Provenance-Address Roadmap</w:t>
      </w:r>
    </w:p>
    <w:p>
      <w:pPr>
        <w:spacing w:before="360"/>
        <w:jc w:val="center"/>
      </w:pPr>
      <w:r>
        <w:rPr>
          <w:b/>
          <w:sz w:val="22"/>
        </w:rPr>
        <w:t>Revised design baseline | 6 August 2026</w:t>
      </w:r>
    </w:p>
    <w:p>
      <w:pPr>
        <w:spacing w:before="480"/>
        <w:jc w:val="center"/>
      </w:pPr>
      <w:r>
        <w:rPr>
          <w:b/>
          <w:color w:val="365F91"/>
          <w:sz w:val="22"/>
        </w:rPr>
        <w:t>Scope of this revision</w:t>
      </w:r>
    </w:p>
    <w:p>
      <w:pPr>
        <w:ind w:left="1440" w:right="1440"/>
        <w:jc w:val="center"/>
      </w:pPr>
      <w:r>
        <w:t>• Docling as the initial primary document-intelligence engine without making Cognityx dependent on Docling.</w:t>
      </w:r>
    </w:p>
    <w:p>
      <w:pPr>
        <w:ind w:left="1440" w:right="1440"/>
        <w:jc w:val="center"/>
      </w:pPr>
      <w:r>
        <w:t>• Lossless parser-native preservation, generalized division-based abstraction, capability-driven routing and multi-parser fusion.</w:t>
      </w:r>
    </w:p>
    <w:p>
      <w:pPr>
        <w:ind w:left="1440" w:right="1440"/>
        <w:jc w:val="center"/>
      </w:pPr>
      <w:r>
        <w:t>• Adaptive multi-view segmentation over canonical content, without creating one universal or duplicated chunk set.</w:t>
      </w:r>
    </w:p>
    <w:p>
      <w:pPr>
        <w:ind w:left="1440" w:right="1440"/>
        <w:jc w:val="center"/>
      </w:pPr>
      <w:r>
        <w:t>• A clear separation between the canonical Source Graph, future semantic Knowledge Graph projections and query-time graph retrieval.</w:t>
      </w:r>
    </w:p>
    <w:p>
      <w:pPr>
        <w:ind w:left="1440" w:right="1440"/>
        <w:jc w:val="center"/>
      </w:pPr>
      <w:r>
        <w:t>• Stable provenance addresses and deterministic resolution as a current contract; model training to generate addresses remains future research.</w:t>
      </w:r>
    </w:p>
    <w:p>
      <w:pPr>
        <w:ind w:left="1440" w:right="1440"/>
        <w:jc w:val="center"/>
      </w:pPr>
      <w:r>
        <w:t>• Non-duplicative canonical content, reusable views, governed parser-artifact retention and deletion.</w:t>
      </w:r>
    </w:p>
    <w:p>
      <w:pPr>
        <w:ind w:left="1440" w:right="1440"/>
        <w:jc w:val="center"/>
      </w:pPr>
      <w:r>
        <w:t>• Only two downstream acceptance paths remain active: paragraph-based question-answer generation and cross-section/cross-document Knowledge Unit assembly.</w:t>
      </w:r>
    </w:p>
    <w:p>
      <w:pPr>
        <w:ind w:left="1440" w:right="1440"/>
        <w:jc w:val="center"/>
      </w:pPr>
      <w:r>
        <w:t>• Storage and Jobs are assumed platform foundations and are not re-tested here except at their interface boundaries.</w:t>
      </w:r>
    </w:p>
    <w:p>
      <w:pPr>
        <w:spacing w:before="700"/>
        <w:jc w:val="center"/>
      </w:pPr>
      <w:r>
        <w:rPr>
          <w:b/>
          <w:color w:val="365F91"/>
        </w:rPr>
        <w:t>Source basis</w:t>
      </w:r>
    </w:p>
    <w:p>
      <w:pPr>
        <w:jc w:val="center"/>
      </w:pPr>
      <w:r>
        <w:t>Cognityx Ingest v3 Design and Test Plan v1.1 and v1.2;</w:t>
        <w:br/>
        <w:t>Cognityx Ingest Provenance Test Specification;</w:t>
        <w:br/>
        <w:t>Critical Review of Arbitrary Chunking, Provenance Graphs, and Knowledge Units for Cognityx;</w:t>
        <w:br/>
        <w:t>combined design discussion on ingest, provenance, chunking, graph use and provenance-addressed retrieval.</w:t>
      </w:r>
    </w:p>
    <w:p>
      <w:pPr>
        <w:pStyle w:val="Heading1"/>
      </w:pPr>
      <w:r>
        <w:t>1. Executive decision</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keepLines/>
            </w:pPr>
            <w:r>
              <w:rPr>
                <w:b/>
              </w:rPr>
              <w:t xml:space="preserve">Architectural decision: </w:t>
            </w:r>
            <w:r>
              <w:t>Docling remains the default primary document-intelligence engine for the first implementation, but its schema is preserved as a first-class native representation. Cognityx adds an overlay rather than replacing or flattening it.</w:t>
            </w:r>
          </w:p>
        </w:tc>
      </w:tr>
    </w:tbl>
    <w:p/>
    <w:p>
      <w:r>
        <w:t>Cognityx Ingest is not justified as another PDF parser or as a simplified reimplementation of DoclingDocument. Its defensible role is to provide a parser-neutral enterprise layer that can use Docling today, adopt a better parser tomorrow, combine complementary parser facts, preserve evidence and decision lineage, avoid repeated extraction, and expose stable downstream views.</w:t>
      </w:r>
    </w:p>
    <w:p>
      <w:pPr>
        <w:pStyle w:val="ListBullet"/>
        <w:spacing w:after="60"/>
      </w:pPr>
      <w:r>
        <w:t>Docling is the initial default engine, not the permanent canonical truth.</w:t>
      </w:r>
    </w:p>
    <w:p>
      <w:pPr>
        <w:pStyle w:val="ListBullet"/>
        <w:spacing w:after="60"/>
      </w:pPr>
      <w:r>
        <w:t>Every parser-native result is retained losslessly according to policy and referenced through stable native bindings.</w:t>
      </w:r>
    </w:p>
    <w:p>
      <w:pPr>
        <w:pStyle w:val="ListBullet"/>
        <w:spacing w:after="60"/>
      </w:pPr>
      <w:r>
        <w:t>The Cognityx abstraction contains only durable common concepts and selected canonical facts; it never claims to reproduce every parser-private field.</w:t>
      </w:r>
    </w:p>
    <w:p>
      <w:pPr>
        <w:pStyle w:val="ListBullet"/>
        <w:spacing w:after="60"/>
      </w:pPr>
      <w:r>
        <w:t>Parser selection and parser fusion are distinct stages and both support deterministic, hybrid and LLM-directed control modes.</w:t>
      </w:r>
    </w:p>
    <w:p>
      <w:pPr>
        <w:pStyle w:val="ListBullet"/>
        <w:spacing w:after="60"/>
      </w:pPr>
      <w:r>
        <w:t>Parser capability knowledge has exactly three sources: parser-discovered, human-guided and auto-learned.</w:t>
      </w:r>
    </w:p>
    <w:p>
      <w:pPr>
        <w:pStyle w:val="ListBullet"/>
        <w:spacing w:after="60"/>
      </w:pPr>
      <w:r>
        <w:t>Chunking is treated as a derived segmentation-view layer. Multiple strategies may coexist over the same canonical nodes, and query-time retrieval may fuse results without inventing one canonical chunk boundary.</w:t>
      </w:r>
    </w:p>
    <w:p>
      <w:pPr>
        <w:pStyle w:val="ListBullet"/>
        <w:spacing w:after="60"/>
      </w:pPr>
      <w:r>
        <w:t>The canonical Source Graph is not the same as a semantic Knowledge Graph. It preserves source structure, selectors, lineage and explicit relations; semantic KG and GraphRAG projections remain replaceable downstream extensions.</w:t>
      </w:r>
    </w:p>
    <w:p>
      <w:pPr>
        <w:pStyle w:val="ListBullet"/>
        <w:spacing w:after="60"/>
      </w:pPr>
      <w:r>
        <w:t>Stable provenance addresses and a deterministic resolver are included now because they affect identifiers, views and DataForge lineage. Training a model to generate those addresses is deferred.</w:t>
      </w:r>
    </w:p>
    <w:p>
      <w:pPr>
        <w:pStyle w:val="ListBullet"/>
        <w:spacing w:after="60"/>
      </w:pPr>
      <w:r>
        <w:t>Canonical text and derived views are non-duplicative. Raw native parser artifacts are the only governed, temporary duplication exception.</w:t>
      </w:r>
    </w:p>
    <w:p>
      <w:pPr>
        <w:pStyle w:val="ListBullet"/>
        <w:spacing w:after="60"/>
      </w:pPr>
      <w:r>
        <w:t>The immediate test programme validates parser neutrality, native preservation, routing, fusion, non-duplication, retention, view/address contracts and the two DataForge handoffs. Chunker-superiority, GraphRAG and model-training claims are paused.</w:t>
      </w:r>
    </w:p>
    <w:p>
      <w:pPr>
        <w:pStyle w:val="Heading1"/>
      </w:pPr>
      <w:r>
        <w:t>2. What is retained from the earlier design</w:t>
      </w:r>
    </w:p>
    <w:p>
      <w:r>
        <w:t>The earlier documents contain several strong design decisions that should remain. This revision removes the parts that became unnecessarily parser-centric or prematurely research-oriented, but it does not discard the generalized document model, non-duplication rules, source selectors, lineage or downstream view concepts.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F4E78"/>
            <w:vAlign w:val="center"/>
            <w:tcMar>
              <w:top w:w="80" w:type="dxa"/>
              <w:start w:w="80" w:type="dxa"/>
              <w:bottom w:w="80" w:type="dxa"/>
              <w:end w:w="80" w:type="dxa"/>
            </w:tcMar>
          </w:tcPr>
          <w:p>
            <w:pPr>
              <w:keepLines/>
            </w:pPr>
            <w:r>
              <w:rPr>
                <w:b/>
                <w:color w:val="FFFFFF"/>
                <w:sz w:val="16"/>
              </w:rPr>
              <w:t>Earlier design element</w:t>
            </w:r>
          </w:p>
        </w:tc>
        <w:tc>
          <w:tcPr>
            <w:tcW w:type="dxa" w:w="6912"/>
            <w:shd w:fill="1F4E78"/>
            <w:vAlign w:val="center"/>
            <w:tcMar>
              <w:top w:w="80" w:type="dxa"/>
              <w:start w:w="80" w:type="dxa"/>
              <w:bottom w:w="80" w:type="dxa"/>
              <w:end w:w="80" w:type="dxa"/>
            </w:tcMar>
          </w:tcPr>
          <w:p>
            <w:pPr>
              <w:keepLines/>
            </w:pPr>
            <w:r>
              <w:rPr>
                <w:b/>
                <w:color w:val="FFFFFF"/>
                <w:sz w:val="16"/>
              </w:rPr>
              <w:t>Disposition in this revision</w:t>
            </w:r>
          </w:p>
        </w:tc>
      </w:tr>
      <w:tr>
        <w:tc>
          <w:tcPr>
            <w:tcW w:type="dxa" w:w="3456"/>
            <w:vAlign w:val="top"/>
            <w:tcMar>
              <w:top w:w="80" w:type="dxa"/>
              <w:start w:w="80" w:type="dxa"/>
              <w:bottom w:w="80" w:type="dxa"/>
              <w:end w:w="80" w:type="dxa"/>
            </w:tcMar>
          </w:tcPr>
          <w:p>
            <w:pPr>
              <w:keepLines/>
              <w:spacing w:after="0"/>
            </w:pPr>
            <w:r>
              <w:rPr>
                <w:sz w:val="16"/>
              </w:rPr>
              <w:t>PresentationUnit separated from logical structure</w:t>
            </w:r>
          </w:p>
        </w:tc>
        <w:tc>
          <w:tcPr>
            <w:tcW w:type="dxa" w:w="6912"/>
            <w:vAlign w:val="top"/>
            <w:tcMar>
              <w:top w:w="80" w:type="dxa"/>
              <w:start w:w="80" w:type="dxa"/>
              <w:bottom w:w="80" w:type="dxa"/>
              <w:end w:w="80" w:type="dxa"/>
            </w:tcMar>
          </w:tcPr>
          <w:p>
            <w:pPr>
              <w:keepLines/>
              <w:spacing w:after="0"/>
            </w:pPr>
            <w:r>
              <w:rPr>
                <w:sz w:val="16"/>
              </w:rPr>
              <w:t>Retained. Pages, slides, sheets, canvases, frames, scenes and time ranges remain physical or temporal locations, never automatic logical boundaries.</w:t>
            </w:r>
          </w:p>
        </w:tc>
      </w:tr>
      <w:tr>
        <w:tc>
          <w:tcPr>
            <w:tcW w:type="dxa" w:w="3456"/>
            <w:vAlign w:val="top"/>
            <w:tcMar>
              <w:top w:w="80" w:type="dxa"/>
              <w:start w:w="80" w:type="dxa"/>
              <w:bottom w:w="80" w:type="dxa"/>
              <w:end w:w="80" w:type="dxa"/>
            </w:tcMar>
          </w:tcPr>
          <w:p>
            <w:pPr>
              <w:keepLines/>
              <w:spacing w:after="0"/>
            </w:pPr>
            <w:r>
              <w:rPr>
                <w:sz w:val="16"/>
              </w:rPr>
              <w:t>Generic Division with division role</w:t>
            </w:r>
          </w:p>
        </w:tc>
        <w:tc>
          <w:tcPr>
            <w:tcW w:type="dxa" w:w="6912"/>
            <w:vAlign w:val="top"/>
            <w:tcMar>
              <w:top w:w="80" w:type="dxa"/>
              <w:start w:w="80" w:type="dxa"/>
              <w:bottom w:w="80" w:type="dxa"/>
              <w:end w:w="80" w:type="dxa"/>
            </w:tcMar>
          </w:tcPr>
          <w:p>
            <w:pPr>
              <w:keepLines/>
              <w:spacing w:after="0"/>
            </w:pPr>
            <w:r>
              <w:rPr>
                <w:sz w:val="16"/>
              </w:rPr>
              <w:t>Retained and strengthened. Part, chapter, section, clause, appendix, references, index, slide group, worksheet region and future roles use one extensible model.</w:t>
            </w:r>
          </w:p>
        </w:tc>
      </w:tr>
      <w:tr>
        <w:tc>
          <w:tcPr>
            <w:tcW w:type="dxa" w:w="3456"/>
            <w:vAlign w:val="top"/>
            <w:tcMar>
              <w:top w:w="80" w:type="dxa"/>
              <w:start w:w="80" w:type="dxa"/>
              <w:bottom w:w="80" w:type="dxa"/>
              <w:end w:w="80" w:type="dxa"/>
            </w:tcMar>
          </w:tcPr>
          <w:p>
            <w:pPr>
              <w:keepLines/>
              <w:spacing w:after="0"/>
            </w:pPr>
            <w:r>
              <w:rPr>
                <w:sz w:val="16"/>
              </w:rPr>
              <w:t>Direct content versus subtree content</w:t>
            </w:r>
          </w:p>
        </w:tc>
        <w:tc>
          <w:tcPr>
            <w:tcW w:type="dxa" w:w="6912"/>
            <w:vAlign w:val="top"/>
            <w:tcMar>
              <w:top w:w="80" w:type="dxa"/>
              <w:start w:w="80" w:type="dxa"/>
              <w:bottom w:w="80" w:type="dxa"/>
              <w:end w:w="80" w:type="dxa"/>
            </w:tcMar>
          </w:tcPr>
          <w:p>
            <w:pPr>
              <w:keepLines/>
              <w:spacing w:after="0"/>
            </w:pPr>
            <w:r>
              <w:rPr>
                <w:sz w:val="16"/>
              </w:rPr>
              <w:t>Retained. A parent division owns only its direct nodes; descendants are included by hierarchy and ordered scope resolution, not copied ownership.</w:t>
            </w:r>
          </w:p>
        </w:tc>
      </w:tr>
      <w:tr>
        <w:tc>
          <w:tcPr>
            <w:tcW w:type="dxa" w:w="3456"/>
            <w:vAlign w:val="top"/>
            <w:tcMar>
              <w:top w:w="80" w:type="dxa"/>
              <w:start w:w="80" w:type="dxa"/>
              <w:bottom w:w="80" w:type="dxa"/>
              <w:end w:w="80" w:type="dxa"/>
            </w:tcMar>
          </w:tcPr>
          <w:p>
            <w:pPr>
              <w:keepLines/>
              <w:spacing w:after="0"/>
            </w:pPr>
            <w:r>
              <w:rPr>
                <w:sz w:val="16"/>
              </w:rPr>
              <w:t>Canonical text stored once</w:t>
            </w:r>
          </w:p>
        </w:tc>
        <w:tc>
          <w:tcPr>
            <w:tcW w:type="dxa" w:w="6912"/>
            <w:vAlign w:val="top"/>
            <w:tcMar>
              <w:top w:w="80" w:type="dxa"/>
              <w:start w:w="80" w:type="dxa"/>
              <w:bottom w:w="80" w:type="dxa"/>
              <w:end w:w="80" w:type="dxa"/>
            </w:tcMar>
          </w:tcPr>
          <w:p>
            <w:pPr>
              <w:keepLines/>
              <w:spacing w:after="0"/>
            </w:pPr>
            <w:r>
              <w:rPr>
                <w:sz w:val="16"/>
              </w:rPr>
              <w:t>Retained as a hard invariant for durable canonical and downstream artifacts.</w:t>
            </w:r>
          </w:p>
        </w:tc>
      </w:tr>
      <w:tr>
        <w:tc>
          <w:tcPr>
            <w:tcW w:type="dxa" w:w="3456"/>
            <w:vAlign w:val="top"/>
            <w:tcMar>
              <w:top w:w="80" w:type="dxa"/>
              <w:start w:w="80" w:type="dxa"/>
              <w:bottom w:w="80" w:type="dxa"/>
              <w:end w:w="80" w:type="dxa"/>
            </w:tcMar>
          </w:tcPr>
          <w:p>
            <w:pPr>
              <w:keepLines/>
              <w:spacing w:after="0"/>
            </w:pPr>
            <w:r>
              <w:rPr>
                <w:sz w:val="16"/>
              </w:rPr>
              <w:t>Content nodes as stable semantic units</w:t>
            </w:r>
          </w:p>
        </w:tc>
        <w:tc>
          <w:tcPr>
            <w:tcW w:type="dxa" w:w="6912"/>
            <w:vAlign w:val="top"/>
            <w:tcMar>
              <w:top w:w="80" w:type="dxa"/>
              <w:start w:w="80" w:type="dxa"/>
              <w:bottom w:w="80" w:type="dxa"/>
              <w:end w:w="80" w:type="dxa"/>
            </w:tcMar>
          </w:tcPr>
          <w:p>
            <w:pPr>
              <w:keepLines/>
              <w:spacing w:after="0"/>
            </w:pPr>
            <w:r>
              <w:rPr>
                <w:sz w:val="16"/>
              </w:rPr>
              <w:t>Retained. Nodes are neither page-sized nor token-sized.</w:t>
            </w:r>
          </w:p>
        </w:tc>
      </w:tr>
      <w:tr>
        <w:tc>
          <w:tcPr>
            <w:tcW w:type="dxa" w:w="3456"/>
            <w:vAlign w:val="top"/>
            <w:tcMar>
              <w:top w:w="80" w:type="dxa"/>
              <w:start w:w="80" w:type="dxa"/>
              <w:bottom w:w="80" w:type="dxa"/>
              <w:end w:w="80" w:type="dxa"/>
            </w:tcMar>
          </w:tcPr>
          <w:p>
            <w:pPr>
              <w:keepLines/>
              <w:spacing w:after="0"/>
            </w:pPr>
            <w:r>
              <w:rPr>
                <w:sz w:val="16"/>
              </w:rPr>
              <w:t>Derived segmentation views</w:t>
            </w:r>
          </w:p>
        </w:tc>
        <w:tc>
          <w:tcPr>
            <w:tcW w:type="dxa" w:w="6912"/>
            <w:vAlign w:val="top"/>
            <w:tcMar>
              <w:top w:w="80" w:type="dxa"/>
              <w:start w:w="80" w:type="dxa"/>
              <w:bottom w:w="80" w:type="dxa"/>
              <w:end w:w="80" w:type="dxa"/>
            </w:tcMar>
          </w:tcPr>
          <w:p>
            <w:pPr>
              <w:keepLines/>
              <w:spacing w:after="0"/>
            </w:pPr>
            <w:r>
              <w:rPr>
                <w:sz w:val="16"/>
              </w:rPr>
              <w:t>Retained and expanded. Multiple chunking strategies coexist as non-copying views over the same canonical nodes; no view becomes the permanent source partition.</w:t>
            </w:r>
          </w:p>
        </w:tc>
      </w:tr>
      <w:tr>
        <w:tc>
          <w:tcPr>
            <w:tcW w:type="dxa" w:w="3456"/>
            <w:vAlign w:val="top"/>
            <w:tcMar>
              <w:top w:w="80" w:type="dxa"/>
              <w:start w:w="80" w:type="dxa"/>
              <w:bottom w:w="80" w:type="dxa"/>
              <w:end w:w="80" w:type="dxa"/>
            </w:tcMar>
          </w:tcPr>
          <w:p>
            <w:pPr>
              <w:keepLines/>
              <w:spacing w:after="0"/>
            </w:pPr>
            <w:r>
              <w:rPr>
                <w:sz w:val="16"/>
              </w:rPr>
              <w:t>Adaptive chunker routing</w:t>
            </w:r>
          </w:p>
        </w:tc>
        <w:tc>
          <w:tcPr>
            <w:tcW w:type="dxa" w:w="6912"/>
            <w:vAlign w:val="top"/>
            <w:tcMar>
              <w:top w:w="80" w:type="dxa"/>
              <w:start w:w="80" w:type="dxa"/>
              <w:bottom w:w="80" w:type="dxa"/>
              <w:end w:w="80" w:type="dxa"/>
            </w:tcMar>
          </w:tcPr>
          <w:p>
            <w:pPr>
              <w:keepLines/>
              <w:spacing w:after="0"/>
            </w:pPr>
            <w:r>
              <w:rPr>
                <w:sz w:val="16"/>
              </w:rPr>
              <w:t>Added as an extension of the capability-registry pattern. Chunker-discovered, human-guided and auto-learned evidence support deterministic, hybrid and LLM-directed selection.</w:t>
            </w:r>
          </w:p>
        </w:tc>
      </w:tr>
      <w:tr>
        <w:tc>
          <w:tcPr>
            <w:tcW w:type="dxa" w:w="3456"/>
            <w:vAlign w:val="top"/>
            <w:tcMar>
              <w:top w:w="80" w:type="dxa"/>
              <w:start w:w="80" w:type="dxa"/>
              <w:bottom w:w="80" w:type="dxa"/>
              <w:end w:w="80" w:type="dxa"/>
            </w:tcMar>
          </w:tcPr>
          <w:p>
            <w:pPr>
              <w:keepLines/>
              <w:spacing w:after="0"/>
            </w:pPr>
            <w:r>
              <w:rPr>
                <w:sz w:val="16"/>
              </w:rPr>
              <w:t>Source Graph versus semantic KG</w:t>
            </w:r>
          </w:p>
        </w:tc>
        <w:tc>
          <w:tcPr>
            <w:tcW w:type="dxa" w:w="6912"/>
            <w:vAlign w:val="top"/>
            <w:tcMar>
              <w:top w:w="80" w:type="dxa"/>
              <w:start w:w="80" w:type="dxa"/>
              <w:bottom w:w="80" w:type="dxa"/>
              <w:end w:w="80" w:type="dxa"/>
            </w:tcMar>
          </w:tcPr>
          <w:p>
            <w:pPr>
              <w:keepLines/>
              <w:spacing w:after="0"/>
            </w:pPr>
            <w:r>
              <w:rPr>
                <w:sz w:val="16"/>
              </w:rPr>
              <w:t>Clarified. The canonical source/provenance graph is core; semantic entity/claim graphs and GraphRAG retrieval are downstream projections, not ingest truth.</w:t>
            </w:r>
          </w:p>
        </w:tc>
      </w:tr>
      <w:tr>
        <w:tc>
          <w:tcPr>
            <w:tcW w:type="dxa" w:w="3456"/>
            <w:vAlign w:val="top"/>
            <w:tcMar>
              <w:top w:w="80" w:type="dxa"/>
              <w:start w:w="80" w:type="dxa"/>
              <w:bottom w:w="80" w:type="dxa"/>
              <w:end w:w="80" w:type="dxa"/>
            </w:tcMar>
          </w:tcPr>
          <w:p>
            <w:pPr>
              <w:keepLines/>
              <w:spacing w:after="0"/>
            </w:pPr>
            <w:r>
              <w:rPr>
                <w:sz w:val="16"/>
              </w:rPr>
              <w:t>Provenance-address resolution</w:t>
            </w:r>
          </w:p>
        </w:tc>
        <w:tc>
          <w:tcPr>
            <w:tcW w:type="dxa" w:w="6912"/>
            <w:vAlign w:val="top"/>
            <w:tcMar>
              <w:top w:w="80" w:type="dxa"/>
              <w:start w:w="80" w:type="dxa"/>
              <w:bottom w:w="80" w:type="dxa"/>
              <w:end w:w="80" w:type="dxa"/>
            </w:tcMar>
          </w:tcPr>
          <w:p>
            <w:pPr>
              <w:keepLines/>
              <w:spacing w:after="0"/>
            </w:pPr>
            <w:r>
              <w:rPr>
                <w:sz w:val="16"/>
              </w:rPr>
              <w:t>Added to the current contract so downstream records can reference and deterministically resolve exact evidence without copying or regenerating it.</w:t>
            </w:r>
          </w:p>
        </w:tc>
      </w:tr>
      <w:tr>
        <w:tc>
          <w:tcPr>
            <w:tcW w:type="dxa" w:w="3456"/>
            <w:vAlign w:val="top"/>
            <w:tcMar>
              <w:top w:w="80" w:type="dxa"/>
              <w:start w:w="80" w:type="dxa"/>
              <w:bottom w:w="80" w:type="dxa"/>
              <w:end w:w="80" w:type="dxa"/>
            </w:tcMar>
          </w:tcPr>
          <w:p>
            <w:pPr>
              <w:keepLines/>
              <w:spacing w:after="0"/>
            </w:pPr>
            <w:r>
              <w:rPr>
                <w:sz w:val="16"/>
              </w:rPr>
              <w:t>Format-neutral selectors</w:t>
            </w:r>
          </w:p>
        </w:tc>
        <w:tc>
          <w:tcPr>
            <w:tcW w:type="dxa" w:w="6912"/>
            <w:vAlign w:val="top"/>
            <w:tcMar>
              <w:top w:w="80" w:type="dxa"/>
              <w:start w:w="80" w:type="dxa"/>
              <w:bottom w:w="80" w:type="dxa"/>
              <w:end w:w="80" w:type="dxa"/>
            </w:tcMar>
          </w:tcPr>
          <w:p>
            <w:pPr>
              <w:keepLines/>
              <w:spacing w:after="0"/>
            </w:pPr>
            <w:r>
              <w:rPr>
                <w:sz w:val="16"/>
              </w:rPr>
              <w:t>Retained. PDF/image regions, OOXML paths, DOM/XPath, sheet/cell ranges, byte/character ranges and media time ranges are supported.</w:t>
            </w:r>
          </w:p>
        </w:tc>
      </w:tr>
      <w:tr>
        <w:tc>
          <w:tcPr>
            <w:tcW w:type="dxa" w:w="3456"/>
            <w:vAlign w:val="top"/>
            <w:tcMar>
              <w:top w:w="80" w:type="dxa"/>
              <w:start w:w="80" w:type="dxa"/>
              <w:bottom w:w="80" w:type="dxa"/>
              <w:end w:w="80" w:type="dxa"/>
            </w:tcMar>
          </w:tcPr>
          <w:p>
            <w:pPr>
              <w:keepLines/>
              <w:spacing w:after="0"/>
            </w:pPr>
            <w:r>
              <w:rPr>
                <w:sz w:val="16"/>
              </w:rPr>
              <w:t>Multimodal representations or explicit failure</w:t>
            </w:r>
          </w:p>
        </w:tc>
        <w:tc>
          <w:tcPr>
            <w:tcW w:type="dxa" w:w="6912"/>
            <w:vAlign w:val="top"/>
            <w:tcMar>
              <w:top w:w="80" w:type="dxa"/>
              <w:start w:w="80" w:type="dxa"/>
              <w:bottom w:w="80" w:type="dxa"/>
              <w:end w:w="80" w:type="dxa"/>
            </w:tcMar>
          </w:tcPr>
          <w:p>
            <w:pPr>
              <w:keepLines/>
              <w:spacing w:after="0"/>
            </w:pPr>
            <w:r>
              <w:rPr>
                <w:sz w:val="16"/>
              </w:rPr>
              <w:t>Retained as schema capability; broad semantic-quality certification is deferred from the immediate test programme.</w:t>
            </w:r>
          </w:p>
        </w:tc>
      </w:tr>
      <w:tr>
        <w:tc>
          <w:tcPr>
            <w:tcW w:type="dxa" w:w="3456"/>
            <w:vAlign w:val="top"/>
            <w:tcMar>
              <w:top w:w="80" w:type="dxa"/>
              <w:start w:w="80" w:type="dxa"/>
              <w:bottom w:w="80" w:type="dxa"/>
              <w:end w:w="80" w:type="dxa"/>
            </w:tcMar>
          </w:tcPr>
          <w:p>
            <w:pPr>
              <w:keepLines/>
              <w:spacing w:after="0"/>
            </w:pPr>
            <w:r>
              <w:rPr>
                <w:sz w:val="16"/>
              </w:rPr>
              <w:t>Parser-specific facts and per-field source lineage</w:t>
            </w:r>
          </w:p>
        </w:tc>
        <w:tc>
          <w:tcPr>
            <w:tcW w:type="dxa" w:w="6912"/>
            <w:vAlign w:val="top"/>
            <w:tcMar>
              <w:top w:w="80" w:type="dxa"/>
              <w:start w:w="80" w:type="dxa"/>
              <w:bottom w:w="80" w:type="dxa"/>
              <w:end w:w="80" w:type="dxa"/>
            </w:tcMar>
          </w:tcPr>
          <w:p>
            <w:pPr>
              <w:keepLines/>
              <w:spacing w:after="0"/>
            </w:pPr>
            <w:r>
              <w:rPr>
                <w:sz w:val="16"/>
              </w:rPr>
              <w:t>Retained and expanded through native bindings, observation sets and fact-source records.</w:t>
            </w:r>
          </w:p>
        </w:tc>
      </w:tr>
      <w:tr>
        <w:tc>
          <w:tcPr>
            <w:tcW w:type="dxa" w:w="3456"/>
            <w:vAlign w:val="top"/>
            <w:tcMar>
              <w:top w:w="80" w:type="dxa"/>
              <w:start w:w="80" w:type="dxa"/>
              <w:bottom w:w="80" w:type="dxa"/>
              <w:end w:w="80" w:type="dxa"/>
            </w:tcMar>
          </w:tcPr>
          <w:p>
            <w:pPr>
              <w:keepLines/>
              <w:spacing w:after="0"/>
            </w:pPr>
            <w:r>
              <w:rPr>
                <w:sz w:val="16"/>
              </w:rPr>
              <w:t>Raw parser retention and purge</w:t>
            </w:r>
          </w:p>
        </w:tc>
        <w:tc>
          <w:tcPr>
            <w:tcW w:type="dxa" w:w="6912"/>
            <w:vAlign w:val="top"/>
            <w:tcMar>
              <w:top w:w="80" w:type="dxa"/>
              <w:start w:w="80" w:type="dxa"/>
              <w:bottom w:w="80" w:type="dxa"/>
              <w:end w:w="80" w:type="dxa"/>
            </w:tcMar>
          </w:tcPr>
          <w:p>
            <w:pPr>
              <w:keepLines/>
              <w:spacing w:after="0"/>
            </w:pPr>
            <w:r>
              <w:rPr>
                <w:sz w:val="16"/>
              </w:rPr>
              <w:t>Retained. Native outputs are retained once per extraction identity and can expire or be purged without deleting the durable canonical graph.</w:t>
            </w:r>
          </w:p>
        </w:tc>
      </w:tr>
      <w:tr>
        <w:tc>
          <w:tcPr>
            <w:tcW w:type="dxa" w:w="3456"/>
            <w:vAlign w:val="top"/>
            <w:tcMar>
              <w:top w:w="80" w:type="dxa"/>
              <w:start w:w="80" w:type="dxa"/>
              <w:bottom w:w="80" w:type="dxa"/>
              <w:end w:w="80" w:type="dxa"/>
            </w:tcMar>
          </w:tcPr>
          <w:p>
            <w:pPr>
              <w:keepLines/>
              <w:spacing w:after="0"/>
            </w:pPr>
            <w:r>
              <w:rPr>
                <w:sz w:val="16"/>
              </w:rPr>
              <w:t>Backend-specific tests separate from canonical tests</w:t>
            </w:r>
          </w:p>
        </w:tc>
        <w:tc>
          <w:tcPr>
            <w:tcW w:type="dxa" w:w="6912"/>
            <w:vAlign w:val="top"/>
            <w:tcMar>
              <w:top w:w="80" w:type="dxa"/>
              <w:start w:w="80" w:type="dxa"/>
              <w:bottom w:w="80" w:type="dxa"/>
              <w:end w:w="80" w:type="dxa"/>
            </w:tcMar>
          </w:tcPr>
          <w:p>
            <w:pPr>
              <w:keepLines/>
              <w:spacing w:after="0"/>
            </w:pPr>
            <w:r>
              <w:rPr>
                <w:sz w:val="16"/>
              </w:rPr>
              <w:t>Retained. Each parser is tested honestly for declared capability; canonical acceptance tests validate the stable handoff.</w:t>
            </w:r>
          </w:p>
        </w:tc>
      </w:tr>
      <w:tr>
        <w:tc>
          <w:tcPr>
            <w:tcW w:type="dxa" w:w="3456"/>
            <w:vAlign w:val="top"/>
            <w:tcMar>
              <w:top w:w="80" w:type="dxa"/>
              <w:start w:w="80" w:type="dxa"/>
              <w:bottom w:w="80" w:type="dxa"/>
              <w:end w:w="80" w:type="dxa"/>
            </w:tcMar>
          </w:tcPr>
          <w:p>
            <w:pPr>
              <w:keepLines/>
              <w:spacing w:after="0"/>
            </w:pPr>
            <w:r>
              <w:rPr>
                <w:sz w:val="16"/>
              </w:rPr>
              <w:t>Explicit unresolved and ambiguous states</w:t>
            </w:r>
          </w:p>
        </w:tc>
        <w:tc>
          <w:tcPr>
            <w:tcW w:type="dxa" w:w="6912"/>
            <w:vAlign w:val="top"/>
            <w:tcMar>
              <w:top w:w="80" w:type="dxa"/>
              <w:start w:w="80" w:type="dxa"/>
              <w:bottom w:w="80" w:type="dxa"/>
              <w:end w:w="80" w:type="dxa"/>
            </w:tcMar>
          </w:tcPr>
          <w:p>
            <w:pPr>
              <w:keepLines/>
              <w:spacing w:after="0"/>
            </w:pPr>
            <w:r>
              <w:rPr>
                <w:sz w:val="16"/>
              </w:rPr>
              <w:t>Retained. Silent omission or invented targets are prohibited.</w:t>
            </w:r>
          </w:p>
        </w:tc>
      </w:tr>
      <w:tr>
        <w:tc>
          <w:tcPr>
            <w:tcW w:type="dxa" w:w="3456"/>
            <w:vAlign w:val="top"/>
            <w:tcMar>
              <w:top w:w="80" w:type="dxa"/>
              <w:start w:w="80" w:type="dxa"/>
              <w:bottom w:w="80" w:type="dxa"/>
              <w:end w:w="80" w:type="dxa"/>
            </w:tcMar>
          </w:tcPr>
          <w:p>
            <w:pPr>
              <w:keepLines/>
              <w:spacing w:after="0"/>
            </w:pPr>
            <w:r>
              <w:rPr>
                <w:sz w:val="16"/>
              </w:rPr>
              <w:t>DataForge owns KUs and training products</w:t>
            </w:r>
          </w:p>
        </w:tc>
        <w:tc>
          <w:tcPr>
            <w:tcW w:type="dxa" w:w="6912"/>
            <w:vAlign w:val="top"/>
            <w:tcMar>
              <w:top w:w="80" w:type="dxa"/>
              <w:start w:w="80" w:type="dxa"/>
              <w:bottom w:w="80" w:type="dxa"/>
              <w:end w:w="80" w:type="dxa"/>
            </w:tcMar>
          </w:tcPr>
          <w:p>
            <w:pPr>
              <w:keepLines/>
              <w:spacing w:after="0"/>
            </w:pPr>
            <w:r>
              <w:rPr>
                <w:sz w:val="16"/>
              </w:rPr>
              <w:t>Retained. Ingest supplies source graph, views, relations and exact support; DataForge creates questions, answers and KUs.</w:t>
            </w:r>
          </w:p>
        </w:tc>
      </w:tr>
      <w:tr>
        <w:tc>
          <w:tcPr>
            <w:tcW w:type="dxa" w:w="3456"/>
            <w:vAlign w:val="top"/>
            <w:tcMar>
              <w:top w:w="80" w:type="dxa"/>
              <w:start w:w="80" w:type="dxa"/>
              <w:bottom w:w="80" w:type="dxa"/>
              <w:end w:w="80" w:type="dxa"/>
            </w:tcMar>
          </w:tcPr>
          <w:p>
            <w:pPr>
              <w:keepLines/>
              <w:spacing w:after="0"/>
            </w:pPr>
            <w:r>
              <w:rPr>
                <w:sz w:val="16"/>
              </w:rPr>
              <w:t>Backward compatibility</w:t>
            </w:r>
          </w:p>
        </w:tc>
        <w:tc>
          <w:tcPr>
            <w:tcW w:type="dxa" w:w="6912"/>
            <w:vAlign w:val="top"/>
            <w:tcMar>
              <w:top w:w="80" w:type="dxa"/>
              <w:start w:w="80" w:type="dxa"/>
              <w:bottom w:w="80" w:type="dxa"/>
              <w:end w:w="80" w:type="dxa"/>
            </w:tcMar>
          </w:tcPr>
          <w:p>
            <w:pPr>
              <w:keepLines/>
              <w:spacing w:after="0"/>
            </w:pPr>
            <w:r>
              <w:rPr>
                <w:sz w:val="16"/>
              </w:rPr>
              <w:t>Retained. v1/v2 stored documents and supported flows remain readable during v3 migration.</w:t>
            </w:r>
          </w:p>
        </w:tc>
      </w:tr>
    </w:tbl>
    <w:p/>
    <w:p>
      <w:pPr>
        <w:pStyle w:val="Heading1"/>
      </w:pPr>
      <w:r>
        <w:t>3. Corrections required after the Docling comparison</w:t>
      </w:r>
    </w:p>
    <w:p>
      <w:r>
        <w:t>The official Docling architecture already provides a unified DoclingDocument with hierarchy, body and furniture trees, text, tables, pictures, key-value items, reading order, bounding boxes, provenance and lossless JSON. It also supports multiple source formats and native structure-aware chunking. Cognityx must therefore reuse this richness rather than flatten it.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F4E78"/>
            <w:vAlign w:val="center"/>
            <w:tcMar>
              <w:top w:w="80" w:type="dxa"/>
              <w:start w:w="80" w:type="dxa"/>
              <w:bottom w:w="80" w:type="dxa"/>
              <w:end w:w="80" w:type="dxa"/>
            </w:tcMar>
          </w:tcPr>
          <w:p>
            <w:pPr>
              <w:keepLines/>
            </w:pPr>
            <w:r>
              <w:rPr>
                <w:b/>
                <w:color w:val="FFFFFF"/>
                <w:sz w:val="16"/>
              </w:rPr>
              <w:t>Previous risk</w:t>
            </w:r>
          </w:p>
        </w:tc>
        <w:tc>
          <w:tcPr>
            <w:tcW w:type="dxa" w:w="6768"/>
            <w:shd w:fill="1F4E78"/>
            <w:vAlign w:val="center"/>
            <w:tcMar>
              <w:top w:w="80" w:type="dxa"/>
              <w:start w:w="80" w:type="dxa"/>
              <w:bottom w:w="80" w:type="dxa"/>
              <w:end w:w="80" w:type="dxa"/>
            </w:tcMar>
          </w:tcPr>
          <w:p>
            <w:pPr>
              <w:keepLines/>
            </w:pPr>
            <w:r>
              <w:rPr>
                <w:b/>
                <w:color w:val="FFFFFF"/>
                <w:sz w:val="16"/>
              </w:rPr>
              <w:t>Corrected design</w:t>
            </w:r>
          </w:p>
        </w:tc>
      </w:tr>
      <w:tr>
        <w:tc>
          <w:tcPr>
            <w:tcW w:type="dxa" w:w="3600"/>
            <w:vAlign w:val="top"/>
            <w:tcMar>
              <w:top w:w="80" w:type="dxa"/>
              <w:start w:w="80" w:type="dxa"/>
              <w:bottom w:w="80" w:type="dxa"/>
              <w:end w:w="80" w:type="dxa"/>
            </w:tcMar>
          </w:tcPr>
          <w:p>
            <w:pPr>
              <w:keepLines/>
              <w:spacing w:after="0"/>
            </w:pPr>
            <w:r>
              <w:rPr>
                <w:sz w:val="16"/>
              </w:rPr>
              <w:t>Flattening Docling texts/tables/pictures into simpler page blocks</w:t>
            </w:r>
          </w:p>
        </w:tc>
        <w:tc>
          <w:tcPr>
            <w:tcW w:type="dxa" w:w="6768"/>
            <w:vAlign w:val="top"/>
            <w:tcMar>
              <w:top w:w="80" w:type="dxa"/>
              <w:start w:w="80" w:type="dxa"/>
              <w:bottom w:w="80" w:type="dxa"/>
              <w:end w:w="80" w:type="dxa"/>
            </w:tcMar>
          </w:tcPr>
          <w:p>
            <w:pPr>
              <w:keepLines/>
              <w:spacing w:after="0"/>
            </w:pPr>
            <w:r>
              <w:rPr>
                <w:sz w:val="16"/>
              </w:rPr>
              <w:t>Store the complete DoclingDocument once as a native artifact. The canonical overlay uses pointers to native objects and materializes only common durable facts.</w:t>
            </w:r>
          </w:p>
        </w:tc>
      </w:tr>
      <w:tr>
        <w:tc>
          <w:tcPr>
            <w:tcW w:type="dxa" w:w="3600"/>
            <w:vAlign w:val="top"/>
            <w:tcMar>
              <w:top w:w="80" w:type="dxa"/>
              <w:start w:w="80" w:type="dxa"/>
              <w:bottom w:w="80" w:type="dxa"/>
              <w:end w:w="80" w:type="dxa"/>
            </w:tcMar>
          </w:tcPr>
          <w:p>
            <w:pPr>
              <w:keepLines/>
              <w:spacing w:after="0"/>
            </w:pPr>
            <w:r>
              <w:rPr>
                <w:sz w:val="16"/>
              </w:rPr>
              <w:t>Treating Cognityx schema as a complete replacement for parser schemas</w:t>
            </w:r>
          </w:p>
        </w:tc>
        <w:tc>
          <w:tcPr>
            <w:tcW w:type="dxa" w:w="6768"/>
            <w:vAlign w:val="top"/>
            <w:tcMar>
              <w:top w:w="80" w:type="dxa"/>
              <w:start w:w="80" w:type="dxa"/>
              <w:bottom w:w="80" w:type="dxa"/>
              <w:end w:w="80" w:type="dxa"/>
            </w:tcMar>
          </w:tcPr>
          <w:p>
            <w:pPr>
              <w:keepLines/>
              <w:spacing w:after="0"/>
            </w:pPr>
            <w:r>
              <w:rPr>
                <w:sz w:val="16"/>
              </w:rPr>
              <w:t>Treat it as a stable abstraction and evidence graph. Parser-specific detail remains available through NativeBinding and the native artifact.</w:t>
            </w:r>
          </w:p>
        </w:tc>
      </w:tr>
      <w:tr>
        <w:tc>
          <w:tcPr>
            <w:tcW w:type="dxa" w:w="3600"/>
            <w:vAlign w:val="top"/>
            <w:tcMar>
              <w:top w:w="80" w:type="dxa"/>
              <w:start w:w="80" w:type="dxa"/>
              <w:bottom w:w="80" w:type="dxa"/>
              <w:end w:w="80" w:type="dxa"/>
            </w:tcMar>
          </w:tcPr>
          <w:p>
            <w:pPr>
              <w:keepLines/>
              <w:spacing w:after="0"/>
            </w:pPr>
            <w:r>
              <w:rPr>
                <w:sz w:val="16"/>
              </w:rPr>
              <w:t>Selecting facts through fixed global parser precedence</w:t>
            </w:r>
          </w:p>
        </w:tc>
        <w:tc>
          <w:tcPr>
            <w:tcW w:type="dxa" w:w="6768"/>
            <w:vAlign w:val="top"/>
            <w:tcMar>
              <w:top w:w="80" w:type="dxa"/>
              <w:start w:w="80" w:type="dxa"/>
              <w:bottom w:w="80" w:type="dxa"/>
              <w:end w:w="80" w:type="dxa"/>
            </w:tcMar>
          </w:tcPr>
          <w:p>
            <w:pPr>
              <w:keepLines/>
              <w:spacing w:after="0"/>
            </w:pPr>
            <w:r>
              <w:rPr>
                <w:sz w:val="16"/>
              </w:rPr>
              <w:t>Use capability-, fact-type-, document-type- and quality-aware policy. Retain competing observations and the selection reason.</w:t>
            </w:r>
          </w:p>
        </w:tc>
      </w:tr>
      <w:tr>
        <w:tc>
          <w:tcPr>
            <w:tcW w:type="dxa" w:w="3600"/>
            <w:vAlign w:val="top"/>
            <w:tcMar>
              <w:top w:w="80" w:type="dxa"/>
              <w:start w:w="80" w:type="dxa"/>
              <w:bottom w:w="80" w:type="dxa"/>
              <w:end w:w="80" w:type="dxa"/>
            </w:tcMar>
          </w:tcPr>
          <w:p>
            <w:pPr>
              <w:keepLines/>
              <w:spacing w:after="0"/>
            </w:pPr>
            <w:r>
              <w:rPr>
                <w:sz w:val="16"/>
              </w:rPr>
              <w:t>Aligning blocks only by normalized text and occurrence count</w:t>
            </w:r>
          </w:p>
        </w:tc>
        <w:tc>
          <w:tcPr>
            <w:tcW w:type="dxa" w:w="6768"/>
            <w:vAlign w:val="top"/>
            <w:tcMar>
              <w:top w:w="80" w:type="dxa"/>
              <w:start w:w="80" w:type="dxa"/>
              <w:bottom w:w="80" w:type="dxa"/>
              <w:end w:w="80" w:type="dxa"/>
            </w:tcMar>
          </w:tcPr>
          <w:p>
            <w:pPr>
              <w:keepLines/>
              <w:spacing w:after="0"/>
            </w:pPr>
            <w:r>
              <w:rPr>
                <w:sz w:val="16"/>
              </w:rPr>
              <w:t>Use a multi-signal alignment model: source selector, geometry, parser-native pointer, text similarity, hierarchy, object identity and reading-order context.</w:t>
            </w:r>
          </w:p>
        </w:tc>
      </w:tr>
      <w:tr>
        <w:tc>
          <w:tcPr>
            <w:tcW w:type="dxa" w:w="3600"/>
            <w:vAlign w:val="top"/>
            <w:tcMar>
              <w:top w:w="80" w:type="dxa"/>
              <w:start w:w="80" w:type="dxa"/>
              <w:bottom w:w="80" w:type="dxa"/>
              <w:end w:w="80" w:type="dxa"/>
            </w:tcMar>
          </w:tcPr>
          <w:p>
            <w:pPr>
              <w:keepLines/>
              <w:spacing w:after="0"/>
            </w:pPr>
            <w:r>
              <w:rPr>
                <w:sz w:val="16"/>
              </w:rPr>
              <w:t>Always running every parser</w:t>
            </w:r>
          </w:p>
        </w:tc>
        <w:tc>
          <w:tcPr>
            <w:tcW w:type="dxa" w:w="6768"/>
            <w:vAlign w:val="top"/>
            <w:tcMar>
              <w:top w:w="80" w:type="dxa"/>
              <w:start w:w="80" w:type="dxa"/>
              <w:bottom w:w="80" w:type="dxa"/>
              <w:end w:w="80" w:type="dxa"/>
            </w:tcMar>
          </w:tcPr>
          <w:p>
            <w:pPr>
              <w:keepLines/>
              <w:spacing w:after="0"/>
            </w:pPr>
            <w:r>
              <w:rPr>
                <w:sz w:val="16"/>
              </w:rPr>
              <w:t>Use demand-driven routing. Run the minimum parser set that satisfies the requested output profile, then escalate only for missing or disputed facts.</w:t>
            </w:r>
          </w:p>
        </w:tc>
      </w:tr>
      <w:tr>
        <w:tc>
          <w:tcPr>
            <w:tcW w:type="dxa" w:w="3600"/>
            <w:vAlign w:val="top"/>
            <w:tcMar>
              <w:top w:w="80" w:type="dxa"/>
              <w:start w:w="80" w:type="dxa"/>
              <w:bottom w:w="80" w:type="dxa"/>
              <w:end w:w="80" w:type="dxa"/>
            </w:tcMar>
          </w:tcPr>
          <w:p>
            <w:pPr>
              <w:keepLines/>
              <w:spacing w:after="0"/>
            </w:pPr>
            <w:r>
              <w:rPr>
                <w:sz w:val="16"/>
              </w:rPr>
              <w:t>Making rich parser output permanently mandatory</w:t>
            </w:r>
          </w:p>
        </w:tc>
        <w:tc>
          <w:tcPr>
            <w:tcW w:type="dxa" w:w="6768"/>
            <w:vAlign w:val="top"/>
            <w:tcMar>
              <w:top w:w="80" w:type="dxa"/>
              <w:start w:w="80" w:type="dxa"/>
              <w:bottom w:w="80" w:type="dxa"/>
              <w:end w:w="80" w:type="dxa"/>
            </w:tcMar>
          </w:tcPr>
          <w:p>
            <w:pPr>
              <w:keepLines/>
              <w:spacing w:after="0"/>
            </w:pPr>
            <w:r>
              <w:rPr>
                <w:sz w:val="16"/>
              </w:rPr>
              <w:t>Retain native artifacts by policy. After validation, allow expiry or purge while keeping canonical content, mappings, hashes, decisions and tombstones.</w:t>
            </w:r>
          </w:p>
        </w:tc>
      </w:tr>
      <w:tr>
        <w:tc>
          <w:tcPr>
            <w:tcW w:type="dxa" w:w="3600"/>
            <w:vAlign w:val="top"/>
            <w:tcMar>
              <w:top w:w="80" w:type="dxa"/>
              <w:start w:w="80" w:type="dxa"/>
              <w:bottom w:w="80" w:type="dxa"/>
              <w:end w:w="80" w:type="dxa"/>
            </w:tcMar>
          </w:tcPr>
          <w:p>
            <w:pPr>
              <w:keepLines/>
              <w:spacing w:after="0"/>
            </w:pPr>
            <w:r>
              <w:rPr>
                <w:sz w:val="16"/>
              </w:rPr>
              <w:t>Using the term fusion for every multi-parser action</w:t>
            </w:r>
          </w:p>
        </w:tc>
        <w:tc>
          <w:tcPr>
            <w:tcW w:type="dxa" w:w="6768"/>
            <w:vAlign w:val="top"/>
            <w:tcMar>
              <w:top w:w="80" w:type="dxa"/>
              <w:start w:w="80" w:type="dxa"/>
              <w:bottom w:w="80" w:type="dxa"/>
              <w:end w:w="80" w:type="dxa"/>
            </w:tcMar>
          </w:tcPr>
          <w:p>
            <w:pPr>
              <w:keepLines/>
              <w:spacing w:after="0"/>
            </w:pPr>
            <w:r>
              <w:rPr>
                <w:sz w:val="16"/>
              </w:rPr>
              <w:t>Separate capability discovery, routing, invocation, alignment, complementary merge and conflict adjudication.</w:t>
            </w:r>
          </w:p>
        </w:tc>
      </w:tr>
    </w:tbl>
    <w:p/>
    <w:p>
      <w:pPr>
        <w:pStyle w:val="Heading1"/>
      </w:pPr>
      <w:r>
        <w:t>4. Consolidated layered architecture</w:t>
      </w:r>
    </w:p>
    <w:p>
      <w:pPr>
        <w:pStyle w:val="CodeBlock"/>
        <w:keepLines/>
      </w:pPr>
      <w:r>
        <w:t>SourceAsset / immutable Blob identity</w:t>
        <w:br/>
        <w:t xml:space="preserve">            │</w:t>
        <w:br/>
        <w:t xml:space="preserve">            ▼</w:t>
        <w:br/>
        <w:t>Processing capability intelligence</w:t>
        <w:br/>
        <w:t xml:space="preserve">  ├─ parser/chunker/adapter-discovered: runtime + official documentation</w:t>
        <w:br/>
        <w:t xml:space="preserve">  ├─ human-guided: expert recommendations and restrictions</w:t>
        <w:br/>
        <w:t xml:space="preserve">  └─ auto-learned: benchmarks, production runs and corrections</w:t>
        <w:br/>
        <w:t xml:space="preserve">            │</w:t>
        <w:br/>
        <w:t xml:space="preserve">            ▼</w:t>
        <w:br/>
        <w:t>Parser planner and router</w:t>
        <w:br/>
        <w:t xml:space="preserve">  deterministic | hybrid | LLM-directed</w:t>
        <w:br/>
        <w:t xml:space="preserve">            │</w:t>
        <w:br/>
        <w:t xml:space="preserve">            ▼</w:t>
        <w:br/>
        <w:t>Parser-native artifacts</w:t>
        <w:br/>
        <w:t xml:space="preserve">  DoclingDocument | PyMuPDF facts | OCR/VLM | future parsers</w:t>
        <w:br/>
        <w:t xml:space="preserve">            │</w:t>
        <w:br/>
        <w:t xml:space="preserve">            ▼</w:t>
        <w:br/>
        <w:t>Observation alignment and parser fusion</w:t>
        <w:br/>
        <w:t xml:space="preserve">  complementary facts | agreement | conflicts | unresolved</w:t>
        <w:br/>
        <w:t xml:space="preserve">            │</w:t>
        <w:br/>
        <w:t xml:space="preserve">            ▼</w:t>
        <w:br/>
        <w:t>Canonical parser-neutral Source Graph</w:t>
        <w:br/>
        <w:t xml:space="preserve">  Resource | PresentationUnit | Division | ContentNode | ObjectNode</w:t>
        <w:br/>
        <w:t xml:space="preserve">  Representation | Relation | SourceSelector | NativeBinding</w:t>
        <w:br/>
        <w:t xml:space="preserve">  FactSource | ProcessingActivity | ArtifactDescriptor</w:t>
        <w:br/>
        <w:t xml:space="preserve">            │</w:t>
        <w:br/>
        <w:t xml:space="preserve">            ├──────────────► Provenance Address Resolver</w:t>
        <w:br/>
        <w:t xml:space="preserve">            │                  strong immutable addresses</w:t>
        <w:br/>
        <w:t xml:space="preserve">            │                  logical/version-aware addresses</w:t>
        <w:br/>
        <w:t xml:space="preserve">            │</w:t>
        <w:br/>
        <w:t xml:space="preserve">            ▼</w:t>
        <w:br/>
        <w:t>Adaptive non-copying Segmentation Views</w:t>
        <w:br/>
        <w:t xml:space="preserve">  Docling hierarchical | paragraph | sentence | semantic | fixed</w:t>
        <w:br/>
        <w:t xml:space="preserve">  parent-child | neighbour | relation-expanded | future chunkers</w:t>
        <w:br/>
        <w:t xml:space="preserve">            │</w:t>
        <w:br/>
        <w:t xml:space="preserve">            ▼</w:t>
        <w:br/>
        <w:t>Downstream consumers</w:t>
        <w:br/>
        <w:t xml:space="preserve">  DataForge QA/KU | RAG retrieval | optional semantic graph projections</w:t>
        <w:br/>
        <w:t xml:space="preserve">  query-time view routing and result fusion</w:t>
      </w:r>
    </w:p>
    <w:p>
      <w:pPr>
        <w:pStyle w:val="Heading2"/>
      </w:pPr>
      <w:r>
        <w:t>4.1 Platform foundation</w:t>
      </w:r>
    </w:p>
    <w:p>
      <w:r>
        <w:t>Storage and Jobs remain important Cognityx value additions, but this focused plan assumes their contracts already exist. Storage owns immutable blobs, content addressing, physical deduplication, retention and safe cleanup. Jobs owns background execution, progress, retries, cancellation and durable activity events. Ingest stores only logical references to those facilities.</w:t>
      </w:r>
    </w:p>
    <w:p>
      <w:pPr>
        <w:pStyle w:val="Heading2"/>
      </w:pPr>
      <w:r>
        <w:t>4.2 Parser capability intelligence</w:t>
      </w:r>
    </w:p>
    <w:p>
      <w:r>
        <w:t>The capability subsystem answers what each parser can do, under what configuration, for which document and object types, at what measured quality and cost. It is versioned independently from the document graph.</w:t>
      </w:r>
    </w:p>
    <w:p>
      <w:pPr>
        <w:pStyle w:val="Heading2"/>
      </w:pPr>
      <w:r>
        <w:t>4.3 Parser execution and native artifacts</w:t>
      </w:r>
    </w:p>
    <w:p>
      <w:r>
        <w:t>Each selected parser produces one extraction artifact identified by source hash, parser identity, parser version, model/version, configuration hash and scope. The complete native artifact is stored once and referenced by all later stages. The adapter additionally emits a normalized observation manifest, but does not discard native content.</w:t>
      </w:r>
    </w:p>
    <w:p>
      <w:pPr>
        <w:pStyle w:val="Heading2"/>
      </w:pPr>
      <w:r>
        <w:t>4.4 Canonical overlay</w:t>
      </w:r>
    </w:p>
    <w:p>
      <w:r>
        <w:t>The canonical overlay provides stable concepts required by downstream applications. It is deliberately smaller than the union of all parser schemas. Unknown or parser-specific fields remain reachable through native pointers. A canonical record may select text from one parser, geometry from another and object type from a third, with each field carrying its own FactSource.</w:t>
      </w:r>
    </w:p>
    <w:p>
      <w:pPr>
        <w:pStyle w:val="Heading2"/>
      </w:pPr>
      <w:r>
        <w:t>4.5 Adaptive view and address services</w:t>
      </w:r>
    </w:p>
    <w:p>
      <w:r>
        <w:t>Views materialize ordered references, node IDs and character ranges, not copied text. Multiple segmentation strategies can coexist over one canonical source graph. The provenance-address resolver converts stable logical or immutable addresses into exact node spans, objects and selectors. Query-time retrieval fusion is downstream because it depends on the user query, embedding model, reranker and generator budget.</w:t>
      </w:r>
    </w:p>
    <w:p>
      <w:pPr>
        <w:pStyle w:val="Heading1"/>
      </w:pPr>
      <w:r>
        <w:t>5. Generalized parser-neutral schema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8"/>
            <w:vAlign w:val="center"/>
            <w:tcMar>
              <w:top w:w="80" w:type="dxa"/>
              <w:start w:w="80" w:type="dxa"/>
              <w:bottom w:w="80" w:type="dxa"/>
              <w:end w:w="80" w:type="dxa"/>
            </w:tcMar>
          </w:tcPr>
          <w:p>
            <w:pPr>
              <w:keepLines/>
            </w:pPr>
            <w:r>
              <w:rPr>
                <w:b/>
                <w:color w:val="FFFFFF"/>
                <w:sz w:val="16"/>
              </w:rPr>
              <w:t>Record</w:t>
            </w:r>
          </w:p>
        </w:tc>
        <w:tc>
          <w:tcPr>
            <w:tcW w:type="dxa" w:w="7920"/>
            <w:shd w:fill="1F4E78"/>
            <w:vAlign w:val="center"/>
            <w:tcMar>
              <w:top w:w="80" w:type="dxa"/>
              <w:start w:w="80" w:type="dxa"/>
              <w:bottom w:w="80" w:type="dxa"/>
              <w:end w:w="80" w:type="dxa"/>
            </w:tcMar>
          </w:tcPr>
          <w:p>
            <w:pPr>
              <w:keepLines/>
            </w:pPr>
            <w:r>
              <w:rPr>
                <w:b/>
                <w:color w:val="FFFFFF"/>
                <w:sz w:val="16"/>
              </w:rPr>
              <w:t>Purpose</w:t>
            </w:r>
          </w:p>
        </w:tc>
      </w:tr>
      <w:tr>
        <w:tc>
          <w:tcPr>
            <w:tcW w:type="dxa" w:w="2448"/>
            <w:vAlign w:val="top"/>
            <w:tcMar>
              <w:top w:w="80" w:type="dxa"/>
              <w:start w:w="80" w:type="dxa"/>
              <w:bottom w:w="80" w:type="dxa"/>
              <w:end w:w="80" w:type="dxa"/>
            </w:tcMar>
          </w:tcPr>
          <w:p>
            <w:pPr>
              <w:keepLines/>
              <w:spacing w:after="0"/>
            </w:pPr>
            <w:r>
              <w:rPr>
                <w:sz w:val="16"/>
              </w:rPr>
              <w:t>Resource</w:t>
            </w:r>
          </w:p>
        </w:tc>
        <w:tc>
          <w:tcPr>
            <w:tcW w:type="dxa" w:w="7920"/>
            <w:vAlign w:val="top"/>
            <w:tcMar>
              <w:top w:w="80" w:type="dxa"/>
              <w:start w:w="80" w:type="dxa"/>
              <w:bottom w:w="80" w:type="dxa"/>
              <w:end w:w="80" w:type="dxa"/>
            </w:tcMar>
          </w:tcPr>
          <w:p>
            <w:pPr>
              <w:keepLines/>
              <w:spacing w:after="0"/>
            </w:pPr>
            <w:r>
              <w:rPr>
                <w:sz w:val="16"/>
              </w:rPr>
              <w:t>Logical document or media identity, SourceAsset, content hash, format, version, language, classification and aliases.</w:t>
            </w:r>
          </w:p>
        </w:tc>
      </w:tr>
      <w:tr>
        <w:tc>
          <w:tcPr>
            <w:tcW w:type="dxa" w:w="2448"/>
            <w:vAlign w:val="top"/>
            <w:tcMar>
              <w:top w:w="80" w:type="dxa"/>
              <w:start w:w="80" w:type="dxa"/>
              <w:bottom w:w="80" w:type="dxa"/>
              <w:end w:w="80" w:type="dxa"/>
            </w:tcMar>
          </w:tcPr>
          <w:p>
            <w:pPr>
              <w:keepLines/>
              <w:spacing w:after="0"/>
            </w:pPr>
            <w:r>
              <w:rPr>
                <w:sz w:val="16"/>
              </w:rPr>
              <w:t>PresentationUnit</w:t>
            </w:r>
          </w:p>
        </w:tc>
        <w:tc>
          <w:tcPr>
            <w:tcW w:type="dxa" w:w="7920"/>
            <w:vAlign w:val="top"/>
            <w:tcMar>
              <w:top w:w="80" w:type="dxa"/>
              <w:start w:w="80" w:type="dxa"/>
              <w:bottom w:w="80" w:type="dxa"/>
              <w:end w:w="80" w:type="dxa"/>
            </w:tcMar>
          </w:tcPr>
          <w:p>
            <w:pPr>
              <w:keepLines/>
              <w:spacing w:after="0"/>
            </w:pPr>
            <w:r>
              <w:rPr>
                <w:sz w:val="16"/>
              </w:rPr>
              <w:t>Physical or temporal location: page, slide, sheet, canvas, frame, scene, track or time range.</w:t>
            </w:r>
          </w:p>
        </w:tc>
      </w:tr>
      <w:tr>
        <w:tc>
          <w:tcPr>
            <w:tcW w:type="dxa" w:w="2448"/>
            <w:vAlign w:val="top"/>
            <w:tcMar>
              <w:top w:w="80" w:type="dxa"/>
              <w:start w:w="80" w:type="dxa"/>
              <w:bottom w:w="80" w:type="dxa"/>
              <w:end w:w="80" w:type="dxa"/>
            </w:tcMar>
          </w:tcPr>
          <w:p>
            <w:pPr>
              <w:keepLines/>
              <w:spacing w:after="0"/>
            </w:pPr>
            <w:r>
              <w:rPr>
                <w:sz w:val="16"/>
              </w:rPr>
              <w:t>Division</w:t>
            </w:r>
          </w:p>
        </w:tc>
        <w:tc>
          <w:tcPr>
            <w:tcW w:type="dxa" w:w="7920"/>
            <w:vAlign w:val="top"/>
            <w:tcMar>
              <w:top w:w="80" w:type="dxa"/>
              <w:start w:w="80" w:type="dxa"/>
              <w:bottom w:w="80" w:type="dxa"/>
              <w:end w:w="80" w:type="dxa"/>
            </w:tcMar>
          </w:tcPr>
          <w:p>
            <w:pPr>
              <w:keepLines/>
              <w:spacing w:after="0"/>
            </w:pPr>
            <w:r>
              <w:rPr>
                <w:sz w:val="16"/>
              </w:rPr>
              <w:t>Logical grouping independent of presentation boundaries. Stores division_role, hierarchy, direct node segments, children and subtree boundaries.</w:t>
            </w:r>
          </w:p>
        </w:tc>
      </w:tr>
      <w:tr>
        <w:tc>
          <w:tcPr>
            <w:tcW w:type="dxa" w:w="2448"/>
            <w:vAlign w:val="top"/>
            <w:tcMar>
              <w:top w:w="80" w:type="dxa"/>
              <w:start w:w="80" w:type="dxa"/>
              <w:bottom w:w="80" w:type="dxa"/>
              <w:end w:w="80" w:type="dxa"/>
            </w:tcMar>
          </w:tcPr>
          <w:p>
            <w:pPr>
              <w:keepLines/>
              <w:spacing w:after="0"/>
            </w:pPr>
            <w:r>
              <w:rPr>
                <w:sz w:val="16"/>
              </w:rPr>
              <w:t>ContentNode</w:t>
            </w:r>
          </w:p>
        </w:tc>
        <w:tc>
          <w:tcPr>
            <w:tcW w:type="dxa" w:w="7920"/>
            <w:vAlign w:val="top"/>
            <w:tcMar>
              <w:top w:w="80" w:type="dxa"/>
              <w:start w:w="80" w:type="dxa"/>
              <w:bottom w:w="80" w:type="dxa"/>
              <w:end w:w="80" w:type="dxa"/>
            </w:tcMar>
          </w:tcPr>
          <w:p>
            <w:pPr>
              <w:keepLines/>
              <w:spacing w:after="0"/>
            </w:pPr>
            <w:r>
              <w:rPr>
                <w:sz w:val="16"/>
              </w:rPr>
              <w:t>Small stable semantic source unit. Durable canonical text is stored once here or through one canonical content reference.</w:t>
            </w:r>
          </w:p>
        </w:tc>
      </w:tr>
      <w:tr>
        <w:tc>
          <w:tcPr>
            <w:tcW w:type="dxa" w:w="2448"/>
            <w:vAlign w:val="top"/>
            <w:tcMar>
              <w:top w:w="80" w:type="dxa"/>
              <w:start w:w="80" w:type="dxa"/>
              <w:bottom w:w="80" w:type="dxa"/>
              <w:end w:w="80" w:type="dxa"/>
            </w:tcMar>
          </w:tcPr>
          <w:p>
            <w:pPr>
              <w:keepLines/>
              <w:spacing w:after="0"/>
            </w:pPr>
            <w:r>
              <w:rPr>
                <w:sz w:val="16"/>
              </w:rPr>
              <w:t>ObjectNode</w:t>
            </w:r>
          </w:p>
        </w:tc>
        <w:tc>
          <w:tcPr>
            <w:tcW w:type="dxa" w:w="7920"/>
            <w:vAlign w:val="top"/>
            <w:tcMar>
              <w:top w:w="80" w:type="dxa"/>
              <w:start w:w="80" w:type="dxa"/>
              <w:bottom w:w="80" w:type="dxa"/>
              <w:end w:w="80" w:type="dxa"/>
            </w:tcMar>
          </w:tcPr>
          <w:p>
            <w:pPr>
              <w:keepLines/>
              <w:spacing w:after="0"/>
            </w:pPr>
            <w:r>
              <w:rPr>
                <w:sz w:val="16"/>
              </w:rPr>
              <w:t>Logical table, figure, chart, form, formula, diagram, code object, signature, seal, stamp, watermark, audio/video segment or future object.</w:t>
            </w:r>
          </w:p>
        </w:tc>
      </w:tr>
      <w:tr>
        <w:tc>
          <w:tcPr>
            <w:tcW w:type="dxa" w:w="2448"/>
            <w:vAlign w:val="top"/>
            <w:tcMar>
              <w:top w:w="80" w:type="dxa"/>
              <w:start w:w="80" w:type="dxa"/>
              <w:bottom w:w="80" w:type="dxa"/>
              <w:end w:w="80" w:type="dxa"/>
            </w:tcMar>
          </w:tcPr>
          <w:p>
            <w:pPr>
              <w:keepLines/>
              <w:spacing w:after="0"/>
            </w:pPr>
            <w:r>
              <w:rPr>
                <w:sz w:val="16"/>
              </w:rPr>
              <w:t>Representation</w:t>
            </w:r>
          </w:p>
        </w:tc>
        <w:tc>
          <w:tcPr>
            <w:tcW w:type="dxa" w:w="7920"/>
            <w:vAlign w:val="top"/>
            <w:tcMar>
              <w:top w:w="80" w:type="dxa"/>
              <w:start w:w="80" w:type="dxa"/>
              <w:bottom w:w="80" w:type="dxa"/>
              <w:end w:w="80" w:type="dxa"/>
            </w:tcMar>
          </w:tcPr>
          <w:p>
            <w:pPr>
              <w:keepLines/>
              <w:spacing w:after="0"/>
            </w:pPr>
            <w:r>
              <w:rPr>
                <w:sz w:val="16"/>
              </w:rPr>
              <w:t>OCR, ASR, handwriting transcription, MLLM description, chart data, table structure or another derived meaning of a node/object.</w:t>
            </w:r>
          </w:p>
        </w:tc>
      </w:tr>
      <w:tr>
        <w:tc>
          <w:tcPr>
            <w:tcW w:type="dxa" w:w="2448"/>
            <w:vAlign w:val="top"/>
            <w:tcMar>
              <w:top w:w="80" w:type="dxa"/>
              <w:start w:w="80" w:type="dxa"/>
              <w:bottom w:w="80" w:type="dxa"/>
              <w:end w:w="80" w:type="dxa"/>
            </w:tcMar>
          </w:tcPr>
          <w:p>
            <w:pPr>
              <w:keepLines/>
              <w:spacing w:after="0"/>
            </w:pPr>
            <w:r>
              <w:rPr>
                <w:sz w:val="16"/>
              </w:rPr>
              <w:t>Relation</w:t>
            </w:r>
          </w:p>
        </w:tc>
        <w:tc>
          <w:tcPr>
            <w:tcW w:type="dxa" w:w="7920"/>
            <w:vAlign w:val="top"/>
            <w:tcMar>
              <w:top w:w="80" w:type="dxa"/>
              <w:start w:w="80" w:type="dxa"/>
              <w:bottom w:w="80" w:type="dxa"/>
              <w:end w:w="80" w:type="dxa"/>
            </w:tcMar>
          </w:tcPr>
          <w:p>
            <w:pPr>
              <w:keepLines/>
              <w:spacing w:after="0"/>
            </w:pPr>
            <w:r>
              <w:rPr>
                <w:sz w:val="16"/>
              </w:rPr>
              <w:t>Observed, deterministic, proposed, accepted, rejected, ambiguous or unresolved relationship among resources, divisions, nodes, objects and versions.</w:t>
            </w:r>
          </w:p>
        </w:tc>
      </w:tr>
      <w:tr>
        <w:tc>
          <w:tcPr>
            <w:tcW w:type="dxa" w:w="2448"/>
            <w:vAlign w:val="top"/>
            <w:tcMar>
              <w:top w:w="80" w:type="dxa"/>
              <w:start w:w="80" w:type="dxa"/>
              <w:bottom w:w="80" w:type="dxa"/>
              <w:end w:w="80" w:type="dxa"/>
            </w:tcMar>
          </w:tcPr>
          <w:p>
            <w:pPr>
              <w:keepLines/>
              <w:spacing w:after="0"/>
            </w:pPr>
            <w:r>
              <w:rPr>
                <w:sz w:val="16"/>
              </w:rPr>
              <w:t>SourceSelector</w:t>
            </w:r>
          </w:p>
        </w:tc>
        <w:tc>
          <w:tcPr>
            <w:tcW w:type="dxa" w:w="7920"/>
            <w:vAlign w:val="top"/>
            <w:tcMar>
              <w:top w:w="80" w:type="dxa"/>
              <w:start w:w="80" w:type="dxa"/>
              <w:bottom w:w="80" w:type="dxa"/>
              <w:end w:w="80" w:type="dxa"/>
            </w:tcMar>
          </w:tcPr>
          <w:p>
            <w:pPr>
              <w:keepLines/>
              <w:spacing w:after="0"/>
            </w:pPr>
            <w:r>
              <w:rPr>
                <w:sz w:val="16"/>
              </w:rPr>
              <w:t>Exact source location using format-appropriate selectors and ranges.</w:t>
            </w:r>
          </w:p>
        </w:tc>
      </w:tr>
      <w:tr>
        <w:tc>
          <w:tcPr>
            <w:tcW w:type="dxa" w:w="2448"/>
            <w:vAlign w:val="top"/>
            <w:tcMar>
              <w:top w:w="80" w:type="dxa"/>
              <w:start w:w="80" w:type="dxa"/>
              <w:bottom w:w="80" w:type="dxa"/>
              <w:end w:w="80" w:type="dxa"/>
            </w:tcMar>
          </w:tcPr>
          <w:p>
            <w:pPr>
              <w:keepLines/>
              <w:spacing w:after="0"/>
            </w:pPr>
            <w:r>
              <w:rPr>
                <w:sz w:val="16"/>
              </w:rPr>
              <w:t>NativeArtifact</w:t>
            </w:r>
          </w:p>
        </w:tc>
        <w:tc>
          <w:tcPr>
            <w:tcW w:type="dxa" w:w="7920"/>
            <w:vAlign w:val="top"/>
            <w:tcMar>
              <w:top w:w="80" w:type="dxa"/>
              <w:start w:w="80" w:type="dxa"/>
              <w:bottom w:w="80" w:type="dxa"/>
              <w:end w:w="80" w:type="dxa"/>
            </w:tcMar>
          </w:tcPr>
          <w:p>
            <w:pPr>
              <w:keepLines/>
              <w:spacing w:after="0"/>
            </w:pPr>
            <w:r>
              <w:rPr>
                <w:sz w:val="16"/>
              </w:rPr>
              <w:t>One complete parser-native output stored once per extraction identity.</w:t>
            </w:r>
          </w:p>
        </w:tc>
      </w:tr>
      <w:tr>
        <w:tc>
          <w:tcPr>
            <w:tcW w:type="dxa" w:w="2448"/>
            <w:vAlign w:val="top"/>
            <w:tcMar>
              <w:top w:w="80" w:type="dxa"/>
              <w:start w:w="80" w:type="dxa"/>
              <w:bottom w:w="80" w:type="dxa"/>
              <w:end w:w="80" w:type="dxa"/>
            </w:tcMar>
          </w:tcPr>
          <w:p>
            <w:pPr>
              <w:keepLines/>
              <w:spacing w:after="0"/>
            </w:pPr>
            <w:r>
              <w:rPr>
                <w:sz w:val="16"/>
              </w:rPr>
              <w:t>NativeBinding</w:t>
            </w:r>
          </w:p>
        </w:tc>
        <w:tc>
          <w:tcPr>
            <w:tcW w:type="dxa" w:w="7920"/>
            <w:vAlign w:val="top"/>
            <w:tcMar>
              <w:top w:w="80" w:type="dxa"/>
              <w:start w:w="80" w:type="dxa"/>
              <w:bottom w:w="80" w:type="dxa"/>
              <w:end w:w="80" w:type="dxa"/>
            </w:tcMar>
          </w:tcPr>
          <w:p>
            <w:pPr>
              <w:keepLines/>
              <w:spacing w:after="0"/>
            </w:pPr>
            <w:r>
              <w:rPr>
                <w:sz w:val="16"/>
              </w:rPr>
              <w:t>Parser artifact ID, parser schema/version and native JSON/object pointer corresponding to a canonical item or field.</w:t>
            </w:r>
          </w:p>
        </w:tc>
      </w:tr>
      <w:tr>
        <w:tc>
          <w:tcPr>
            <w:tcW w:type="dxa" w:w="2448"/>
            <w:vAlign w:val="top"/>
            <w:tcMar>
              <w:top w:w="80" w:type="dxa"/>
              <w:start w:w="80" w:type="dxa"/>
              <w:bottom w:w="80" w:type="dxa"/>
              <w:end w:w="80" w:type="dxa"/>
            </w:tcMar>
          </w:tcPr>
          <w:p>
            <w:pPr>
              <w:keepLines/>
              <w:spacing w:after="0"/>
            </w:pPr>
            <w:r>
              <w:rPr>
                <w:sz w:val="16"/>
              </w:rPr>
              <w:t>FactSource</w:t>
            </w:r>
          </w:p>
        </w:tc>
        <w:tc>
          <w:tcPr>
            <w:tcW w:type="dxa" w:w="7920"/>
            <w:vAlign w:val="top"/>
            <w:tcMar>
              <w:top w:w="80" w:type="dxa"/>
              <w:start w:w="80" w:type="dxa"/>
              <w:bottom w:w="80" w:type="dxa"/>
              <w:end w:w="80" w:type="dxa"/>
            </w:tcMar>
          </w:tcPr>
          <w:p>
            <w:pPr>
              <w:keepLines/>
              <w:spacing w:after="0"/>
            </w:pPr>
            <w:r>
              <w:rPr>
                <w:sz w:val="16"/>
              </w:rPr>
              <w:t>Backend/model, version, method, confidence/quality, native binding, competing values and selection rule for one canonical field.</w:t>
            </w:r>
          </w:p>
        </w:tc>
      </w:tr>
      <w:tr>
        <w:tc>
          <w:tcPr>
            <w:tcW w:type="dxa" w:w="2448"/>
            <w:vAlign w:val="top"/>
            <w:tcMar>
              <w:top w:w="80" w:type="dxa"/>
              <w:start w:w="80" w:type="dxa"/>
              <w:bottom w:w="80" w:type="dxa"/>
              <w:end w:w="80" w:type="dxa"/>
            </w:tcMar>
          </w:tcPr>
          <w:p>
            <w:pPr>
              <w:keepLines/>
              <w:spacing w:after="0"/>
            </w:pPr>
            <w:r>
              <w:rPr>
                <w:sz w:val="16"/>
              </w:rPr>
              <w:t>ProcessingActivity</w:t>
            </w:r>
          </w:p>
        </w:tc>
        <w:tc>
          <w:tcPr>
            <w:tcW w:type="dxa" w:w="7920"/>
            <w:vAlign w:val="top"/>
            <w:tcMar>
              <w:top w:w="80" w:type="dxa"/>
              <w:start w:w="80" w:type="dxa"/>
              <w:bottom w:w="80" w:type="dxa"/>
              <w:end w:w="80" w:type="dxa"/>
            </w:tcMar>
          </w:tcPr>
          <w:p>
            <w:pPr>
              <w:keepLines/>
              <w:spacing w:after="0"/>
            </w:pPr>
            <w:r>
              <w:rPr>
                <w:sz w:val="16"/>
              </w:rPr>
              <w:t>Parser/model/version/configuration, run/job IDs, inputs, outputs, timings, costs and derivation history.</w:t>
            </w:r>
          </w:p>
        </w:tc>
      </w:tr>
      <w:tr>
        <w:tc>
          <w:tcPr>
            <w:tcW w:type="dxa" w:w="2448"/>
            <w:vAlign w:val="top"/>
            <w:tcMar>
              <w:top w:w="80" w:type="dxa"/>
              <w:start w:w="80" w:type="dxa"/>
              <w:bottom w:w="80" w:type="dxa"/>
              <w:end w:w="80" w:type="dxa"/>
            </w:tcMar>
          </w:tcPr>
          <w:p>
            <w:pPr>
              <w:keepLines/>
              <w:spacing w:after="0"/>
            </w:pPr>
            <w:r>
              <w:rPr>
                <w:sz w:val="16"/>
              </w:rPr>
              <w:t>ArtifactDescriptor</w:t>
            </w:r>
          </w:p>
        </w:tc>
        <w:tc>
          <w:tcPr>
            <w:tcW w:type="dxa" w:w="7920"/>
            <w:vAlign w:val="top"/>
            <w:tcMar>
              <w:top w:w="80" w:type="dxa"/>
              <w:start w:w="80" w:type="dxa"/>
              <w:bottom w:w="80" w:type="dxa"/>
              <w:end w:w="80" w:type="dxa"/>
            </w:tcMar>
          </w:tcPr>
          <w:p>
            <w:pPr>
              <w:keepLines/>
              <w:spacing w:after="0"/>
            </w:pPr>
            <w:r>
              <w:rPr>
                <w:sz w:val="16"/>
              </w:rPr>
              <w:t>Artifact URI, media type, hash, retention policy, legal hold, lifecycle state and tombstone.</w:t>
            </w:r>
          </w:p>
        </w:tc>
      </w:tr>
      <w:tr>
        <w:tc>
          <w:tcPr>
            <w:tcW w:type="dxa" w:w="2448"/>
            <w:vAlign w:val="top"/>
            <w:tcMar>
              <w:top w:w="80" w:type="dxa"/>
              <w:start w:w="80" w:type="dxa"/>
              <w:bottom w:w="80" w:type="dxa"/>
              <w:end w:w="80" w:type="dxa"/>
            </w:tcMar>
          </w:tcPr>
          <w:p>
            <w:pPr>
              <w:keepLines/>
              <w:spacing w:after="0"/>
            </w:pPr>
            <w:r>
              <w:rPr>
                <w:sz w:val="16"/>
              </w:rPr>
              <w:t>CapabilityProfile</w:t>
            </w:r>
          </w:p>
        </w:tc>
        <w:tc>
          <w:tcPr>
            <w:tcW w:type="dxa" w:w="7920"/>
            <w:vAlign w:val="top"/>
            <w:tcMar>
              <w:top w:w="80" w:type="dxa"/>
              <w:start w:w="80" w:type="dxa"/>
              <w:bottom w:w="80" w:type="dxa"/>
              <w:end w:w="80" w:type="dxa"/>
            </w:tcMar>
          </w:tcPr>
          <w:p>
            <w:pPr>
              <w:keepLines/>
              <w:spacing w:after="0"/>
            </w:pPr>
            <w:r>
              <w:rPr>
                <w:sz w:val="16"/>
              </w:rPr>
              <w:t>Versioned capabilities for parsers, chunkers and graph adapters, preserving discovered, human-guided and auto-learned evidence.</w:t>
            </w:r>
          </w:p>
        </w:tc>
      </w:tr>
      <w:tr>
        <w:tc>
          <w:tcPr>
            <w:tcW w:type="dxa" w:w="2448"/>
            <w:vAlign w:val="top"/>
            <w:tcMar>
              <w:top w:w="80" w:type="dxa"/>
              <w:start w:w="80" w:type="dxa"/>
              <w:bottom w:w="80" w:type="dxa"/>
              <w:end w:w="80" w:type="dxa"/>
            </w:tcMar>
          </w:tcPr>
          <w:p>
            <w:pPr>
              <w:keepLines/>
              <w:spacing w:after="0"/>
            </w:pPr>
            <w:r>
              <w:rPr>
                <w:sz w:val="16"/>
              </w:rPr>
              <w:t>ScopeView</w:t>
            </w:r>
          </w:p>
        </w:tc>
        <w:tc>
          <w:tcPr>
            <w:tcW w:type="dxa" w:w="7920"/>
            <w:vAlign w:val="top"/>
            <w:tcMar>
              <w:top w:w="80" w:type="dxa"/>
              <w:start w:w="80" w:type="dxa"/>
              <w:bottom w:w="80" w:type="dxa"/>
              <w:end w:w="80" w:type="dxa"/>
            </w:tcMar>
          </w:tcPr>
          <w:p>
            <w:pPr>
              <w:keepLines/>
              <w:spacing w:after="0"/>
            </w:pPr>
            <w:r>
              <w:rPr>
                <w:sz w:val="16"/>
              </w:rPr>
              <w:t>Direct, subtree, paragraph, semantic-node, object or relation-expanded ordered references.</w:t>
            </w:r>
          </w:p>
        </w:tc>
      </w:tr>
      <w:tr>
        <w:tc>
          <w:tcPr>
            <w:tcW w:type="dxa" w:w="2448"/>
            <w:vAlign w:val="top"/>
            <w:tcMar>
              <w:top w:w="80" w:type="dxa"/>
              <w:start w:w="80" w:type="dxa"/>
              <w:bottom w:w="80" w:type="dxa"/>
              <w:end w:w="80" w:type="dxa"/>
            </w:tcMar>
          </w:tcPr>
          <w:p>
            <w:pPr>
              <w:keepLines/>
              <w:spacing w:after="0"/>
            </w:pPr>
            <w:r>
              <w:rPr>
                <w:sz w:val="16"/>
              </w:rPr>
              <w:t>SegmentationStrategy</w:t>
            </w:r>
          </w:p>
        </w:tc>
        <w:tc>
          <w:tcPr>
            <w:tcW w:type="dxa" w:w="7920"/>
            <w:vAlign w:val="top"/>
            <w:tcMar>
              <w:top w:w="80" w:type="dxa"/>
              <w:start w:w="80" w:type="dxa"/>
              <w:bottom w:w="80" w:type="dxa"/>
              <w:end w:w="80" w:type="dxa"/>
            </w:tcMar>
          </w:tcPr>
          <w:p>
            <w:pPr>
              <w:keepLines/>
              <w:spacing w:after="0"/>
            </w:pPr>
            <w:r>
              <w:rPr>
                <w:sz w:val="16"/>
              </w:rPr>
              <w:t>Chunker/plugin identity, capabilities, parameters, tokenizer assumptions, scope and generation policy.</w:t>
            </w:r>
          </w:p>
        </w:tc>
      </w:tr>
      <w:tr>
        <w:tc>
          <w:tcPr>
            <w:tcW w:type="dxa" w:w="2448"/>
            <w:vAlign w:val="top"/>
            <w:tcMar>
              <w:top w:w="80" w:type="dxa"/>
              <w:start w:w="80" w:type="dxa"/>
              <w:bottom w:w="80" w:type="dxa"/>
              <w:end w:w="80" w:type="dxa"/>
            </w:tcMar>
          </w:tcPr>
          <w:p>
            <w:pPr>
              <w:keepLines/>
              <w:spacing w:after="0"/>
            </w:pPr>
            <w:r>
              <w:rPr>
                <w:sz w:val="16"/>
              </w:rPr>
              <w:t>SegmentationView</w:t>
            </w:r>
          </w:p>
        </w:tc>
        <w:tc>
          <w:tcPr>
            <w:tcW w:type="dxa" w:w="7920"/>
            <w:vAlign w:val="top"/>
            <w:tcMar>
              <w:top w:w="80" w:type="dxa"/>
              <w:start w:w="80" w:type="dxa"/>
              <w:bottom w:w="80" w:type="dxa"/>
              <w:end w:w="80" w:type="dxa"/>
            </w:tcMar>
          </w:tcPr>
          <w:p>
            <w:pPr>
              <w:keepLines/>
              <w:spacing w:after="0"/>
            </w:pPr>
            <w:r>
              <w:rPr>
                <w:sz w:val="16"/>
              </w:rPr>
              <w:t>One strategy-specific set of ordered node spans, hierarchy/context metadata and token counts without duplicated text.</w:t>
            </w:r>
          </w:p>
        </w:tc>
      </w:tr>
      <w:tr>
        <w:tc>
          <w:tcPr>
            <w:tcW w:type="dxa" w:w="2448"/>
            <w:vAlign w:val="top"/>
            <w:tcMar>
              <w:top w:w="80" w:type="dxa"/>
              <w:start w:w="80" w:type="dxa"/>
              <w:bottom w:w="80" w:type="dxa"/>
              <w:end w:w="80" w:type="dxa"/>
            </w:tcMar>
          </w:tcPr>
          <w:p>
            <w:pPr>
              <w:keepLines/>
              <w:spacing w:after="0"/>
            </w:pPr>
            <w:r>
              <w:rPr>
                <w:sz w:val="16"/>
              </w:rPr>
              <w:t>ViewBinding</w:t>
            </w:r>
          </w:p>
        </w:tc>
        <w:tc>
          <w:tcPr>
            <w:tcW w:type="dxa" w:w="7920"/>
            <w:vAlign w:val="top"/>
            <w:tcMar>
              <w:top w:w="80" w:type="dxa"/>
              <w:start w:w="80" w:type="dxa"/>
              <w:bottom w:w="80" w:type="dxa"/>
              <w:end w:w="80" w:type="dxa"/>
            </w:tcMar>
          </w:tcPr>
          <w:p>
            <w:pPr>
              <w:keepLines/>
              <w:spacing w:after="0"/>
            </w:pPr>
            <w:r>
              <w:rPr>
                <w:sz w:val="16"/>
              </w:rPr>
              <w:t>Maps a segment or retrieved result to canonical nodes, objects and selectors, including one-to-many relationships.</w:t>
            </w:r>
          </w:p>
        </w:tc>
      </w:tr>
      <w:tr>
        <w:tc>
          <w:tcPr>
            <w:tcW w:type="dxa" w:w="2448"/>
            <w:vAlign w:val="top"/>
            <w:tcMar>
              <w:top w:w="80" w:type="dxa"/>
              <w:start w:w="80" w:type="dxa"/>
              <w:bottom w:w="80" w:type="dxa"/>
              <w:end w:w="80" w:type="dxa"/>
            </w:tcMar>
          </w:tcPr>
          <w:p>
            <w:pPr>
              <w:keepLines/>
              <w:spacing w:after="0"/>
            </w:pPr>
            <w:r>
              <w:rPr>
                <w:sz w:val="16"/>
              </w:rPr>
              <w:t>ContextAssemblyPlan</w:t>
            </w:r>
          </w:p>
        </w:tc>
        <w:tc>
          <w:tcPr>
            <w:tcW w:type="dxa" w:w="7920"/>
            <w:vAlign w:val="top"/>
            <w:tcMar>
              <w:top w:w="80" w:type="dxa"/>
              <w:start w:w="80" w:type="dxa"/>
              <w:bottom w:w="80" w:type="dxa"/>
              <w:end w:w="80" w:type="dxa"/>
            </w:tcMar>
          </w:tcPr>
          <w:p>
            <w:pPr>
              <w:keepLines/>
              <w:spacing w:after="0"/>
            </w:pPr>
            <w:r>
              <w:rPr>
                <w:sz w:val="16"/>
              </w:rPr>
              <w:t>Query/task-specific selected views, retrieval results, rank-fusion decisions, expansions, deduplication and token-budget decisions.</w:t>
            </w:r>
          </w:p>
        </w:tc>
      </w:tr>
      <w:tr>
        <w:tc>
          <w:tcPr>
            <w:tcW w:type="dxa" w:w="2448"/>
            <w:vAlign w:val="top"/>
            <w:tcMar>
              <w:top w:w="80" w:type="dxa"/>
              <w:start w:w="80" w:type="dxa"/>
              <w:bottom w:w="80" w:type="dxa"/>
              <w:end w:w="80" w:type="dxa"/>
            </w:tcMar>
          </w:tcPr>
          <w:p>
            <w:pPr>
              <w:keepLines/>
              <w:spacing w:after="0"/>
            </w:pPr>
            <w:r>
              <w:rPr>
                <w:sz w:val="16"/>
              </w:rPr>
              <w:t>GraphProjectionDescriptor</w:t>
            </w:r>
          </w:p>
        </w:tc>
        <w:tc>
          <w:tcPr>
            <w:tcW w:type="dxa" w:w="7920"/>
            <w:vAlign w:val="top"/>
            <w:tcMar>
              <w:top w:w="80" w:type="dxa"/>
              <w:start w:w="80" w:type="dxa"/>
              <w:bottom w:w="80" w:type="dxa"/>
              <w:end w:w="80" w:type="dxa"/>
            </w:tcMar>
          </w:tcPr>
          <w:p>
            <w:pPr>
              <w:keepLines/>
              <w:spacing w:after="0"/>
            </w:pPr>
            <w:r>
              <w:rPr>
                <w:sz w:val="16"/>
              </w:rPr>
              <w:t>Describes a derived semantic or retrieval graph, its adapter, source-graph bindings, edge support and lifecycle without making it canonical truth.</w:t>
            </w:r>
          </w:p>
        </w:tc>
      </w:tr>
      <w:tr>
        <w:tc>
          <w:tcPr>
            <w:tcW w:type="dxa" w:w="2448"/>
            <w:vAlign w:val="top"/>
            <w:tcMar>
              <w:top w:w="80" w:type="dxa"/>
              <w:start w:w="80" w:type="dxa"/>
              <w:bottom w:w="80" w:type="dxa"/>
              <w:end w:w="80" w:type="dxa"/>
            </w:tcMar>
          </w:tcPr>
          <w:p>
            <w:pPr>
              <w:keepLines/>
              <w:spacing w:after="0"/>
            </w:pPr>
            <w:r>
              <w:rPr>
                <w:sz w:val="16"/>
              </w:rPr>
              <w:t>ProvenanceAddress</w:t>
            </w:r>
          </w:p>
        </w:tc>
        <w:tc>
          <w:tcPr>
            <w:tcW w:type="dxa" w:w="7920"/>
            <w:vAlign w:val="top"/>
            <w:tcMar>
              <w:top w:w="80" w:type="dxa"/>
              <w:start w:w="80" w:type="dxa"/>
              <w:bottom w:w="80" w:type="dxa"/>
              <w:end w:w="80" w:type="dxa"/>
            </w:tcMar>
          </w:tcPr>
          <w:p>
            <w:pPr>
              <w:keepLines/>
              <w:spacing w:after="0"/>
            </w:pPr>
            <w:r>
              <w:rPr>
                <w:sz w:val="16"/>
              </w:rPr>
              <w:t>Stable structured address to a resource, division, node span, object or evidence set; supports immutable hash-bound and logical/version-aware forms.</w:t>
            </w:r>
          </w:p>
        </w:tc>
      </w:tr>
      <w:tr>
        <w:tc>
          <w:tcPr>
            <w:tcW w:type="dxa" w:w="2448"/>
            <w:vAlign w:val="top"/>
            <w:tcMar>
              <w:top w:w="80" w:type="dxa"/>
              <w:start w:w="80" w:type="dxa"/>
              <w:bottom w:w="80" w:type="dxa"/>
              <w:end w:w="80" w:type="dxa"/>
            </w:tcMar>
          </w:tcPr>
          <w:p>
            <w:pPr>
              <w:keepLines/>
              <w:spacing w:after="0"/>
            </w:pPr>
            <w:r>
              <w:rPr>
                <w:sz w:val="16"/>
              </w:rPr>
              <w:t>AddressResolution</w:t>
            </w:r>
          </w:p>
        </w:tc>
        <w:tc>
          <w:tcPr>
            <w:tcW w:type="dxa" w:w="7920"/>
            <w:vAlign w:val="top"/>
            <w:tcMar>
              <w:top w:w="80" w:type="dxa"/>
              <w:start w:w="80" w:type="dxa"/>
              <w:bottom w:w="80" w:type="dxa"/>
              <w:end w:w="80" w:type="dxa"/>
            </w:tcMar>
          </w:tcPr>
          <w:p>
            <w:pPr>
              <w:keepLines/>
              <w:spacing w:after="0"/>
            </w:pPr>
            <w:r>
              <w:rPr>
                <w:sz w:val="16"/>
              </w:rPr>
              <w:t>Resolution outcome, selected version, exact selectors, validation status, ambiguity and fallback path.</w:t>
            </w:r>
          </w:p>
        </w:tc>
      </w:tr>
    </w:tbl>
    <w:p/>
    <w:p>
      <w:pPr>
        <w:pStyle w:val="Heading2"/>
      </w:pPr>
      <w:r>
        <w:t>5.1 Division and division role</w:t>
      </w:r>
    </w:p>
    <w:p>
      <w:r>
        <w:t>Division is the central generalization that prevents the schema from becoming PDF-section-specific. A division is a logical container; its role describes meaning. New roles are vocabulary extensions, not schema changes.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8"/>
            <w:vAlign w:val="center"/>
            <w:tcMar>
              <w:top w:w="80" w:type="dxa"/>
              <w:start w:w="80" w:type="dxa"/>
              <w:bottom w:w="80" w:type="dxa"/>
              <w:end w:w="80" w:type="dxa"/>
            </w:tcMar>
          </w:tcPr>
          <w:p>
            <w:pPr>
              <w:keepLines/>
            </w:pPr>
            <w:r>
              <w:rPr>
                <w:b/>
                <w:color w:val="FFFFFF"/>
                <w:sz w:val="16"/>
              </w:rPr>
              <w:t>Dimension</w:t>
            </w:r>
          </w:p>
        </w:tc>
        <w:tc>
          <w:tcPr>
            <w:tcW w:type="dxa" w:w="7920"/>
            <w:shd w:fill="1F4E78"/>
            <w:vAlign w:val="center"/>
            <w:tcMar>
              <w:top w:w="80" w:type="dxa"/>
              <w:start w:w="80" w:type="dxa"/>
              <w:bottom w:w="80" w:type="dxa"/>
              <w:end w:w="80" w:type="dxa"/>
            </w:tcMar>
          </w:tcPr>
          <w:p>
            <w:pPr>
              <w:keepLines/>
            </w:pPr>
            <w:r>
              <w:rPr>
                <w:b/>
                <w:color w:val="FFFFFF"/>
                <w:sz w:val="16"/>
              </w:rPr>
              <w:t>Examples</w:t>
            </w:r>
          </w:p>
        </w:tc>
      </w:tr>
      <w:tr>
        <w:tc>
          <w:tcPr>
            <w:tcW w:type="dxa" w:w="2448"/>
            <w:vAlign w:val="top"/>
            <w:tcMar>
              <w:top w:w="80" w:type="dxa"/>
              <w:start w:w="80" w:type="dxa"/>
              <w:bottom w:w="80" w:type="dxa"/>
              <w:end w:w="80" w:type="dxa"/>
            </w:tcMar>
          </w:tcPr>
          <w:p>
            <w:pPr>
              <w:keepLines/>
              <w:spacing w:after="0"/>
            </w:pPr>
            <w:r>
              <w:rPr>
                <w:sz w:val="16"/>
              </w:rPr>
              <w:t>Logical roles</w:t>
            </w:r>
          </w:p>
        </w:tc>
        <w:tc>
          <w:tcPr>
            <w:tcW w:type="dxa" w:w="7920"/>
            <w:vAlign w:val="top"/>
            <w:tcMar>
              <w:top w:w="80" w:type="dxa"/>
              <w:start w:w="80" w:type="dxa"/>
              <w:bottom w:w="80" w:type="dxa"/>
              <w:end w:w="80" w:type="dxa"/>
            </w:tcMar>
          </w:tcPr>
          <w:p>
            <w:pPr>
              <w:keepLines/>
              <w:spacing w:after="0"/>
            </w:pPr>
            <w:r>
              <w:rPr>
                <w:sz w:val="16"/>
              </w:rPr>
              <w:t>part, chapter, section, subsection, clause, subclause, appendix, schedule, annexure, references, index, front matter, back matter, worksheet region, slide group, scene, track</w:t>
            </w:r>
          </w:p>
        </w:tc>
      </w:tr>
      <w:tr>
        <w:tc>
          <w:tcPr>
            <w:tcW w:type="dxa" w:w="2448"/>
            <w:vAlign w:val="top"/>
            <w:tcMar>
              <w:top w:w="80" w:type="dxa"/>
              <w:start w:w="80" w:type="dxa"/>
              <w:bottom w:w="80" w:type="dxa"/>
              <w:end w:w="80" w:type="dxa"/>
            </w:tcMar>
          </w:tcPr>
          <w:p>
            <w:pPr>
              <w:keepLines/>
              <w:spacing w:after="0"/>
            </w:pPr>
            <w:r>
              <w:rPr>
                <w:sz w:val="16"/>
              </w:rPr>
              <w:t>Direct ownership</w:t>
            </w:r>
          </w:p>
        </w:tc>
        <w:tc>
          <w:tcPr>
            <w:tcW w:type="dxa" w:w="7920"/>
            <w:vAlign w:val="top"/>
            <w:tcMar>
              <w:top w:w="80" w:type="dxa"/>
              <w:start w:w="80" w:type="dxa"/>
              <w:bottom w:w="80" w:type="dxa"/>
              <w:end w:w="80" w:type="dxa"/>
            </w:tcMar>
          </w:tcPr>
          <w:p>
            <w:pPr>
              <w:keepLines/>
              <w:spacing w:after="0"/>
            </w:pPr>
            <w:r>
              <w:rPr>
                <w:sz w:val="16"/>
              </w:rPr>
              <w:t>Each canonical node has exactly one deepest valid direct owner, document root or explicit unassigned state.</w:t>
            </w:r>
          </w:p>
        </w:tc>
      </w:tr>
      <w:tr>
        <w:tc>
          <w:tcPr>
            <w:tcW w:type="dxa" w:w="2448"/>
            <w:vAlign w:val="top"/>
            <w:tcMar>
              <w:top w:w="80" w:type="dxa"/>
              <w:start w:w="80" w:type="dxa"/>
              <w:bottom w:w="80" w:type="dxa"/>
              <w:end w:w="80" w:type="dxa"/>
            </w:tcMar>
          </w:tcPr>
          <w:p>
            <w:pPr>
              <w:keepLines/>
              <w:spacing w:after="0"/>
            </w:pPr>
            <w:r>
              <w:rPr>
                <w:sz w:val="16"/>
              </w:rPr>
              <w:t>Direct scope</w:t>
            </w:r>
          </w:p>
        </w:tc>
        <w:tc>
          <w:tcPr>
            <w:tcW w:type="dxa" w:w="7920"/>
            <w:vAlign w:val="top"/>
            <w:tcMar>
              <w:top w:w="80" w:type="dxa"/>
              <w:start w:w="80" w:type="dxa"/>
              <w:bottom w:w="80" w:type="dxa"/>
              <w:end w:w="80" w:type="dxa"/>
            </w:tcMar>
          </w:tcPr>
          <w:p>
            <w:pPr>
              <w:keepLines/>
              <w:spacing w:after="0"/>
            </w:pPr>
            <w:r>
              <w:rPr>
                <w:sz w:val="16"/>
              </w:rPr>
              <w:t>Ordered node segments owned by the division itself; may be non-contiguous around child divisions.</w:t>
            </w:r>
          </w:p>
        </w:tc>
      </w:tr>
      <w:tr>
        <w:tc>
          <w:tcPr>
            <w:tcW w:type="dxa" w:w="2448"/>
            <w:vAlign w:val="top"/>
            <w:tcMar>
              <w:top w:w="80" w:type="dxa"/>
              <w:start w:w="80" w:type="dxa"/>
              <w:bottom w:w="80" w:type="dxa"/>
              <w:end w:w="80" w:type="dxa"/>
            </w:tcMar>
          </w:tcPr>
          <w:p>
            <w:pPr>
              <w:keepLines/>
              <w:spacing w:after="0"/>
            </w:pPr>
            <w:r>
              <w:rPr>
                <w:sz w:val="16"/>
              </w:rPr>
              <w:t>Subtree scope</w:t>
            </w:r>
          </w:p>
        </w:tc>
        <w:tc>
          <w:tcPr>
            <w:tcW w:type="dxa" w:w="7920"/>
            <w:vAlign w:val="top"/>
            <w:tcMar>
              <w:top w:w="80" w:type="dxa"/>
              <w:start w:w="80" w:type="dxa"/>
              <w:bottom w:w="80" w:type="dxa"/>
              <w:end w:w="80" w:type="dxa"/>
            </w:tcMar>
          </w:tcPr>
          <w:p>
            <w:pPr>
              <w:keepLines/>
              <w:spacing w:after="0"/>
            </w:pPr>
            <w:r>
              <w:rPr>
                <w:sz w:val="16"/>
              </w:rPr>
              <w:t>Division direct content plus descendants resolved through hierarchy and order; never copied into the parent.</w:t>
            </w:r>
          </w:p>
        </w:tc>
      </w:tr>
      <w:tr>
        <w:tc>
          <w:tcPr>
            <w:tcW w:type="dxa" w:w="2448"/>
            <w:vAlign w:val="top"/>
            <w:tcMar>
              <w:top w:w="80" w:type="dxa"/>
              <w:start w:w="80" w:type="dxa"/>
              <w:bottom w:w="80" w:type="dxa"/>
              <w:end w:w="80" w:type="dxa"/>
            </w:tcMar>
          </w:tcPr>
          <w:p>
            <w:pPr>
              <w:keepLines/>
              <w:spacing w:after="0"/>
            </w:pPr>
            <w:r>
              <w:rPr>
                <w:sz w:val="16"/>
              </w:rPr>
              <w:t>Presentation mapping</w:t>
            </w:r>
          </w:p>
        </w:tc>
        <w:tc>
          <w:tcPr>
            <w:tcW w:type="dxa" w:w="7920"/>
            <w:vAlign w:val="top"/>
            <w:tcMar>
              <w:top w:w="80" w:type="dxa"/>
              <w:start w:w="80" w:type="dxa"/>
              <w:bottom w:w="80" w:type="dxa"/>
              <w:end w:w="80" w:type="dxa"/>
            </w:tcMar>
          </w:tcPr>
          <w:p>
            <w:pPr>
              <w:keepLines/>
              <w:spacing w:after="0"/>
            </w:pPr>
            <w:r>
              <w:rPr>
                <w:sz w:val="16"/>
              </w:rPr>
              <w:t>A division may cross pages/slides/sheets, and several divisions may share one presentation unit.</w:t>
            </w:r>
          </w:p>
        </w:tc>
      </w:tr>
    </w:tbl>
    <w:p/>
    <w:p>
      <w:pPr>
        <w:pStyle w:val="Heading2"/>
      </w:pPr>
      <w:r>
        <w:t>5.2 Native preservation without schema lock-in</w:t>
      </w:r>
    </w:p>
    <w:p>
      <w:pPr>
        <w:pStyle w:val="CodeBlock"/>
        <w:keepLines/>
      </w:pPr>
      <w:r>
        <w:t>{</w:t>
        <w:br/>
        <w:t xml:space="preserve">  "canonical_item_id": "node-0042",</w:t>
        <w:br/>
        <w:t xml:space="preserve">  "canonical_kind": "paragraph",</w:t>
        <w:br/>
        <w:t xml:space="preserve">  "owner_division_id": "division-4.2",</w:t>
        <w:br/>
        <w:t xml:space="preserve">  "content_ref": "content-sha256:...",</w:t>
        <w:br/>
        <w:t xml:space="preserve">  "source_selectors": ["selector-17"],</w:t>
        <w:br/>
        <w:t xml:space="preserve">  "native_bindings": [</w:t>
        <w:br/>
        <w:t xml:space="preserve">    {</w:t>
        <w:br/>
        <w:t xml:space="preserve">      "parser": "docling",</w:t>
        <w:br/>
        <w:t xml:space="preserve">      "artifact_id": "extract-docling-123",</w:t>
        <w:br/>
        <w:t xml:space="preserve">      "schema_version": "docling-document/...",</w:t>
        <w:br/>
        <w:t xml:space="preserve">      "pointer": "#/texts/42"</w:t>
        <w:br/>
        <w:t xml:space="preserve">    },</w:t>
        <w:br/>
        <w:t xml:space="preserve">    {</w:t>
        <w:br/>
        <w:t xml:space="preserve">      "parser": "pymupdf",</w:t>
        <w:br/>
        <w:t xml:space="preserve">      "artifact_id": "extract-pymupdf-124",</w:t>
        <w:br/>
        <w:t xml:space="preserve">      "pointer": "#/pages/5/blocks/8"</w:t>
        <w:br/>
        <w:t xml:space="preserve">    }</w:t>
        <w:br/>
        <w:t xml:space="preserve">  ],</w:t>
        <w:br/>
        <w:t xml:space="preserve">  "fact_sources": {</w:t>
        <w:br/>
        <w:t xml:space="preserve">    "text": ["fact-source-docling-42"],</w:t>
        <w:br/>
        <w:t xml:space="preserve">    "bbox": ["fact-source-pymupdf-8"],</w:t>
        <w:br/>
        <w:t xml:space="preserve">    "kind": ["fact-source-docling-42"]</w:t>
        <w:br/>
        <w:t xml:space="preserve">  }</w:t>
        <w:br/>
        <w:t>}</w:t>
      </w:r>
    </w:p>
    <w:p>
      <w:r>
        <w:t>The canonical overlay can be read even after a raw native artifact is purged because durable selected content, selectors, mappings, activity identity, hashes and decision records remain. While the native artifact is retained, it remains available for parser-specific features that are not part of the common schema.</w:t>
      </w:r>
    </w:p>
    <w:p>
      <w:pPr>
        <w:pStyle w:val="Heading2"/>
      </w:pPr>
      <w:r>
        <w:t>5.3 Non-duplication rule and the raw-artifact exception</w:t>
      </w:r>
    </w:p>
    <w:p>
      <w:r>
        <w:t>A strict zero-copy rule across both a full raw parser JSON and a durable canonical content store is not technically possible because the parser-native JSON often contains its own text. The practical invariant is therefore:</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keepLines/>
            </w:pPr>
            <w:r>
              <w:rPr>
                <w:b/>
              </w:rPr>
              <w:t xml:space="preserve">Durable non-duplication invariant: </w:t>
            </w:r>
            <w:r>
              <w:t>Canonical content is stored once and every durable division, scope, view, relation, KU and training record references it by ID and span. A parser-native artifact may temporarily contain the same text once for audit and reproducibility, but it is retained once per extraction identity, never copied per consumer, and may be purged after policy conditions are satisfied.</w:t>
            </w:r>
          </w:p>
        </w:tc>
      </w:tr>
    </w:tbl>
    <w:p/>
    <w:p>
      <w:pPr>
        <w:pStyle w:val="Heading1"/>
      </w:pPr>
      <w:r>
        <w:t>6. Processing capability registry and discovery agents</w:t>
      </w:r>
    </w:p>
    <w:p>
      <w:r>
        <w:t>The registry uses exactly three capability sources. For parsers these remain parser-discovered, human-guided and auto-learned. The same evidence pattern is reused for chunkers and future graph adapters by changing only the capability subject type. Internet research is part of the discovered source, not a fourth source.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F4E78"/>
            <w:vAlign w:val="center"/>
            <w:tcMar>
              <w:top w:w="80" w:type="dxa"/>
              <w:start w:w="80" w:type="dxa"/>
              <w:bottom w:w="80" w:type="dxa"/>
              <w:end w:w="80" w:type="dxa"/>
            </w:tcMar>
          </w:tcPr>
          <w:p>
            <w:pPr>
              <w:keepLines/>
            </w:pPr>
            <w:r>
              <w:rPr>
                <w:b/>
                <w:color w:val="FFFFFF"/>
                <w:sz w:val="16"/>
              </w:rPr>
              <w:t>Capability source</w:t>
            </w:r>
          </w:p>
        </w:tc>
        <w:tc>
          <w:tcPr>
            <w:tcW w:type="dxa" w:w="7776"/>
            <w:shd w:fill="1F4E78"/>
            <w:vAlign w:val="center"/>
            <w:tcMar>
              <w:top w:w="80" w:type="dxa"/>
              <w:start w:w="80" w:type="dxa"/>
              <w:bottom w:w="80" w:type="dxa"/>
              <w:end w:w="80" w:type="dxa"/>
            </w:tcMar>
          </w:tcPr>
          <w:p>
            <w:pPr>
              <w:keepLines/>
            </w:pPr>
            <w:r>
              <w:rPr>
                <w:b/>
                <w:color w:val="FFFFFF"/>
                <w:sz w:val="16"/>
              </w:rPr>
              <w:t>Included evidence</w:t>
            </w:r>
          </w:p>
        </w:tc>
      </w:tr>
      <w:tr>
        <w:tc>
          <w:tcPr>
            <w:tcW w:type="dxa" w:w="2592"/>
            <w:vAlign w:val="top"/>
            <w:tcMar>
              <w:top w:w="80" w:type="dxa"/>
              <w:start w:w="80" w:type="dxa"/>
              <w:bottom w:w="80" w:type="dxa"/>
              <w:end w:w="80" w:type="dxa"/>
            </w:tcMar>
          </w:tcPr>
          <w:p>
            <w:pPr>
              <w:keepLines/>
              <w:spacing w:after="0"/>
            </w:pPr>
            <w:r>
              <w:rPr>
                <w:sz w:val="16"/>
              </w:rPr>
              <w:t>1. Processor-discovered</w:t>
            </w:r>
          </w:p>
        </w:tc>
        <w:tc>
          <w:tcPr>
            <w:tcW w:type="dxa" w:w="7776"/>
            <w:vAlign w:val="top"/>
            <w:tcMar>
              <w:top w:w="80" w:type="dxa"/>
              <w:start w:w="80" w:type="dxa"/>
              <w:bottom w:w="80" w:type="dxa"/>
              <w:end w:w="80" w:type="dxa"/>
            </w:tcMar>
          </w:tcPr>
          <w:p>
            <w:pPr>
              <w:keepLines/>
              <w:spacing w:after="0"/>
            </w:pPr>
            <w:r>
              <w:rPr>
                <w:sz w:val="16"/>
              </w:rPr>
              <w:t>Programmatic inspection of an installed parser, chunker or graph adapter; plus an agent that searches its official documentation, release notes, API references, model cards, licence and deployment documentation. Parser records retain the public label parser-discovered.</w:t>
            </w:r>
          </w:p>
        </w:tc>
      </w:tr>
      <w:tr>
        <w:tc>
          <w:tcPr>
            <w:tcW w:type="dxa" w:w="2592"/>
            <w:vAlign w:val="top"/>
            <w:tcMar>
              <w:top w:w="80" w:type="dxa"/>
              <w:start w:w="80" w:type="dxa"/>
              <w:bottom w:w="80" w:type="dxa"/>
              <w:end w:w="80" w:type="dxa"/>
            </w:tcMar>
          </w:tcPr>
          <w:p>
            <w:pPr>
              <w:keepLines/>
              <w:spacing w:after="0"/>
            </w:pPr>
            <w:r>
              <w:rPr>
                <w:sz w:val="16"/>
              </w:rPr>
              <w:t>2. Human-guided</w:t>
            </w:r>
          </w:p>
        </w:tc>
        <w:tc>
          <w:tcPr>
            <w:tcW w:type="dxa" w:w="7776"/>
            <w:vAlign w:val="top"/>
            <w:tcMar>
              <w:top w:w="80" w:type="dxa"/>
              <w:start w:w="80" w:type="dxa"/>
              <w:bottom w:w="80" w:type="dxa"/>
              <w:end w:w="80" w:type="dxa"/>
            </w:tcMar>
          </w:tcPr>
          <w:p>
            <w:pPr>
              <w:keepLines/>
              <w:spacing w:after="0"/>
            </w:pPr>
            <w:r>
              <w:rPr>
                <w:sz w:val="16"/>
              </w:rPr>
              <w:t>Structured or natural-language expert guidance describing preferred document types, object types, languages, restrictions, cost limits, security rules and known operational weaknesses.</w:t>
            </w:r>
          </w:p>
        </w:tc>
      </w:tr>
      <w:tr>
        <w:tc>
          <w:tcPr>
            <w:tcW w:type="dxa" w:w="2592"/>
            <w:vAlign w:val="top"/>
            <w:tcMar>
              <w:top w:w="80" w:type="dxa"/>
              <w:start w:w="80" w:type="dxa"/>
              <w:bottom w:w="80" w:type="dxa"/>
              <w:end w:w="80" w:type="dxa"/>
            </w:tcMar>
          </w:tcPr>
          <w:p>
            <w:pPr>
              <w:keepLines/>
              <w:spacing w:after="0"/>
            </w:pPr>
            <w:r>
              <w:rPr>
                <w:sz w:val="16"/>
              </w:rPr>
              <w:t>3. Auto-learned</w:t>
            </w:r>
          </w:p>
        </w:tc>
        <w:tc>
          <w:tcPr>
            <w:tcW w:type="dxa" w:w="7776"/>
            <w:vAlign w:val="top"/>
            <w:tcMar>
              <w:top w:w="80" w:type="dxa"/>
              <w:start w:w="80" w:type="dxa"/>
              <w:bottom w:w="80" w:type="dxa"/>
              <w:end w:w="80" w:type="dxa"/>
            </w:tcMar>
          </w:tcPr>
          <w:p>
            <w:pPr>
              <w:keepLines/>
              <w:spacing w:after="0"/>
            </w:pPr>
            <w:r>
              <w:rPr>
                <w:sz w:val="16"/>
              </w:rPr>
              <w:t>Measured performance from frozen benchmarks, production runs, parser agreement/disagreement, downstream acceptance, human corrections, failures, latency, resource use and cost.</w:t>
            </w:r>
          </w:p>
        </w:tc>
      </w:tr>
    </w:tbl>
    <w:p/>
    <w:p>
      <w:r>
        <w:t>The discovery agent must retain the official source reference, retrieval date, applicable component version, extracted capability claim, installed-runtime result, confidence and revalidation date. Advertised capability and locally available capability remain distinct. Parser, chunker and graph-adapter evidence are not collapsed into one unexplained score.</w:t>
      </w:r>
    </w:p>
    <w:p>
      <w:pPr>
        <w:pStyle w:val="Heading2"/>
      </w:pPr>
      <w:r>
        <w:t>6.1 Exactly three execution modes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F4E78"/>
            <w:vAlign w:val="center"/>
            <w:tcMar>
              <w:top w:w="80" w:type="dxa"/>
              <w:start w:w="80" w:type="dxa"/>
              <w:bottom w:w="80" w:type="dxa"/>
              <w:end w:w="80" w:type="dxa"/>
            </w:tcMar>
          </w:tcPr>
          <w:p>
            <w:pPr>
              <w:keepLines/>
            </w:pPr>
            <w:r>
              <w:rPr>
                <w:b/>
                <w:color w:val="FFFFFF"/>
                <w:sz w:val="16"/>
              </w:rPr>
              <w:t>Mode</w:t>
            </w:r>
          </w:p>
        </w:tc>
        <w:tc>
          <w:tcPr>
            <w:tcW w:type="dxa" w:w="6048"/>
            <w:shd w:fill="1F4E78"/>
            <w:vAlign w:val="center"/>
            <w:tcMar>
              <w:top w:w="80" w:type="dxa"/>
              <w:start w:w="80" w:type="dxa"/>
              <w:bottom w:w="80" w:type="dxa"/>
              <w:end w:w="80" w:type="dxa"/>
            </w:tcMar>
          </w:tcPr>
          <w:p>
            <w:pPr>
              <w:keepLines/>
            </w:pPr>
            <w:r>
              <w:rPr>
                <w:b/>
                <w:color w:val="FFFFFF"/>
                <w:sz w:val="16"/>
              </w:rPr>
              <w:t>Behaviour</w:t>
            </w:r>
          </w:p>
        </w:tc>
        <w:tc>
          <w:tcPr>
            <w:tcW w:type="dxa" w:w="2592"/>
            <w:shd w:fill="1F4E78"/>
            <w:vAlign w:val="center"/>
            <w:tcMar>
              <w:top w:w="80" w:type="dxa"/>
              <w:start w:w="80" w:type="dxa"/>
              <w:bottom w:w="80" w:type="dxa"/>
              <w:end w:w="80" w:type="dxa"/>
            </w:tcMar>
          </w:tcPr>
          <w:p>
            <w:pPr>
              <w:keepLines/>
            </w:pPr>
            <w:r>
              <w:rPr>
                <w:b/>
                <w:color w:val="FFFFFF"/>
                <w:sz w:val="16"/>
              </w:rPr>
              <w:t>Authority boundary</w:t>
            </w:r>
          </w:p>
        </w:tc>
      </w:tr>
      <w:tr>
        <w:tc>
          <w:tcPr>
            <w:tcW w:type="dxa" w:w="1728"/>
            <w:vAlign w:val="top"/>
            <w:tcMar>
              <w:top w:w="80" w:type="dxa"/>
              <w:start w:w="80" w:type="dxa"/>
              <w:bottom w:w="80" w:type="dxa"/>
              <w:end w:w="80" w:type="dxa"/>
            </w:tcMar>
          </w:tcPr>
          <w:p>
            <w:pPr>
              <w:keepLines/>
              <w:spacing w:after="0"/>
            </w:pPr>
            <w:r>
              <w:rPr>
                <w:sz w:val="16"/>
              </w:rPr>
              <w:t>Deterministic</w:t>
            </w:r>
          </w:p>
        </w:tc>
        <w:tc>
          <w:tcPr>
            <w:tcW w:type="dxa" w:w="6048"/>
            <w:vAlign w:val="top"/>
            <w:tcMar>
              <w:top w:w="80" w:type="dxa"/>
              <w:start w:w="80" w:type="dxa"/>
              <w:bottom w:w="80" w:type="dxa"/>
              <w:end w:w="80" w:type="dxa"/>
            </w:tcMar>
          </w:tcPr>
          <w:p>
            <w:pPr>
              <w:keepLines/>
              <w:spacing w:after="0"/>
            </w:pPr>
            <w:r>
              <w:rPr>
                <w:sz w:val="16"/>
              </w:rPr>
              <w:t>Machine-readable rules select parsers and resolve conflicts using measured conditions and approved precedence.</w:t>
            </w:r>
          </w:p>
        </w:tc>
        <w:tc>
          <w:tcPr>
            <w:tcW w:type="dxa" w:w="2592"/>
            <w:vAlign w:val="top"/>
            <w:tcMar>
              <w:top w:w="80" w:type="dxa"/>
              <w:start w:w="80" w:type="dxa"/>
              <w:bottom w:w="80" w:type="dxa"/>
              <w:end w:w="80" w:type="dxa"/>
            </w:tcMar>
          </w:tcPr>
          <w:p>
            <w:pPr>
              <w:keepLines/>
              <w:spacing w:after="0"/>
            </w:pPr>
            <w:r>
              <w:rPr>
                <w:sz w:val="16"/>
              </w:rPr>
              <w:t>Fully reproducible; no model decision.</w:t>
            </w:r>
          </w:p>
        </w:tc>
      </w:tr>
      <w:tr>
        <w:tc>
          <w:tcPr>
            <w:tcW w:type="dxa" w:w="1728"/>
            <w:vAlign w:val="top"/>
            <w:tcMar>
              <w:top w:w="80" w:type="dxa"/>
              <w:start w:w="80" w:type="dxa"/>
              <w:bottom w:w="80" w:type="dxa"/>
              <w:end w:w="80" w:type="dxa"/>
            </w:tcMar>
          </w:tcPr>
          <w:p>
            <w:pPr>
              <w:keepLines/>
              <w:spacing w:after="0"/>
            </w:pPr>
            <w:r>
              <w:rPr>
                <w:sz w:val="16"/>
              </w:rPr>
              <w:t>Hybrid</w:t>
            </w:r>
          </w:p>
        </w:tc>
        <w:tc>
          <w:tcPr>
            <w:tcW w:type="dxa" w:w="6048"/>
            <w:vAlign w:val="top"/>
            <w:tcMar>
              <w:top w:w="80" w:type="dxa"/>
              <w:start w:w="80" w:type="dxa"/>
              <w:bottom w:w="80" w:type="dxa"/>
              <w:end w:w="80" w:type="dxa"/>
            </w:tcMar>
          </w:tcPr>
          <w:p>
            <w:pPr>
              <w:keepLines/>
              <w:spacing w:after="0"/>
            </w:pPr>
            <w:r>
              <w:rPr>
                <w:sz w:val="16"/>
              </w:rPr>
              <w:t>Rules define the allowed set and hard constraints. An LLM interprets capability evidence and human guidance for bounded routing or adjudication.</w:t>
            </w:r>
          </w:p>
        </w:tc>
        <w:tc>
          <w:tcPr>
            <w:tcW w:type="dxa" w:w="2592"/>
            <w:vAlign w:val="top"/>
            <w:tcMar>
              <w:top w:w="80" w:type="dxa"/>
              <w:start w:w="80" w:type="dxa"/>
              <w:bottom w:w="80" w:type="dxa"/>
              <w:end w:w="80" w:type="dxa"/>
            </w:tcMar>
          </w:tcPr>
          <w:p>
            <w:pPr>
              <w:keepLines/>
              <w:spacing w:after="0"/>
            </w:pPr>
            <w:r>
              <w:rPr>
                <w:sz w:val="16"/>
              </w:rPr>
              <w:t>LLM proposals are schema-validated and cannot bypass allowlists, classification, budget or security.</w:t>
            </w:r>
          </w:p>
        </w:tc>
      </w:tr>
      <w:tr>
        <w:tc>
          <w:tcPr>
            <w:tcW w:type="dxa" w:w="1728"/>
            <w:vAlign w:val="top"/>
            <w:tcMar>
              <w:top w:w="80" w:type="dxa"/>
              <w:start w:w="80" w:type="dxa"/>
              <w:bottom w:w="80" w:type="dxa"/>
              <w:end w:w="80" w:type="dxa"/>
            </w:tcMar>
          </w:tcPr>
          <w:p>
            <w:pPr>
              <w:keepLines/>
              <w:spacing w:after="0"/>
            </w:pPr>
            <w:r>
              <w:rPr>
                <w:sz w:val="16"/>
              </w:rPr>
              <w:t>LLM-directed</w:t>
            </w:r>
          </w:p>
        </w:tc>
        <w:tc>
          <w:tcPr>
            <w:tcW w:type="dxa" w:w="6048"/>
            <w:vAlign w:val="top"/>
            <w:tcMar>
              <w:top w:w="80" w:type="dxa"/>
              <w:start w:w="80" w:type="dxa"/>
              <w:bottom w:w="80" w:type="dxa"/>
              <w:end w:w="80" w:type="dxa"/>
            </w:tcMar>
          </w:tcPr>
          <w:p>
            <w:pPr>
              <w:keepLines/>
              <w:spacing w:after="0"/>
            </w:pPr>
            <w:r>
              <w:rPr>
                <w:sz w:val="16"/>
              </w:rPr>
              <w:t>An LLM proposes the complete parser plan, escalation steps and conflict decisions from the live capability registry.</w:t>
            </w:r>
          </w:p>
        </w:tc>
        <w:tc>
          <w:tcPr>
            <w:tcW w:type="dxa" w:w="2592"/>
            <w:vAlign w:val="top"/>
            <w:tcMar>
              <w:top w:w="80" w:type="dxa"/>
              <w:start w:w="80" w:type="dxa"/>
              <w:bottom w:w="80" w:type="dxa"/>
              <w:end w:w="80" w:type="dxa"/>
            </w:tcMar>
          </w:tcPr>
          <w:p>
            <w:pPr>
              <w:keepLines/>
              <w:spacing w:after="0"/>
            </w:pPr>
            <w:r>
              <w:rPr>
                <w:sz w:val="16"/>
              </w:rPr>
              <w:t>The live registry is the source of truth; execution remains deterministically validated and audited.</w:t>
            </w:r>
          </w:p>
        </w:tc>
      </w:tr>
    </w:tbl>
    <w:p/>
    <w:p>
      <w:r>
        <w:t>These same three modes can govern parser routing, chunker/view routing and bounded conflict adjudication. The stages remain separately recorded: capability discovery, plan selection, execution, alignment, fusion and validation.</w:t>
      </w:r>
    </w:p>
    <w:p>
      <w:pPr>
        <w:pStyle w:val="Heading1"/>
      </w:pPr>
      <w:r>
        <w:t>7. Routing, alignment, fusion and adjudication</w:t>
      </w:r>
    </w:p>
    <w:p>
      <w:pPr>
        <w:pStyle w:val="ListNumber"/>
        <w:spacing w:after="60"/>
      </w:pPr>
      <w:r>
        <w:t>Capability discovery determines what each parser claims, exposes and has empirically demonstrated.</w:t>
      </w:r>
    </w:p>
    <w:p>
      <w:pPr>
        <w:pStyle w:val="ListNumber"/>
        <w:spacing w:after="60"/>
      </w:pPr>
      <w:r>
        <w:t>Document inspection identifies format, text density, scan status, language, layout, objects, classification and downstream requirements.</w:t>
      </w:r>
    </w:p>
    <w:p>
      <w:pPr>
        <w:pStyle w:val="ListNumber"/>
        <w:spacing w:after="60"/>
      </w:pPr>
      <w:r>
        <w:t>Routing chooses the minimum parser plan and checks the extraction cache before invoking anything.</w:t>
      </w:r>
    </w:p>
    <w:p>
      <w:pPr>
        <w:pStyle w:val="ListNumber"/>
        <w:spacing w:after="60"/>
      </w:pPr>
      <w:r>
        <w:t>Native parser outputs are stored once and normalized into observations with native bindings.</w:t>
      </w:r>
    </w:p>
    <w:p>
      <w:pPr>
        <w:pStyle w:val="ListNumber"/>
        <w:spacing w:after="60"/>
      </w:pPr>
      <w:r>
        <w:t>Alignment maps observations that refer to the same source region, logical item or object.</w:t>
      </w:r>
    </w:p>
    <w:p>
      <w:pPr>
        <w:pStyle w:val="ListNumber"/>
        <w:spacing w:after="60"/>
      </w:pPr>
      <w:r>
        <w:t>Fusion combines complementary or agreeing facts and retains conflict records.</w:t>
      </w:r>
    </w:p>
    <w:p>
      <w:pPr>
        <w:pStyle w:val="ListNumber"/>
        <w:spacing w:after="60"/>
      </w:pPr>
      <w:r>
        <w:t>Adjudication accepts, rejects or leaves disputed facts unresolved according to the selected execution mode.</w:t>
      </w:r>
    </w:p>
    <w:p>
      <w:pPr>
        <w:pStyle w:val="Heading2"/>
      </w:pPr>
      <w:r>
        <w:t>7.1 Fusion forms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F4E78"/>
            <w:vAlign w:val="center"/>
            <w:tcMar>
              <w:top w:w="80" w:type="dxa"/>
              <w:start w:w="80" w:type="dxa"/>
              <w:bottom w:w="80" w:type="dxa"/>
              <w:end w:w="80" w:type="dxa"/>
            </w:tcMar>
          </w:tcPr>
          <w:p>
            <w:pPr>
              <w:keepLines/>
            </w:pPr>
            <w:r>
              <w:rPr>
                <w:b/>
                <w:color w:val="FFFFFF"/>
                <w:sz w:val="16"/>
              </w:rPr>
              <w:t>Fusion form</w:t>
            </w:r>
          </w:p>
        </w:tc>
        <w:tc>
          <w:tcPr>
            <w:tcW w:type="dxa" w:w="8208"/>
            <w:shd w:fill="1F4E78"/>
            <w:vAlign w:val="center"/>
            <w:tcMar>
              <w:top w:w="80" w:type="dxa"/>
              <w:start w:w="80" w:type="dxa"/>
              <w:bottom w:w="80" w:type="dxa"/>
              <w:end w:w="80" w:type="dxa"/>
            </w:tcMar>
          </w:tcPr>
          <w:p>
            <w:pPr>
              <w:keepLines/>
            </w:pPr>
            <w:r>
              <w:rPr>
                <w:b/>
                <w:color w:val="FFFFFF"/>
                <w:sz w:val="16"/>
              </w:rPr>
              <w:t>Example</w:t>
            </w:r>
          </w:p>
        </w:tc>
      </w:tr>
      <w:tr>
        <w:tc>
          <w:tcPr>
            <w:tcW w:type="dxa" w:w="2160"/>
            <w:vAlign w:val="top"/>
            <w:tcMar>
              <w:top w:w="80" w:type="dxa"/>
              <w:start w:w="80" w:type="dxa"/>
              <w:bottom w:w="80" w:type="dxa"/>
              <w:end w:w="80" w:type="dxa"/>
            </w:tcMar>
          </w:tcPr>
          <w:p>
            <w:pPr>
              <w:keepLines/>
              <w:spacing w:after="0"/>
            </w:pPr>
            <w:r>
              <w:rPr>
                <w:sz w:val="16"/>
              </w:rPr>
              <w:t>Complementary</w:t>
            </w:r>
          </w:p>
        </w:tc>
        <w:tc>
          <w:tcPr>
            <w:tcW w:type="dxa" w:w="8208"/>
            <w:vAlign w:val="top"/>
            <w:tcMar>
              <w:top w:w="80" w:type="dxa"/>
              <w:start w:w="80" w:type="dxa"/>
              <w:bottom w:w="80" w:type="dxa"/>
              <w:end w:w="80" w:type="dxa"/>
            </w:tcMar>
          </w:tcPr>
          <w:p>
            <w:pPr>
              <w:keepLines/>
              <w:spacing w:after="0"/>
            </w:pPr>
            <w:r>
              <w:rPr>
                <w:sz w:val="16"/>
              </w:rPr>
              <w:t>Docling supplies hierarchy and table structure; PyMuPDF supplies native link rectangles and annotations; OCR supplies image-only text.</w:t>
            </w:r>
          </w:p>
        </w:tc>
      </w:tr>
      <w:tr>
        <w:tc>
          <w:tcPr>
            <w:tcW w:type="dxa" w:w="2160"/>
            <w:vAlign w:val="top"/>
            <w:tcMar>
              <w:top w:w="80" w:type="dxa"/>
              <w:start w:w="80" w:type="dxa"/>
              <w:bottom w:w="80" w:type="dxa"/>
              <w:end w:w="80" w:type="dxa"/>
            </w:tcMar>
          </w:tcPr>
          <w:p>
            <w:pPr>
              <w:keepLines/>
              <w:spacing w:after="0"/>
            </w:pPr>
            <w:r>
              <w:rPr>
                <w:sz w:val="16"/>
              </w:rPr>
              <w:t>Agreement</w:t>
            </w:r>
          </w:p>
        </w:tc>
        <w:tc>
          <w:tcPr>
            <w:tcW w:type="dxa" w:w="8208"/>
            <w:vAlign w:val="top"/>
            <w:tcMar>
              <w:top w:w="80" w:type="dxa"/>
              <w:start w:w="80" w:type="dxa"/>
              <w:bottom w:w="80" w:type="dxa"/>
              <w:end w:w="80" w:type="dxa"/>
            </w:tcMar>
          </w:tcPr>
          <w:p>
            <w:pPr>
              <w:keepLines/>
              <w:spacing w:after="0"/>
            </w:pPr>
            <w:r>
              <w:rPr>
                <w:sz w:val="16"/>
              </w:rPr>
              <w:t>Independent parsers produce equivalent text or object identity; agreement is retained as a quality signal.</w:t>
            </w:r>
          </w:p>
        </w:tc>
      </w:tr>
      <w:tr>
        <w:tc>
          <w:tcPr>
            <w:tcW w:type="dxa" w:w="2160"/>
            <w:vAlign w:val="top"/>
            <w:tcMar>
              <w:top w:w="80" w:type="dxa"/>
              <w:start w:w="80" w:type="dxa"/>
              <w:bottom w:w="80" w:type="dxa"/>
              <w:end w:w="80" w:type="dxa"/>
            </w:tcMar>
          </w:tcPr>
          <w:p>
            <w:pPr>
              <w:keepLines/>
              <w:spacing w:after="0"/>
            </w:pPr>
            <w:r>
              <w:rPr>
                <w:sz w:val="16"/>
              </w:rPr>
              <w:t>Conflict</w:t>
            </w:r>
          </w:p>
        </w:tc>
        <w:tc>
          <w:tcPr>
            <w:tcW w:type="dxa" w:w="8208"/>
            <w:vAlign w:val="top"/>
            <w:tcMar>
              <w:top w:w="80" w:type="dxa"/>
              <w:start w:w="80" w:type="dxa"/>
              <w:bottom w:w="80" w:type="dxa"/>
              <w:end w:w="80" w:type="dxa"/>
            </w:tcMar>
          </w:tcPr>
          <w:p>
            <w:pPr>
              <w:keepLines/>
              <w:spacing w:after="0"/>
            </w:pPr>
            <w:r>
              <w:rPr>
                <w:sz w:val="16"/>
              </w:rPr>
              <w:t>Parsers disagree about text, order, type, hierarchy, geometry or relation. The disagreement remains auditable even after selection.</w:t>
            </w:r>
          </w:p>
        </w:tc>
      </w:tr>
      <w:tr>
        <w:tc>
          <w:tcPr>
            <w:tcW w:type="dxa" w:w="2160"/>
            <w:vAlign w:val="top"/>
            <w:tcMar>
              <w:top w:w="80" w:type="dxa"/>
              <w:start w:w="80" w:type="dxa"/>
              <w:bottom w:w="80" w:type="dxa"/>
              <w:end w:w="80" w:type="dxa"/>
            </w:tcMar>
          </w:tcPr>
          <w:p>
            <w:pPr>
              <w:keepLines/>
              <w:spacing w:after="0"/>
            </w:pPr>
            <w:r>
              <w:rPr>
                <w:sz w:val="16"/>
              </w:rPr>
              <w:t>Conditional</w:t>
            </w:r>
          </w:p>
        </w:tc>
        <w:tc>
          <w:tcPr>
            <w:tcW w:type="dxa" w:w="8208"/>
            <w:vAlign w:val="top"/>
            <w:tcMar>
              <w:top w:w="80" w:type="dxa"/>
              <w:start w:w="80" w:type="dxa"/>
              <w:bottom w:w="80" w:type="dxa"/>
              <w:end w:w="80" w:type="dxa"/>
            </w:tcMar>
          </w:tcPr>
          <w:p>
            <w:pPr>
              <w:keepLines/>
              <w:spacing w:after="0"/>
            </w:pPr>
            <w:r>
              <w:rPr>
                <w:sz w:val="16"/>
              </w:rPr>
              <w:t>A second parser runs only for low-quality pages, complex tables, unresolved objects or a downstream-required attribute.</w:t>
            </w:r>
          </w:p>
        </w:tc>
      </w:tr>
    </w:tbl>
    <w:p/>
    <w:p>
      <w:pPr>
        <w:pStyle w:val="Heading2"/>
      </w:pPr>
      <w:r>
        <w:t>7.2 Alignment requirements</w:t>
      </w:r>
    </w:p>
    <w:p>
      <w:pPr>
        <w:pStyle w:val="ListBullet"/>
        <w:spacing w:after="60"/>
      </w:pPr>
      <w:r>
        <w:t>Use exact source selectors and page/slide/sheet/time identity first.</w:t>
      </w:r>
    </w:p>
    <w:p>
      <w:pPr>
        <w:pStyle w:val="ListBullet"/>
        <w:spacing w:after="60"/>
      </w:pPr>
      <w:r>
        <w:t>Use geometric overlap and coordinate normalization where layout exists.</w:t>
      </w:r>
    </w:p>
    <w:p>
      <w:pPr>
        <w:pStyle w:val="ListBullet"/>
        <w:spacing w:after="60"/>
      </w:pPr>
      <w:r>
        <w:t>Use parser-native pointers and object identifiers when available.</w:t>
      </w:r>
    </w:p>
    <w:p>
      <w:pPr>
        <w:pStyle w:val="ListBullet"/>
        <w:spacing w:after="60"/>
      </w:pPr>
      <w:r>
        <w:t>Use text similarity tolerant of OCR errors, line breaks, hyphenation and split/merge differences.</w:t>
      </w:r>
    </w:p>
    <w:p>
      <w:pPr>
        <w:pStyle w:val="ListBullet"/>
        <w:spacing w:after="60"/>
      </w:pPr>
      <w:r>
        <w:t>Use hierarchy, reading-order neighbours, captions, table coordinates and object ownership as additional signals.</w:t>
      </w:r>
    </w:p>
    <w:p>
      <w:pPr>
        <w:pStyle w:val="ListBullet"/>
        <w:spacing w:after="60"/>
      </w:pPr>
      <w:r>
        <w:t>Record one-to-one, one-to-many and many-to-one alignments; do not force false equality.</w:t>
      </w:r>
    </w:p>
    <w:p>
      <w:pPr>
        <w:pStyle w:val="Heading2"/>
      </w:pPr>
      <w:r>
        <w:t>7.3 Canonical fact selection</w:t>
      </w:r>
    </w:p>
    <w:p>
      <w:r>
        <w:t>Canonical selection is per field, not per whole document. The selected text, bounding box, type, order, representation or relation may come from different backends. Every selected field records the contributing observations, rejected alternatives, rule or model decision, and quality dimensions. Confidence is method-specific and must not be presented as a universal probability.</w:t>
      </w:r>
    </w:p>
    <w:p>
      <w:pPr>
        <w:pStyle w:val="Heading1"/>
      </w:pPr>
      <w:r>
        <w:t>8. Extraction reuse, caching and retention</w:t>
      </w:r>
    </w:p>
    <w:p>
      <w:pPr>
        <w:pStyle w:val="CodeBlock"/>
        <w:keepLines/>
      </w:pPr>
      <w:r>
        <w:t>extraction_identity = hash(</w:t>
        <w:br/>
        <w:t xml:space="preserve">  source_sha256,</w:t>
        <w:br/>
        <w:t xml:space="preserve">  parser_id,</w:t>
        <w:br/>
        <w:t xml:space="preserve">  parser_version,</w:t>
        <w:br/>
        <w:t xml:space="preserve">  parser_model_version,</w:t>
        <w:br/>
        <w:t xml:space="preserve">  parser_configuration_hash,</w:t>
        <w:br/>
        <w:t xml:space="preserve">  selected_scope,</w:t>
        <w:br/>
        <w:t xml:space="preserve">  adapter_version</w:t>
        <w:br/>
        <w:t>)</w:t>
      </w:r>
    </w:p>
    <w:p>
      <w:pPr>
        <w:pStyle w:val="ListBullet"/>
        <w:spacing w:after="60"/>
      </w:pPr>
      <w:r>
        <w:t>Before invocation, routing checks for an existing compatible extraction artifact.</w:t>
      </w:r>
    </w:p>
    <w:p>
      <w:pPr>
        <w:pStyle w:val="ListBullet"/>
        <w:spacing w:after="60"/>
      </w:pPr>
      <w:r>
        <w:t>The same extraction artifact may be referenced by many documents, runs, views, DataForge jobs and experiments.</w:t>
      </w:r>
    </w:p>
    <w:p>
      <w:pPr>
        <w:pStyle w:val="ListBullet"/>
        <w:spacing w:after="60"/>
      </w:pPr>
      <w:r>
        <w:t>Canonical content hashes identify reusable text or structured content independently from view definitions.</w:t>
      </w:r>
    </w:p>
    <w:p>
      <w:pPr>
        <w:pStyle w:val="ListBullet"/>
        <w:spacing w:after="60"/>
      </w:pPr>
      <w:r>
        <w:t>Routing-policy changes do not force re-extraction when an existing artifact satisfies the required capability.</w:t>
      </w:r>
    </w:p>
    <w:p>
      <w:pPr>
        <w:pStyle w:val="ListBullet"/>
        <w:spacing w:after="60"/>
      </w:pPr>
      <w:r>
        <w:t>A parser artifact is never copied into each run folder; manifests contain stable links.</w:t>
      </w:r>
    </w:p>
    <w:p>
      <w:pPr>
        <w:pStyle w:val="ListBullet"/>
        <w:spacing w:after="60"/>
      </w:pPr>
      <w:r>
        <w:t>Retention policies support none, selected, contributors, all and temporary modes, plus legal hold.</w:t>
      </w:r>
    </w:p>
    <w:p>
      <w:pPr>
        <w:pStyle w:val="ListBullet"/>
        <w:spacing w:after="60"/>
      </w:pPr>
      <w:r>
        <w:t>Purge removes the native payload only after downstream acceptance, retention expiry, reference checks and policy approval.</w:t>
      </w:r>
    </w:p>
    <w:p>
      <w:pPr>
        <w:pStyle w:val="ListBullet"/>
        <w:spacing w:after="60"/>
      </w:pPr>
      <w:r>
        <w:t>A purge tombstone retains parser/version/configuration, source hash, artifact hash, processing activity, deletion time and reason.</w:t>
      </w:r>
    </w:p>
    <w:p>
      <w:pPr>
        <w:pStyle w:val="Heading1"/>
      </w:pPr>
      <w:r>
        <w:t>9. Adaptive non-copying segmentation views</w:t>
      </w:r>
    </w:p>
    <w:p>
      <w:r>
        <w:t>The literature and the attached critical review do not support one universally best chunking method. Fixed, recursive, sentence, semantic, structure-aware, parent-child, late, hierarchical, graph-assisted and long-context methods solve different problems and fail in different ways. Cognityx should therefore preserve multiple segmentation views over the same canonical nodes rather than selecting one permanent chunk boundary.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1F4E78"/>
            <w:vAlign w:val="center"/>
            <w:tcMar>
              <w:top w:w="80" w:type="dxa"/>
              <w:start w:w="80" w:type="dxa"/>
              <w:bottom w:w="80" w:type="dxa"/>
              <w:end w:w="80" w:type="dxa"/>
            </w:tcMar>
          </w:tcPr>
          <w:p>
            <w:pPr>
              <w:keepLines/>
            </w:pPr>
            <w:r>
              <w:rPr>
                <w:b/>
                <w:color w:val="FFFFFF"/>
                <w:sz w:val="14"/>
              </w:rPr>
              <w:t>View/strategy</w:t>
            </w:r>
          </w:p>
        </w:tc>
        <w:tc>
          <w:tcPr>
            <w:tcW w:type="dxa" w:w="2952"/>
            <w:shd w:fill="1F4E78"/>
            <w:vAlign w:val="center"/>
            <w:tcMar>
              <w:top w:w="80" w:type="dxa"/>
              <w:start w:w="80" w:type="dxa"/>
              <w:bottom w:w="80" w:type="dxa"/>
              <w:end w:w="80" w:type="dxa"/>
            </w:tcMar>
          </w:tcPr>
          <w:p>
            <w:pPr>
              <w:keepLines/>
            </w:pPr>
            <w:r>
              <w:rPr>
                <w:b/>
                <w:color w:val="FFFFFF"/>
                <w:sz w:val="14"/>
              </w:rPr>
              <w:t>Best-fit use</w:t>
            </w:r>
          </w:p>
        </w:tc>
        <w:tc>
          <w:tcPr>
            <w:tcW w:type="dxa" w:w="3528"/>
            <w:shd w:fill="1F4E78"/>
            <w:vAlign w:val="center"/>
            <w:tcMar>
              <w:top w:w="80" w:type="dxa"/>
              <w:start w:w="80" w:type="dxa"/>
              <w:bottom w:w="80" w:type="dxa"/>
              <w:end w:w="80" w:type="dxa"/>
            </w:tcMar>
          </w:tcPr>
          <w:p>
            <w:pPr>
              <w:keepLines/>
            </w:pPr>
            <w:r>
              <w:rPr>
                <w:b/>
                <w:color w:val="FFFFFF"/>
                <w:sz w:val="14"/>
              </w:rPr>
              <w:t>Principal limitation</w:t>
            </w:r>
          </w:p>
        </w:tc>
        <w:tc>
          <w:tcPr>
            <w:tcW w:type="dxa" w:w="1944"/>
            <w:shd w:fill="1F4E78"/>
            <w:vAlign w:val="center"/>
            <w:tcMar>
              <w:top w:w="80" w:type="dxa"/>
              <w:start w:w="80" w:type="dxa"/>
              <w:bottom w:w="80" w:type="dxa"/>
              <w:end w:w="80" w:type="dxa"/>
            </w:tcMar>
          </w:tcPr>
          <w:p>
            <w:pPr>
              <w:keepLines/>
            </w:pPr>
            <w:r>
              <w:rPr>
                <w:b/>
                <w:color w:val="FFFFFF"/>
                <w:sz w:val="14"/>
              </w:rPr>
              <w:t>Focused-stage status</w:t>
            </w:r>
          </w:p>
        </w:tc>
      </w:tr>
      <w:tr>
        <w:tc>
          <w:tcPr>
            <w:tcW w:type="dxa" w:w="1944"/>
            <w:vAlign w:val="top"/>
            <w:tcMar>
              <w:top w:w="80" w:type="dxa"/>
              <w:start w:w="80" w:type="dxa"/>
              <w:bottom w:w="80" w:type="dxa"/>
              <w:end w:w="80" w:type="dxa"/>
            </w:tcMar>
          </w:tcPr>
          <w:p>
            <w:pPr>
              <w:keepLines/>
              <w:spacing w:after="0"/>
            </w:pPr>
            <w:r>
              <w:rPr>
                <w:sz w:val="14"/>
              </w:rPr>
              <w:t>Docling hierarchical/hybrid</w:t>
            </w:r>
          </w:p>
        </w:tc>
        <w:tc>
          <w:tcPr>
            <w:tcW w:type="dxa" w:w="2952"/>
            <w:vAlign w:val="top"/>
            <w:tcMar>
              <w:top w:w="80" w:type="dxa"/>
              <w:start w:w="80" w:type="dxa"/>
              <w:bottom w:w="80" w:type="dxa"/>
              <w:end w:w="80" w:type="dxa"/>
            </w:tcMar>
          </w:tcPr>
          <w:p>
            <w:pPr>
              <w:keepLines/>
              <w:spacing w:after="0"/>
            </w:pPr>
            <w:r>
              <w:rPr>
                <w:sz w:val="14"/>
              </w:rPr>
              <w:t>Structure-aware document elements, headings, captions, lists and token-aware refinement.</w:t>
            </w:r>
          </w:p>
        </w:tc>
        <w:tc>
          <w:tcPr>
            <w:tcW w:type="dxa" w:w="3528"/>
            <w:vAlign w:val="top"/>
            <w:tcMar>
              <w:top w:w="80" w:type="dxa"/>
              <w:start w:w="80" w:type="dxa"/>
              <w:bottom w:w="80" w:type="dxa"/>
              <w:end w:w="80" w:type="dxa"/>
            </w:tcMar>
          </w:tcPr>
          <w:p>
            <w:pPr>
              <w:keepLines/>
              <w:spacing w:after="0"/>
            </w:pPr>
            <w:r>
              <w:rPr>
                <w:sz w:val="14"/>
              </w:rPr>
              <w:t>Depends on parser structure; explicit distant references still require relation expansion.</w:t>
            </w:r>
          </w:p>
        </w:tc>
        <w:tc>
          <w:tcPr>
            <w:tcW w:type="dxa" w:w="1944"/>
            <w:vAlign w:val="top"/>
            <w:tcMar>
              <w:top w:w="80" w:type="dxa"/>
              <w:start w:w="80" w:type="dxa"/>
              <w:bottom w:w="80" w:type="dxa"/>
              <w:end w:w="80" w:type="dxa"/>
            </w:tcMar>
          </w:tcPr>
          <w:p>
            <w:pPr>
              <w:keepLines/>
              <w:spacing w:after="0"/>
            </w:pPr>
            <w:r>
              <w:rPr>
                <w:sz w:val="14"/>
              </w:rPr>
              <w:t>Preserve as native and canonical view</w:t>
            </w:r>
          </w:p>
        </w:tc>
      </w:tr>
      <w:tr>
        <w:tc>
          <w:tcPr>
            <w:tcW w:type="dxa" w:w="1944"/>
            <w:vAlign w:val="top"/>
            <w:tcMar>
              <w:top w:w="80" w:type="dxa"/>
              <w:start w:w="80" w:type="dxa"/>
              <w:bottom w:w="80" w:type="dxa"/>
              <w:end w:w="80" w:type="dxa"/>
            </w:tcMar>
          </w:tcPr>
          <w:p>
            <w:pPr>
              <w:keepLines/>
              <w:spacing w:after="0"/>
            </w:pPr>
            <w:r>
              <w:rPr>
                <w:sz w:val="14"/>
              </w:rPr>
              <w:t>Paragraph / semantic-node</w:t>
            </w:r>
          </w:p>
        </w:tc>
        <w:tc>
          <w:tcPr>
            <w:tcW w:type="dxa" w:w="2952"/>
            <w:vAlign w:val="top"/>
            <w:tcMar>
              <w:top w:w="80" w:type="dxa"/>
              <w:start w:w="80" w:type="dxa"/>
              <w:bottom w:w="80" w:type="dxa"/>
              <w:end w:w="80" w:type="dxa"/>
            </w:tcMar>
          </w:tcPr>
          <w:p>
            <w:pPr>
              <w:keepLines/>
              <w:spacing w:after="0"/>
            </w:pPr>
            <w:r>
              <w:rPr>
                <w:sz w:val="14"/>
              </w:rPr>
              <w:t>Local QA, exact provenance and low-cost indexing.</w:t>
            </w:r>
          </w:p>
        </w:tc>
        <w:tc>
          <w:tcPr>
            <w:tcW w:type="dxa" w:w="3528"/>
            <w:vAlign w:val="top"/>
            <w:tcMar>
              <w:top w:w="80" w:type="dxa"/>
              <w:start w:w="80" w:type="dxa"/>
              <w:bottom w:w="80" w:type="dxa"/>
              <w:end w:w="80" w:type="dxa"/>
            </w:tcMar>
          </w:tcPr>
          <w:p>
            <w:pPr>
              <w:keepLines/>
              <w:spacing w:after="0"/>
            </w:pPr>
            <w:r>
              <w:rPr>
                <w:sz w:val="14"/>
              </w:rPr>
              <w:t>May omit remote conditions, definitions and exceptions.</w:t>
            </w:r>
          </w:p>
        </w:tc>
        <w:tc>
          <w:tcPr>
            <w:tcW w:type="dxa" w:w="1944"/>
            <w:vAlign w:val="top"/>
            <w:tcMar>
              <w:top w:w="80" w:type="dxa"/>
              <w:start w:w="80" w:type="dxa"/>
              <w:bottom w:w="80" w:type="dxa"/>
              <w:end w:w="80" w:type="dxa"/>
            </w:tcMar>
          </w:tcPr>
          <w:p>
            <w:pPr>
              <w:keepLines/>
              <w:spacing w:after="0"/>
            </w:pPr>
            <w:r>
              <w:rPr>
                <w:sz w:val="14"/>
              </w:rPr>
              <w:t>Required</w:t>
            </w:r>
          </w:p>
        </w:tc>
      </w:tr>
      <w:tr>
        <w:tc>
          <w:tcPr>
            <w:tcW w:type="dxa" w:w="1944"/>
            <w:vAlign w:val="top"/>
            <w:tcMar>
              <w:top w:w="80" w:type="dxa"/>
              <w:start w:w="80" w:type="dxa"/>
              <w:bottom w:w="80" w:type="dxa"/>
              <w:end w:w="80" w:type="dxa"/>
            </w:tcMar>
          </w:tcPr>
          <w:p>
            <w:pPr>
              <w:keepLines/>
              <w:spacing w:after="0"/>
            </w:pPr>
            <w:r>
              <w:rPr>
                <w:sz w:val="14"/>
              </w:rPr>
              <w:t>Sentence / line-safe</w:t>
            </w:r>
          </w:p>
        </w:tc>
        <w:tc>
          <w:tcPr>
            <w:tcW w:type="dxa" w:w="2952"/>
            <w:vAlign w:val="top"/>
            <w:tcMar>
              <w:top w:w="80" w:type="dxa"/>
              <w:start w:w="80" w:type="dxa"/>
              <w:bottom w:w="80" w:type="dxa"/>
              <w:end w:w="80" w:type="dxa"/>
            </w:tcMar>
          </w:tcPr>
          <w:p>
            <w:pPr>
              <w:keepLines/>
              <w:spacing w:after="0"/>
            </w:pPr>
            <w:r>
              <w:rPr>
                <w:sz w:val="14"/>
              </w:rPr>
              <w:t>Precise retrieval, tables, lists, code and controlled token sizes.</w:t>
            </w:r>
          </w:p>
        </w:tc>
        <w:tc>
          <w:tcPr>
            <w:tcW w:type="dxa" w:w="3528"/>
            <w:vAlign w:val="top"/>
            <w:tcMar>
              <w:top w:w="80" w:type="dxa"/>
              <w:start w:w="80" w:type="dxa"/>
              <w:bottom w:w="80" w:type="dxa"/>
              <w:end w:w="80" w:type="dxa"/>
            </w:tcMar>
          </w:tcPr>
          <w:p>
            <w:pPr>
              <w:keepLines/>
              <w:spacing w:after="0"/>
            </w:pPr>
            <w:r>
              <w:rPr>
                <w:sz w:val="14"/>
              </w:rPr>
              <w:t>Small units may lose antecedents and hierarchy.</w:t>
            </w:r>
          </w:p>
        </w:tc>
        <w:tc>
          <w:tcPr>
            <w:tcW w:type="dxa" w:w="1944"/>
            <w:vAlign w:val="top"/>
            <w:tcMar>
              <w:top w:w="80" w:type="dxa"/>
              <w:start w:w="80" w:type="dxa"/>
              <w:bottom w:w="80" w:type="dxa"/>
              <w:end w:w="80" w:type="dxa"/>
            </w:tcMar>
          </w:tcPr>
          <w:p>
            <w:pPr>
              <w:keepLines/>
              <w:spacing w:after="0"/>
            </w:pPr>
            <w:r>
              <w:rPr>
                <w:sz w:val="14"/>
              </w:rPr>
              <w:t>Schema and contract test</w:t>
            </w:r>
          </w:p>
        </w:tc>
      </w:tr>
      <w:tr>
        <w:tc>
          <w:tcPr>
            <w:tcW w:type="dxa" w:w="1944"/>
            <w:vAlign w:val="top"/>
            <w:tcMar>
              <w:top w:w="80" w:type="dxa"/>
              <w:start w:w="80" w:type="dxa"/>
              <w:bottom w:w="80" w:type="dxa"/>
              <w:end w:w="80" w:type="dxa"/>
            </w:tcMar>
          </w:tcPr>
          <w:p>
            <w:pPr>
              <w:keepLines/>
              <w:spacing w:after="0"/>
            </w:pPr>
            <w:r>
              <w:rPr>
                <w:sz w:val="14"/>
              </w:rPr>
              <w:t>Fixed-size sentence-safe</w:t>
            </w:r>
          </w:p>
        </w:tc>
        <w:tc>
          <w:tcPr>
            <w:tcW w:type="dxa" w:w="2952"/>
            <w:vAlign w:val="top"/>
            <w:tcMar>
              <w:top w:w="80" w:type="dxa"/>
              <w:start w:w="80" w:type="dxa"/>
              <w:bottom w:w="80" w:type="dxa"/>
              <w:end w:w="80" w:type="dxa"/>
            </w:tcMar>
          </w:tcPr>
          <w:p>
            <w:pPr>
              <w:keepLines/>
              <w:spacing w:after="0"/>
            </w:pPr>
            <w:r>
              <w:rPr>
                <w:sz w:val="14"/>
              </w:rPr>
              <w:t>Predictable index cost and model-profile limits.</w:t>
            </w:r>
          </w:p>
        </w:tc>
        <w:tc>
          <w:tcPr>
            <w:tcW w:type="dxa" w:w="3528"/>
            <w:vAlign w:val="top"/>
            <w:tcMar>
              <w:top w:w="80" w:type="dxa"/>
              <w:start w:w="80" w:type="dxa"/>
              <w:bottom w:w="80" w:type="dxa"/>
              <w:end w:w="80" w:type="dxa"/>
            </w:tcMar>
          </w:tcPr>
          <w:p>
            <w:pPr>
              <w:keepLines/>
              <w:spacing w:after="0"/>
            </w:pPr>
            <w:r>
              <w:rPr>
                <w:sz w:val="14"/>
              </w:rPr>
              <w:t>Boundary remains task-agnostic.</w:t>
            </w:r>
          </w:p>
        </w:tc>
        <w:tc>
          <w:tcPr>
            <w:tcW w:type="dxa" w:w="1944"/>
            <w:vAlign w:val="top"/>
            <w:tcMar>
              <w:top w:w="80" w:type="dxa"/>
              <w:start w:w="80" w:type="dxa"/>
              <w:bottom w:w="80" w:type="dxa"/>
              <w:end w:w="80" w:type="dxa"/>
            </w:tcMar>
          </w:tcPr>
          <w:p>
            <w:pPr>
              <w:keepLines/>
              <w:spacing w:after="0"/>
            </w:pPr>
            <w:r>
              <w:rPr>
                <w:sz w:val="14"/>
              </w:rPr>
              <w:t>Retained baseline view</w:t>
            </w:r>
          </w:p>
        </w:tc>
      </w:tr>
      <w:tr>
        <w:tc>
          <w:tcPr>
            <w:tcW w:type="dxa" w:w="1944"/>
            <w:vAlign w:val="top"/>
            <w:tcMar>
              <w:top w:w="80" w:type="dxa"/>
              <w:start w:w="80" w:type="dxa"/>
              <w:bottom w:w="80" w:type="dxa"/>
              <w:end w:w="80" w:type="dxa"/>
            </w:tcMar>
          </w:tcPr>
          <w:p>
            <w:pPr>
              <w:keepLines/>
              <w:spacing w:after="0"/>
            </w:pPr>
            <w:r>
              <w:rPr>
                <w:sz w:val="14"/>
              </w:rPr>
              <w:t>Parent-child / small-to-big</w:t>
            </w:r>
          </w:p>
        </w:tc>
        <w:tc>
          <w:tcPr>
            <w:tcW w:type="dxa" w:w="2952"/>
            <w:vAlign w:val="top"/>
            <w:tcMar>
              <w:top w:w="80" w:type="dxa"/>
              <w:start w:w="80" w:type="dxa"/>
              <w:bottom w:w="80" w:type="dxa"/>
              <w:end w:w="80" w:type="dxa"/>
            </w:tcMar>
          </w:tcPr>
          <w:p>
            <w:pPr>
              <w:keepLines/>
              <w:spacing w:after="0"/>
            </w:pPr>
            <w:r>
              <w:rPr>
                <w:sz w:val="14"/>
              </w:rPr>
              <w:t>Precise child match with larger structural context.</w:t>
            </w:r>
          </w:p>
        </w:tc>
        <w:tc>
          <w:tcPr>
            <w:tcW w:type="dxa" w:w="3528"/>
            <w:vAlign w:val="top"/>
            <w:tcMar>
              <w:top w:w="80" w:type="dxa"/>
              <w:start w:w="80" w:type="dxa"/>
              <w:bottom w:w="80" w:type="dxa"/>
              <w:end w:w="80" w:type="dxa"/>
            </w:tcMar>
          </w:tcPr>
          <w:p>
            <w:pPr>
              <w:keepLines/>
              <w:spacing w:after="0"/>
            </w:pPr>
            <w:r>
              <w:rPr>
                <w:sz w:val="14"/>
              </w:rPr>
              <w:t>Parent can add noise and still miss external references.</w:t>
            </w:r>
          </w:p>
        </w:tc>
        <w:tc>
          <w:tcPr>
            <w:tcW w:type="dxa" w:w="1944"/>
            <w:vAlign w:val="top"/>
            <w:tcMar>
              <w:top w:w="80" w:type="dxa"/>
              <w:start w:w="80" w:type="dxa"/>
              <w:bottom w:w="80" w:type="dxa"/>
              <w:end w:w="80" w:type="dxa"/>
            </w:tcMar>
          </w:tcPr>
          <w:p>
            <w:pPr>
              <w:keepLines/>
              <w:spacing w:after="0"/>
            </w:pPr>
            <w:r>
              <w:rPr>
                <w:sz w:val="14"/>
              </w:rPr>
              <w:t>Future retrieval adapter</w:t>
            </w:r>
          </w:p>
        </w:tc>
      </w:tr>
      <w:tr>
        <w:tc>
          <w:tcPr>
            <w:tcW w:type="dxa" w:w="1944"/>
            <w:vAlign w:val="top"/>
            <w:tcMar>
              <w:top w:w="80" w:type="dxa"/>
              <w:start w:w="80" w:type="dxa"/>
              <w:bottom w:w="80" w:type="dxa"/>
              <w:end w:w="80" w:type="dxa"/>
            </w:tcMar>
          </w:tcPr>
          <w:p>
            <w:pPr>
              <w:keepLines/>
              <w:spacing w:after="0"/>
            </w:pPr>
            <w:r>
              <w:rPr>
                <w:sz w:val="14"/>
              </w:rPr>
              <w:t>Neighbour window</w:t>
            </w:r>
          </w:p>
        </w:tc>
        <w:tc>
          <w:tcPr>
            <w:tcW w:type="dxa" w:w="2952"/>
            <w:vAlign w:val="top"/>
            <w:tcMar>
              <w:top w:w="80" w:type="dxa"/>
              <w:start w:w="80" w:type="dxa"/>
              <w:bottom w:w="80" w:type="dxa"/>
              <w:end w:w="80" w:type="dxa"/>
            </w:tcMar>
          </w:tcPr>
          <w:p>
            <w:pPr>
              <w:keepLines/>
              <w:spacing w:after="0"/>
            </w:pPr>
            <w:r>
              <w:rPr>
                <w:sz w:val="14"/>
              </w:rPr>
              <w:t>Near-boundary context and pronoun/definition recovery.</w:t>
            </w:r>
          </w:p>
        </w:tc>
        <w:tc>
          <w:tcPr>
            <w:tcW w:type="dxa" w:w="3528"/>
            <w:vAlign w:val="top"/>
            <w:tcMar>
              <w:top w:w="80" w:type="dxa"/>
              <w:start w:w="80" w:type="dxa"/>
              <w:bottom w:w="80" w:type="dxa"/>
              <w:end w:w="80" w:type="dxa"/>
            </w:tcMar>
          </w:tcPr>
          <w:p>
            <w:pPr>
              <w:keepLines/>
              <w:spacing w:after="0"/>
            </w:pPr>
            <w:r>
              <w:rPr>
                <w:sz w:val="14"/>
              </w:rPr>
              <w:t>Does not solve distant or cross-document closure.</w:t>
            </w:r>
          </w:p>
        </w:tc>
        <w:tc>
          <w:tcPr>
            <w:tcW w:type="dxa" w:w="1944"/>
            <w:vAlign w:val="top"/>
            <w:tcMar>
              <w:top w:w="80" w:type="dxa"/>
              <w:start w:w="80" w:type="dxa"/>
              <w:bottom w:w="80" w:type="dxa"/>
              <w:end w:w="80" w:type="dxa"/>
            </w:tcMar>
          </w:tcPr>
          <w:p>
            <w:pPr>
              <w:keepLines/>
              <w:spacing w:after="0"/>
            </w:pPr>
            <w:r>
              <w:rPr>
                <w:sz w:val="14"/>
              </w:rPr>
              <w:t>Retained view</w:t>
            </w:r>
          </w:p>
        </w:tc>
      </w:tr>
      <w:tr>
        <w:tc>
          <w:tcPr>
            <w:tcW w:type="dxa" w:w="1944"/>
            <w:vAlign w:val="top"/>
            <w:tcMar>
              <w:top w:w="80" w:type="dxa"/>
              <w:start w:w="80" w:type="dxa"/>
              <w:bottom w:w="80" w:type="dxa"/>
              <w:end w:w="80" w:type="dxa"/>
            </w:tcMar>
          </w:tcPr>
          <w:p>
            <w:pPr>
              <w:keepLines/>
              <w:spacing w:after="0"/>
            </w:pPr>
            <w:r>
              <w:rPr>
                <w:sz w:val="14"/>
              </w:rPr>
              <w:t>Semantic</w:t>
            </w:r>
          </w:p>
        </w:tc>
        <w:tc>
          <w:tcPr>
            <w:tcW w:type="dxa" w:w="2952"/>
            <w:vAlign w:val="top"/>
            <w:tcMar>
              <w:top w:w="80" w:type="dxa"/>
              <w:start w:w="80" w:type="dxa"/>
              <w:bottom w:w="80" w:type="dxa"/>
              <w:end w:w="80" w:type="dxa"/>
            </w:tcMar>
          </w:tcPr>
          <w:p>
            <w:pPr>
              <w:keepLines/>
              <w:spacing w:after="0"/>
            </w:pPr>
            <w:r>
              <w:rPr>
                <w:sz w:val="14"/>
              </w:rPr>
              <w:t>Adjacent topic-coherent prose.</w:t>
            </w:r>
          </w:p>
        </w:tc>
        <w:tc>
          <w:tcPr>
            <w:tcW w:type="dxa" w:w="3528"/>
            <w:vAlign w:val="top"/>
            <w:tcMar>
              <w:top w:w="80" w:type="dxa"/>
              <w:start w:w="80" w:type="dxa"/>
              <w:bottom w:w="80" w:type="dxa"/>
              <w:end w:w="80" w:type="dxa"/>
            </w:tcMar>
          </w:tcPr>
          <w:p>
            <w:pPr>
              <w:keepLines/>
              <w:spacing w:after="0"/>
            </w:pPr>
            <w:r>
              <w:rPr>
                <w:sz w:val="14"/>
              </w:rPr>
              <w:t>Embedding/threshold sensitive; not evidence-sufficiency aware.</w:t>
            </w:r>
          </w:p>
        </w:tc>
        <w:tc>
          <w:tcPr>
            <w:tcW w:type="dxa" w:w="1944"/>
            <w:vAlign w:val="top"/>
            <w:tcMar>
              <w:top w:w="80" w:type="dxa"/>
              <w:start w:w="80" w:type="dxa"/>
              <w:bottom w:w="80" w:type="dxa"/>
              <w:end w:w="80" w:type="dxa"/>
            </w:tcMar>
          </w:tcPr>
          <w:p>
            <w:pPr>
              <w:keepLines/>
              <w:spacing w:after="0"/>
            </w:pPr>
            <w:r>
              <w:rPr>
                <w:sz w:val="14"/>
              </w:rPr>
              <w:t>Future plugin</w:t>
            </w:r>
          </w:p>
        </w:tc>
      </w:tr>
      <w:tr>
        <w:tc>
          <w:tcPr>
            <w:tcW w:type="dxa" w:w="1944"/>
            <w:vAlign w:val="top"/>
            <w:tcMar>
              <w:top w:w="80" w:type="dxa"/>
              <w:start w:w="80" w:type="dxa"/>
              <w:bottom w:w="80" w:type="dxa"/>
              <w:end w:w="80" w:type="dxa"/>
            </w:tcMar>
          </w:tcPr>
          <w:p>
            <w:pPr>
              <w:keepLines/>
              <w:spacing w:after="0"/>
            </w:pPr>
            <w:r>
              <w:rPr>
                <w:sz w:val="14"/>
              </w:rPr>
              <w:t>Late chunking</w:t>
            </w:r>
          </w:p>
        </w:tc>
        <w:tc>
          <w:tcPr>
            <w:tcW w:type="dxa" w:w="2952"/>
            <w:vAlign w:val="top"/>
            <w:tcMar>
              <w:top w:w="80" w:type="dxa"/>
              <w:start w:w="80" w:type="dxa"/>
              <w:bottom w:w="80" w:type="dxa"/>
              <w:end w:w="80" w:type="dxa"/>
            </w:tcMar>
          </w:tcPr>
          <w:p>
            <w:pPr>
              <w:keepLines/>
              <w:spacing w:after="0"/>
            </w:pPr>
            <w:r>
              <w:rPr>
                <w:sz w:val="14"/>
              </w:rPr>
              <w:t>Context-aware embeddings inside a long document.</w:t>
            </w:r>
          </w:p>
        </w:tc>
        <w:tc>
          <w:tcPr>
            <w:tcW w:type="dxa" w:w="3528"/>
            <w:vAlign w:val="top"/>
            <w:tcMar>
              <w:top w:w="80" w:type="dxa"/>
              <w:start w:w="80" w:type="dxa"/>
              <w:bottom w:w="80" w:type="dxa"/>
              <w:end w:w="80" w:type="dxa"/>
            </w:tcMar>
          </w:tcPr>
          <w:p>
            <w:pPr>
              <w:keepLines/>
              <w:spacing w:after="0"/>
            </w:pPr>
            <w:r>
              <w:rPr>
                <w:sz w:val="14"/>
              </w:rPr>
              <w:t>Improves representation, not source extraction or reference closure.</w:t>
            </w:r>
          </w:p>
        </w:tc>
        <w:tc>
          <w:tcPr>
            <w:tcW w:type="dxa" w:w="1944"/>
            <w:vAlign w:val="top"/>
            <w:tcMar>
              <w:top w:w="80" w:type="dxa"/>
              <w:start w:w="80" w:type="dxa"/>
              <w:bottom w:w="80" w:type="dxa"/>
              <w:end w:w="80" w:type="dxa"/>
            </w:tcMar>
          </w:tcPr>
          <w:p>
            <w:pPr>
              <w:keepLines/>
              <w:spacing w:after="0"/>
            </w:pPr>
            <w:r>
              <w:rPr>
                <w:sz w:val="14"/>
              </w:rPr>
              <w:t>Future embedding view</w:t>
            </w:r>
          </w:p>
        </w:tc>
      </w:tr>
      <w:tr>
        <w:tc>
          <w:tcPr>
            <w:tcW w:type="dxa" w:w="1944"/>
            <w:vAlign w:val="top"/>
            <w:tcMar>
              <w:top w:w="80" w:type="dxa"/>
              <w:start w:w="80" w:type="dxa"/>
              <w:bottom w:w="80" w:type="dxa"/>
              <w:end w:w="80" w:type="dxa"/>
            </w:tcMar>
          </w:tcPr>
          <w:p>
            <w:pPr>
              <w:keepLines/>
              <w:spacing w:after="0"/>
            </w:pPr>
            <w:r>
              <w:rPr>
                <w:sz w:val="14"/>
              </w:rPr>
              <w:t>Hierarchical/summary</w:t>
            </w:r>
          </w:p>
        </w:tc>
        <w:tc>
          <w:tcPr>
            <w:tcW w:type="dxa" w:w="2952"/>
            <w:vAlign w:val="top"/>
            <w:tcMar>
              <w:top w:w="80" w:type="dxa"/>
              <w:start w:w="80" w:type="dxa"/>
              <w:bottom w:w="80" w:type="dxa"/>
              <w:end w:w="80" w:type="dxa"/>
            </w:tcMar>
          </w:tcPr>
          <w:p>
            <w:pPr>
              <w:keepLines/>
              <w:spacing w:after="0"/>
            </w:pPr>
            <w:r>
              <w:rPr>
                <w:sz w:val="14"/>
              </w:rPr>
              <w:t>Broad themes and multi-scale retrieval.</w:t>
            </w:r>
          </w:p>
        </w:tc>
        <w:tc>
          <w:tcPr>
            <w:tcW w:type="dxa" w:w="3528"/>
            <w:vAlign w:val="top"/>
            <w:tcMar>
              <w:top w:w="80" w:type="dxa"/>
              <w:start w:w="80" w:type="dxa"/>
              <w:bottom w:w="80" w:type="dxa"/>
              <w:end w:w="80" w:type="dxa"/>
            </w:tcMar>
          </w:tcPr>
          <w:p>
            <w:pPr>
              <w:keepLines/>
              <w:spacing w:after="0"/>
            </w:pPr>
            <w:r>
              <w:rPr>
                <w:sz w:val="14"/>
              </w:rPr>
              <w:t>Summaries may omit exact qualifiers and wording.</w:t>
            </w:r>
          </w:p>
        </w:tc>
        <w:tc>
          <w:tcPr>
            <w:tcW w:type="dxa" w:w="1944"/>
            <w:vAlign w:val="top"/>
            <w:tcMar>
              <w:top w:w="80" w:type="dxa"/>
              <w:start w:w="80" w:type="dxa"/>
              <w:bottom w:w="80" w:type="dxa"/>
              <w:end w:w="80" w:type="dxa"/>
            </w:tcMar>
          </w:tcPr>
          <w:p>
            <w:pPr>
              <w:keepLines/>
              <w:spacing w:after="0"/>
            </w:pPr>
            <w:r>
              <w:rPr>
                <w:sz w:val="14"/>
              </w:rPr>
              <w:t>Future derived representation</w:t>
            </w:r>
          </w:p>
        </w:tc>
      </w:tr>
      <w:tr>
        <w:tc>
          <w:tcPr>
            <w:tcW w:type="dxa" w:w="1944"/>
            <w:vAlign w:val="top"/>
            <w:tcMar>
              <w:top w:w="80" w:type="dxa"/>
              <w:start w:w="80" w:type="dxa"/>
              <w:bottom w:w="80" w:type="dxa"/>
              <w:end w:w="80" w:type="dxa"/>
            </w:tcMar>
          </w:tcPr>
          <w:p>
            <w:pPr>
              <w:keepLines/>
              <w:spacing w:after="0"/>
            </w:pPr>
            <w:r>
              <w:rPr>
                <w:sz w:val="14"/>
              </w:rPr>
              <w:t>Relation-expanded</w:t>
            </w:r>
          </w:p>
        </w:tc>
        <w:tc>
          <w:tcPr>
            <w:tcW w:type="dxa" w:w="2952"/>
            <w:vAlign w:val="top"/>
            <w:tcMar>
              <w:top w:w="80" w:type="dxa"/>
              <w:start w:w="80" w:type="dxa"/>
              <w:bottom w:w="80" w:type="dxa"/>
              <w:end w:w="80" w:type="dxa"/>
            </w:tcMar>
          </w:tcPr>
          <w:p>
            <w:pPr>
              <w:keepLines/>
              <w:spacing w:after="0"/>
            </w:pPr>
            <w:r>
              <w:rPr>
                <w:sz w:val="14"/>
              </w:rPr>
              <w:t>Cross-section, object, annexure, version and cross-document evidence closure.</w:t>
            </w:r>
          </w:p>
        </w:tc>
        <w:tc>
          <w:tcPr>
            <w:tcW w:type="dxa" w:w="3528"/>
            <w:vAlign w:val="top"/>
            <w:tcMar>
              <w:top w:w="80" w:type="dxa"/>
              <w:start w:w="80" w:type="dxa"/>
              <w:bottom w:w="80" w:type="dxa"/>
              <w:end w:w="80" w:type="dxa"/>
            </w:tcMar>
          </w:tcPr>
          <w:p>
            <w:pPr>
              <w:keepLines/>
              <w:spacing w:after="0"/>
            </w:pPr>
            <w:r>
              <w:rPr>
                <w:sz w:val="14"/>
              </w:rPr>
              <w:t>Only as reliable as extracted and validated relations.</w:t>
            </w:r>
          </w:p>
        </w:tc>
        <w:tc>
          <w:tcPr>
            <w:tcW w:type="dxa" w:w="1944"/>
            <w:vAlign w:val="top"/>
            <w:tcMar>
              <w:top w:w="80" w:type="dxa"/>
              <w:start w:w="80" w:type="dxa"/>
              <w:bottom w:w="80" w:type="dxa"/>
              <w:end w:w="80" w:type="dxa"/>
            </w:tcMar>
          </w:tcPr>
          <w:p>
            <w:pPr>
              <w:keepLines/>
              <w:spacing w:after="0"/>
            </w:pPr>
            <w:r>
              <w:rPr>
                <w:sz w:val="14"/>
              </w:rPr>
              <w:t>Required for composite KU</w:t>
            </w:r>
          </w:p>
        </w:tc>
      </w:tr>
      <w:tr>
        <w:tc>
          <w:tcPr>
            <w:tcW w:type="dxa" w:w="1944"/>
            <w:vAlign w:val="top"/>
            <w:tcMar>
              <w:top w:w="80" w:type="dxa"/>
              <w:start w:w="80" w:type="dxa"/>
              <w:bottom w:w="80" w:type="dxa"/>
              <w:end w:w="80" w:type="dxa"/>
            </w:tcMar>
          </w:tcPr>
          <w:p>
            <w:pPr>
              <w:keepLines/>
              <w:spacing w:after="0"/>
            </w:pPr>
            <w:r>
              <w:rPr>
                <w:sz w:val="14"/>
              </w:rPr>
              <w:t>Full-context/chunk-free</w:t>
            </w:r>
          </w:p>
        </w:tc>
        <w:tc>
          <w:tcPr>
            <w:tcW w:type="dxa" w:w="2952"/>
            <w:vAlign w:val="top"/>
            <w:tcMar>
              <w:top w:w="80" w:type="dxa"/>
              <w:start w:w="80" w:type="dxa"/>
              <w:bottom w:w="80" w:type="dxa"/>
              <w:end w:w="80" w:type="dxa"/>
            </w:tcMar>
          </w:tcPr>
          <w:p>
            <w:pPr>
              <w:keepLines/>
              <w:spacing w:after="0"/>
            </w:pPr>
            <w:r>
              <w:rPr>
                <w:sz w:val="14"/>
              </w:rPr>
              <w:t>Documents that fit the model context and oracle-like controls.</w:t>
            </w:r>
          </w:p>
        </w:tc>
        <w:tc>
          <w:tcPr>
            <w:tcW w:type="dxa" w:w="3528"/>
            <w:vAlign w:val="top"/>
            <w:tcMar>
              <w:top w:w="80" w:type="dxa"/>
              <w:start w:w="80" w:type="dxa"/>
              <w:bottom w:w="80" w:type="dxa"/>
              <w:end w:w="80" w:type="dxa"/>
            </w:tcMar>
          </w:tcPr>
          <w:p>
            <w:pPr>
              <w:keepLines/>
              <w:spacing w:after="0"/>
            </w:pPr>
            <w:r>
              <w:rPr>
                <w:sz w:val="14"/>
              </w:rPr>
              <w:t>Cost, distractors and evidence-use failures remain.</w:t>
            </w:r>
          </w:p>
        </w:tc>
        <w:tc>
          <w:tcPr>
            <w:tcW w:type="dxa" w:w="1944"/>
            <w:vAlign w:val="top"/>
            <w:tcMar>
              <w:top w:w="80" w:type="dxa"/>
              <w:start w:w="80" w:type="dxa"/>
              <w:bottom w:w="80" w:type="dxa"/>
              <w:end w:w="80" w:type="dxa"/>
            </w:tcMar>
          </w:tcPr>
          <w:p>
            <w:pPr>
              <w:keepLines/>
              <w:spacing w:after="0"/>
            </w:pPr>
            <w:r>
              <w:rPr>
                <w:sz w:val="14"/>
              </w:rPr>
              <w:t>Future comparison/control</w:t>
            </w:r>
          </w:p>
        </w:tc>
      </w:tr>
    </w:tbl>
    <w:p/>
    <w:p>
      <w:pPr>
        <w:pStyle w:val="Heading2"/>
      </w:pPr>
      <w:r>
        <w:t>9.1 Chunker capability and routing</w:t>
      </w:r>
    </w:p>
    <w:p>
      <w:r>
        <w:t>Chunkers use the same three capability-evidence sources and the same three execution modes as parsers. The routing target may be a document, division, object class, downstream task or query. Capability records should include supported source structure, granularity, tokenizer/model assumptions, reference completeness, block integrity, context dependence, duplication, cost and measured retrieval outcomes.</w:t>
      </w:r>
    </w:p>
    <w:p>
      <w:pPr>
        <w:pStyle w:val="Heading2"/>
      </w:pPr>
      <w:r>
        <w:t>9.2 What chunker fusion means</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keepLines/>
            </w:pPr>
            <w:r>
              <w:rPr>
                <w:b/>
              </w:rPr>
              <w:t xml:space="preserve">Important distinction: </w:t>
            </w:r>
            <w:r>
              <w:t>Cognityx should not average or merge incompatible boundaries into one canonical chunk set. Chunker fusion means retaining several views, routing to one or more suitable views, combining retrieval results over canonical source spans, and assembling the final context under explicit provenance and token-budget rules.</w:t>
            </w:r>
          </w:p>
        </w:tc>
      </w:tr>
    </w:tbl>
    <w:p/>
    <w:p>
      <w:pPr>
        <w:pStyle w:val="ListBullet"/>
        <w:spacing w:after="60"/>
      </w:pPr>
      <w:r>
        <w:t>Generate or reuse one or more SegmentationViews over canonical node IDs and character ranges.</w:t>
      </w:r>
    </w:p>
    <w:p>
      <w:pPr>
        <w:pStyle w:val="ListBullet"/>
        <w:spacing w:after="60"/>
      </w:pPr>
      <w:r>
        <w:t>Index each view with its strategy, profile, tokenizer and lineage; never copy canonical text into the view record.</w:t>
      </w:r>
    </w:p>
    <w:p>
      <w:pPr>
        <w:pStyle w:val="ListBullet"/>
        <w:spacing w:after="60"/>
      </w:pPr>
      <w:r>
        <w:t>At query or DataForge-task time, select views deterministically, through a hybrid planner, or through an LLM-directed planner using the live capability registry.</w:t>
      </w:r>
    </w:p>
    <w:p>
      <w:pPr>
        <w:pStyle w:val="ListBullet"/>
        <w:spacing w:after="60"/>
      </w:pPr>
      <w:r>
        <w:t>Retrieve independently from selected views and map all results back to canonical source spans.</w:t>
      </w:r>
    </w:p>
    <w:p>
      <w:pPr>
        <w:pStyle w:val="ListBullet"/>
        <w:spacing w:after="60"/>
      </w:pPr>
      <w:r>
        <w:t>Fuse rankings using a documented method, deduplicate overlapping source spans, then apply parent, neighbour or validated relation expansion.</w:t>
      </w:r>
    </w:p>
    <w:p>
      <w:pPr>
        <w:pStyle w:val="ListBullet"/>
        <w:spacing w:after="60"/>
      </w:pPr>
      <w:r>
        <w:t>Record the ContextAssemblyPlan, including selected views, scores, expansions, dropped duplicates and final token budget.</w:t>
      </w:r>
    </w:p>
    <w:p>
      <w:pPr>
        <w:pStyle w:val="Heading2"/>
      </w:pPr>
      <w:r>
        <w:t>9.3 Ownership boundary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624"/>
            <w:shd w:fill="1F4E78"/>
            <w:vAlign w:val="center"/>
            <w:tcMar>
              <w:top w:w="80" w:type="dxa"/>
              <w:start w:w="80" w:type="dxa"/>
              <w:bottom w:w="80" w:type="dxa"/>
              <w:end w:w="80" w:type="dxa"/>
            </w:tcMar>
          </w:tcPr>
          <w:p>
            <w:pPr>
              <w:keepLines/>
            </w:pPr>
            <w:r>
              <w:rPr>
                <w:b/>
                <w:color w:val="FFFFFF"/>
                <w:sz w:val="16"/>
              </w:rPr>
              <w:t>Responsibility</w:t>
            </w:r>
          </w:p>
        </w:tc>
        <w:tc>
          <w:tcPr>
            <w:tcW w:type="dxa" w:w="3744"/>
            <w:shd w:fill="1F4E78"/>
            <w:vAlign w:val="center"/>
            <w:tcMar>
              <w:top w:w="80" w:type="dxa"/>
              <w:start w:w="80" w:type="dxa"/>
              <w:bottom w:w="80" w:type="dxa"/>
              <w:end w:w="80" w:type="dxa"/>
            </w:tcMar>
          </w:tcPr>
          <w:p>
            <w:pPr>
              <w:keepLines/>
            </w:pPr>
            <w:r>
              <w:rPr>
                <w:b/>
                <w:color w:val="FFFFFF"/>
                <w:sz w:val="16"/>
              </w:rPr>
              <w:t>Owner</w:t>
            </w:r>
          </w:p>
        </w:tc>
      </w:tr>
      <w:tr>
        <w:tc>
          <w:tcPr>
            <w:tcW w:type="dxa" w:w="6624"/>
            <w:vAlign w:val="top"/>
            <w:tcMar>
              <w:top w:w="80" w:type="dxa"/>
              <w:start w:w="80" w:type="dxa"/>
              <w:bottom w:w="80" w:type="dxa"/>
              <w:end w:w="80" w:type="dxa"/>
            </w:tcMar>
          </w:tcPr>
          <w:p>
            <w:pPr>
              <w:keepLines/>
              <w:spacing w:after="0"/>
            </w:pPr>
            <w:r>
              <w:rPr>
                <w:sz w:val="16"/>
              </w:rPr>
              <w:t>Canonical nodes, sentence spans, divisions, objects and exact selectors</w:t>
            </w:r>
          </w:p>
        </w:tc>
        <w:tc>
          <w:tcPr>
            <w:tcW w:type="dxa" w:w="3744"/>
            <w:vAlign w:val="top"/>
            <w:tcMar>
              <w:top w:w="80" w:type="dxa"/>
              <w:start w:w="80" w:type="dxa"/>
              <w:bottom w:w="80" w:type="dxa"/>
              <w:end w:w="80" w:type="dxa"/>
            </w:tcMar>
          </w:tcPr>
          <w:p>
            <w:pPr>
              <w:keepLines/>
              <w:spacing w:after="0"/>
            </w:pPr>
            <w:r>
              <w:rPr>
                <w:sz w:val="16"/>
              </w:rPr>
              <w:t>Ingest</w:t>
            </w:r>
          </w:p>
        </w:tc>
      </w:tr>
      <w:tr>
        <w:tc>
          <w:tcPr>
            <w:tcW w:type="dxa" w:w="6624"/>
            <w:vAlign w:val="top"/>
            <w:tcMar>
              <w:top w:w="80" w:type="dxa"/>
              <w:start w:w="80" w:type="dxa"/>
              <w:bottom w:w="80" w:type="dxa"/>
              <w:end w:w="80" w:type="dxa"/>
            </w:tcMar>
          </w:tcPr>
          <w:p>
            <w:pPr>
              <w:keepLines/>
              <w:spacing w:after="0"/>
            </w:pPr>
            <w:r>
              <w:rPr>
                <w:sz w:val="16"/>
              </w:rPr>
              <w:t>Segmentation strategy registry, generation, cache identity and view lineage</w:t>
            </w:r>
          </w:p>
        </w:tc>
        <w:tc>
          <w:tcPr>
            <w:tcW w:type="dxa" w:w="3744"/>
            <w:vAlign w:val="top"/>
            <w:tcMar>
              <w:top w:w="80" w:type="dxa"/>
              <w:start w:w="80" w:type="dxa"/>
              <w:bottom w:w="80" w:type="dxa"/>
              <w:end w:w="80" w:type="dxa"/>
            </w:tcMar>
          </w:tcPr>
          <w:p>
            <w:pPr>
              <w:keepLines/>
              <w:spacing w:after="0"/>
            </w:pPr>
            <w:r>
              <w:rPr>
                <w:sz w:val="16"/>
              </w:rPr>
              <w:t>Ingest</w:t>
            </w:r>
          </w:p>
        </w:tc>
      </w:tr>
      <w:tr>
        <w:tc>
          <w:tcPr>
            <w:tcW w:type="dxa" w:w="6624"/>
            <w:vAlign w:val="top"/>
            <w:tcMar>
              <w:top w:w="80" w:type="dxa"/>
              <w:start w:w="80" w:type="dxa"/>
              <w:bottom w:w="80" w:type="dxa"/>
              <w:end w:w="80" w:type="dxa"/>
            </w:tcMar>
          </w:tcPr>
          <w:p>
            <w:pPr>
              <w:keepLines/>
              <w:spacing w:after="0"/>
            </w:pPr>
            <w:r>
              <w:rPr>
                <w:sz w:val="16"/>
              </w:rPr>
              <w:t>Reusable parser-native chunk output such as Docling chunks</w:t>
            </w:r>
          </w:p>
        </w:tc>
        <w:tc>
          <w:tcPr>
            <w:tcW w:type="dxa" w:w="3744"/>
            <w:vAlign w:val="top"/>
            <w:tcMar>
              <w:top w:w="80" w:type="dxa"/>
              <w:start w:w="80" w:type="dxa"/>
              <w:bottom w:w="80" w:type="dxa"/>
              <w:end w:w="80" w:type="dxa"/>
            </w:tcMar>
          </w:tcPr>
          <w:p>
            <w:pPr>
              <w:keepLines/>
              <w:spacing w:after="0"/>
            </w:pPr>
            <w:r>
              <w:rPr>
                <w:sz w:val="16"/>
              </w:rPr>
              <w:t>Ingest as a native/derived artifact with canonical bindings</w:t>
            </w:r>
          </w:p>
        </w:tc>
      </w:tr>
      <w:tr>
        <w:tc>
          <w:tcPr>
            <w:tcW w:type="dxa" w:w="6624"/>
            <w:vAlign w:val="top"/>
            <w:tcMar>
              <w:top w:w="80" w:type="dxa"/>
              <w:start w:w="80" w:type="dxa"/>
              <w:bottom w:w="80" w:type="dxa"/>
              <w:end w:w="80" w:type="dxa"/>
            </w:tcMar>
          </w:tcPr>
          <w:p>
            <w:pPr>
              <w:keepLines/>
              <w:spacing w:after="0"/>
            </w:pPr>
            <w:r>
              <w:rPr>
                <w:sz w:val="16"/>
              </w:rPr>
              <w:t>Query-specific view selection, retrieval, rank fusion and context assembly</w:t>
            </w:r>
          </w:p>
        </w:tc>
        <w:tc>
          <w:tcPr>
            <w:tcW w:type="dxa" w:w="3744"/>
            <w:vAlign w:val="top"/>
            <w:tcMar>
              <w:top w:w="80" w:type="dxa"/>
              <w:start w:w="80" w:type="dxa"/>
              <w:bottom w:w="80" w:type="dxa"/>
              <w:end w:w="80" w:type="dxa"/>
            </w:tcMar>
          </w:tcPr>
          <w:p>
            <w:pPr>
              <w:keepLines/>
              <w:spacing w:after="0"/>
            </w:pPr>
            <w:r>
              <w:rPr>
                <w:sz w:val="16"/>
              </w:rPr>
              <w:t>Downstream Retrieval service or DataForge, because the query/model/reranker is required</w:t>
            </w:r>
          </w:p>
        </w:tc>
      </w:tr>
      <w:tr>
        <w:tc>
          <w:tcPr>
            <w:tcW w:type="dxa" w:w="6624"/>
            <w:vAlign w:val="top"/>
            <w:tcMar>
              <w:top w:w="80" w:type="dxa"/>
              <w:start w:w="80" w:type="dxa"/>
              <w:bottom w:w="80" w:type="dxa"/>
              <w:end w:w="80" w:type="dxa"/>
            </w:tcMar>
          </w:tcPr>
          <w:p>
            <w:pPr>
              <w:keepLines/>
              <w:spacing w:after="0"/>
            </w:pPr>
            <w:r>
              <w:rPr>
                <w:sz w:val="16"/>
              </w:rPr>
              <w:t>Training-data scope selection from one or more views</w:t>
            </w:r>
          </w:p>
        </w:tc>
        <w:tc>
          <w:tcPr>
            <w:tcW w:type="dxa" w:w="3744"/>
            <w:vAlign w:val="top"/>
            <w:tcMar>
              <w:top w:w="80" w:type="dxa"/>
              <w:start w:w="80" w:type="dxa"/>
              <w:bottom w:w="80" w:type="dxa"/>
              <w:end w:w="80" w:type="dxa"/>
            </w:tcMar>
          </w:tcPr>
          <w:p>
            <w:pPr>
              <w:keepLines/>
              <w:spacing w:after="0"/>
            </w:pPr>
            <w:r>
              <w:rPr>
                <w:sz w:val="16"/>
              </w:rPr>
              <w:t>DataForge using Ingest-owned views</w:t>
            </w:r>
          </w:p>
        </w:tc>
      </w:tr>
      <w:tr>
        <w:tc>
          <w:tcPr>
            <w:tcW w:type="dxa" w:w="6624"/>
            <w:vAlign w:val="top"/>
            <w:tcMar>
              <w:top w:w="80" w:type="dxa"/>
              <w:start w:w="80" w:type="dxa"/>
              <w:bottom w:w="80" w:type="dxa"/>
              <w:end w:w="80" w:type="dxa"/>
            </w:tcMar>
          </w:tcPr>
          <w:p>
            <w:pPr>
              <w:keepLines/>
              <w:spacing w:after="0"/>
            </w:pPr>
            <w:r>
              <w:rPr>
                <w:sz w:val="16"/>
              </w:rPr>
              <w:t>Chunker-quality and answer-quality research benchmark</w:t>
            </w:r>
          </w:p>
        </w:tc>
        <w:tc>
          <w:tcPr>
            <w:tcW w:type="dxa" w:w="3744"/>
            <w:vAlign w:val="top"/>
            <w:tcMar>
              <w:top w:w="80" w:type="dxa"/>
              <w:start w:w="80" w:type="dxa"/>
              <w:bottom w:w="80" w:type="dxa"/>
              <w:end w:w="80" w:type="dxa"/>
            </w:tcMar>
          </w:tcPr>
          <w:p>
            <w:pPr>
              <w:keepLines/>
              <w:spacing w:after="0"/>
            </w:pPr>
            <w:r>
              <w:rPr>
                <w:sz w:val="16"/>
              </w:rPr>
              <w:t>Future joint Ingest/DataForge evaluation, not the focused parser-stage implementation</w:t>
            </w:r>
          </w:p>
        </w:tc>
      </w:tr>
    </w:tbl>
    <w:p/>
    <w:p>
      <w:r>
        <w:t>Every view stores ordered item IDs, character ranges and view metadata. It may cache rendered text as an ephemeral response, but that text is not a second authoritative source record.</w:t>
      </w:r>
    </w:p>
    <w:p>
      <w:pPr>
        <w:pStyle w:val="Heading1"/>
      </w:pPr>
      <w:r>
        <w:t>10. Critical decisions on graph and provenance-address extensions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1F4E78"/>
            <w:vAlign w:val="center"/>
            <w:tcMar>
              <w:top w:w="80" w:type="dxa"/>
              <w:start w:w="80" w:type="dxa"/>
              <w:bottom w:w="80" w:type="dxa"/>
              <w:end w:w="80" w:type="dxa"/>
            </w:tcMar>
          </w:tcPr>
          <w:p>
            <w:pPr>
              <w:keepLines/>
            </w:pPr>
            <w:r>
              <w:rPr>
                <w:b/>
                <w:color w:val="FFFFFF"/>
                <w:sz w:val="15"/>
              </w:rPr>
              <w:t>Feature</w:t>
            </w:r>
          </w:p>
        </w:tc>
        <w:tc>
          <w:tcPr>
            <w:tcW w:type="dxa" w:w="3528"/>
            <w:shd w:fill="1F4E78"/>
            <w:vAlign w:val="center"/>
            <w:tcMar>
              <w:top w:w="80" w:type="dxa"/>
              <w:start w:w="80" w:type="dxa"/>
              <w:bottom w:w="80" w:type="dxa"/>
              <w:end w:w="80" w:type="dxa"/>
            </w:tcMar>
          </w:tcPr>
          <w:p>
            <w:pPr>
              <w:keepLines/>
            </w:pPr>
            <w:r>
              <w:rPr>
                <w:b/>
                <w:color w:val="FFFFFF"/>
                <w:sz w:val="15"/>
              </w:rPr>
              <w:t>Technical verdict</w:t>
            </w:r>
          </w:p>
        </w:tc>
        <w:tc>
          <w:tcPr>
            <w:tcW w:type="dxa" w:w="3096"/>
            <w:shd w:fill="1F4E78"/>
            <w:vAlign w:val="center"/>
            <w:tcMar>
              <w:top w:w="80" w:type="dxa"/>
              <w:start w:w="80" w:type="dxa"/>
              <w:bottom w:w="80" w:type="dxa"/>
              <w:end w:w="80" w:type="dxa"/>
            </w:tcMar>
          </w:tcPr>
          <w:p>
            <w:pPr>
              <w:keepLines/>
            </w:pPr>
            <w:r>
              <w:rPr>
                <w:b/>
                <w:color w:val="FFFFFF"/>
                <w:sz w:val="15"/>
              </w:rPr>
              <w:t>Incorporate now</w:t>
            </w:r>
          </w:p>
        </w:tc>
        <w:tc>
          <w:tcPr>
            <w:tcW w:type="dxa" w:w="2376"/>
            <w:shd w:fill="1F4E78"/>
            <w:vAlign w:val="center"/>
            <w:tcMar>
              <w:top w:w="80" w:type="dxa"/>
              <w:start w:w="80" w:type="dxa"/>
              <w:bottom w:w="80" w:type="dxa"/>
              <w:end w:w="80" w:type="dxa"/>
            </w:tcMar>
          </w:tcPr>
          <w:p>
            <w:pPr>
              <w:keepLines/>
            </w:pPr>
            <w:r>
              <w:rPr>
                <w:b/>
                <w:color w:val="FFFFFF"/>
                <w:sz w:val="15"/>
              </w:rPr>
              <w:t>Defer</w:t>
            </w:r>
          </w:p>
        </w:tc>
      </w:tr>
      <w:tr>
        <w:tc>
          <w:tcPr>
            <w:tcW w:type="dxa" w:w="1944"/>
            <w:vAlign w:val="top"/>
            <w:tcMar>
              <w:top w:w="80" w:type="dxa"/>
              <w:start w:w="80" w:type="dxa"/>
              <w:bottom w:w="80" w:type="dxa"/>
              <w:end w:w="80" w:type="dxa"/>
            </w:tcMar>
          </w:tcPr>
          <w:p>
            <w:pPr>
              <w:keepLines/>
              <w:spacing w:after="0"/>
            </w:pPr>
            <w:r>
              <w:rPr>
                <w:sz w:val="15"/>
              </w:rPr>
              <w:t>Adaptive chunker fusion</w:t>
            </w:r>
          </w:p>
        </w:tc>
        <w:tc>
          <w:tcPr>
            <w:tcW w:type="dxa" w:w="3528"/>
            <w:vAlign w:val="top"/>
            <w:tcMar>
              <w:top w:w="80" w:type="dxa"/>
              <w:start w:w="80" w:type="dxa"/>
              <w:bottom w:w="80" w:type="dxa"/>
              <w:end w:w="80" w:type="dxa"/>
            </w:tcMar>
          </w:tcPr>
          <w:p>
            <w:pPr>
              <w:keepLines/>
              <w:spacing w:after="0"/>
            </w:pPr>
            <w:r>
              <w:rPr>
                <w:sz w:val="15"/>
              </w:rPr>
              <w:t>Valid and supported by task-dependent chunking evidence. Best implemented as multi-view routing and retrieval-result fusion, not one fused boundary set.</w:t>
            </w:r>
          </w:p>
        </w:tc>
        <w:tc>
          <w:tcPr>
            <w:tcW w:type="dxa" w:w="3096"/>
            <w:vAlign w:val="top"/>
            <w:tcMar>
              <w:top w:w="80" w:type="dxa"/>
              <w:start w:w="80" w:type="dxa"/>
              <w:bottom w:w="80" w:type="dxa"/>
              <w:end w:w="80" w:type="dxa"/>
            </w:tcMar>
          </w:tcPr>
          <w:p>
            <w:pPr>
              <w:keepLines/>
              <w:spacing w:after="0"/>
            </w:pPr>
            <w:r>
              <w:rPr>
                <w:sz w:val="15"/>
              </w:rPr>
              <w:t>Schema records, capability hooks, no-copy views, native Docling chunk preservation and basic contract tests.</w:t>
            </w:r>
          </w:p>
        </w:tc>
        <w:tc>
          <w:tcPr>
            <w:tcW w:type="dxa" w:w="2376"/>
            <w:vAlign w:val="top"/>
            <w:tcMar>
              <w:top w:w="80" w:type="dxa"/>
              <w:start w:w="80" w:type="dxa"/>
              <w:bottom w:w="80" w:type="dxa"/>
              <w:end w:w="80" w:type="dxa"/>
            </w:tcMar>
          </w:tcPr>
          <w:p>
            <w:pPr>
              <w:keepLines/>
              <w:spacing w:after="0"/>
            </w:pPr>
            <w:r>
              <w:rPr>
                <w:sz w:val="15"/>
              </w:rPr>
              <w:t>Large strategy sweep, trained router, query-time ensemble benchmark and superiority claims.</w:t>
            </w:r>
          </w:p>
        </w:tc>
      </w:tr>
      <w:tr>
        <w:tc>
          <w:tcPr>
            <w:tcW w:type="dxa" w:w="1944"/>
            <w:vAlign w:val="top"/>
            <w:tcMar>
              <w:top w:w="80" w:type="dxa"/>
              <w:start w:w="80" w:type="dxa"/>
              <w:bottom w:w="80" w:type="dxa"/>
              <w:end w:w="80" w:type="dxa"/>
            </w:tcMar>
          </w:tcPr>
          <w:p>
            <w:pPr>
              <w:keepLines/>
              <w:spacing w:after="0"/>
            </w:pPr>
            <w:r>
              <w:rPr>
                <w:sz w:val="15"/>
              </w:rPr>
              <w:t>Graph unification</w:t>
            </w:r>
          </w:p>
        </w:tc>
        <w:tc>
          <w:tcPr>
            <w:tcW w:type="dxa" w:w="3528"/>
            <w:vAlign w:val="top"/>
            <w:tcMar>
              <w:top w:w="80" w:type="dxa"/>
              <w:start w:w="80" w:type="dxa"/>
              <w:bottom w:w="80" w:type="dxa"/>
              <w:end w:w="80" w:type="dxa"/>
            </w:tcMar>
          </w:tcPr>
          <w:p>
            <w:pPr>
              <w:keepLines/>
              <w:spacing w:after="0"/>
            </w:pPr>
            <w:r>
              <w:rPr>
                <w:sz w:val="15"/>
              </w:rPr>
              <w:t>A canonical source graph is valuable; a universal semantic/GraphRAG algorithm inside Ingest would be premature and would mix observed source facts with inferred knowledge.</w:t>
            </w:r>
          </w:p>
        </w:tc>
        <w:tc>
          <w:tcPr>
            <w:tcW w:type="dxa" w:w="3096"/>
            <w:vAlign w:val="top"/>
            <w:tcMar>
              <w:top w:w="80" w:type="dxa"/>
              <w:start w:w="80" w:type="dxa"/>
              <w:bottom w:w="80" w:type="dxa"/>
              <w:end w:w="80" w:type="dxa"/>
            </w:tcMar>
          </w:tcPr>
          <w:p>
            <w:pPr>
              <w:keepLines/>
              <w:spacing w:after="0"/>
            </w:pPr>
            <w:r>
              <w:rPr>
                <w:sz w:val="15"/>
              </w:rPr>
              <w:t>Source Graph, typed supported relations, epistemic states, graph-projection descriptor and DataForge relation-expanded handoff.</w:t>
            </w:r>
          </w:p>
        </w:tc>
        <w:tc>
          <w:tcPr>
            <w:tcW w:type="dxa" w:w="2376"/>
            <w:vAlign w:val="top"/>
            <w:tcMar>
              <w:top w:w="80" w:type="dxa"/>
              <w:start w:w="80" w:type="dxa"/>
              <w:bottom w:w="80" w:type="dxa"/>
              <w:end w:w="80" w:type="dxa"/>
            </w:tcMar>
          </w:tcPr>
          <w:p>
            <w:pPr>
              <w:keepLines/>
              <w:spacing w:after="0"/>
            </w:pPr>
            <w:r>
              <w:rPr>
                <w:sz w:val="15"/>
              </w:rPr>
              <w:t>Entity/claim KG extraction, communities, PageRank, GraphRAG/LightRAG/HippoRAG adapters and graph-retrieval benchmarking.</w:t>
            </w:r>
          </w:p>
        </w:tc>
      </w:tr>
      <w:tr>
        <w:tc>
          <w:tcPr>
            <w:tcW w:type="dxa" w:w="1944"/>
            <w:vAlign w:val="top"/>
            <w:tcMar>
              <w:top w:w="80" w:type="dxa"/>
              <w:start w:w="80" w:type="dxa"/>
              <w:bottom w:w="80" w:type="dxa"/>
              <w:end w:w="80" w:type="dxa"/>
            </w:tcMar>
          </w:tcPr>
          <w:p>
            <w:pPr>
              <w:keepLines/>
              <w:spacing w:after="0"/>
            </w:pPr>
            <w:r>
              <w:rPr>
                <w:sz w:val="15"/>
              </w:rPr>
              <w:t>Provenance-addressed retrieval</w:t>
            </w:r>
          </w:p>
        </w:tc>
        <w:tc>
          <w:tcPr>
            <w:tcW w:type="dxa" w:w="3528"/>
            <w:vAlign w:val="top"/>
            <w:tcMar>
              <w:top w:w="80" w:type="dxa"/>
              <w:start w:w="80" w:type="dxa"/>
              <w:bottom w:w="80" w:type="dxa"/>
              <w:end w:w="80" w:type="dxa"/>
            </w:tcMar>
          </w:tcPr>
          <w:p>
            <w:pPr>
              <w:keepLines/>
              <w:spacing w:after="0"/>
            </w:pPr>
            <w:r>
              <w:rPr>
                <w:sz w:val="15"/>
              </w:rPr>
              <w:t>Architecturally valuable for exact policy/sensitive evidence. It is not a universal replacement for RAG and model-generated opaque IDs would be brittle.</w:t>
            </w:r>
          </w:p>
        </w:tc>
        <w:tc>
          <w:tcPr>
            <w:tcW w:type="dxa" w:w="3096"/>
            <w:vAlign w:val="top"/>
            <w:tcMar>
              <w:top w:w="80" w:type="dxa"/>
              <w:start w:w="80" w:type="dxa"/>
              <w:bottom w:w="80" w:type="dxa"/>
              <w:end w:w="80" w:type="dxa"/>
            </w:tcMar>
          </w:tcPr>
          <w:p>
            <w:pPr>
              <w:keepLines/>
              <w:spacing w:after="0"/>
            </w:pPr>
            <w:r>
              <w:rPr>
                <w:sz w:val="15"/>
              </w:rPr>
              <w:t>Stable address schema, deterministic resolver, version/hash validation and support-address fields in both DataForge handoffs.</w:t>
            </w:r>
          </w:p>
        </w:tc>
        <w:tc>
          <w:tcPr>
            <w:tcW w:type="dxa" w:w="2376"/>
            <w:vAlign w:val="top"/>
            <w:tcMar>
              <w:top w:w="80" w:type="dxa"/>
              <w:start w:w="80" w:type="dxa"/>
              <w:bottom w:w="80" w:type="dxa"/>
              <w:end w:w="80" w:type="dxa"/>
            </w:tcMar>
          </w:tcPr>
          <w:p>
            <w:pPr>
              <w:keepLines/>
              <w:spacing w:after="0"/>
            </w:pPr>
            <w:r>
              <w:rPr>
                <w:sz w:val="15"/>
              </w:rPr>
              <w:t>Training/evaluating a model to emit addresses, address-first inference, evidence sufficiency verification and RAG fallback experiment.</w:t>
            </w:r>
          </w:p>
        </w:tc>
      </w:tr>
    </w:tbl>
    <w:p/>
    <w:p>
      <w:pPr>
        <w:pStyle w:val="Heading2"/>
      </w:pPr>
      <w:r>
        <w:t>10.1 Three graph layers must remain distinct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F4E78"/>
            <w:vAlign w:val="center"/>
            <w:tcMar>
              <w:top w:w="80" w:type="dxa"/>
              <w:start w:w="80" w:type="dxa"/>
              <w:bottom w:w="80" w:type="dxa"/>
              <w:end w:w="80" w:type="dxa"/>
            </w:tcMar>
          </w:tcPr>
          <w:p>
            <w:pPr>
              <w:keepLines/>
            </w:pPr>
            <w:r>
              <w:rPr>
                <w:b/>
                <w:color w:val="FFFFFF"/>
                <w:sz w:val="16"/>
              </w:rPr>
              <w:t>Layer</w:t>
            </w:r>
          </w:p>
        </w:tc>
        <w:tc>
          <w:tcPr>
            <w:tcW w:type="dxa" w:w="5328"/>
            <w:shd w:fill="1F4E78"/>
            <w:vAlign w:val="center"/>
            <w:tcMar>
              <w:top w:w="80" w:type="dxa"/>
              <w:start w:w="80" w:type="dxa"/>
              <w:bottom w:w="80" w:type="dxa"/>
              <w:end w:w="80" w:type="dxa"/>
            </w:tcMar>
          </w:tcPr>
          <w:p>
            <w:pPr>
              <w:keepLines/>
            </w:pPr>
            <w:r>
              <w:rPr>
                <w:b/>
                <w:color w:val="FFFFFF"/>
                <w:sz w:val="16"/>
              </w:rPr>
              <w:t>Meaning</w:t>
            </w:r>
          </w:p>
        </w:tc>
        <w:tc>
          <w:tcPr>
            <w:tcW w:type="dxa" w:w="2664"/>
            <w:shd w:fill="1F4E78"/>
            <w:vAlign w:val="center"/>
            <w:tcMar>
              <w:top w:w="80" w:type="dxa"/>
              <w:start w:w="80" w:type="dxa"/>
              <w:bottom w:w="80" w:type="dxa"/>
              <w:end w:w="80" w:type="dxa"/>
            </w:tcMar>
          </w:tcPr>
          <w:p>
            <w:pPr>
              <w:keepLines/>
            </w:pPr>
            <w:r>
              <w:rPr>
                <w:b/>
                <w:color w:val="FFFFFF"/>
                <w:sz w:val="16"/>
              </w:rPr>
              <w:t>Current ownership</w:t>
            </w:r>
          </w:p>
        </w:tc>
      </w:tr>
      <w:tr>
        <w:tc>
          <w:tcPr>
            <w:tcW w:type="dxa" w:w="2376"/>
            <w:vAlign w:val="top"/>
            <w:tcMar>
              <w:top w:w="80" w:type="dxa"/>
              <w:start w:w="80" w:type="dxa"/>
              <w:bottom w:w="80" w:type="dxa"/>
              <w:end w:w="80" w:type="dxa"/>
            </w:tcMar>
          </w:tcPr>
          <w:p>
            <w:pPr>
              <w:keepLines/>
              <w:spacing w:after="0"/>
            </w:pPr>
            <w:r>
              <w:rPr>
                <w:sz w:val="16"/>
              </w:rPr>
              <w:t>Parser-native document graph/tree</w:t>
            </w:r>
          </w:p>
        </w:tc>
        <w:tc>
          <w:tcPr>
            <w:tcW w:type="dxa" w:w="5328"/>
            <w:vAlign w:val="top"/>
            <w:tcMar>
              <w:top w:w="80" w:type="dxa"/>
              <w:start w:w="80" w:type="dxa"/>
              <w:bottom w:w="80" w:type="dxa"/>
              <w:end w:w="80" w:type="dxa"/>
            </w:tcMar>
          </w:tcPr>
          <w:p>
            <w:pPr>
              <w:keepLines/>
              <w:spacing w:after="0"/>
            </w:pPr>
            <w:r>
              <w:rPr>
                <w:sz w:val="16"/>
              </w:rPr>
              <w:t>DoclingDocument and other parser-private hierarchy, references and objects. It is a document object model, not automatically a semantic Knowledge Graph.</w:t>
            </w:r>
          </w:p>
        </w:tc>
        <w:tc>
          <w:tcPr>
            <w:tcW w:type="dxa" w:w="2664"/>
            <w:vAlign w:val="top"/>
            <w:tcMar>
              <w:top w:w="80" w:type="dxa"/>
              <w:start w:w="80" w:type="dxa"/>
              <w:bottom w:w="80" w:type="dxa"/>
              <w:end w:w="80" w:type="dxa"/>
            </w:tcMar>
          </w:tcPr>
          <w:p>
            <w:pPr>
              <w:keepLines/>
              <w:spacing w:after="0"/>
            </w:pPr>
            <w:r>
              <w:rPr>
                <w:sz w:val="16"/>
              </w:rPr>
              <w:t>Native parser artifact; retained losslessly through NativeBinding.</w:t>
            </w:r>
          </w:p>
        </w:tc>
      </w:tr>
      <w:tr>
        <w:tc>
          <w:tcPr>
            <w:tcW w:type="dxa" w:w="2376"/>
            <w:vAlign w:val="top"/>
            <w:tcMar>
              <w:top w:w="80" w:type="dxa"/>
              <w:start w:w="80" w:type="dxa"/>
              <w:bottom w:w="80" w:type="dxa"/>
              <w:end w:w="80" w:type="dxa"/>
            </w:tcMar>
          </w:tcPr>
          <w:p>
            <w:pPr>
              <w:keepLines/>
              <w:spacing w:after="0"/>
            </w:pPr>
            <w:r>
              <w:rPr>
                <w:sz w:val="16"/>
              </w:rPr>
              <w:t>Cognityx Source Graph</w:t>
            </w:r>
          </w:p>
        </w:tc>
        <w:tc>
          <w:tcPr>
            <w:tcW w:type="dxa" w:w="5328"/>
            <w:vAlign w:val="top"/>
            <w:tcMar>
              <w:top w:w="80" w:type="dxa"/>
              <w:start w:w="80" w:type="dxa"/>
              <w:bottom w:w="80" w:type="dxa"/>
              <w:end w:w="80" w:type="dxa"/>
            </w:tcMar>
          </w:tcPr>
          <w:p>
            <w:pPr>
              <w:keepLines/>
              <w:spacing w:after="0"/>
            </w:pPr>
            <w:r>
              <w:rPr>
                <w:sz w:val="16"/>
              </w:rPr>
              <w:t>Resource, presentation, division, content, object, selector, activity, representation and explicit/validated relation nodes and edges.</w:t>
            </w:r>
          </w:p>
        </w:tc>
        <w:tc>
          <w:tcPr>
            <w:tcW w:type="dxa" w:w="2664"/>
            <w:vAlign w:val="top"/>
            <w:tcMar>
              <w:top w:w="80" w:type="dxa"/>
              <w:start w:w="80" w:type="dxa"/>
              <w:bottom w:w="80" w:type="dxa"/>
              <w:end w:w="80" w:type="dxa"/>
            </w:tcMar>
          </w:tcPr>
          <w:p>
            <w:pPr>
              <w:keepLines/>
              <w:spacing w:after="0"/>
            </w:pPr>
            <w:r>
              <w:rPr>
                <w:sz w:val="16"/>
              </w:rPr>
              <w:t>Ingest canonical contract. Can be stored as JSON/object records; no graph database is mandatory.</w:t>
            </w:r>
          </w:p>
        </w:tc>
      </w:tr>
      <w:tr>
        <w:tc>
          <w:tcPr>
            <w:tcW w:type="dxa" w:w="2376"/>
            <w:vAlign w:val="top"/>
            <w:tcMar>
              <w:top w:w="80" w:type="dxa"/>
              <w:start w:w="80" w:type="dxa"/>
              <w:bottom w:w="80" w:type="dxa"/>
              <w:end w:w="80" w:type="dxa"/>
            </w:tcMar>
          </w:tcPr>
          <w:p>
            <w:pPr>
              <w:keepLines/>
              <w:spacing w:after="0"/>
            </w:pPr>
            <w:r>
              <w:rPr>
                <w:sz w:val="16"/>
              </w:rPr>
              <w:t>Semantic/retrieval graph</w:t>
            </w:r>
          </w:p>
        </w:tc>
        <w:tc>
          <w:tcPr>
            <w:tcW w:type="dxa" w:w="5328"/>
            <w:vAlign w:val="top"/>
            <w:tcMar>
              <w:top w:w="80" w:type="dxa"/>
              <w:start w:w="80" w:type="dxa"/>
              <w:bottom w:w="80" w:type="dxa"/>
              <w:end w:w="80" w:type="dxa"/>
            </w:tcMar>
          </w:tcPr>
          <w:p>
            <w:pPr>
              <w:keepLines/>
              <w:spacing w:after="0"/>
            </w:pPr>
            <w:r>
              <w:rPr>
                <w:sz w:val="16"/>
              </w:rPr>
              <w:t>Entities, claims, communities, temporal facts, KU relations, PageRank paths or GraphRAG-specific structures derived from the source graph.</w:t>
            </w:r>
          </w:p>
        </w:tc>
        <w:tc>
          <w:tcPr>
            <w:tcW w:type="dxa" w:w="2664"/>
            <w:vAlign w:val="top"/>
            <w:tcMar>
              <w:top w:w="80" w:type="dxa"/>
              <w:start w:w="80" w:type="dxa"/>
              <w:bottom w:w="80" w:type="dxa"/>
              <w:end w:w="80" w:type="dxa"/>
            </w:tcMar>
          </w:tcPr>
          <w:p>
            <w:pPr>
              <w:keepLines/>
              <w:spacing w:after="0"/>
            </w:pPr>
            <w:r>
              <w:rPr>
                <w:sz w:val="16"/>
              </w:rPr>
              <w:t>Downstream graph projection. Pluggable and replaceable; never promoted to observed source truth without support.</w:t>
            </w:r>
          </w:p>
        </w:tc>
      </w:tr>
    </w:tbl>
    <w:p/>
    <w:p>
      <w:r>
        <w:t>Docling Graph is a separate toolkit from the DoclingDocument model. It can extract validated Pydantic objects and build a directed semantic knowledge graph using LLM/VLM pipelines with grounding to source chunks/pages. Cognityx should be able to consume or export to such a system through an adapter, but should not duplicate its algorithms inside the focused Ingest implementation.</w:t>
      </w:r>
    </w:p>
    <w:p>
      <w:pPr>
        <w:pStyle w:val="Heading2"/>
      </w:pPr>
      <w:r>
        <w:t>10.2 Graph projection contract for future expansion</w:t>
      </w:r>
    </w:p>
    <w:p>
      <w:pPr>
        <w:pStyle w:val="ListBullet"/>
        <w:spacing w:after="60"/>
      </w:pPr>
      <w:r>
        <w:t>Every derived graph node and edge binds back to canonical Resource, Division, ContentNode, ObjectNode and SourceSelector IDs.</w:t>
      </w:r>
    </w:p>
    <w:p>
      <w:pPr>
        <w:pStyle w:val="ListBullet"/>
        <w:spacing w:after="60"/>
      </w:pPr>
      <w:r>
        <w:t>Edges retain epistemic state: source-native, deterministically derived, parser-inferred, model-inferred, human-validated, ambiguous, contradicted or unresolved.</w:t>
      </w:r>
    </w:p>
    <w:p>
      <w:pPr>
        <w:pStyle w:val="ListBullet"/>
        <w:spacing w:after="60"/>
      </w:pPr>
      <w:r>
        <w:t>Qualified relations preserve condition, negation, exception, authority, time, version and supporting evidence where present.</w:t>
      </w:r>
    </w:p>
    <w:p>
      <w:pPr>
        <w:pStyle w:val="ListBullet"/>
        <w:spacing w:after="60"/>
      </w:pPr>
      <w:r>
        <w:t>GraphProjectionDescriptor records the adapter, version, configuration, model, source-graph revision and retention policy.</w:t>
      </w:r>
    </w:p>
    <w:p>
      <w:pPr>
        <w:pStyle w:val="ListBullet"/>
        <w:spacing w:after="60"/>
      </w:pPr>
      <w:r>
        <w:t>Changing GraphRAG, LightRAG, HippoRAG or another graph technology creates a new projection; it never requires reparsing or changes canonical content.</w:t>
      </w:r>
    </w:p>
    <w:p>
      <w:pPr>
        <w:pStyle w:val="ListBullet"/>
        <w:spacing w:after="60"/>
      </w:pPr>
      <w:r>
        <w:t>The immediate composite-KU test may traverse explicit source relations, but it is not a test of automatic KG construction or graph retrieval superiority.</w:t>
      </w:r>
    </w:p>
    <w:p>
      <w:pPr>
        <w:pStyle w:val="Heading2"/>
      </w:pPr>
      <w:r>
        <w:t>10.3 Provenance address and deterministic resolver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F4E78"/>
            <w:vAlign w:val="center"/>
            <w:tcMar>
              <w:top w:w="80" w:type="dxa"/>
              <w:start w:w="80" w:type="dxa"/>
              <w:bottom w:w="80" w:type="dxa"/>
              <w:end w:w="80" w:type="dxa"/>
            </w:tcMar>
          </w:tcPr>
          <w:p>
            <w:pPr>
              <w:keepLines/>
            </w:pPr>
            <w:r>
              <w:rPr>
                <w:b/>
                <w:color w:val="FFFFFF"/>
                <w:sz w:val="16"/>
              </w:rPr>
              <w:t>Address form</w:t>
            </w:r>
          </w:p>
        </w:tc>
        <w:tc>
          <w:tcPr>
            <w:tcW w:type="dxa" w:w="3456"/>
            <w:shd w:fill="1F4E78"/>
            <w:vAlign w:val="center"/>
            <w:tcMar>
              <w:top w:w="80" w:type="dxa"/>
              <w:start w:w="80" w:type="dxa"/>
              <w:bottom w:w="80" w:type="dxa"/>
              <w:end w:w="80" w:type="dxa"/>
            </w:tcMar>
          </w:tcPr>
          <w:p>
            <w:pPr>
              <w:keepLines/>
            </w:pPr>
            <w:r>
              <w:rPr>
                <w:b/>
                <w:color w:val="FFFFFF"/>
                <w:sz w:val="16"/>
              </w:rPr>
              <w:t>Purpose</w:t>
            </w:r>
          </w:p>
        </w:tc>
        <w:tc>
          <w:tcPr>
            <w:tcW w:type="dxa" w:w="4608"/>
            <w:shd w:fill="1F4E78"/>
            <w:vAlign w:val="center"/>
            <w:tcMar>
              <w:top w:w="80" w:type="dxa"/>
              <w:start w:w="80" w:type="dxa"/>
              <w:bottom w:w="80" w:type="dxa"/>
              <w:end w:w="80" w:type="dxa"/>
            </w:tcMar>
          </w:tcPr>
          <w:p>
            <w:pPr>
              <w:keepLines/>
            </w:pPr>
            <w:r>
              <w:rPr>
                <w:b/>
                <w:color w:val="FFFFFF"/>
                <w:sz w:val="16"/>
              </w:rPr>
              <w:t>Example semantics</w:t>
            </w:r>
          </w:p>
        </w:tc>
      </w:tr>
      <w:tr>
        <w:tc>
          <w:tcPr>
            <w:tcW w:type="dxa" w:w="2304"/>
            <w:vAlign w:val="top"/>
            <w:tcMar>
              <w:top w:w="80" w:type="dxa"/>
              <w:start w:w="80" w:type="dxa"/>
              <w:bottom w:w="80" w:type="dxa"/>
              <w:end w:w="80" w:type="dxa"/>
            </w:tcMar>
          </w:tcPr>
          <w:p>
            <w:pPr>
              <w:keepLines/>
              <w:spacing w:after="0"/>
            </w:pPr>
            <w:r>
              <w:rPr>
                <w:sz w:val="16"/>
              </w:rPr>
              <w:t>Immutable strong address</w:t>
            </w:r>
          </w:p>
        </w:tc>
        <w:tc>
          <w:tcPr>
            <w:tcW w:type="dxa" w:w="3456"/>
            <w:vAlign w:val="top"/>
            <w:tcMar>
              <w:top w:w="80" w:type="dxa"/>
              <w:start w:w="80" w:type="dxa"/>
              <w:bottom w:w="80" w:type="dxa"/>
              <w:end w:w="80" w:type="dxa"/>
            </w:tcMar>
          </w:tcPr>
          <w:p>
            <w:pPr>
              <w:keepLines/>
              <w:spacing w:after="0"/>
            </w:pPr>
            <w:r>
              <w:rPr>
                <w:sz w:val="16"/>
              </w:rPr>
              <w:t>Exact audit and reproduction.</w:t>
            </w:r>
          </w:p>
        </w:tc>
        <w:tc>
          <w:tcPr>
            <w:tcW w:type="dxa" w:w="4608"/>
            <w:vAlign w:val="top"/>
            <w:tcMar>
              <w:top w:w="80" w:type="dxa"/>
              <w:start w:w="80" w:type="dxa"/>
              <w:bottom w:w="80" w:type="dxa"/>
              <w:end w:w="80" w:type="dxa"/>
            </w:tcMar>
          </w:tcPr>
          <w:p>
            <w:pPr>
              <w:keepLines/>
              <w:spacing w:after="0"/>
            </w:pPr>
            <w:r>
              <w:rPr>
                <w:sz w:val="16"/>
              </w:rPr>
              <w:t>Source hash + canonical graph revision + node/object/span + selector IDs. Resolves only to the exact frozen source.</w:t>
            </w:r>
          </w:p>
        </w:tc>
      </w:tr>
      <w:tr>
        <w:tc>
          <w:tcPr>
            <w:tcW w:type="dxa" w:w="2304"/>
            <w:vAlign w:val="top"/>
            <w:tcMar>
              <w:top w:w="80" w:type="dxa"/>
              <w:start w:w="80" w:type="dxa"/>
              <w:bottom w:w="80" w:type="dxa"/>
              <w:end w:w="80" w:type="dxa"/>
            </w:tcMar>
          </w:tcPr>
          <w:p>
            <w:pPr>
              <w:keepLines/>
              <w:spacing w:after="0"/>
            </w:pPr>
            <w:r>
              <w:rPr>
                <w:sz w:val="16"/>
              </w:rPr>
              <w:t>Logical version-aware address</w:t>
            </w:r>
          </w:p>
        </w:tc>
        <w:tc>
          <w:tcPr>
            <w:tcW w:type="dxa" w:w="3456"/>
            <w:vAlign w:val="top"/>
            <w:tcMar>
              <w:top w:w="80" w:type="dxa"/>
              <w:start w:w="80" w:type="dxa"/>
              <w:bottom w:w="80" w:type="dxa"/>
              <w:end w:w="80" w:type="dxa"/>
            </w:tcMar>
          </w:tcPr>
          <w:p>
            <w:pPr>
              <w:keepLines/>
              <w:spacing w:after="0"/>
            </w:pPr>
            <w:r>
              <w:rPr>
                <w:sz w:val="16"/>
              </w:rPr>
              <w:t>Business-facing reference that may resolve to the effective or requested version.</w:t>
            </w:r>
          </w:p>
        </w:tc>
        <w:tc>
          <w:tcPr>
            <w:tcW w:type="dxa" w:w="4608"/>
            <w:vAlign w:val="top"/>
            <w:tcMar>
              <w:top w:w="80" w:type="dxa"/>
              <w:start w:w="80" w:type="dxa"/>
              <w:bottom w:w="80" w:type="dxa"/>
              <w:end w:w="80" w:type="dxa"/>
            </w:tcMar>
          </w:tcPr>
          <w:p>
            <w:pPr>
              <w:keepLines/>
              <w:spacing w:after="0"/>
            </w:pPr>
            <w:r>
              <w:rPr>
                <w:sz w:val="16"/>
              </w:rPr>
              <w:t>Policy family + division role/number + effective-date rule; resolver returns the selected strong address or ambiguity.</w:t>
            </w:r>
          </w:p>
        </w:tc>
      </w:tr>
      <w:tr>
        <w:tc>
          <w:tcPr>
            <w:tcW w:type="dxa" w:w="2304"/>
            <w:vAlign w:val="top"/>
            <w:tcMar>
              <w:top w:w="80" w:type="dxa"/>
              <w:start w:w="80" w:type="dxa"/>
              <w:bottom w:w="80" w:type="dxa"/>
              <w:end w:w="80" w:type="dxa"/>
            </w:tcMar>
          </w:tcPr>
          <w:p>
            <w:pPr>
              <w:keepLines/>
              <w:spacing w:after="0"/>
            </w:pPr>
            <w:r>
              <w:rPr>
                <w:sz w:val="16"/>
              </w:rPr>
              <w:t>Evidence-set address</w:t>
            </w:r>
          </w:p>
        </w:tc>
        <w:tc>
          <w:tcPr>
            <w:tcW w:type="dxa" w:w="3456"/>
            <w:vAlign w:val="top"/>
            <w:tcMar>
              <w:top w:w="80" w:type="dxa"/>
              <w:start w:w="80" w:type="dxa"/>
              <w:bottom w:w="80" w:type="dxa"/>
              <w:end w:w="80" w:type="dxa"/>
            </w:tcMar>
          </w:tcPr>
          <w:p>
            <w:pPr>
              <w:keepLines/>
              <w:spacing w:after="0"/>
            </w:pPr>
            <w:r>
              <w:rPr>
                <w:sz w:val="16"/>
              </w:rPr>
              <w:t>Composite support for one claim or KU.</w:t>
            </w:r>
          </w:p>
        </w:tc>
        <w:tc>
          <w:tcPr>
            <w:tcW w:type="dxa" w:w="4608"/>
            <w:vAlign w:val="top"/>
            <w:tcMar>
              <w:top w:w="80" w:type="dxa"/>
              <w:start w:w="80" w:type="dxa"/>
              <w:bottom w:w="80" w:type="dxa"/>
              <w:end w:w="80" w:type="dxa"/>
            </w:tcMar>
          </w:tcPr>
          <w:p>
            <w:pPr>
              <w:keepLines/>
              <w:spacing w:after="0"/>
            </w:pPr>
            <w:r>
              <w:rPr>
                <w:sz w:val="16"/>
              </w:rPr>
              <w:t>Ordered strong addresses plus closure policy and relation path.</w:t>
            </w:r>
          </w:p>
        </w:tc>
      </w:tr>
    </w:tbl>
    <w:p/>
    <w:p>
      <w:pPr>
        <w:pStyle w:val="CodeBlock"/>
        <w:keepLines/>
      </w:pPr>
      <w:r>
        <w:t>{</w:t>
        <w:br/>
        <w:t xml:space="preserve">  "address_type": "node_span | object | division | evidence_set",</w:t>
        <w:br/>
        <w:t xml:space="preserve">  "resource_id": "resource-policy-family",</w:t>
        <w:br/>
        <w:t xml:space="preserve">  "requested_version": "effective-at:2026-08-06",</w:t>
        <w:br/>
        <w:t xml:space="preserve">  "target": {"division_number": "7.2", "node_id": "node-42"},</w:t>
        <w:br/>
        <w:t xml:space="preserve">  "char_range": [0, 184],</w:t>
        <w:br/>
        <w:t xml:space="preserve">  "source_sha256": "optional-for-logical; mandatory-for-strong",</w:t>
        <w:br/>
        <w:t xml:space="preserve">  "selector_ids": ["selector-17"],</w:t>
        <w:br/>
        <w:t xml:space="preserve">  "canonical_graph_revision": "graph-rev-9",</w:t>
        <w:br/>
        <w:t xml:space="preserve">  "resolution_policy": "exact | effective | latest-approved"</w:t>
        <w:br/>
        <w:t>}</w:t>
      </w:r>
    </w:p>
    <w:p>
      <w:pPr>
        <w:pStyle w:val="ListBullet"/>
        <w:spacing w:after="60"/>
      </w:pPr>
      <w:r>
        <w:t>A model should not be expected to invent opaque UUIDs. It should emit a constrained logical address, choose from candidates, or call an address-resolution tool.</w:t>
      </w:r>
    </w:p>
    <w:p>
      <w:pPr>
        <w:pStyle w:val="ListBullet"/>
        <w:spacing w:after="60"/>
      </w:pPr>
      <w:r>
        <w:t>The resolver validates resource/version, canonical target, selectors, classification and authority before returning content.</w:t>
      </w:r>
    </w:p>
    <w:p>
      <w:pPr>
        <w:pStyle w:val="ListBullet"/>
        <w:spacing w:after="60"/>
      </w:pPr>
      <w:r>
        <w:t>Resolution may return exact, redirected-to-version, ambiguous, obsolete, forbidden or unresolved; failure is never converted into invented evidence.</w:t>
      </w:r>
    </w:p>
    <w:p>
      <w:pPr>
        <w:pStyle w:val="ListBullet"/>
        <w:spacing w:after="60"/>
      </w:pPr>
      <w:r>
        <w:t>The resolved strong address, not regenerated text, is stored as the authoritative support in QA, KU and future training records.</w:t>
      </w:r>
    </w:p>
    <w:p>
      <w:pPr>
        <w:pStyle w:val="ListBullet"/>
        <w:spacing w:after="60"/>
      </w:pPr>
      <w:r>
        <w:t>Address-first inference may later retrieve exact policy wording and reduce hallucinated regeneration, but ordinary RAG remains the fallback when no reliable address can be produced.</w:t>
      </w:r>
    </w:p>
    <w:p>
      <w:pPr>
        <w:pStyle w:val="Heading2"/>
      </w:pPr>
      <w:r>
        <w:t>10.4 Research safeguards and future decision gate</w:t>
      </w:r>
    </w:p>
    <w:p>
      <w:pPr>
        <w:pStyle w:val="ListBullet"/>
        <w:spacing w:after="60"/>
      </w:pPr>
      <w:r>
        <w:t>Do not claim that adaptive chunking, a graph, or provenance addresses are universally superior before controlled evaluation.</w:t>
      </w:r>
    </w:p>
    <w:p>
      <w:pPr>
        <w:pStyle w:val="ListBullet"/>
        <w:spacing w:after="60"/>
      </w:pPr>
      <w:r>
        <w:t>Compare information-equivalent inputs: canonical content must not hide extra facts from baselines.</w:t>
      </w:r>
    </w:p>
    <w:p>
      <w:pPr>
        <w:pStyle w:val="ListBullet"/>
        <w:spacing w:after="60"/>
      </w:pPr>
      <w:r>
        <w:t>Separate source normalization, segmentation, retrieval, graph construction, graph traversal and generator use in metrics.</w:t>
      </w:r>
    </w:p>
    <w:p>
      <w:pPr>
        <w:pStyle w:val="ListBullet"/>
        <w:spacing w:after="60"/>
      </w:pPr>
      <w:r>
        <w:t>A future chunker study should compare strong structure-aware, parent-child, late/cross-granularity and chunk-free controls, not only fixed blocks.</w:t>
      </w:r>
    </w:p>
    <w:p>
      <w:pPr>
        <w:pStyle w:val="ListBullet"/>
        <w:spacing w:after="60"/>
      </w:pPr>
      <w:r>
        <w:t>A future graph study should compare automatic graph construction and automatic retrieval separately, using oracle evidence controls.</w:t>
      </w:r>
    </w:p>
    <w:p>
      <w:pPr>
        <w:pStyle w:val="ListBullet"/>
        <w:spacing w:after="60"/>
      </w:pPr>
      <w:r>
        <w:t>A future provenance-address study should measure address accuracy, resolution success, version correctness, selector precision/recall, hallucinated-address rate, exact-content fidelity, token cost and fallback behavior.</w:t>
      </w:r>
    </w:p>
    <w:p>
      <w:pPr>
        <w:pStyle w:val="Heading1"/>
      </w:pPr>
      <w:r>
        <w:t>11. DataForge boundary and the only two immediate downstream tests</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keepLines/>
            </w:pPr>
            <w:r>
              <w:rPr>
                <w:b/>
              </w:rPr>
              <w:t xml:space="preserve">Boundary: </w:t>
            </w:r>
            <w:r>
              <w:t>Ingest owns source identity, parser-native artifacts, canonical nodes/objects/divisions, exact selectors, explicit relations, reusable segmentation views and provenance-address resolution. DataForge owns question generation, answers, Knowledge Units, KU relations, training records, embeddings and task/query-specific retrieval orchestration.</w:t>
            </w:r>
          </w:p>
        </w:tc>
      </w:tr>
    </w:tbl>
    <w:p/>
    <w:p>
      <w:pPr>
        <w:pStyle w:val="Heading2"/>
      </w:pPr>
      <w:r>
        <w:t>11.1 Handoff A — paragraph-only question and answer</w:t>
      </w:r>
    </w:p>
    <w:p>
      <w:pPr>
        <w:pStyle w:val="ListBullet"/>
        <w:spacing w:after="60"/>
      </w:pPr>
      <w:r>
        <w:t>DataForge receives the paragraph view by URI or manifest reference.</w:t>
      </w:r>
    </w:p>
    <w:p>
      <w:pPr>
        <w:pStyle w:val="ListBullet"/>
        <w:spacing w:after="60"/>
      </w:pPr>
      <w:r>
        <w:t>It reconstructs paragraph text from canonical node IDs and spans rather than reopening the source or splitting text independently.</w:t>
      </w:r>
    </w:p>
    <w:p>
      <w:pPr>
        <w:pStyle w:val="ListBullet"/>
        <w:spacing w:after="60"/>
      </w:pPr>
      <w:r>
        <w:t>It creates at least one question and answer supported only by that paragraph.</w:t>
      </w:r>
    </w:p>
    <w:p>
      <w:pPr>
        <w:pStyle w:val="ListBullet"/>
        <w:spacing w:after="60"/>
      </w:pPr>
      <w:r>
        <w:t>The QA record retains Resource, Division, ContentNode, SourceSelector, processing lineage and one resolvable strong ProvenanceAddress.</w:t>
      </w:r>
    </w:p>
    <w:p>
      <w:pPr>
        <w:pStyle w:val="ListBullet"/>
        <w:spacing w:after="60"/>
      </w:pPr>
      <w:r>
        <w:t>Resolving the address returns the exact supported paragraph from the frozen source identity; an invalid or obsolete address fails explicitly.</w:t>
      </w:r>
    </w:p>
    <w:p>
      <w:pPr>
        <w:pStyle w:val="ListBullet"/>
        <w:spacing w:after="60"/>
      </w:pPr>
      <w:r>
        <w:t>Re-running the same generation configuration reuses the same source representation identity and does not duplicate source text.</w:t>
      </w:r>
    </w:p>
    <w:p>
      <w:pPr>
        <w:pStyle w:val="Heading2"/>
      </w:pPr>
      <w:r>
        <w:t>11.2 Handoff B — cross-section and cross-document Knowledge Unit</w:t>
      </w:r>
    </w:p>
    <w:p>
      <w:pPr>
        <w:pStyle w:val="ListBullet"/>
        <w:spacing w:after="60"/>
      </w:pPr>
      <w:r>
        <w:t>A seed division contains an explicit reference to another division, appendix, table/figure or related document.</w:t>
      </w:r>
    </w:p>
    <w:p>
      <w:pPr>
        <w:pStyle w:val="ListBullet"/>
        <w:spacing w:after="60"/>
      </w:pPr>
      <w:r>
        <w:t>Ingest provides validated source relations and a relation-expanded view with exact support; it does not itself claim to discover the final Knowledge Unit.</w:t>
      </w:r>
    </w:p>
    <w:p>
      <w:pPr>
        <w:pStyle w:val="ListBullet"/>
        <w:spacing w:after="60"/>
      </w:pPr>
      <w:r>
        <w:t>DataForge follows only allowed resolved relations, assembles the complete candidate KU and retains each supporting node/object span.</w:t>
      </w:r>
    </w:p>
    <w:p>
      <w:pPr>
        <w:pStyle w:val="ListBullet"/>
        <w:spacing w:after="60"/>
      </w:pPr>
      <w:r>
        <w:t>The KU support is serialized as an EvidenceSetAddress containing ordered strong addresses and the validated relation path across resources.</w:t>
      </w:r>
    </w:p>
    <w:p>
      <w:pPr>
        <w:pStyle w:val="ListBullet"/>
        <w:spacing w:after="60"/>
      </w:pPr>
      <w:r>
        <w:t>The fixture must include both intra-document and inter-document evidence, plus at least one unresolved or ambiguous relation that is excluded from gold support.</w:t>
      </w:r>
    </w:p>
    <w:p>
      <w:pPr>
        <w:pStyle w:val="ListBullet"/>
        <w:spacing w:after="60"/>
      </w:pPr>
      <w:r>
        <w:t>The result demonstrates handoff sufficiency without introducing a semantic Knowledge-Graph benchmark or claiming general KU completeness.</w:t>
      </w:r>
    </w:p>
    <w:p>
      <w:pPr>
        <w:pStyle w:val="Heading2"/>
      </w:pPr>
      <w:r>
        <w:t>11.3 Explicitly paused work</w:t>
      </w:r>
    </w:p>
    <w:p>
      <w:pPr>
        <w:pStyle w:val="ListBullet"/>
        <w:spacing w:after="60"/>
      </w:pPr>
      <w:r>
        <w:t>Automatic flat-chunk Knowledge Graph baseline and oracle Knowledge Graph upper bound.</w:t>
      </w:r>
    </w:p>
    <w:p>
      <w:pPr>
        <w:pStyle w:val="ListBullet"/>
        <w:spacing w:after="60"/>
      </w:pPr>
      <w:r>
        <w:t>Entity/claim extraction, community detection, PageRank and GraphRAG/LightRAG/HippoRAG integration.</w:t>
      </w:r>
    </w:p>
    <w:p>
      <w:pPr>
        <w:pStyle w:val="ListBullet"/>
        <w:spacing w:after="60"/>
      </w:pPr>
      <w:r>
        <w:t>Claims that the Source Graph itself is a novel semantic Knowledge-Graph method.</w:t>
      </w:r>
    </w:p>
    <w:p>
      <w:pPr>
        <w:pStyle w:val="ListBullet"/>
        <w:spacing w:after="60"/>
      </w:pPr>
      <w:r>
        <w:t>Broad source-to-training-record benchmark across B0-B6/P1.</w:t>
      </w:r>
    </w:p>
    <w:p>
      <w:pPr>
        <w:pStyle w:val="ListBullet"/>
        <w:spacing w:after="60"/>
      </w:pPr>
      <w:r>
        <w:t>Large chunker sweep, trained chunker router and query-time retrieval-fusion superiority claims.</w:t>
      </w:r>
    </w:p>
    <w:p>
      <w:pPr>
        <w:pStyle w:val="ListBullet"/>
        <w:spacing w:after="60"/>
      </w:pPr>
      <w:r>
        <w:t>Training or fine-tuning a model to generate provenance addresses.</w:t>
      </w:r>
    </w:p>
    <w:p>
      <w:pPr>
        <w:pStyle w:val="ListBullet"/>
        <w:spacing w:after="60"/>
      </w:pPr>
      <w:r>
        <w:t>Publication claims about comprehensive Knowledge Unit discovery.</w:t>
      </w:r>
    </w:p>
    <w:p>
      <w:pPr>
        <w:pStyle w:val="ListBullet"/>
        <w:spacing w:after="60"/>
      </w:pPr>
      <w:r>
        <w:t>Full certified model/hardware segmentation evaluation.</w:t>
      </w:r>
    </w:p>
    <w:p>
      <w:pPr>
        <w:pStyle w:val="Heading1"/>
      </w:pPr>
      <w:r>
        <w:t>12. Focused fixture package</w:t>
      </w:r>
    </w:p>
    <w:p>
      <w:r>
        <w:t>The earlier fixture work remains useful, but the executable suite should be reduced to fixtures that rigorously test the present architecture. Existing synthetic files can be reused where they already contain the required conditions.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1F4E78"/>
            <w:vAlign w:val="center"/>
            <w:tcMar>
              <w:top w:w="80" w:type="dxa"/>
              <w:start w:w="80" w:type="dxa"/>
              <w:bottom w:w="80" w:type="dxa"/>
              <w:end w:w="80" w:type="dxa"/>
            </w:tcMar>
          </w:tcPr>
          <w:p>
            <w:pPr>
              <w:keepLines/>
            </w:pPr>
            <w:r>
              <w:rPr>
                <w:b/>
                <w:color w:val="FFFFFF"/>
                <w:sz w:val="16"/>
              </w:rPr>
              <w:t>Fixture</w:t>
            </w:r>
          </w:p>
        </w:tc>
        <w:tc>
          <w:tcPr>
            <w:tcW w:type="dxa" w:w="7632"/>
            <w:shd w:fill="1F4E78"/>
            <w:vAlign w:val="center"/>
            <w:tcMar>
              <w:top w:w="80" w:type="dxa"/>
              <w:start w:w="80" w:type="dxa"/>
              <w:bottom w:w="80" w:type="dxa"/>
              <w:end w:w="80" w:type="dxa"/>
            </w:tcMar>
          </w:tcPr>
          <w:p>
            <w:pPr>
              <w:keepLines/>
            </w:pPr>
            <w:r>
              <w:rPr>
                <w:b/>
                <w:color w:val="FFFFFF"/>
                <w:sz w:val="16"/>
              </w:rPr>
              <w:t>Purpose</w:t>
            </w:r>
          </w:p>
        </w:tc>
      </w:tr>
      <w:tr>
        <w:tc>
          <w:tcPr>
            <w:tcW w:type="dxa" w:w="2736"/>
            <w:vAlign w:val="top"/>
            <w:tcMar>
              <w:top w:w="80" w:type="dxa"/>
              <w:start w:w="80" w:type="dxa"/>
              <w:bottom w:w="80" w:type="dxa"/>
              <w:end w:w="80" w:type="dxa"/>
            </w:tcMar>
          </w:tcPr>
          <w:p>
            <w:pPr>
              <w:keepLines/>
              <w:spacing w:after="0"/>
            </w:pPr>
            <w:r>
              <w:rPr>
                <w:sz w:val="16"/>
              </w:rPr>
              <w:t>FX01 — Native structured handbook</w:t>
            </w:r>
          </w:p>
        </w:tc>
        <w:tc>
          <w:tcPr>
            <w:tcW w:type="dxa" w:w="7632"/>
            <w:vAlign w:val="top"/>
            <w:tcMar>
              <w:top w:w="80" w:type="dxa"/>
              <w:start w:w="80" w:type="dxa"/>
              <w:bottom w:w="80" w:type="dxa"/>
              <w:end w:w="80" w:type="dxa"/>
            </w:tcMar>
          </w:tcPr>
          <w:p>
            <w:pPr>
              <w:keepLines/>
              <w:spacing w:after="0"/>
            </w:pPr>
            <w:r>
              <w:rPr>
                <w:sz w:val="16"/>
              </w:rPr>
              <w:t>DOCX and born-digital PDF pair with hierarchy, same-page and cross-page divisions, tables, figures, footnotes, links and printed page labels. Primary Docling/native-preservation fixture.</w:t>
            </w:r>
          </w:p>
        </w:tc>
      </w:tr>
      <w:tr>
        <w:tc>
          <w:tcPr>
            <w:tcW w:type="dxa" w:w="2736"/>
            <w:vAlign w:val="top"/>
            <w:tcMar>
              <w:top w:w="80" w:type="dxa"/>
              <w:start w:w="80" w:type="dxa"/>
              <w:bottom w:w="80" w:type="dxa"/>
              <w:end w:w="80" w:type="dxa"/>
            </w:tcMar>
          </w:tcPr>
          <w:p>
            <w:pPr>
              <w:keepLines/>
              <w:spacing w:after="0"/>
            </w:pPr>
            <w:r>
              <w:rPr>
                <w:sz w:val="16"/>
              </w:rPr>
              <w:t>FX02 — Mixed native/scanned document</w:t>
            </w:r>
          </w:p>
        </w:tc>
        <w:tc>
          <w:tcPr>
            <w:tcW w:type="dxa" w:w="7632"/>
            <w:vAlign w:val="top"/>
            <w:tcMar>
              <w:top w:w="80" w:type="dxa"/>
              <w:start w:w="80" w:type="dxa"/>
              <w:bottom w:w="80" w:type="dxa"/>
              <w:end w:w="80" w:type="dxa"/>
            </w:tcMar>
          </w:tcPr>
          <w:p>
            <w:pPr>
              <w:keepLines/>
              <w:spacing w:after="0"/>
            </w:pPr>
            <w:r>
              <w:rPr>
                <w:sz w:val="16"/>
              </w:rPr>
              <w:t>Tests selective OCR routing, native-text preservation, regional processing and page identity.</w:t>
            </w:r>
          </w:p>
        </w:tc>
      </w:tr>
      <w:tr>
        <w:tc>
          <w:tcPr>
            <w:tcW w:type="dxa" w:w="2736"/>
            <w:vAlign w:val="top"/>
            <w:tcMar>
              <w:top w:w="80" w:type="dxa"/>
              <w:start w:w="80" w:type="dxa"/>
              <w:bottom w:w="80" w:type="dxa"/>
              <w:end w:w="80" w:type="dxa"/>
            </w:tcMar>
          </w:tcPr>
          <w:p>
            <w:pPr>
              <w:keepLines/>
              <w:spacing w:after="0"/>
            </w:pPr>
            <w:r>
              <w:rPr>
                <w:sz w:val="16"/>
              </w:rPr>
              <w:t>FX03 — Presentation and workbook</w:t>
            </w:r>
          </w:p>
        </w:tc>
        <w:tc>
          <w:tcPr>
            <w:tcW w:type="dxa" w:w="7632"/>
            <w:vAlign w:val="top"/>
            <w:tcMar>
              <w:top w:w="80" w:type="dxa"/>
              <w:start w:w="80" w:type="dxa"/>
              <w:bottom w:w="80" w:type="dxa"/>
              <w:end w:w="80" w:type="dxa"/>
            </w:tcMar>
          </w:tcPr>
          <w:p>
            <w:pPr>
              <w:keepLines/>
              <w:spacing w:after="0"/>
            </w:pPr>
            <w:r>
              <w:rPr>
                <w:sz w:val="16"/>
              </w:rPr>
              <w:t>PPTX and XLSX prove PresentationUnit and Division are not PDF-page-specific and preserve native slide/sheet/object structure.</w:t>
            </w:r>
          </w:p>
        </w:tc>
      </w:tr>
      <w:tr>
        <w:tc>
          <w:tcPr>
            <w:tcW w:type="dxa" w:w="2736"/>
            <w:vAlign w:val="top"/>
            <w:tcMar>
              <w:top w:w="80" w:type="dxa"/>
              <w:start w:w="80" w:type="dxa"/>
              <w:bottom w:w="80" w:type="dxa"/>
              <w:end w:w="80" w:type="dxa"/>
            </w:tcMar>
          </w:tcPr>
          <w:p>
            <w:pPr>
              <w:keepLines/>
              <w:spacing w:after="0"/>
            </w:pPr>
            <w:r>
              <w:rPr>
                <w:sz w:val="16"/>
              </w:rPr>
              <w:t>FX04 — Cross-reference corpus</w:t>
            </w:r>
          </w:p>
        </w:tc>
        <w:tc>
          <w:tcPr>
            <w:tcW w:type="dxa" w:w="7632"/>
            <w:vAlign w:val="top"/>
            <w:tcMar>
              <w:top w:w="80" w:type="dxa"/>
              <w:start w:w="80" w:type="dxa"/>
              <w:bottom w:w="80" w:type="dxa"/>
              <w:end w:w="80" w:type="dxa"/>
            </w:tcMar>
          </w:tcPr>
          <w:p>
            <w:pPr>
              <w:keepLines/>
              <w:spacing w:after="0"/>
            </w:pPr>
            <w:r>
              <w:rPr>
                <w:sz w:val="16"/>
              </w:rPr>
              <w:t>Integrated manual, authority matrix version 1/2, appendix, table/figure and captured HTML source. Supports intra- and inter-document relation traversal.</w:t>
            </w:r>
          </w:p>
        </w:tc>
      </w:tr>
      <w:tr>
        <w:tc>
          <w:tcPr>
            <w:tcW w:type="dxa" w:w="2736"/>
            <w:vAlign w:val="top"/>
            <w:tcMar>
              <w:top w:w="80" w:type="dxa"/>
              <w:start w:w="80" w:type="dxa"/>
              <w:bottom w:w="80" w:type="dxa"/>
              <w:end w:w="80" w:type="dxa"/>
            </w:tcMar>
          </w:tcPr>
          <w:p>
            <w:pPr>
              <w:keepLines/>
              <w:spacing w:after="0"/>
            </w:pPr>
            <w:r>
              <w:rPr>
                <w:sz w:val="16"/>
              </w:rPr>
              <w:t>FX05 — Parser disagreement observations</w:t>
            </w:r>
          </w:p>
        </w:tc>
        <w:tc>
          <w:tcPr>
            <w:tcW w:type="dxa" w:w="7632"/>
            <w:vAlign w:val="top"/>
            <w:tcMar>
              <w:top w:w="80" w:type="dxa"/>
              <w:start w:w="80" w:type="dxa"/>
              <w:bottom w:w="80" w:type="dxa"/>
              <w:end w:w="80" w:type="dxa"/>
            </w:tcMar>
          </w:tcPr>
          <w:p>
            <w:pPr>
              <w:keepLines/>
              <w:spacing w:after="0"/>
            </w:pPr>
            <w:r>
              <w:rPr>
                <w:sz w:val="16"/>
              </w:rPr>
              <w:t>Frozen outputs from Docling, PyMuPDF and a controlled mock parser with deliberate split/merge, reading-order, geometry and type disagreements.</w:t>
            </w:r>
          </w:p>
        </w:tc>
      </w:tr>
      <w:tr>
        <w:tc>
          <w:tcPr>
            <w:tcW w:type="dxa" w:w="2736"/>
            <w:vAlign w:val="top"/>
            <w:tcMar>
              <w:top w:w="80" w:type="dxa"/>
              <w:start w:w="80" w:type="dxa"/>
              <w:bottom w:w="80" w:type="dxa"/>
              <w:end w:w="80" w:type="dxa"/>
            </w:tcMar>
          </w:tcPr>
          <w:p>
            <w:pPr>
              <w:keepLines/>
              <w:spacing w:after="0"/>
            </w:pPr>
            <w:r>
              <w:rPr>
                <w:sz w:val="16"/>
              </w:rPr>
              <w:t>FX06 — Capability registry</w:t>
            </w:r>
          </w:p>
        </w:tc>
        <w:tc>
          <w:tcPr>
            <w:tcW w:type="dxa" w:w="7632"/>
            <w:vAlign w:val="top"/>
            <w:tcMar>
              <w:top w:w="80" w:type="dxa"/>
              <w:start w:w="80" w:type="dxa"/>
              <w:bottom w:w="80" w:type="dxa"/>
              <w:end w:w="80" w:type="dxa"/>
            </w:tcMar>
          </w:tcPr>
          <w:p>
            <w:pPr>
              <w:keepLines/>
              <w:spacing w:after="0"/>
            </w:pPr>
            <w:r>
              <w:rPr>
                <w:sz w:val="16"/>
              </w:rPr>
              <w:t>Parser runtime metadata, official-documentation snapshots/references, human guidance and measured run history for deterministic, hybrid and LLM-directed decisions.</w:t>
            </w:r>
          </w:p>
        </w:tc>
      </w:tr>
      <w:tr>
        <w:tc>
          <w:tcPr>
            <w:tcW w:type="dxa" w:w="2736"/>
            <w:vAlign w:val="top"/>
            <w:tcMar>
              <w:top w:w="80" w:type="dxa"/>
              <w:start w:w="80" w:type="dxa"/>
              <w:bottom w:w="80" w:type="dxa"/>
              <w:end w:w="80" w:type="dxa"/>
            </w:tcMar>
          </w:tcPr>
          <w:p>
            <w:pPr>
              <w:keepLines/>
              <w:spacing w:after="0"/>
            </w:pPr>
            <w:r>
              <w:rPr>
                <w:sz w:val="16"/>
              </w:rPr>
              <w:t>FX07 — Cache and retention</w:t>
            </w:r>
          </w:p>
        </w:tc>
        <w:tc>
          <w:tcPr>
            <w:tcW w:type="dxa" w:w="7632"/>
            <w:vAlign w:val="top"/>
            <w:tcMar>
              <w:top w:w="80" w:type="dxa"/>
              <w:start w:w="80" w:type="dxa"/>
              <w:bottom w:w="80" w:type="dxa"/>
              <w:end w:w="80" w:type="dxa"/>
            </w:tcMar>
          </w:tcPr>
          <w:p>
            <w:pPr>
              <w:keepLines/>
              <w:spacing w:after="0"/>
            </w:pPr>
            <w:r>
              <w:rPr>
                <w:sz w:val="16"/>
              </w:rPr>
              <w:t>Identical bytes under aliases, repeated runs/configurations, changed parser versions, legal hold, purge and tombstone cases.</w:t>
            </w:r>
          </w:p>
        </w:tc>
      </w:tr>
      <w:tr>
        <w:tc>
          <w:tcPr>
            <w:tcW w:type="dxa" w:w="2736"/>
            <w:vAlign w:val="top"/>
            <w:tcMar>
              <w:top w:w="80" w:type="dxa"/>
              <w:start w:w="80" w:type="dxa"/>
              <w:bottom w:w="80" w:type="dxa"/>
              <w:end w:w="80" w:type="dxa"/>
            </w:tcMar>
          </w:tcPr>
          <w:p>
            <w:pPr>
              <w:keepLines/>
              <w:spacing w:after="0"/>
            </w:pPr>
            <w:r>
              <w:rPr>
                <w:sz w:val="16"/>
              </w:rPr>
              <w:t>FX08 — DataForge golden handoff</w:t>
            </w:r>
          </w:p>
        </w:tc>
        <w:tc>
          <w:tcPr>
            <w:tcW w:type="dxa" w:w="7632"/>
            <w:vAlign w:val="top"/>
            <w:tcMar>
              <w:top w:w="80" w:type="dxa"/>
              <w:start w:w="80" w:type="dxa"/>
              <w:bottom w:w="80" w:type="dxa"/>
              <w:end w:w="80" w:type="dxa"/>
            </w:tcMar>
          </w:tcPr>
          <w:p>
            <w:pPr>
              <w:keepLines/>
              <w:spacing w:after="0"/>
            </w:pPr>
            <w:r>
              <w:rPr>
                <w:sz w:val="16"/>
              </w:rPr>
              <w:t>Frozen canonical package containing paragraph and relation-expanded views for the two downstream acceptance tests.</w:t>
            </w:r>
          </w:p>
        </w:tc>
      </w:tr>
      <w:tr>
        <w:tc>
          <w:tcPr>
            <w:tcW w:type="dxa" w:w="2736"/>
            <w:vAlign w:val="top"/>
            <w:tcMar>
              <w:top w:w="80" w:type="dxa"/>
              <w:start w:w="80" w:type="dxa"/>
              <w:bottom w:w="80" w:type="dxa"/>
              <w:end w:w="80" w:type="dxa"/>
            </w:tcMar>
          </w:tcPr>
          <w:p>
            <w:pPr>
              <w:keepLines/>
              <w:spacing w:after="0"/>
            </w:pPr>
            <w:r>
              <w:rPr>
                <w:sz w:val="16"/>
              </w:rPr>
              <w:t>FX09 — Multi-view segmentation contract</w:t>
            </w:r>
          </w:p>
        </w:tc>
        <w:tc>
          <w:tcPr>
            <w:tcW w:type="dxa" w:w="7632"/>
            <w:vAlign w:val="top"/>
            <w:tcMar>
              <w:top w:w="80" w:type="dxa"/>
              <w:start w:w="80" w:type="dxa"/>
              <w:bottom w:w="80" w:type="dxa"/>
              <w:end w:w="80" w:type="dxa"/>
            </w:tcMar>
          </w:tcPr>
          <w:p>
            <w:pPr>
              <w:keepLines/>
              <w:spacing w:after="0"/>
            </w:pPr>
            <w:r>
              <w:rPr>
                <w:sz w:val="16"/>
              </w:rPr>
              <w:t>The same canonical nodes expressed through Docling hierarchical, paragraph, sentence-safe and fixed-size views; validates no-copy bindings and stable strategy identity without claiming one view is best.</w:t>
            </w:r>
          </w:p>
        </w:tc>
      </w:tr>
      <w:tr>
        <w:tc>
          <w:tcPr>
            <w:tcW w:type="dxa" w:w="2736"/>
            <w:vAlign w:val="top"/>
            <w:tcMar>
              <w:top w:w="80" w:type="dxa"/>
              <w:start w:w="80" w:type="dxa"/>
              <w:bottom w:w="80" w:type="dxa"/>
              <w:end w:w="80" w:type="dxa"/>
            </w:tcMar>
          </w:tcPr>
          <w:p>
            <w:pPr>
              <w:keepLines/>
              <w:spacing w:after="0"/>
            </w:pPr>
            <w:r>
              <w:rPr>
                <w:sz w:val="16"/>
              </w:rPr>
              <w:t>FX10 — Provenance address resolution</w:t>
            </w:r>
          </w:p>
        </w:tc>
        <w:tc>
          <w:tcPr>
            <w:tcW w:type="dxa" w:w="7632"/>
            <w:vAlign w:val="top"/>
            <w:tcMar>
              <w:top w:w="80" w:type="dxa"/>
              <w:start w:w="80" w:type="dxa"/>
              <w:bottom w:w="80" w:type="dxa"/>
              <w:end w:w="80" w:type="dxa"/>
            </w:tcMar>
          </w:tcPr>
          <w:p>
            <w:pPr>
              <w:keepLines/>
              <w:spacing w:after="0"/>
            </w:pPr>
            <w:r>
              <w:rPr>
                <w:sz w:val="16"/>
              </w:rPr>
              <w:t>Strong, logical/version-aware and evidence-set addresses with exact, redirected, ambiguous, obsolete and invalid resolution outcomes.</w:t>
            </w:r>
          </w:p>
        </w:tc>
      </w:tr>
      <w:tr>
        <w:tc>
          <w:tcPr>
            <w:tcW w:type="dxa" w:w="2736"/>
            <w:vAlign w:val="top"/>
            <w:tcMar>
              <w:top w:w="80" w:type="dxa"/>
              <w:start w:w="80" w:type="dxa"/>
              <w:bottom w:w="80" w:type="dxa"/>
              <w:end w:w="80" w:type="dxa"/>
            </w:tcMar>
          </w:tcPr>
          <w:p>
            <w:pPr>
              <w:keepLines/>
              <w:spacing w:after="0"/>
            </w:pPr>
            <w:r>
              <w:rPr>
                <w:sz w:val="16"/>
              </w:rPr>
              <w:t>FX11 — Source graph projection</w:t>
            </w:r>
          </w:p>
        </w:tc>
        <w:tc>
          <w:tcPr>
            <w:tcW w:type="dxa" w:w="7632"/>
            <w:vAlign w:val="top"/>
            <w:tcMar>
              <w:top w:w="80" w:type="dxa"/>
              <w:start w:w="80" w:type="dxa"/>
              <w:bottom w:w="80" w:type="dxa"/>
              <w:end w:w="80" w:type="dxa"/>
            </w:tcMar>
          </w:tcPr>
          <w:p>
            <w:pPr>
              <w:keepLines/>
              <w:spacing w:after="0"/>
            </w:pPr>
            <w:r>
              <w:rPr>
                <w:sz w:val="16"/>
              </w:rPr>
              <w:t>Canonical source nodes/relations and a simple derived graph descriptor proving bindings and epistemic states without requiring a graph database or GraphRAG algorithm.</w:t>
            </w:r>
          </w:p>
        </w:tc>
      </w:tr>
    </w:tbl>
    <w:p/>
    <w:p>
      <w:pPr>
        <w:pStyle w:val="Heading1"/>
      </w:pPr>
      <w:r>
        <w:t>13. Focused acceptance objectives</w:t>
      </w:r>
    </w:p>
    <w:p>
      <w:pPr>
        <w:pStyle w:val="Heading2"/>
      </w:pPr>
      <w:r>
        <w:t>13.1 Native preservation and parser neutrality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1F4E78"/>
            <w:vAlign w:val="center"/>
            <w:tcMar>
              <w:top w:w="80" w:type="dxa"/>
              <w:start w:w="80" w:type="dxa"/>
              <w:bottom w:w="80" w:type="dxa"/>
              <w:end w:w="80" w:type="dxa"/>
            </w:tcMar>
          </w:tcPr>
          <w:p>
            <w:pPr>
              <w:keepLines/>
            </w:pPr>
            <w:r>
              <w:rPr>
                <w:b/>
                <w:color w:val="FFFFFF"/>
                <w:sz w:val="15"/>
              </w:rPr>
              <w:t>ID</w:t>
            </w:r>
          </w:p>
        </w:tc>
        <w:tc>
          <w:tcPr>
            <w:tcW w:type="dxa" w:w="2592"/>
            <w:shd w:fill="1F4E78"/>
            <w:vAlign w:val="center"/>
            <w:tcMar>
              <w:top w:w="80" w:type="dxa"/>
              <w:start w:w="80" w:type="dxa"/>
              <w:bottom w:w="80" w:type="dxa"/>
              <w:end w:w="80" w:type="dxa"/>
            </w:tcMar>
          </w:tcPr>
          <w:p>
            <w:pPr>
              <w:keepLines/>
            </w:pPr>
            <w:r>
              <w:rPr>
                <w:b/>
                <w:color w:val="FFFFFF"/>
                <w:sz w:val="15"/>
              </w:rPr>
              <w:t>Objective</w:t>
            </w:r>
          </w:p>
        </w:tc>
        <w:tc>
          <w:tcPr>
            <w:tcW w:type="dxa" w:w="6840"/>
            <w:shd w:fill="1F4E78"/>
            <w:vAlign w:val="center"/>
            <w:tcMar>
              <w:top w:w="80" w:type="dxa"/>
              <w:start w:w="80" w:type="dxa"/>
              <w:bottom w:w="80" w:type="dxa"/>
              <w:end w:w="80" w:type="dxa"/>
            </w:tcMar>
          </w:tcPr>
          <w:p>
            <w:pPr>
              <w:keepLines/>
            </w:pPr>
            <w:r>
              <w:rPr>
                <w:b/>
                <w:color w:val="FFFFFF"/>
                <w:sz w:val="15"/>
              </w:rPr>
              <w:t>Pass condition</w:t>
            </w:r>
          </w:p>
        </w:tc>
      </w:tr>
      <w:tr>
        <w:tc>
          <w:tcPr>
            <w:tcW w:type="dxa" w:w="936"/>
            <w:vAlign w:val="top"/>
            <w:tcMar>
              <w:top w:w="80" w:type="dxa"/>
              <w:start w:w="80" w:type="dxa"/>
              <w:bottom w:w="80" w:type="dxa"/>
              <w:end w:w="80" w:type="dxa"/>
            </w:tcMar>
          </w:tcPr>
          <w:p>
            <w:pPr>
              <w:keepLines/>
              <w:spacing w:after="0"/>
            </w:pPr>
            <w:r>
              <w:rPr>
                <w:sz w:val="15"/>
              </w:rPr>
              <w:t>NP-01</w:t>
            </w:r>
          </w:p>
        </w:tc>
        <w:tc>
          <w:tcPr>
            <w:tcW w:type="dxa" w:w="2592"/>
            <w:vAlign w:val="top"/>
            <w:tcMar>
              <w:top w:w="80" w:type="dxa"/>
              <w:start w:w="80" w:type="dxa"/>
              <w:bottom w:w="80" w:type="dxa"/>
              <w:end w:w="80" w:type="dxa"/>
            </w:tcMar>
          </w:tcPr>
          <w:p>
            <w:pPr>
              <w:keepLines/>
              <w:spacing w:after="0"/>
            </w:pPr>
            <w:r>
              <w:rPr>
                <w:sz w:val="15"/>
              </w:rPr>
              <w:t>Lossless Docling artifact</w:t>
            </w:r>
          </w:p>
        </w:tc>
        <w:tc>
          <w:tcPr>
            <w:tcW w:type="dxa" w:w="6840"/>
            <w:vAlign w:val="top"/>
            <w:tcMar>
              <w:top w:w="80" w:type="dxa"/>
              <w:start w:w="80" w:type="dxa"/>
              <w:bottom w:w="80" w:type="dxa"/>
              <w:end w:w="80" w:type="dxa"/>
            </w:tcMar>
          </w:tcPr>
          <w:p>
            <w:pPr>
              <w:keepLines/>
              <w:spacing w:after="0"/>
            </w:pPr>
            <w:r>
              <w:rPr>
                <w:sz w:val="15"/>
              </w:rPr>
              <w:t>The complete DoclingDocument is retained once and can be loaded with its hierarchy, items, tables, pictures, provenance and parser schema identity intact.</w:t>
            </w:r>
          </w:p>
        </w:tc>
      </w:tr>
      <w:tr>
        <w:tc>
          <w:tcPr>
            <w:tcW w:type="dxa" w:w="936"/>
            <w:vAlign w:val="top"/>
            <w:tcMar>
              <w:top w:w="80" w:type="dxa"/>
              <w:start w:w="80" w:type="dxa"/>
              <w:bottom w:w="80" w:type="dxa"/>
              <w:end w:w="80" w:type="dxa"/>
            </w:tcMar>
          </w:tcPr>
          <w:p>
            <w:pPr>
              <w:keepLines/>
              <w:spacing w:after="0"/>
            </w:pPr>
            <w:r>
              <w:rPr>
                <w:sz w:val="15"/>
              </w:rPr>
              <w:t>NP-02</w:t>
            </w:r>
          </w:p>
        </w:tc>
        <w:tc>
          <w:tcPr>
            <w:tcW w:type="dxa" w:w="2592"/>
            <w:vAlign w:val="top"/>
            <w:tcMar>
              <w:top w:w="80" w:type="dxa"/>
              <w:start w:w="80" w:type="dxa"/>
              <w:bottom w:w="80" w:type="dxa"/>
              <w:end w:w="80" w:type="dxa"/>
            </w:tcMar>
          </w:tcPr>
          <w:p>
            <w:pPr>
              <w:keepLines/>
              <w:spacing w:after="0"/>
            </w:pPr>
            <w:r>
              <w:rPr>
                <w:sz w:val="15"/>
              </w:rPr>
              <w:t>Canonical overlay is additive</w:t>
            </w:r>
          </w:p>
        </w:tc>
        <w:tc>
          <w:tcPr>
            <w:tcW w:type="dxa" w:w="6840"/>
            <w:vAlign w:val="top"/>
            <w:tcMar>
              <w:top w:w="80" w:type="dxa"/>
              <w:start w:w="80" w:type="dxa"/>
              <w:bottom w:w="80" w:type="dxa"/>
              <w:end w:w="80" w:type="dxa"/>
            </w:tcMar>
          </w:tcPr>
          <w:p>
            <w:pPr>
              <w:keepLines/>
              <w:spacing w:after="0"/>
            </w:pPr>
            <w:r>
              <w:rPr>
                <w:sz w:val="15"/>
              </w:rPr>
              <w:t>Canonical records point to Docling native objects; unsupported native fields remain accessible and are not silently discarded.</w:t>
            </w:r>
          </w:p>
        </w:tc>
      </w:tr>
      <w:tr>
        <w:tc>
          <w:tcPr>
            <w:tcW w:type="dxa" w:w="936"/>
            <w:vAlign w:val="top"/>
            <w:tcMar>
              <w:top w:w="80" w:type="dxa"/>
              <w:start w:w="80" w:type="dxa"/>
              <w:bottom w:w="80" w:type="dxa"/>
              <w:end w:w="80" w:type="dxa"/>
            </w:tcMar>
          </w:tcPr>
          <w:p>
            <w:pPr>
              <w:keepLines/>
              <w:spacing w:after="0"/>
            </w:pPr>
            <w:r>
              <w:rPr>
                <w:sz w:val="15"/>
              </w:rPr>
              <w:t>NP-03</w:t>
            </w:r>
          </w:p>
        </w:tc>
        <w:tc>
          <w:tcPr>
            <w:tcW w:type="dxa" w:w="2592"/>
            <w:vAlign w:val="top"/>
            <w:tcMar>
              <w:top w:w="80" w:type="dxa"/>
              <w:start w:w="80" w:type="dxa"/>
              <w:bottom w:w="80" w:type="dxa"/>
              <w:end w:w="80" w:type="dxa"/>
            </w:tcMar>
          </w:tcPr>
          <w:p>
            <w:pPr>
              <w:keepLines/>
              <w:spacing w:after="0"/>
            </w:pPr>
            <w:r>
              <w:rPr>
                <w:sz w:val="15"/>
              </w:rPr>
              <w:t>Alternative parser substitution</w:t>
            </w:r>
          </w:p>
        </w:tc>
        <w:tc>
          <w:tcPr>
            <w:tcW w:type="dxa" w:w="6840"/>
            <w:vAlign w:val="top"/>
            <w:tcMar>
              <w:top w:w="80" w:type="dxa"/>
              <w:start w:w="80" w:type="dxa"/>
              <w:bottom w:w="80" w:type="dxa"/>
              <w:end w:w="80" w:type="dxa"/>
            </w:tcMar>
          </w:tcPr>
          <w:p>
            <w:pPr>
              <w:keepLines/>
              <w:spacing w:after="0"/>
            </w:pPr>
            <w:r>
              <w:rPr>
                <w:sz w:val="15"/>
              </w:rPr>
              <w:t>The same downstream contract is produced when a configured alternative parser is primary, with honest capability differences.</w:t>
            </w:r>
          </w:p>
        </w:tc>
      </w:tr>
      <w:tr>
        <w:tc>
          <w:tcPr>
            <w:tcW w:type="dxa" w:w="936"/>
            <w:vAlign w:val="top"/>
            <w:tcMar>
              <w:top w:w="80" w:type="dxa"/>
              <w:start w:w="80" w:type="dxa"/>
              <w:bottom w:w="80" w:type="dxa"/>
              <w:end w:w="80" w:type="dxa"/>
            </w:tcMar>
          </w:tcPr>
          <w:p>
            <w:pPr>
              <w:keepLines/>
              <w:spacing w:after="0"/>
            </w:pPr>
            <w:r>
              <w:rPr>
                <w:sz w:val="15"/>
              </w:rPr>
              <w:t>NP-04</w:t>
            </w:r>
          </w:p>
        </w:tc>
        <w:tc>
          <w:tcPr>
            <w:tcW w:type="dxa" w:w="2592"/>
            <w:vAlign w:val="top"/>
            <w:tcMar>
              <w:top w:w="80" w:type="dxa"/>
              <w:start w:w="80" w:type="dxa"/>
              <w:bottom w:w="80" w:type="dxa"/>
              <w:end w:w="80" w:type="dxa"/>
            </w:tcMar>
          </w:tcPr>
          <w:p>
            <w:pPr>
              <w:keepLines/>
              <w:spacing w:after="0"/>
            </w:pPr>
            <w:r>
              <w:rPr>
                <w:sz w:val="15"/>
              </w:rPr>
              <w:t>Per-field fact sources</w:t>
            </w:r>
          </w:p>
        </w:tc>
        <w:tc>
          <w:tcPr>
            <w:tcW w:type="dxa" w:w="6840"/>
            <w:vAlign w:val="top"/>
            <w:tcMar>
              <w:top w:w="80" w:type="dxa"/>
              <w:start w:w="80" w:type="dxa"/>
              <w:bottom w:w="80" w:type="dxa"/>
              <w:end w:w="80" w:type="dxa"/>
            </w:tcMar>
          </w:tcPr>
          <w:p>
            <w:pPr>
              <w:keepLines/>
              <w:spacing w:after="0"/>
            </w:pPr>
            <w:r>
              <w:rPr>
                <w:sz w:val="15"/>
              </w:rPr>
              <w:t>Text, type, geometry, order and relations may come from different parsers and each selected field retains all sources and selection rationale.</w:t>
            </w:r>
          </w:p>
        </w:tc>
      </w:tr>
      <w:tr>
        <w:tc>
          <w:tcPr>
            <w:tcW w:type="dxa" w:w="936"/>
            <w:vAlign w:val="top"/>
            <w:tcMar>
              <w:top w:w="80" w:type="dxa"/>
              <w:start w:w="80" w:type="dxa"/>
              <w:bottom w:w="80" w:type="dxa"/>
              <w:end w:w="80" w:type="dxa"/>
            </w:tcMar>
          </w:tcPr>
          <w:p>
            <w:pPr>
              <w:keepLines/>
              <w:spacing w:after="0"/>
            </w:pPr>
            <w:r>
              <w:rPr>
                <w:sz w:val="15"/>
              </w:rPr>
              <w:t>NP-05</w:t>
            </w:r>
          </w:p>
        </w:tc>
        <w:tc>
          <w:tcPr>
            <w:tcW w:type="dxa" w:w="2592"/>
            <w:vAlign w:val="top"/>
            <w:tcMar>
              <w:top w:w="80" w:type="dxa"/>
              <w:start w:w="80" w:type="dxa"/>
              <w:bottom w:w="80" w:type="dxa"/>
              <w:end w:w="80" w:type="dxa"/>
            </w:tcMar>
          </w:tcPr>
          <w:p>
            <w:pPr>
              <w:keepLines/>
              <w:spacing w:after="0"/>
            </w:pPr>
            <w:r>
              <w:rPr>
                <w:sz w:val="15"/>
              </w:rPr>
              <w:t>Generic Division</w:t>
            </w:r>
          </w:p>
        </w:tc>
        <w:tc>
          <w:tcPr>
            <w:tcW w:type="dxa" w:w="6840"/>
            <w:vAlign w:val="top"/>
            <w:tcMar>
              <w:top w:w="80" w:type="dxa"/>
              <w:start w:w="80" w:type="dxa"/>
              <w:bottom w:w="80" w:type="dxa"/>
              <w:end w:w="80" w:type="dxa"/>
            </w:tcMar>
          </w:tcPr>
          <w:p>
            <w:pPr>
              <w:keepLines/>
              <w:spacing w:after="0"/>
            </w:pPr>
            <w:r>
              <w:rPr>
                <w:sz w:val="15"/>
              </w:rPr>
              <w:t>Division hierarchy and roles work for PDF/DOCX, PPTX and XLSX without adding format-specific structural fields.</w:t>
            </w:r>
          </w:p>
        </w:tc>
      </w:tr>
      <w:tr>
        <w:tc>
          <w:tcPr>
            <w:tcW w:type="dxa" w:w="936"/>
            <w:vAlign w:val="top"/>
            <w:tcMar>
              <w:top w:w="80" w:type="dxa"/>
              <w:start w:w="80" w:type="dxa"/>
              <w:bottom w:w="80" w:type="dxa"/>
              <w:end w:w="80" w:type="dxa"/>
            </w:tcMar>
          </w:tcPr>
          <w:p>
            <w:pPr>
              <w:keepLines/>
              <w:spacing w:after="0"/>
            </w:pPr>
            <w:r>
              <w:rPr>
                <w:sz w:val="15"/>
              </w:rPr>
              <w:t>NP-06</w:t>
            </w:r>
          </w:p>
        </w:tc>
        <w:tc>
          <w:tcPr>
            <w:tcW w:type="dxa" w:w="2592"/>
            <w:vAlign w:val="top"/>
            <w:tcMar>
              <w:top w:w="80" w:type="dxa"/>
              <w:start w:w="80" w:type="dxa"/>
              <w:bottom w:w="80" w:type="dxa"/>
              <w:end w:w="80" w:type="dxa"/>
            </w:tcMar>
          </w:tcPr>
          <w:p>
            <w:pPr>
              <w:keepLines/>
              <w:spacing w:after="0"/>
            </w:pPr>
            <w:r>
              <w:rPr>
                <w:sz w:val="15"/>
              </w:rPr>
              <w:t>Presentation/logical separation</w:t>
            </w:r>
          </w:p>
        </w:tc>
        <w:tc>
          <w:tcPr>
            <w:tcW w:type="dxa" w:w="6840"/>
            <w:vAlign w:val="top"/>
            <w:tcMar>
              <w:top w:w="80" w:type="dxa"/>
              <w:start w:w="80" w:type="dxa"/>
              <w:bottom w:w="80" w:type="dxa"/>
              <w:end w:w="80" w:type="dxa"/>
            </w:tcMar>
          </w:tcPr>
          <w:p>
            <w:pPr>
              <w:keepLines/>
              <w:spacing w:after="0"/>
            </w:pPr>
            <w:r>
              <w:rPr>
                <w:sz w:val="15"/>
              </w:rPr>
              <w:t>Page, slide and sheet boundaries do not incorrectly terminate logical divisions.</w:t>
            </w:r>
          </w:p>
        </w:tc>
      </w:tr>
      <w:tr>
        <w:tc>
          <w:tcPr>
            <w:tcW w:type="dxa" w:w="936"/>
            <w:vAlign w:val="top"/>
            <w:tcMar>
              <w:top w:w="80" w:type="dxa"/>
              <w:start w:w="80" w:type="dxa"/>
              <w:bottom w:w="80" w:type="dxa"/>
              <w:end w:w="80" w:type="dxa"/>
            </w:tcMar>
          </w:tcPr>
          <w:p>
            <w:pPr>
              <w:keepLines/>
              <w:spacing w:after="0"/>
            </w:pPr>
            <w:r>
              <w:rPr>
                <w:sz w:val="15"/>
              </w:rPr>
              <w:t>NP-07</w:t>
            </w:r>
          </w:p>
        </w:tc>
        <w:tc>
          <w:tcPr>
            <w:tcW w:type="dxa" w:w="2592"/>
            <w:vAlign w:val="top"/>
            <w:tcMar>
              <w:top w:w="80" w:type="dxa"/>
              <w:start w:w="80" w:type="dxa"/>
              <w:bottom w:w="80" w:type="dxa"/>
              <w:end w:w="80" w:type="dxa"/>
            </w:tcMar>
          </w:tcPr>
          <w:p>
            <w:pPr>
              <w:keepLines/>
              <w:spacing w:after="0"/>
            </w:pPr>
            <w:r>
              <w:rPr>
                <w:sz w:val="15"/>
              </w:rPr>
              <w:t>Native binding validity</w:t>
            </w:r>
          </w:p>
        </w:tc>
        <w:tc>
          <w:tcPr>
            <w:tcW w:type="dxa" w:w="6840"/>
            <w:vAlign w:val="top"/>
            <w:tcMar>
              <w:top w:w="80" w:type="dxa"/>
              <w:start w:w="80" w:type="dxa"/>
              <w:bottom w:w="80" w:type="dxa"/>
              <w:end w:w="80" w:type="dxa"/>
            </w:tcMar>
          </w:tcPr>
          <w:p>
            <w:pPr>
              <w:keepLines/>
              <w:spacing w:after="0"/>
            </w:pPr>
            <w:r>
              <w:rPr>
                <w:sz w:val="15"/>
              </w:rPr>
              <w:t>Every binding resolves to an existing native artifact object while the artifact is retained.</w:t>
            </w:r>
          </w:p>
        </w:tc>
      </w:tr>
      <w:tr>
        <w:tc>
          <w:tcPr>
            <w:tcW w:type="dxa" w:w="936"/>
            <w:vAlign w:val="top"/>
            <w:tcMar>
              <w:top w:w="80" w:type="dxa"/>
              <w:start w:w="80" w:type="dxa"/>
              <w:bottom w:w="80" w:type="dxa"/>
              <w:end w:w="80" w:type="dxa"/>
            </w:tcMar>
          </w:tcPr>
          <w:p>
            <w:pPr>
              <w:keepLines/>
              <w:spacing w:after="0"/>
            </w:pPr>
            <w:r>
              <w:rPr>
                <w:sz w:val="15"/>
              </w:rPr>
              <w:t>NP-08</w:t>
            </w:r>
          </w:p>
        </w:tc>
        <w:tc>
          <w:tcPr>
            <w:tcW w:type="dxa" w:w="2592"/>
            <w:vAlign w:val="top"/>
            <w:tcMar>
              <w:top w:w="80" w:type="dxa"/>
              <w:start w:w="80" w:type="dxa"/>
              <w:bottom w:w="80" w:type="dxa"/>
              <w:end w:w="80" w:type="dxa"/>
            </w:tcMar>
          </w:tcPr>
          <w:p>
            <w:pPr>
              <w:keepLines/>
              <w:spacing w:after="0"/>
            </w:pPr>
            <w:r>
              <w:rPr>
                <w:sz w:val="15"/>
              </w:rPr>
              <w:t>Post-purge survivability</w:t>
            </w:r>
          </w:p>
        </w:tc>
        <w:tc>
          <w:tcPr>
            <w:tcW w:type="dxa" w:w="6840"/>
            <w:vAlign w:val="top"/>
            <w:tcMar>
              <w:top w:w="80" w:type="dxa"/>
              <w:start w:w="80" w:type="dxa"/>
              <w:bottom w:w="80" w:type="dxa"/>
              <w:end w:w="80" w:type="dxa"/>
            </w:tcMar>
          </w:tcPr>
          <w:p>
            <w:pPr>
              <w:keepLines/>
              <w:spacing w:after="0"/>
            </w:pPr>
            <w:r>
              <w:rPr>
                <w:sz w:val="15"/>
              </w:rPr>
              <w:t>After permitted raw-artifact purge, canonical content, selectors, mappings, activities, hashes and views still validate.</w:t>
            </w:r>
          </w:p>
        </w:tc>
      </w:tr>
    </w:tbl>
    <w:p/>
    <w:p>
      <w:pPr>
        <w:pStyle w:val="Heading2"/>
      </w:pPr>
      <w:r>
        <w:t>13.2 Capability discovery and routing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1F4E78"/>
            <w:vAlign w:val="center"/>
            <w:tcMar>
              <w:top w:w="80" w:type="dxa"/>
              <w:start w:w="80" w:type="dxa"/>
              <w:bottom w:w="80" w:type="dxa"/>
              <w:end w:w="80" w:type="dxa"/>
            </w:tcMar>
          </w:tcPr>
          <w:p>
            <w:pPr>
              <w:keepLines/>
            </w:pPr>
            <w:r>
              <w:rPr>
                <w:b/>
                <w:color w:val="FFFFFF"/>
                <w:sz w:val="15"/>
              </w:rPr>
              <w:t>ID</w:t>
            </w:r>
          </w:p>
        </w:tc>
        <w:tc>
          <w:tcPr>
            <w:tcW w:type="dxa" w:w="2592"/>
            <w:shd w:fill="1F4E78"/>
            <w:vAlign w:val="center"/>
            <w:tcMar>
              <w:top w:w="80" w:type="dxa"/>
              <w:start w:w="80" w:type="dxa"/>
              <w:bottom w:w="80" w:type="dxa"/>
              <w:end w:w="80" w:type="dxa"/>
            </w:tcMar>
          </w:tcPr>
          <w:p>
            <w:pPr>
              <w:keepLines/>
            </w:pPr>
            <w:r>
              <w:rPr>
                <w:b/>
                <w:color w:val="FFFFFF"/>
                <w:sz w:val="15"/>
              </w:rPr>
              <w:t>Objective</w:t>
            </w:r>
          </w:p>
        </w:tc>
        <w:tc>
          <w:tcPr>
            <w:tcW w:type="dxa" w:w="6840"/>
            <w:shd w:fill="1F4E78"/>
            <w:vAlign w:val="center"/>
            <w:tcMar>
              <w:top w:w="80" w:type="dxa"/>
              <w:start w:w="80" w:type="dxa"/>
              <w:bottom w:w="80" w:type="dxa"/>
              <w:end w:w="80" w:type="dxa"/>
            </w:tcMar>
          </w:tcPr>
          <w:p>
            <w:pPr>
              <w:keepLines/>
            </w:pPr>
            <w:r>
              <w:rPr>
                <w:b/>
                <w:color w:val="FFFFFF"/>
                <w:sz w:val="15"/>
              </w:rPr>
              <w:t>Pass condition</w:t>
            </w:r>
          </w:p>
        </w:tc>
      </w:tr>
      <w:tr>
        <w:tc>
          <w:tcPr>
            <w:tcW w:type="dxa" w:w="936"/>
            <w:vAlign w:val="top"/>
            <w:tcMar>
              <w:top w:w="80" w:type="dxa"/>
              <w:start w:w="80" w:type="dxa"/>
              <w:bottom w:w="80" w:type="dxa"/>
              <w:end w:w="80" w:type="dxa"/>
            </w:tcMar>
          </w:tcPr>
          <w:p>
            <w:pPr>
              <w:keepLines/>
              <w:spacing w:after="0"/>
            </w:pPr>
            <w:r>
              <w:rPr>
                <w:sz w:val="15"/>
              </w:rPr>
              <w:t>CR-01</w:t>
            </w:r>
          </w:p>
        </w:tc>
        <w:tc>
          <w:tcPr>
            <w:tcW w:type="dxa" w:w="2592"/>
            <w:vAlign w:val="top"/>
            <w:tcMar>
              <w:top w:w="80" w:type="dxa"/>
              <w:start w:w="80" w:type="dxa"/>
              <w:bottom w:w="80" w:type="dxa"/>
              <w:end w:w="80" w:type="dxa"/>
            </w:tcMar>
          </w:tcPr>
          <w:p>
            <w:pPr>
              <w:keepLines/>
              <w:spacing w:after="0"/>
            </w:pPr>
            <w:r>
              <w:rPr>
                <w:sz w:val="15"/>
              </w:rPr>
              <w:t>Three-source registry</w:t>
            </w:r>
          </w:p>
        </w:tc>
        <w:tc>
          <w:tcPr>
            <w:tcW w:type="dxa" w:w="6840"/>
            <w:vAlign w:val="top"/>
            <w:tcMar>
              <w:top w:w="80" w:type="dxa"/>
              <w:start w:w="80" w:type="dxa"/>
              <w:bottom w:w="80" w:type="dxa"/>
              <w:end w:w="80" w:type="dxa"/>
            </w:tcMar>
          </w:tcPr>
          <w:p>
            <w:pPr>
              <w:keepLines/>
              <w:spacing w:after="0"/>
            </w:pPr>
            <w:r>
              <w:rPr>
                <w:sz w:val="15"/>
              </w:rPr>
              <w:t>Every effective capability record keeps parser-discovered, human-guided and auto-learned evidence separately.</w:t>
            </w:r>
          </w:p>
        </w:tc>
      </w:tr>
      <w:tr>
        <w:tc>
          <w:tcPr>
            <w:tcW w:type="dxa" w:w="936"/>
            <w:vAlign w:val="top"/>
            <w:tcMar>
              <w:top w:w="80" w:type="dxa"/>
              <w:start w:w="80" w:type="dxa"/>
              <w:bottom w:w="80" w:type="dxa"/>
              <w:end w:w="80" w:type="dxa"/>
            </w:tcMar>
          </w:tcPr>
          <w:p>
            <w:pPr>
              <w:keepLines/>
              <w:spacing w:after="0"/>
            </w:pPr>
            <w:r>
              <w:rPr>
                <w:sz w:val="15"/>
              </w:rPr>
              <w:t>CR-02</w:t>
            </w:r>
          </w:p>
        </w:tc>
        <w:tc>
          <w:tcPr>
            <w:tcW w:type="dxa" w:w="2592"/>
            <w:vAlign w:val="top"/>
            <w:tcMar>
              <w:top w:w="80" w:type="dxa"/>
              <w:start w:w="80" w:type="dxa"/>
              <w:bottom w:w="80" w:type="dxa"/>
              <w:end w:w="80" w:type="dxa"/>
            </w:tcMar>
          </w:tcPr>
          <w:p>
            <w:pPr>
              <w:keepLines/>
              <w:spacing w:after="0"/>
            </w:pPr>
            <w:r>
              <w:rPr>
                <w:sz w:val="15"/>
              </w:rPr>
              <w:t>Official documentation discovery</w:t>
            </w:r>
          </w:p>
        </w:tc>
        <w:tc>
          <w:tcPr>
            <w:tcW w:type="dxa" w:w="6840"/>
            <w:vAlign w:val="top"/>
            <w:tcMar>
              <w:top w:w="80" w:type="dxa"/>
              <w:start w:w="80" w:type="dxa"/>
              <w:bottom w:w="80" w:type="dxa"/>
              <w:end w:w="80" w:type="dxa"/>
            </w:tcMar>
          </w:tcPr>
          <w:p>
            <w:pPr>
              <w:keepLines/>
              <w:spacing w:after="0"/>
            </w:pPr>
            <w:r>
              <w:rPr>
                <w:sz w:val="15"/>
              </w:rPr>
              <w:t>The discovery agent uses official parser sources, records retrieval/version evidence and does not treat internet claims as timeless.</w:t>
            </w:r>
          </w:p>
        </w:tc>
      </w:tr>
      <w:tr>
        <w:tc>
          <w:tcPr>
            <w:tcW w:type="dxa" w:w="936"/>
            <w:vAlign w:val="top"/>
            <w:tcMar>
              <w:top w:w="80" w:type="dxa"/>
              <w:start w:w="80" w:type="dxa"/>
              <w:bottom w:w="80" w:type="dxa"/>
              <w:end w:w="80" w:type="dxa"/>
            </w:tcMar>
          </w:tcPr>
          <w:p>
            <w:pPr>
              <w:keepLines/>
              <w:spacing w:after="0"/>
            </w:pPr>
            <w:r>
              <w:rPr>
                <w:sz w:val="15"/>
              </w:rPr>
              <w:t>CR-03</w:t>
            </w:r>
          </w:p>
        </w:tc>
        <w:tc>
          <w:tcPr>
            <w:tcW w:type="dxa" w:w="2592"/>
            <w:vAlign w:val="top"/>
            <w:tcMar>
              <w:top w:w="80" w:type="dxa"/>
              <w:start w:w="80" w:type="dxa"/>
              <w:bottom w:w="80" w:type="dxa"/>
              <w:end w:w="80" w:type="dxa"/>
            </w:tcMar>
          </w:tcPr>
          <w:p>
            <w:pPr>
              <w:keepLines/>
              <w:spacing w:after="0"/>
            </w:pPr>
            <w:r>
              <w:rPr>
                <w:sz w:val="15"/>
              </w:rPr>
              <w:t>Runtime versus advertised capability</w:t>
            </w:r>
          </w:p>
        </w:tc>
        <w:tc>
          <w:tcPr>
            <w:tcW w:type="dxa" w:w="6840"/>
            <w:vAlign w:val="top"/>
            <w:tcMar>
              <w:top w:w="80" w:type="dxa"/>
              <w:start w:w="80" w:type="dxa"/>
              <w:bottom w:w="80" w:type="dxa"/>
              <w:end w:w="80" w:type="dxa"/>
            </w:tcMar>
          </w:tcPr>
          <w:p>
            <w:pPr>
              <w:keepLines/>
              <w:spacing w:after="0"/>
            </w:pPr>
            <w:r>
              <w:rPr>
                <w:sz w:val="15"/>
              </w:rPr>
              <w:t>A documented feature that is not installed is recorded as declared but unavailable.</w:t>
            </w:r>
          </w:p>
        </w:tc>
      </w:tr>
      <w:tr>
        <w:tc>
          <w:tcPr>
            <w:tcW w:type="dxa" w:w="936"/>
            <w:vAlign w:val="top"/>
            <w:tcMar>
              <w:top w:w="80" w:type="dxa"/>
              <w:start w:w="80" w:type="dxa"/>
              <w:bottom w:w="80" w:type="dxa"/>
              <w:end w:w="80" w:type="dxa"/>
            </w:tcMar>
          </w:tcPr>
          <w:p>
            <w:pPr>
              <w:keepLines/>
              <w:spacing w:after="0"/>
            </w:pPr>
            <w:r>
              <w:rPr>
                <w:sz w:val="15"/>
              </w:rPr>
              <w:t>CR-04</w:t>
            </w:r>
          </w:p>
        </w:tc>
        <w:tc>
          <w:tcPr>
            <w:tcW w:type="dxa" w:w="2592"/>
            <w:vAlign w:val="top"/>
            <w:tcMar>
              <w:top w:w="80" w:type="dxa"/>
              <w:start w:w="80" w:type="dxa"/>
              <w:bottom w:w="80" w:type="dxa"/>
              <w:end w:w="80" w:type="dxa"/>
            </w:tcMar>
          </w:tcPr>
          <w:p>
            <w:pPr>
              <w:keepLines/>
              <w:spacing w:after="0"/>
            </w:pPr>
            <w:r>
              <w:rPr>
                <w:sz w:val="15"/>
              </w:rPr>
              <w:t>Human guidance</w:t>
            </w:r>
          </w:p>
        </w:tc>
        <w:tc>
          <w:tcPr>
            <w:tcW w:type="dxa" w:w="6840"/>
            <w:vAlign w:val="top"/>
            <w:tcMar>
              <w:top w:w="80" w:type="dxa"/>
              <w:start w:w="80" w:type="dxa"/>
              <w:bottom w:w="80" w:type="dxa"/>
              <w:end w:w="80" w:type="dxa"/>
            </w:tcMar>
          </w:tcPr>
          <w:p>
            <w:pPr>
              <w:keepLines/>
              <w:spacing w:after="0"/>
            </w:pPr>
            <w:r>
              <w:rPr>
                <w:sz w:val="15"/>
              </w:rPr>
              <w:t>Applicable expert preference or restriction is recorded with author, scope, version and validity.</w:t>
            </w:r>
          </w:p>
        </w:tc>
      </w:tr>
      <w:tr>
        <w:tc>
          <w:tcPr>
            <w:tcW w:type="dxa" w:w="936"/>
            <w:vAlign w:val="top"/>
            <w:tcMar>
              <w:top w:w="80" w:type="dxa"/>
              <w:start w:w="80" w:type="dxa"/>
              <w:bottom w:w="80" w:type="dxa"/>
              <w:end w:w="80" w:type="dxa"/>
            </w:tcMar>
          </w:tcPr>
          <w:p>
            <w:pPr>
              <w:keepLines/>
              <w:spacing w:after="0"/>
            </w:pPr>
            <w:r>
              <w:rPr>
                <w:sz w:val="15"/>
              </w:rPr>
              <w:t>CR-05</w:t>
            </w:r>
          </w:p>
        </w:tc>
        <w:tc>
          <w:tcPr>
            <w:tcW w:type="dxa" w:w="2592"/>
            <w:vAlign w:val="top"/>
            <w:tcMar>
              <w:top w:w="80" w:type="dxa"/>
              <w:start w:w="80" w:type="dxa"/>
              <w:bottom w:w="80" w:type="dxa"/>
              <w:end w:w="80" w:type="dxa"/>
            </w:tcMar>
          </w:tcPr>
          <w:p>
            <w:pPr>
              <w:keepLines/>
              <w:spacing w:after="0"/>
            </w:pPr>
            <w:r>
              <w:rPr>
                <w:sz w:val="15"/>
              </w:rPr>
              <w:t>Auto-learning</w:t>
            </w:r>
          </w:p>
        </w:tc>
        <w:tc>
          <w:tcPr>
            <w:tcW w:type="dxa" w:w="6840"/>
            <w:vAlign w:val="top"/>
            <w:tcMar>
              <w:top w:w="80" w:type="dxa"/>
              <w:start w:w="80" w:type="dxa"/>
              <w:bottom w:w="80" w:type="dxa"/>
              <w:end w:w="80" w:type="dxa"/>
            </w:tcMar>
          </w:tcPr>
          <w:p>
            <w:pPr>
              <w:keepLines/>
              <w:spacing w:after="0"/>
            </w:pPr>
            <w:r>
              <w:rPr>
                <w:sz w:val="15"/>
              </w:rPr>
              <w:t>Measured quality/cost is conditioned on parser version, configuration, document/object class and language.</w:t>
            </w:r>
          </w:p>
        </w:tc>
      </w:tr>
      <w:tr>
        <w:tc>
          <w:tcPr>
            <w:tcW w:type="dxa" w:w="936"/>
            <w:vAlign w:val="top"/>
            <w:tcMar>
              <w:top w:w="80" w:type="dxa"/>
              <w:start w:w="80" w:type="dxa"/>
              <w:bottom w:w="80" w:type="dxa"/>
              <w:end w:w="80" w:type="dxa"/>
            </w:tcMar>
          </w:tcPr>
          <w:p>
            <w:pPr>
              <w:keepLines/>
              <w:spacing w:after="0"/>
            </w:pPr>
            <w:r>
              <w:rPr>
                <w:sz w:val="15"/>
              </w:rPr>
              <w:t>CR-06</w:t>
            </w:r>
          </w:p>
        </w:tc>
        <w:tc>
          <w:tcPr>
            <w:tcW w:type="dxa" w:w="2592"/>
            <w:vAlign w:val="top"/>
            <w:tcMar>
              <w:top w:w="80" w:type="dxa"/>
              <w:start w:w="80" w:type="dxa"/>
              <w:bottom w:w="80" w:type="dxa"/>
              <w:end w:w="80" w:type="dxa"/>
            </w:tcMar>
          </w:tcPr>
          <w:p>
            <w:pPr>
              <w:keepLines/>
              <w:spacing w:after="0"/>
            </w:pPr>
            <w:r>
              <w:rPr>
                <w:sz w:val="15"/>
              </w:rPr>
              <w:t>Deterministic mode</w:t>
            </w:r>
          </w:p>
        </w:tc>
        <w:tc>
          <w:tcPr>
            <w:tcW w:type="dxa" w:w="6840"/>
            <w:vAlign w:val="top"/>
            <w:tcMar>
              <w:top w:w="80" w:type="dxa"/>
              <w:start w:w="80" w:type="dxa"/>
              <w:bottom w:w="80" w:type="dxa"/>
              <w:end w:w="80" w:type="dxa"/>
            </w:tcMar>
          </w:tcPr>
          <w:p>
            <w:pPr>
              <w:keepLines/>
              <w:spacing w:after="0"/>
            </w:pPr>
            <w:r>
              <w:rPr>
                <w:sz w:val="15"/>
              </w:rPr>
              <w:t>The same inputs and registry version produce the same parser plan and reason.</w:t>
            </w:r>
          </w:p>
        </w:tc>
      </w:tr>
      <w:tr>
        <w:tc>
          <w:tcPr>
            <w:tcW w:type="dxa" w:w="936"/>
            <w:vAlign w:val="top"/>
            <w:tcMar>
              <w:top w:w="80" w:type="dxa"/>
              <w:start w:w="80" w:type="dxa"/>
              <w:bottom w:w="80" w:type="dxa"/>
              <w:end w:w="80" w:type="dxa"/>
            </w:tcMar>
          </w:tcPr>
          <w:p>
            <w:pPr>
              <w:keepLines/>
              <w:spacing w:after="0"/>
            </w:pPr>
            <w:r>
              <w:rPr>
                <w:sz w:val="15"/>
              </w:rPr>
              <w:t>CR-07</w:t>
            </w:r>
          </w:p>
        </w:tc>
        <w:tc>
          <w:tcPr>
            <w:tcW w:type="dxa" w:w="2592"/>
            <w:vAlign w:val="top"/>
            <w:tcMar>
              <w:top w:w="80" w:type="dxa"/>
              <w:start w:w="80" w:type="dxa"/>
              <w:bottom w:w="80" w:type="dxa"/>
              <w:end w:w="80" w:type="dxa"/>
            </w:tcMar>
          </w:tcPr>
          <w:p>
            <w:pPr>
              <w:keepLines/>
              <w:spacing w:after="0"/>
            </w:pPr>
            <w:r>
              <w:rPr>
                <w:sz w:val="15"/>
              </w:rPr>
              <w:t>Hybrid mode</w:t>
            </w:r>
          </w:p>
        </w:tc>
        <w:tc>
          <w:tcPr>
            <w:tcW w:type="dxa" w:w="6840"/>
            <w:vAlign w:val="top"/>
            <w:tcMar>
              <w:top w:w="80" w:type="dxa"/>
              <w:start w:w="80" w:type="dxa"/>
              <w:bottom w:w="80" w:type="dxa"/>
              <w:end w:w="80" w:type="dxa"/>
            </w:tcMar>
          </w:tcPr>
          <w:p>
            <w:pPr>
              <w:keepLines/>
              <w:spacing w:after="0"/>
            </w:pPr>
            <w:r>
              <w:rPr>
                <w:sz w:val="15"/>
              </w:rPr>
              <w:t>The LLM can choose only within a deterministic allowlist and all proposals are validated.</w:t>
            </w:r>
          </w:p>
        </w:tc>
      </w:tr>
      <w:tr>
        <w:tc>
          <w:tcPr>
            <w:tcW w:type="dxa" w:w="936"/>
            <w:vAlign w:val="top"/>
            <w:tcMar>
              <w:top w:w="80" w:type="dxa"/>
              <w:start w:w="80" w:type="dxa"/>
              <w:bottom w:w="80" w:type="dxa"/>
              <w:end w:w="80" w:type="dxa"/>
            </w:tcMar>
          </w:tcPr>
          <w:p>
            <w:pPr>
              <w:keepLines/>
              <w:spacing w:after="0"/>
            </w:pPr>
            <w:r>
              <w:rPr>
                <w:sz w:val="15"/>
              </w:rPr>
              <w:t>CR-08</w:t>
            </w:r>
          </w:p>
        </w:tc>
        <w:tc>
          <w:tcPr>
            <w:tcW w:type="dxa" w:w="2592"/>
            <w:vAlign w:val="top"/>
            <w:tcMar>
              <w:top w:w="80" w:type="dxa"/>
              <w:start w:w="80" w:type="dxa"/>
              <w:bottom w:w="80" w:type="dxa"/>
              <w:end w:w="80" w:type="dxa"/>
            </w:tcMar>
          </w:tcPr>
          <w:p>
            <w:pPr>
              <w:keepLines/>
              <w:spacing w:after="0"/>
            </w:pPr>
            <w:r>
              <w:rPr>
                <w:sz w:val="15"/>
              </w:rPr>
              <w:t>LLM-directed mode</w:t>
            </w:r>
          </w:p>
        </w:tc>
        <w:tc>
          <w:tcPr>
            <w:tcW w:type="dxa" w:w="6840"/>
            <w:vAlign w:val="top"/>
            <w:tcMar>
              <w:top w:w="80" w:type="dxa"/>
              <w:start w:w="80" w:type="dxa"/>
              <w:bottom w:w="80" w:type="dxa"/>
              <w:end w:w="80" w:type="dxa"/>
            </w:tcMar>
          </w:tcPr>
          <w:p>
            <w:pPr>
              <w:keepLines/>
              <w:spacing w:after="0"/>
            </w:pPr>
            <w:r>
              <w:rPr>
                <w:sz w:val="15"/>
              </w:rPr>
              <w:t>The LLM proposes a full plan from the live registry, but cannot invoke unregistered tools or violate hard policy.</w:t>
            </w:r>
          </w:p>
        </w:tc>
      </w:tr>
      <w:tr>
        <w:tc>
          <w:tcPr>
            <w:tcW w:type="dxa" w:w="936"/>
            <w:vAlign w:val="top"/>
            <w:tcMar>
              <w:top w:w="80" w:type="dxa"/>
              <w:start w:w="80" w:type="dxa"/>
              <w:bottom w:w="80" w:type="dxa"/>
              <w:end w:w="80" w:type="dxa"/>
            </w:tcMar>
          </w:tcPr>
          <w:p>
            <w:pPr>
              <w:keepLines/>
              <w:spacing w:after="0"/>
            </w:pPr>
            <w:r>
              <w:rPr>
                <w:sz w:val="15"/>
              </w:rPr>
              <w:t>CR-09</w:t>
            </w:r>
          </w:p>
        </w:tc>
        <w:tc>
          <w:tcPr>
            <w:tcW w:type="dxa" w:w="2592"/>
            <w:vAlign w:val="top"/>
            <w:tcMar>
              <w:top w:w="80" w:type="dxa"/>
              <w:start w:w="80" w:type="dxa"/>
              <w:bottom w:w="80" w:type="dxa"/>
              <w:end w:w="80" w:type="dxa"/>
            </w:tcMar>
          </w:tcPr>
          <w:p>
            <w:pPr>
              <w:keepLines/>
              <w:spacing w:after="0"/>
            </w:pPr>
            <w:r>
              <w:rPr>
                <w:sz w:val="15"/>
              </w:rPr>
              <w:t>Offline behaviour</w:t>
            </w:r>
          </w:p>
        </w:tc>
        <w:tc>
          <w:tcPr>
            <w:tcW w:type="dxa" w:w="6840"/>
            <w:vAlign w:val="top"/>
            <w:tcMar>
              <w:top w:w="80" w:type="dxa"/>
              <w:start w:w="80" w:type="dxa"/>
              <w:bottom w:w="80" w:type="dxa"/>
              <w:end w:w="80" w:type="dxa"/>
            </w:tcMar>
          </w:tcPr>
          <w:p>
            <w:pPr>
              <w:keepLines/>
              <w:spacing w:after="0"/>
            </w:pPr>
            <w:r>
              <w:rPr>
                <w:sz w:val="15"/>
              </w:rPr>
              <w:t>When internet access is unavailable, the last validated parser-discovered profile is used with staleness recorded.</w:t>
            </w:r>
          </w:p>
        </w:tc>
      </w:tr>
      <w:tr>
        <w:tc>
          <w:tcPr>
            <w:tcW w:type="dxa" w:w="936"/>
            <w:vAlign w:val="top"/>
            <w:tcMar>
              <w:top w:w="80" w:type="dxa"/>
              <w:start w:w="80" w:type="dxa"/>
              <w:bottom w:w="80" w:type="dxa"/>
              <w:end w:w="80" w:type="dxa"/>
            </w:tcMar>
          </w:tcPr>
          <w:p>
            <w:pPr>
              <w:keepLines/>
              <w:spacing w:after="0"/>
            </w:pPr>
            <w:r>
              <w:rPr>
                <w:sz w:val="15"/>
              </w:rPr>
              <w:t>CR-10</w:t>
            </w:r>
          </w:p>
        </w:tc>
        <w:tc>
          <w:tcPr>
            <w:tcW w:type="dxa" w:w="2592"/>
            <w:vAlign w:val="top"/>
            <w:tcMar>
              <w:top w:w="80" w:type="dxa"/>
              <w:start w:w="80" w:type="dxa"/>
              <w:bottom w:w="80" w:type="dxa"/>
              <w:end w:w="80" w:type="dxa"/>
            </w:tcMar>
          </w:tcPr>
          <w:p>
            <w:pPr>
              <w:keepLines/>
              <w:spacing w:after="0"/>
            </w:pPr>
            <w:r>
              <w:rPr>
                <w:sz w:val="15"/>
              </w:rPr>
              <w:t>Decision lineage</w:t>
            </w:r>
          </w:p>
        </w:tc>
        <w:tc>
          <w:tcPr>
            <w:tcW w:type="dxa" w:w="6840"/>
            <w:vAlign w:val="top"/>
            <w:tcMar>
              <w:top w:w="80" w:type="dxa"/>
              <w:start w:w="80" w:type="dxa"/>
              <w:bottom w:w="80" w:type="dxa"/>
              <w:end w:w="80" w:type="dxa"/>
            </w:tcMar>
          </w:tcPr>
          <w:p>
            <w:pPr>
              <w:keepLines/>
              <w:spacing w:after="0"/>
            </w:pPr>
            <w:r>
              <w:rPr>
                <w:sz w:val="15"/>
              </w:rPr>
              <w:t>Every route records registry version, rules/guidance consulted, model if any, parsers considered/invoked and rejection reasons.</w:t>
            </w:r>
          </w:p>
        </w:tc>
      </w:tr>
    </w:tbl>
    <w:p/>
    <w:p>
      <w:pPr>
        <w:pStyle w:val="Heading2"/>
      </w:pPr>
      <w:r>
        <w:t>13.3 Alignment, fusion and adjudication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1F4E78"/>
            <w:vAlign w:val="center"/>
            <w:tcMar>
              <w:top w:w="80" w:type="dxa"/>
              <w:start w:w="80" w:type="dxa"/>
              <w:bottom w:w="80" w:type="dxa"/>
              <w:end w:w="80" w:type="dxa"/>
            </w:tcMar>
          </w:tcPr>
          <w:p>
            <w:pPr>
              <w:keepLines/>
            </w:pPr>
            <w:r>
              <w:rPr>
                <w:b/>
                <w:color w:val="FFFFFF"/>
                <w:sz w:val="15"/>
              </w:rPr>
              <w:t>ID</w:t>
            </w:r>
          </w:p>
        </w:tc>
        <w:tc>
          <w:tcPr>
            <w:tcW w:type="dxa" w:w="2592"/>
            <w:shd w:fill="1F4E78"/>
            <w:vAlign w:val="center"/>
            <w:tcMar>
              <w:top w:w="80" w:type="dxa"/>
              <w:start w:w="80" w:type="dxa"/>
              <w:bottom w:w="80" w:type="dxa"/>
              <w:end w:w="80" w:type="dxa"/>
            </w:tcMar>
          </w:tcPr>
          <w:p>
            <w:pPr>
              <w:keepLines/>
            </w:pPr>
            <w:r>
              <w:rPr>
                <w:b/>
                <w:color w:val="FFFFFF"/>
                <w:sz w:val="15"/>
              </w:rPr>
              <w:t>Objective</w:t>
            </w:r>
          </w:p>
        </w:tc>
        <w:tc>
          <w:tcPr>
            <w:tcW w:type="dxa" w:w="6840"/>
            <w:shd w:fill="1F4E78"/>
            <w:vAlign w:val="center"/>
            <w:tcMar>
              <w:top w:w="80" w:type="dxa"/>
              <w:start w:w="80" w:type="dxa"/>
              <w:bottom w:w="80" w:type="dxa"/>
              <w:end w:w="80" w:type="dxa"/>
            </w:tcMar>
          </w:tcPr>
          <w:p>
            <w:pPr>
              <w:keepLines/>
            </w:pPr>
            <w:r>
              <w:rPr>
                <w:b/>
                <w:color w:val="FFFFFF"/>
                <w:sz w:val="15"/>
              </w:rPr>
              <w:t>Pass condition</w:t>
            </w:r>
          </w:p>
        </w:tc>
      </w:tr>
      <w:tr>
        <w:tc>
          <w:tcPr>
            <w:tcW w:type="dxa" w:w="936"/>
            <w:vAlign w:val="top"/>
            <w:tcMar>
              <w:top w:w="80" w:type="dxa"/>
              <w:start w:w="80" w:type="dxa"/>
              <w:bottom w:w="80" w:type="dxa"/>
              <w:end w:w="80" w:type="dxa"/>
            </w:tcMar>
          </w:tcPr>
          <w:p>
            <w:pPr>
              <w:keepLines/>
              <w:spacing w:after="0"/>
            </w:pPr>
            <w:r>
              <w:rPr>
                <w:sz w:val="15"/>
              </w:rPr>
              <w:t>FA-01</w:t>
            </w:r>
          </w:p>
        </w:tc>
        <w:tc>
          <w:tcPr>
            <w:tcW w:type="dxa" w:w="2592"/>
            <w:vAlign w:val="top"/>
            <w:tcMar>
              <w:top w:w="80" w:type="dxa"/>
              <w:start w:w="80" w:type="dxa"/>
              <w:bottom w:w="80" w:type="dxa"/>
              <w:end w:w="80" w:type="dxa"/>
            </w:tcMar>
          </w:tcPr>
          <w:p>
            <w:pPr>
              <w:keepLines/>
              <w:spacing w:after="0"/>
            </w:pPr>
            <w:r>
              <w:rPr>
                <w:sz w:val="15"/>
              </w:rPr>
              <w:t>Complementary preservation</w:t>
            </w:r>
          </w:p>
        </w:tc>
        <w:tc>
          <w:tcPr>
            <w:tcW w:type="dxa" w:w="6840"/>
            <w:vAlign w:val="top"/>
            <w:tcMar>
              <w:top w:w="80" w:type="dxa"/>
              <w:start w:w="80" w:type="dxa"/>
              <w:bottom w:w="80" w:type="dxa"/>
              <w:end w:w="80" w:type="dxa"/>
            </w:tcMar>
          </w:tcPr>
          <w:p>
            <w:pPr>
              <w:keepLines/>
              <w:spacing w:after="0"/>
            </w:pPr>
            <w:r>
              <w:rPr>
                <w:sz w:val="15"/>
              </w:rPr>
              <w:t>Docling structural facts and PyMuPDF-native links/labels coexist in one canonical package without either being lost.</w:t>
            </w:r>
          </w:p>
        </w:tc>
      </w:tr>
      <w:tr>
        <w:tc>
          <w:tcPr>
            <w:tcW w:type="dxa" w:w="936"/>
            <w:vAlign w:val="top"/>
            <w:tcMar>
              <w:top w:w="80" w:type="dxa"/>
              <w:start w:w="80" w:type="dxa"/>
              <w:bottom w:w="80" w:type="dxa"/>
              <w:end w:w="80" w:type="dxa"/>
            </w:tcMar>
          </w:tcPr>
          <w:p>
            <w:pPr>
              <w:keepLines/>
              <w:spacing w:after="0"/>
            </w:pPr>
            <w:r>
              <w:rPr>
                <w:sz w:val="15"/>
              </w:rPr>
              <w:t>FA-02</w:t>
            </w:r>
          </w:p>
        </w:tc>
        <w:tc>
          <w:tcPr>
            <w:tcW w:type="dxa" w:w="2592"/>
            <w:vAlign w:val="top"/>
            <w:tcMar>
              <w:top w:w="80" w:type="dxa"/>
              <w:start w:w="80" w:type="dxa"/>
              <w:bottom w:w="80" w:type="dxa"/>
              <w:end w:w="80" w:type="dxa"/>
            </w:tcMar>
          </w:tcPr>
          <w:p>
            <w:pPr>
              <w:keepLines/>
              <w:spacing w:after="0"/>
            </w:pPr>
            <w:r>
              <w:rPr>
                <w:sz w:val="15"/>
              </w:rPr>
              <w:t>Multi-signal alignment</w:t>
            </w:r>
          </w:p>
        </w:tc>
        <w:tc>
          <w:tcPr>
            <w:tcW w:type="dxa" w:w="6840"/>
            <w:vAlign w:val="top"/>
            <w:tcMar>
              <w:top w:w="80" w:type="dxa"/>
              <w:start w:w="80" w:type="dxa"/>
              <w:bottom w:w="80" w:type="dxa"/>
              <w:end w:w="80" w:type="dxa"/>
            </w:tcMar>
          </w:tcPr>
          <w:p>
            <w:pPr>
              <w:keepLines/>
              <w:spacing w:after="0"/>
            </w:pPr>
            <w:r>
              <w:rPr>
                <w:sz w:val="15"/>
              </w:rPr>
              <w:t>Split/merge and OCR-variation cases align using selectors, geometry, text and structural context rather than exact text alone.</w:t>
            </w:r>
          </w:p>
        </w:tc>
      </w:tr>
      <w:tr>
        <w:tc>
          <w:tcPr>
            <w:tcW w:type="dxa" w:w="936"/>
            <w:vAlign w:val="top"/>
            <w:tcMar>
              <w:top w:w="80" w:type="dxa"/>
              <w:start w:w="80" w:type="dxa"/>
              <w:bottom w:w="80" w:type="dxa"/>
              <w:end w:w="80" w:type="dxa"/>
            </w:tcMar>
          </w:tcPr>
          <w:p>
            <w:pPr>
              <w:keepLines/>
              <w:spacing w:after="0"/>
            </w:pPr>
            <w:r>
              <w:rPr>
                <w:sz w:val="15"/>
              </w:rPr>
              <w:t>FA-03</w:t>
            </w:r>
          </w:p>
        </w:tc>
        <w:tc>
          <w:tcPr>
            <w:tcW w:type="dxa" w:w="2592"/>
            <w:vAlign w:val="top"/>
            <w:tcMar>
              <w:top w:w="80" w:type="dxa"/>
              <w:start w:w="80" w:type="dxa"/>
              <w:bottom w:w="80" w:type="dxa"/>
              <w:end w:w="80" w:type="dxa"/>
            </w:tcMar>
          </w:tcPr>
          <w:p>
            <w:pPr>
              <w:keepLines/>
              <w:spacing w:after="0"/>
            </w:pPr>
            <w:r>
              <w:rPr>
                <w:sz w:val="15"/>
              </w:rPr>
              <w:t>One-to-many mapping</w:t>
            </w:r>
          </w:p>
        </w:tc>
        <w:tc>
          <w:tcPr>
            <w:tcW w:type="dxa" w:w="6840"/>
            <w:vAlign w:val="top"/>
            <w:tcMar>
              <w:top w:w="80" w:type="dxa"/>
              <w:start w:w="80" w:type="dxa"/>
              <w:bottom w:w="80" w:type="dxa"/>
              <w:end w:w="80" w:type="dxa"/>
            </w:tcMar>
          </w:tcPr>
          <w:p>
            <w:pPr>
              <w:keepLines/>
              <w:spacing w:after="0"/>
            </w:pPr>
            <w:r>
              <w:rPr>
                <w:sz w:val="15"/>
              </w:rPr>
              <w:t>A paragraph split differently by two parsers is represented without duplicate canonical text or false one-to-one identity.</w:t>
            </w:r>
          </w:p>
        </w:tc>
      </w:tr>
      <w:tr>
        <w:tc>
          <w:tcPr>
            <w:tcW w:type="dxa" w:w="936"/>
            <w:vAlign w:val="top"/>
            <w:tcMar>
              <w:top w:w="80" w:type="dxa"/>
              <w:start w:w="80" w:type="dxa"/>
              <w:bottom w:w="80" w:type="dxa"/>
              <w:end w:w="80" w:type="dxa"/>
            </w:tcMar>
          </w:tcPr>
          <w:p>
            <w:pPr>
              <w:keepLines/>
              <w:spacing w:after="0"/>
            </w:pPr>
            <w:r>
              <w:rPr>
                <w:sz w:val="15"/>
              </w:rPr>
              <w:t>FA-04</w:t>
            </w:r>
          </w:p>
        </w:tc>
        <w:tc>
          <w:tcPr>
            <w:tcW w:type="dxa" w:w="2592"/>
            <w:vAlign w:val="top"/>
            <w:tcMar>
              <w:top w:w="80" w:type="dxa"/>
              <w:start w:w="80" w:type="dxa"/>
              <w:bottom w:w="80" w:type="dxa"/>
              <w:end w:w="80" w:type="dxa"/>
            </w:tcMar>
          </w:tcPr>
          <w:p>
            <w:pPr>
              <w:keepLines/>
              <w:spacing w:after="0"/>
            </w:pPr>
            <w:r>
              <w:rPr>
                <w:sz w:val="15"/>
              </w:rPr>
              <w:t>Reading-order protection</w:t>
            </w:r>
          </w:p>
        </w:tc>
        <w:tc>
          <w:tcPr>
            <w:tcW w:type="dxa" w:w="6840"/>
            <w:vAlign w:val="top"/>
            <w:tcMar>
              <w:top w:w="80" w:type="dxa"/>
              <w:start w:w="80" w:type="dxa"/>
              <w:bottom w:w="80" w:type="dxa"/>
              <w:end w:w="80" w:type="dxa"/>
            </w:tcMar>
          </w:tcPr>
          <w:p>
            <w:pPr>
              <w:keepLines/>
              <w:spacing w:after="0"/>
            </w:pPr>
            <w:r>
              <w:rPr>
                <w:sz w:val="15"/>
              </w:rPr>
              <w:t>Fusion does not replace a high-quality parser reading order with a naive top-left sort.</w:t>
            </w:r>
          </w:p>
        </w:tc>
      </w:tr>
      <w:tr>
        <w:tc>
          <w:tcPr>
            <w:tcW w:type="dxa" w:w="936"/>
            <w:vAlign w:val="top"/>
            <w:tcMar>
              <w:top w:w="80" w:type="dxa"/>
              <w:start w:w="80" w:type="dxa"/>
              <w:bottom w:w="80" w:type="dxa"/>
              <w:end w:w="80" w:type="dxa"/>
            </w:tcMar>
          </w:tcPr>
          <w:p>
            <w:pPr>
              <w:keepLines/>
              <w:spacing w:after="0"/>
            </w:pPr>
            <w:r>
              <w:rPr>
                <w:sz w:val="15"/>
              </w:rPr>
              <w:t>FA-05</w:t>
            </w:r>
          </w:p>
        </w:tc>
        <w:tc>
          <w:tcPr>
            <w:tcW w:type="dxa" w:w="2592"/>
            <w:vAlign w:val="top"/>
            <w:tcMar>
              <w:top w:w="80" w:type="dxa"/>
              <w:start w:w="80" w:type="dxa"/>
              <w:bottom w:w="80" w:type="dxa"/>
              <w:end w:w="80" w:type="dxa"/>
            </w:tcMar>
          </w:tcPr>
          <w:p>
            <w:pPr>
              <w:keepLines/>
              <w:spacing w:after="0"/>
            </w:pPr>
            <w:r>
              <w:rPr>
                <w:sz w:val="15"/>
              </w:rPr>
              <w:t>Conflict visibility</w:t>
            </w:r>
          </w:p>
        </w:tc>
        <w:tc>
          <w:tcPr>
            <w:tcW w:type="dxa" w:w="6840"/>
            <w:vAlign w:val="top"/>
            <w:tcMar>
              <w:top w:w="80" w:type="dxa"/>
              <w:start w:w="80" w:type="dxa"/>
              <w:bottom w:w="80" w:type="dxa"/>
              <w:end w:w="80" w:type="dxa"/>
            </w:tcMar>
          </w:tcPr>
          <w:p>
            <w:pPr>
              <w:keepLines/>
              <w:spacing w:after="0"/>
            </w:pPr>
            <w:r>
              <w:rPr>
                <w:sz w:val="15"/>
              </w:rPr>
              <w:t>Competing values remain auditable after one value is selected.</w:t>
            </w:r>
          </w:p>
        </w:tc>
      </w:tr>
      <w:tr>
        <w:tc>
          <w:tcPr>
            <w:tcW w:type="dxa" w:w="936"/>
            <w:vAlign w:val="top"/>
            <w:tcMar>
              <w:top w:w="80" w:type="dxa"/>
              <w:start w:w="80" w:type="dxa"/>
              <w:bottom w:w="80" w:type="dxa"/>
              <w:end w:w="80" w:type="dxa"/>
            </w:tcMar>
          </w:tcPr>
          <w:p>
            <w:pPr>
              <w:keepLines/>
              <w:spacing w:after="0"/>
            </w:pPr>
            <w:r>
              <w:rPr>
                <w:sz w:val="15"/>
              </w:rPr>
              <w:t>FA-06</w:t>
            </w:r>
          </w:p>
        </w:tc>
        <w:tc>
          <w:tcPr>
            <w:tcW w:type="dxa" w:w="2592"/>
            <w:vAlign w:val="top"/>
            <w:tcMar>
              <w:top w:w="80" w:type="dxa"/>
              <w:start w:w="80" w:type="dxa"/>
              <w:bottom w:w="80" w:type="dxa"/>
              <w:end w:w="80" w:type="dxa"/>
            </w:tcMar>
          </w:tcPr>
          <w:p>
            <w:pPr>
              <w:keepLines/>
              <w:spacing w:after="0"/>
            </w:pPr>
            <w:r>
              <w:rPr>
                <w:sz w:val="15"/>
              </w:rPr>
              <w:t>Bounded escalation</w:t>
            </w:r>
          </w:p>
        </w:tc>
        <w:tc>
          <w:tcPr>
            <w:tcW w:type="dxa" w:w="6840"/>
            <w:vAlign w:val="top"/>
            <w:tcMar>
              <w:top w:w="80" w:type="dxa"/>
              <w:start w:w="80" w:type="dxa"/>
              <w:bottom w:w="80" w:type="dxa"/>
              <w:end w:w="80" w:type="dxa"/>
            </w:tcMar>
          </w:tcPr>
          <w:p>
            <w:pPr>
              <w:keepLines/>
              <w:spacing w:after="0"/>
            </w:pPr>
            <w:r>
              <w:rPr>
                <w:sz w:val="15"/>
              </w:rPr>
              <w:t>A second parser runs only when a capability requirement, low quality or conflict trigger justifies it.</w:t>
            </w:r>
          </w:p>
        </w:tc>
      </w:tr>
      <w:tr>
        <w:tc>
          <w:tcPr>
            <w:tcW w:type="dxa" w:w="936"/>
            <w:vAlign w:val="top"/>
            <w:tcMar>
              <w:top w:w="80" w:type="dxa"/>
              <w:start w:w="80" w:type="dxa"/>
              <w:bottom w:w="80" w:type="dxa"/>
              <w:end w:w="80" w:type="dxa"/>
            </w:tcMar>
          </w:tcPr>
          <w:p>
            <w:pPr>
              <w:keepLines/>
              <w:spacing w:after="0"/>
            </w:pPr>
            <w:r>
              <w:rPr>
                <w:sz w:val="15"/>
              </w:rPr>
              <w:t>FA-07</w:t>
            </w:r>
          </w:p>
        </w:tc>
        <w:tc>
          <w:tcPr>
            <w:tcW w:type="dxa" w:w="2592"/>
            <w:vAlign w:val="top"/>
            <w:tcMar>
              <w:top w:w="80" w:type="dxa"/>
              <w:start w:w="80" w:type="dxa"/>
              <w:bottom w:w="80" w:type="dxa"/>
              <w:end w:w="80" w:type="dxa"/>
            </w:tcMar>
          </w:tcPr>
          <w:p>
            <w:pPr>
              <w:keepLines/>
              <w:spacing w:after="0"/>
            </w:pPr>
            <w:r>
              <w:rPr>
                <w:sz w:val="15"/>
              </w:rPr>
              <w:t>Deterministic adjudication</w:t>
            </w:r>
          </w:p>
        </w:tc>
        <w:tc>
          <w:tcPr>
            <w:tcW w:type="dxa" w:w="6840"/>
            <w:vAlign w:val="top"/>
            <w:tcMar>
              <w:top w:w="80" w:type="dxa"/>
              <w:start w:w="80" w:type="dxa"/>
              <w:bottom w:w="80" w:type="dxa"/>
              <w:end w:w="80" w:type="dxa"/>
            </w:tcMar>
          </w:tcPr>
          <w:p>
            <w:pPr>
              <w:keepLines/>
              <w:spacing w:after="0"/>
            </w:pPr>
            <w:r>
              <w:rPr>
                <w:sz w:val="15"/>
              </w:rPr>
              <w:t>Rule-resolvable conflicts are resolved reproducibly.</w:t>
            </w:r>
          </w:p>
        </w:tc>
      </w:tr>
      <w:tr>
        <w:tc>
          <w:tcPr>
            <w:tcW w:type="dxa" w:w="936"/>
            <w:vAlign w:val="top"/>
            <w:tcMar>
              <w:top w:w="80" w:type="dxa"/>
              <w:start w:w="80" w:type="dxa"/>
              <w:bottom w:w="80" w:type="dxa"/>
              <w:end w:w="80" w:type="dxa"/>
            </w:tcMar>
          </w:tcPr>
          <w:p>
            <w:pPr>
              <w:keepLines/>
              <w:spacing w:after="0"/>
            </w:pPr>
            <w:r>
              <w:rPr>
                <w:sz w:val="15"/>
              </w:rPr>
              <w:t>FA-08</w:t>
            </w:r>
          </w:p>
        </w:tc>
        <w:tc>
          <w:tcPr>
            <w:tcW w:type="dxa" w:w="2592"/>
            <w:vAlign w:val="top"/>
            <w:tcMar>
              <w:top w:w="80" w:type="dxa"/>
              <w:start w:w="80" w:type="dxa"/>
              <w:bottom w:w="80" w:type="dxa"/>
              <w:end w:w="80" w:type="dxa"/>
            </w:tcMar>
          </w:tcPr>
          <w:p>
            <w:pPr>
              <w:keepLines/>
              <w:spacing w:after="0"/>
            </w:pPr>
            <w:r>
              <w:rPr>
                <w:sz w:val="15"/>
              </w:rPr>
              <w:t>Hybrid adjudication</w:t>
            </w:r>
          </w:p>
        </w:tc>
        <w:tc>
          <w:tcPr>
            <w:tcW w:type="dxa" w:w="6840"/>
            <w:vAlign w:val="top"/>
            <w:tcMar>
              <w:top w:w="80" w:type="dxa"/>
              <w:start w:w="80" w:type="dxa"/>
              <w:bottom w:w="80" w:type="dxa"/>
              <w:end w:w="80" w:type="dxa"/>
            </w:tcMar>
          </w:tcPr>
          <w:p>
            <w:pPr>
              <w:keepLines/>
              <w:spacing w:after="0"/>
            </w:pPr>
            <w:r>
              <w:rPr>
                <w:sz w:val="15"/>
              </w:rPr>
              <w:t>Only bounded ambiguous conflicts are sent to an LLM and fabricated anchors are rejected.</w:t>
            </w:r>
          </w:p>
        </w:tc>
      </w:tr>
      <w:tr>
        <w:tc>
          <w:tcPr>
            <w:tcW w:type="dxa" w:w="936"/>
            <w:vAlign w:val="top"/>
            <w:tcMar>
              <w:top w:w="80" w:type="dxa"/>
              <w:start w:w="80" w:type="dxa"/>
              <w:bottom w:w="80" w:type="dxa"/>
              <w:end w:w="80" w:type="dxa"/>
            </w:tcMar>
          </w:tcPr>
          <w:p>
            <w:pPr>
              <w:keepLines/>
              <w:spacing w:after="0"/>
            </w:pPr>
            <w:r>
              <w:rPr>
                <w:sz w:val="15"/>
              </w:rPr>
              <w:t>FA-09</w:t>
            </w:r>
          </w:p>
        </w:tc>
        <w:tc>
          <w:tcPr>
            <w:tcW w:type="dxa" w:w="2592"/>
            <w:vAlign w:val="top"/>
            <w:tcMar>
              <w:top w:w="80" w:type="dxa"/>
              <w:start w:w="80" w:type="dxa"/>
              <w:bottom w:w="80" w:type="dxa"/>
              <w:end w:w="80" w:type="dxa"/>
            </w:tcMar>
          </w:tcPr>
          <w:p>
            <w:pPr>
              <w:keepLines/>
              <w:spacing w:after="0"/>
            </w:pPr>
            <w:r>
              <w:rPr>
                <w:sz w:val="15"/>
              </w:rPr>
              <w:t>LLM-directed adjudication</w:t>
            </w:r>
          </w:p>
        </w:tc>
        <w:tc>
          <w:tcPr>
            <w:tcW w:type="dxa" w:w="6840"/>
            <w:vAlign w:val="top"/>
            <w:tcMar>
              <w:top w:w="80" w:type="dxa"/>
              <w:start w:w="80" w:type="dxa"/>
              <w:bottom w:w="80" w:type="dxa"/>
              <w:end w:w="80" w:type="dxa"/>
            </w:tcMar>
          </w:tcPr>
          <w:p>
            <w:pPr>
              <w:keepLines/>
              <w:spacing w:after="0"/>
            </w:pPr>
            <w:r>
              <w:rPr>
                <w:sz w:val="15"/>
              </w:rPr>
              <w:t>The model may propose selected observations and further probes, but deterministic schema, policy and anchor validation remain authoritative.</w:t>
            </w:r>
          </w:p>
        </w:tc>
      </w:tr>
      <w:tr>
        <w:tc>
          <w:tcPr>
            <w:tcW w:type="dxa" w:w="936"/>
            <w:vAlign w:val="top"/>
            <w:tcMar>
              <w:top w:w="80" w:type="dxa"/>
              <w:start w:w="80" w:type="dxa"/>
              <w:bottom w:w="80" w:type="dxa"/>
              <w:end w:w="80" w:type="dxa"/>
            </w:tcMar>
          </w:tcPr>
          <w:p>
            <w:pPr>
              <w:keepLines/>
              <w:spacing w:after="0"/>
            </w:pPr>
            <w:r>
              <w:rPr>
                <w:sz w:val="15"/>
              </w:rPr>
              <w:t>FA-10</w:t>
            </w:r>
          </w:p>
        </w:tc>
        <w:tc>
          <w:tcPr>
            <w:tcW w:type="dxa" w:w="2592"/>
            <w:vAlign w:val="top"/>
            <w:tcMar>
              <w:top w:w="80" w:type="dxa"/>
              <w:start w:w="80" w:type="dxa"/>
              <w:bottom w:w="80" w:type="dxa"/>
              <w:end w:w="80" w:type="dxa"/>
            </w:tcMar>
          </w:tcPr>
          <w:p>
            <w:pPr>
              <w:keepLines/>
              <w:spacing w:after="0"/>
            </w:pPr>
            <w:r>
              <w:rPr>
                <w:sz w:val="15"/>
              </w:rPr>
              <w:t>Unresolved safety</w:t>
            </w:r>
          </w:p>
        </w:tc>
        <w:tc>
          <w:tcPr>
            <w:tcW w:type="dxa" w:w="6840"/>
            <w:vAlign w:val="top"/>
            <w:tcMar>
              <w:top w:w="80" w:type="dxa"/>
              <w:start w:w="80" w:type="dxa"/>
              <w:bottom w:w="80" w:type="dxa"/>
              <w:end w:w="80" w:type="dxa"/>
            </w:tcMar>
          </w:tcPr>
          <w:p>
            <w:pPr>
              <w:keepLines/>
              <w:spacing w:after="0"/>
            </w:pPr>
            <w:r>
              <w:rPr>
                <w:sz w:val="15"/>
              </w:rPr>
              <w:t>Unsupported or conflicting facts may remain unresolved; they are never silently omitted or marked gold.</w:t>
            </w:r>
          </w:p>
        </w:tc>
      </w:tr>
    </w:tbl>
    <w:p/>
    <w:p>
      <w:pPr>
        <w:pStyle w:val="Heading2"/>
      </w:pPr>
      <w:r>
        <w:t>13.4 Non-duplication, caching and retention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1F4E78"/>
            <w:vAlign w:val="center"/>
            <w:tcMar>
              <w:top w:w="80" w:type="dxa"/>
              <w:start w:w="80" w:type="dxa"/>
              <w:bottom w:w="80" w:type="dxa"/>
              <w:end w:w="80" w:type="dxa"/>
            </w:tcMar>
          </w:tcPr>
          <w:p>
            <w:pPr>
              <w:keepLines/>
            </w:pPr>
            <w:r>
              <w:rPr>
                <w:b/>
                <w:color w:val="FFFFFF"/>
                <w:sz w:val="15"/>
              </w:rPr>
              <w:t>ID</w:t>
            </w:r>
          </w:p>
        </w:tc>
        <w:tc>
          <w:tcPr>
            <w:tcW w:type="dxa" w:w="2592"/>
            <w:shd w:fill="1F4E78"/>
            <w:vAlign w:val="center"/>
            <w:tcMar>
              <w:top w:w="80" w:type="dxa"/>
              <w:start w:w="80" w:type="dxa"/>
              <w:bottom w:w="80" w:type="dxa"/>
              <w:end w:w="80" w:type="dxa"/>
            </w:tcMar>
          </w:tcPr>
          <w:p>
            <w:pPr>
              <w:keepLines/>
            </w:pPr>
            <w:r>
              <w:rPr>
                <w:b/>
                <w:color w:val="FFFFFF"/>
                <w:sz w:val="15"/>
              </w:rPr>
              <w:t>Objective</w:t>
            </w:r>
          </w:p>
        </w:tc>
        <w:tc>
          <w:tcPr>
            <w:tcW w:type="dxa" w:w="6840"/>
            <w:shd w:fill="1F4E78"/>
            <w:vAlign w:val="center"/>
            <w:tcMar>
              <w:top w:w="80" w:type="dxa"/>
              <w:start w:w="80" w:type="dxa"/>
              <w:bottom w:w="80" w:type="dxa"/>
              <w:end w:w="80" w:type="dxa"/>
            </w:tcMar>
          </w:tcPr>
          <w:p>
            <w:pPr>
              <w:keepLines/>
            </w:pPr>
            <w:r>
              <w:rPr>
                <w:b/>
                <w:color w:val="FFFFFF"/>
                <w:sz w:val="15"/>
              </w:rPr>
              <w:t>Pass condition</w:t>
            </w:r>
          </w:p>
        </w:tc>
      </w:tr>
      <w:tr>
        <w:tc>
          <w:tcPr>
            <w:tcW w:type="dxa" w:w="936"/>
            <w:vAlign w:val="top"/>
            <w:tcMar>
              <w:top w:w="80" w:type="dxa"/>
              <w:start w:w="80" w:type="dxa"/>
              <w:bottom w:w="80" w:type="dxa"/>
              <w:end w:w="80" w:type="dxa"/>
            </w:tcMar>
          </w:tcPr>
          <w:p>
            <w:pPr>
              <w:keepLines/>
              <w:spacing w:after="0"/>
            </w:pPr>
            <w:r>
              <w:rPr>
                <w:sz w:val="15"/>
              </w:rPr>
              <w:t>NR-01</w:t>
            </w:r>
          </w:p>
        </w:tc>
        <w:tc>
          <w:tcPr>
            <w:tcW w:type="dxa" w:w="2592"/>
            <w:vAlign w:val="top"/>
            <w:tcMar>
              <w:top w:w="80" w:type="dxa"/>
              <w:start w:w="80" w:type="dxa"/>
              <w:bottom w:w="80" w:type="dxa"/>
              <w:end w:w="80" w:type="dxa"/>
            </w:tcMar>
          </w:tcPr>
          <w:p>
            <w:pPr>
              <w:keepLines/>
              <w:spacing w:after="0"/>
            </w:pPr>
            <w:r>
              <w:rPr>
                <w:sz w:val="15"/>
              </w:rPr>
              <w:t>Canonical text once</w:t>
            </w:r>
          </w:p>
        </w:tc>
        <w:tc>
          <w:tcPr>
            <w:tcW w:type="dxa" w:w="6840"/>
            <w:vAlign w:val="top"/>
            <w:tcMar>
              <w:top w:w="80" w:type="dxa"/>
              <w:start w:w="80" w:type="dxa"/>
              <w:bottom w:w="80" w:type="dxa"/>
              <w:end w:w="80" w:type="dxa"/>
            </w:tcMar>
          </w:tcPr>
          <w:p>
            <w:pPr>
              <w:keepLines/>
              <w:spacing w:after="0"/>
            </w:pPr>
            <w:r>
              <w:rPr>
                <w:sz w:val="15"/>
              </w:rPr>
              <w:t>No durable page evidence, division, view, provenance, KU or QA record stores a second authoritative copy of canonical text.</w:t>
            </w:r>
          </w:p>
        </w:tc>
      </w:tr>
      <w:tr>
        <w:tc>
          <w:tcPr>
            <w:tcW w:type="dxa" w:w="936"/>
            <w:vAlign w:val="top"/>
            <w:tcMar>
              <w:top w:w="80" w:type="dxa"/>
              <w:start w:w="80" w:type="dxa"/>
              <w:bottom w:w="80" w:type="dxa"/>
              <w:end w:w="80" w:type="dxa"/>
            </w:tcMar>
          </w:tcPr>
          <w:p>
            <w:pPr>
              <w:keepLines/>
              <w:spacing w:after="0"/>
            </w:pPr>
            <w:r>
              <w:rPr>
                <w:sz w:val="15"/>
              </w:rPr>
              <w:t>NR-02</w:t>
            </w:r>
          </w:p>
        </w:tc>
        <w:tc>
          <w:tcPr>
            <w:tcW w:type="dxa" w:w="2592"/>
            <w:vAlign w:val="top"/>
            <w:tcMar>
              <w:top w:w="80" w:type="dxa"/>
              <w:start w:w="80" w:type="dxa"/>
              <w:bottom w:w="80" w:type="dxa"/>
              <w:end w:w="80" w:type="dxa"/>
            </w:tcMar>
          </w:tcPr>
          <w:p>
            <w:pPr>
              <w:keepLines/>
              <w:spacing w:after="0"/>
            </w:pPr>
            <w:r>
              <w:rPr>
                <w:sz w:val="15"/>
              </w:rPr>
              <w:t>Extraction cache reuse</w:t>
            </w:r>
          </w:p>
        </w:tc>
        <w:tc>
          <w:tcPr>
            <w:tcW w:type="dxa" w:w="6840"/>
            <w:vAlign w:val="top"/>
            <w:tcMar>
              <w:top w:w="80" w:type="dxa"/>
              <w:start w:w="80" w:type="dxa"/>
              <w:bottom w:w="80" w:type="dxa"/>
              <w:end w:w="80" w:type="dxa"/>
            </w:tcMar>
          </w:tcPr>
          <w:p>
            <w:pPr>
              <w:keepLines/>
              <w:spacing w:after="0"/>
            </w:pPr>
            <w:r>
              <w:rPr>
                <w:sz w:val="15"/>
              </w:rPr>
              <w:t>Same source/parser/version/model/config/scope returns the existing extraction artifact without parser execution.</w:t>
            </w:r>
          </w:p>
        </w:tc>
      </w:tr>
      <w:tr>
        <w:tc>
          <w:tcPr>
            <w:tcW w:type="dxa" w:w="936"/>
            <w:vAlign w:val="top"/>
            <w:tcMar>
              <w:top w:w="80" w:type="dxa"/>
              <w:start w:w="80" w:type="dxa"/>
              <w:bottom w:w="80" w:type="dxa"/>
              <w:end w:w="80" w:type="dxa"/>
            </w:tcMar>
          </w:tcPr>
          <w:p>
            <w:pPr>
              <w:keepLines/>
              <w:spacing w:after="0"/>
            </w:pPr>
            <w:r>
              <w:rPr>
                <w:sz w:val="15"/>
              </w:rPr>
              <w:t>NR-03</w:t>
            </w:r>
          </w:p>
        </w:tc>
        <w:tc>
          <w:tcPr>
            <w:tcW w:type="dxa" w:w="2592"/>
            <w:vAlign w:val="top"/>
            <w:tcMar>
              <w:top w:w="80" w:type="dxa"/>
              <w:start w:w="80" w:type="dxa"/>
              <w:bottom w:w="80" w:type="dxa"/>
              <w:end w:w="80" w:type="dxa"/>
            </w:tcMar>
          </w:tcPr>
          <w:p>
            <w:pPr>
              <w:keepLines/>
              <w:spacing w:after="0"/>
            </w:pPr>
            <w:r>
              <w:rPr>
                <w:sz w:val="15"/>
              </w:rPr>
              <w:t>Alias reuse</w:t>
            </w:r>
          </w:p>
        </w:tc>
        <w:tc>
          <w:tcPr>
            <w:tcW w:type="dxa" w:w="6840"/>
            <w:vAlign w:val="top"/>
            <w:tcMar>
              <w:top w:w="80" w:type="dxa"/>
              <w:start w:w="80" w:type="dxa"/>
              <w:bottom w:w="80" w:type="dxa"/>
              <w:end w:w="80" w:type="dxa"/>
            </w:tcMar>
          </w:tcPr>
          <w:p>
            <w:pPr>
              <w:keepLines/>
              <w:spacing w:after="0"/>
            </w:pPr>
            <w:r>
              <w:rPr>
                <w:sz w:val="15"/>
              </w:rPr>
              <w:t>Same bytes in different bundles retain logical occurrences while sharing Blob and compatible extraction artifacts.</w:t>
            </w:r>
          </w:p>
        </w:tc>
      </w:tr>
      <w:tr>
        <w:tc>
          <w:tcPr>
            <w:tcW w:type="dxa" w:w="936"/>
            <w:vAlign w:val="top"/>
            <w:tcMar>
              <w:top w:w="80" w:type="dxa"/>
              <w:start w:w="80" w:type="dxa"/>
              <w:bottom w:w="80" w:type="dxa"/>
              <w:end w:w="80" w:type="dxa"/>
            </w:tcMar>
          </w:tcPr>
          <w:p>
            <w:pPr>
              <w:keepLines/>
              <w:spacing w:after="0"/>
            </w:pPr>
            <w:r>
              <w:rPr>
                <w:sz w:val="15"/>
              </w:rPr>
              <w:t>NR-04</w:t>
            </w:r>
          </w:p>
        </w:tc>
        <w:tc>
          <w:tcPr>
            <w:tcW w:type="dxa" w:w="2592"/>
            <w:vAlign w:val="top"/>
            <w:tcMar>
              <w:top w:w="80" w:type="dxa"/>
              <w:start w:w="80" w:type="dxa"/>
              <w:bottom w:w="80" w:type="dxa"/>
              <w:end w:w="80" w:type="dxa"/>
            </w:tcMar>
          </w:tcPr>
          <w:p>
            <w:pPr>
              <w:keepLines/>
              <w:spacing w:after="0"/>
            </w:pPr>
            <w:r>
              <w:rPr>
                <w:sz w:val="15"/>
              </w:rPr>
              <w:t>View references only</w:t>
            </w:r>
          </w:p>
        </w:tc>
        <w:tc>
          <w:tcPr>
            <w:tcW w:type="dxa" w:w="6840"/>
            <w:vAlign w:val="top"/>
            <w:tcMar>
              <w:top w:w="80" w:type="dxa"/>
              <w:start w:w="80" w:type="dxa"/>
              <w:bottom w:w="80" w:type="dxa"/>
              <w:end w:w="80" w:type="dxa"/>
            </w:tcMar>
          </w:tcPr>
          <w:p>
            <w:pPr>
              <w:keepLines/>
              <w:spacing w:after="0"/>
            </w:pPr>
            <w:r>
              <w:rPr>
                <w:sz w:val="15"/>
              </w:rPr>
              <w:t>Views contain IDs and ranges, not copied source text.</w:t>
            </w:r>
          </w:p>
        </w:tc>
      </w:tr>
      <w:tr>
        <w:tc>
          <w:tcPr>
            <w:tcW w:type="dxa" w:w="936"/>
            <w:vAlign w:val="top"/>
            <w:tcMar>
              <w:top w:w="80" w:type="dxa"/>
              <w:start w:w="80" w:type="dxa"/>
              <w:bottom w:w="80" w:type="dxa"/>
              <w:end w:w="80" w:type="dxa"/>
            </w:tcMar>
          </w:tcPr>
          <w:p>
            <w:pPr>
              <w:keepLines/>
              <w:spacing w:after="0"/>
            </w:pPr>
            <w:r>
              <w:rPr>
                <w:sz w:val="15"/>
              </w:rPr>
              <w:t>NR-05</w:t>
            </w:r>
          </w:p>
        </w:tc>
        <w:tc>
          <w:tcPr>
            <w:tcW w:type="dxa" w:w="2592"/>
            <w:vAlign w:val="top"/>
            <w:tcMar>
              <w:top w:w="80" w:type="dxa"/>
              <w:start w:w="80" w:type="dxa"/>
              <w:bottom w:w="80" w:type="dxa"/>
              <w:end w:w="80" w:type="dxa"/>
            </w:tcMar>
          </w:tcPr>
          <w:p>
            <w:pPr>
              <w:keepLines/>
              <w:spacing w:after="0"/>
            </w:pPr>
            <w:r>
              <w:rPr>
                <w:sz w:val="15"/>
              </w:rPr>
              <w:t>Native artifact once</w:t>
            </w:r>
          </w:p>
        </w:tc>
        <w:tc>
          <w:tcPr>
            <w:tcW w:type="dxa" w:w="6840"/>
            <w:vAlign w:val="top"/>
            <w:tcMar>
              <w:top w:w="80" w:type="dxa"/>
              <w:start w:w="80" w:type="dxa"/>
              <w:bottom w:w="80" w:type="dxa"/>
              <w:end w:w="80" w:type="dxa"/>
            </w:tcMar>
          </w:tcPr>
          <w:p>
            <w:pPr>
              <w:keepLines/>
              <w:spacing w:after="0"/>
            </w:pPr>
            <w:r>
              <w:rPr>
                <w:sz w:val="15"/>
              </w:rPr>
              <w:t>One raw parser artifact is referenced across runs and consumers; it is not duplicated into every run directory.</w:t>
            </w:r>
          </w:p>
        </w:tc>
      </w:tr>
      <w:tr>
        <w:tc>
          <w:tcPr>
            <w:tcW w:type="dxa" w:w="936"/>
            <w:vAlign w:val="top"/>
            <w:tcMar>
              <w:top w:w="80" w:type="dxa"/>
              <w:start w:w="80" w:type="dxa"/>
              <w:bottom w:w="80" w:type="dxa"/>
              <w:end w:w="80" w:type="dxa"/>
            </w:tcMar>
          </w:tcPr>
          <w:p>
            <w:pPr>
              <w:keepLines/>
              <w:spacing w:after="0"/>
            </w:pPr>
            <w:r>
              <w:rPr>
                <w:sz w:val="15"/>
              </w:rPr>
              <w:t>NR-06</w:t>
            </w:r>
          </w:p>
        </w:tc>
        <w:tc>
          <w:tcPr>
            <w:tcW w:type="dxa" w:w="2592"/>
            <w:vAlign w:val="top"/>
            <w:tcMar>
              <w:top w:w="80" w:type="dxa"/>
              <w:start w:w="80" w:type="dxa"/>
              <w:bottom w:w="80" w:type="dxa"/>
              <w:end w:w="80" w:type="dxa"/>
            </w:tcMar>
          </w:tcPr>
          <w:p>
            <w:pPr>
              <w:keepLines/>
              <w:spacing w:after="0"/>
            </w:pPr>
            <w:r>
              <w:rPr>
                <w:sz w:val="15"/>
              </w:rPr>
              <w:t>Version invalidation</w:t>
            </w:r>
          </w:p>
        </w:tc>
        <w:tc>
          <w:tcPr>
            <w:tcW w:type="dxa" w:w="6840"/>
            <w:vAlign w:val="top"/>
            <w:tcMar>
              <w:top w:w="80" w:type="dxa"/>
              <w:start w:w="80" w:type="dxa"/>
              <w:bottom w:w="80" w:type="dxa"/>
              <w:end w:w="80" w:type="dxa"/>
            </w:tcMar>
          </w:tcPr>
          <w:p>
            <w:pPr>
              <w:keepLines/>
              <w:spacing w:after="0"/>
            </w:pPr>
            <w:r>
              <w:rPr>
                <w:sz w:val="15"/>
              </w:rPr>
              <w:t>Parser or model/configuration change creates a new extraction identity while preserving old lineage.</w:t>
            </w:r>
          </w:p>
        </w:tc>
      </w:tr>
      <w:tr>
        <w:tc>
          <w:tcPr>
            <w:tcW w:type="dxa" w:w="936"/>
            <w:vAlign w:val="top"/>
            <w:tcMar>
              <w:top w:w="80" w:type="dxa"/>
              <w:start w:w="80" w:type="dxa"/>
              <w:bottom w:w="80" w:type="dxa"/>
              <w:end w:w="80" w:type="dxa"/>
            </w:tcMar>
          </w:tcPr>
          <w:p>
            <w:pPr>
              <w:keepLines/>
              <w:spacing w:after="0"/>
            </w:pPr>
            <w:r>
              <w:rPr>
                <w:sz w:val="15"/>
              </w:rPr>
              <w:t>NR-07</w:t>
            </w:r>
          </w:p>
        </w:tc>
        <w:tc>
          <w:tcPr>
            <w:tcW w:type="dxa" w:w="2592"/>
            <w:vAlign w:val="top"/>
            <w:tcMar>
              <w:top w:w="80" w:type="dxa"/>
              <w:start w:w="80" w:type="dxa"/>
              <w:bottom w:w="80" w:type="dxa"/>
              <w:end w:w="80" w:type="dxa"/>
            </w:tcMar>
          </w:tcPr>
          <w:p>
            <w:pPr>
              <w:keepLines/>
              <w:spacing w:after="0"/>
            </w:pPr>
            <w:r>
              <w:rPr>
                <w:sz w:val="15"/>
              </w:rPr>
              <w:t>Governed purge</w:t>
            </w:r>
          </w:p>
        </w:tc>
        <w:tc>
          <w:tcPr>
            <w:tcW w:type="dxa" w:w="6840"/>
            <w:vAlign w:val="top"/>
            <w:tcMar>
              <w:top w:w="80" w:type="dxa"/>
              <w:start w:w="80" w:type="dxa"/>
              <w:bottom w:w="80" w:type="dxa"/>
              <w:end w:w="80" w:type="dxa"/>
            </w:tcMar>
          </w:tcPr>
          <w:p>
            <w:pPr>
              <w:keepLines/>
              <w:spacing w:after="0"/>
            </w:pPr>
            <w:r>
              <w:rPr>
                <w:sz w:val="15"/>
              </w:rPr>
              <w:t>Retention expiry, downstream acceptance, reference checks and legal hold are enforced before deletion.</w:t>
            </w:r>
          </w:p>
        </w:tc>
      </w:tr>
      <w:tr>
        <w:tc>
          <w:tcPr>
            <w:tcW w:type="dxa" w:w="936"/>
            <w:vAlign w:val="top"/>
            <w:tcMar>
              <w:top w:w="80" w:type="dxa"/>
              <w:start w:w="80" w:type="dxa"/>
              <w:bottom w:w="80" w:type="dxa"/>
              <w:end w:w="80" w:type="dxa"/>
            </w:tcMar>
          </w:tcPr>
          <w:p>
            <w:pPr>
              <w:keepLines/>
              <w:spacing w:after="0"/>
            </w:pPr>
            <w:r>
              <w:rPr>
                <w:sz w:val="15"/>
              </w:rPr>
              <w:t>NR-08</w:t>
            </w:r>
          </w:p>
        </w:tc>
        <w:tc>
          <w:tcPr>
            <w:tcW w:type="dxa" w:w="2592"/>
            <w:vAlign w:val="top"/>
            <w:tcMar>
              <w:top w:w="80" w:type="dxa"/>
              <w:start w:w="80" w:type="dxa"/>
              <w:bottom w:w="80" w:type="dxa"/>
              <w:end w:w="80" w:type="dxa"/>
            </w:tcMar>
          </w:tcPr>
          <w:p>
            <w:pPr>
              <w:keepLines/>
              <w:spacing w:after="0"/>
            </w:pPr>
            <w:r>
              <w:rPr>
                <w:sz w:val="15"/>
              </w:rPr>
              <w:t>Tombstone</w:t>
            </w:r>
          </w:p>
        </w:tc>
        <w:tc>
          <w:tcPr>
            <w:tcW w:type="dxa" w:w="6840"/>
            <w:vAlign w:val="top"/>
            <w:tcMar>
              <w:top w:w="80" w:type="dxa"/>
              <w:start w:w="80" w:type="dxa"/>
              <w:bottom w:w="80" w:type="dxa"/>
              <w:end w:w="80" w:type="dxa"/>
            </w:tcMar>
          </w:tcPr>
          <w:p>
            <w:pPr>
              <w:keepLines/>
              <w:spacing w:after="0"/>
            </w:pPr>
            <w:r>
              <w:rPr>
                <w:sz w:val="15"/>
              </w:rPr>
              <w:t>Purge preserves source/artifact hashes, parser/config identity, activity, deletion time and reason.</w:t>
            </w:r>
          </w:p>
        </w:tc>
      </w:tr>
    </w:tbl>
    <w:p/>
    <w:p>
      <w:pPr>
        <w:pStyle w:val="Heading2"/>
      </w:pPr>
      <w:r>
        <w:t>13.5 Views, addresses and DataForge handoff</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1F4E78"/>
            <w:vAlign w:val="center"/>
            <w:tcMar>
              <w:top w:w="80" w:type="dxa"/>
              <w:start w:w="80" w:type="dxa"/>
              <w:bottom w:w="80" w:type="dxa"/>
              <w:end w:w="80" w:type="dxa"/>
            </w:tcMar>
          </w:tcPr>
          <w:p>
            <w:pPr>
              <w:keepLines/>
            </w:pPr>
            <w:r>
              <w:rPr>
                <w:b/>
                <w:color w:val="FFFFFF"/>
                <w:sz w:val="15"/>
              </w:rPr>
              <w:t>ID</w:t>
            </w:r>
          </w:p>
        </w:tc>
        <w:tc>
          <w:tcPr>
            <w:tcW w:type="dxa" w:w="2592"/>
            <w:shd w:fill="1F4E78"/>
            <w:vAlign w:val="center"/>
            <w:tcMar>
              <w:top w:w="80" w:type="dxa"/>
              <w:start w:w="80" w:type="dxa"/>
              <w:bottom w:w="80" w:type="dxa"/>
              <w:end w:w="80" w:type="dxa"/>
            </w:tcMar>
          </w:tcPr>
          <w:p>
            <w:pPr>
              <w:keepLines/>
            </w:pPr>
            <w:r>
              <w:rPr>
                <w:b/>
                <w:color w:val="FFFFFF"/>
                <w:sz w:val="15"/>
              </w:rPr>
              <w:t>Objective</w:t>
            </w:r>
          </w:p>
        </w:tc>
        <w:tc>
          <w:tcPr>
            <w:tcW w:type="dxa" w:w="6840"/>
            <w:shd w:fill="1F4E78"/>
            <w:vAlign w:val="center"/>
            <w:tcMar>
              <w:top w:w="80" w:type="dxa"/>
              <w:start w:w="80" w:type="dxa"/>
              <w:bottom w:w="80" w:type="dxa"/>
              <w:end w:w="80" w:type="dxa"/>
            </w:tcMar>
          </w:tcPr>
          <w:p>
            <w:pPr>
              <w:keepLines/>
            </w:pPr>
            <w:r>
              <w:rPr>
                <w:b/>
                <w:color w:val="FFFFFF"/>
                <w:sz w:val="15"/>
              </w:rPr>
              <w:t>Pass condition</w:t>
            </w:r>
          </w:p>
        </w:tc>
      </w:tr>
      <w:tr>
        <w:tc>
          <w:tcPr>
            <w:tcW w:type="dxa" w:w="936"/>
            <w:vAlign w:val="top"/>
            <w:tcMar>
              <w:top w:w="80" w:type="dxa"/>
              <w:start w:w="80" w:type="dxa"/>
              <w:bottom w:w="80" w:type="dxa"/>
              <w:end w:w="80" w:type="dxa"/>
            </w:tcMar>
          </w:tcPr>
          <w:p>
            <w:pPr>
              <w:keepLines/>
              <w:spacing w:after="0"/>
            </w:pPr>
            <w:r>
              <w:rPr>
                <w:sz w:val="15"/>
              </w:rPr>
              <w:t>DH-01</w:t>
            </w:r>
          </w:p>
        </w:tc>
        <w:tc>
          <w:tcPr>
            <w:tcW w:type="dxa" w:w="2592"/>
            <w:vAlign w:val="top"/>
            <w:tcMar>
              <w:top w:w="80" w:type="dxa"/>
              <w:start w:w="80" w:type="dxa"/>
              <w:bottom w:w="80" w:type="dxa"/>
              <w:end w:w="80" w:type="dxa"/>
            </w:tcMar>
          </w:tcPr>
          <w:p>
            <w:pPr>
              <w:keepLines/>
              <w:spacing w:after="0"/>
            </w:pPr>
            <w:r>
              <w:rPr>
                <w:sz w:val="15"/>
              </w:rPr>
              <w:t>Load by reference</w:t>
            </w:r>
          </w:p>
        </w:tc>
        <w:tc>
          <w:tcPr>
            <w:tcW w:type="dxa" w:w="6840"/>
            <w:vAlign w:val="top"/>
            <w:tcMar>
              <w:top w:w="80" w:type="dxa"/>
              <w:start w:w="80" w:type="dxa"/>
              <w:bottom w:w="80" w:type="dxa"/>
              <w:end w:w="80" w:type="dxa"/>
            </w:tcMar>
          </w:tcPr>
          <w:p>
            <w:pPr>
              <w:keepLines/>
              <w:spacing w:after="0"/>
            </w:pPr>
            <w:r>
              <w:rPr>
                <w:sz w:val="15"/>
              </w:rPr>
              <w:t>DataForge loads the canonical manifest and views without reopening the source or parsing native artifacts directly.</w:t>
            </w:r>
          </w:p>
        </w:tc>
      </w:tr>
      <w:tr>
        <w:tc>
          <w:tcPr>
            <w:tcW w:type="dxa" w:w="936"/>
            <w:vAlign w:val="top"/>
            <w:tcMar>
              <w:top w:w="80" w:type="dxa"/>
              <w:start w:w="80" w:type="dxa"/>
              <w:bottom w:w="80" w:type="dxa"/>
              <w:end w:w="80" w:type="dxa"/>
            </w:tcMar>
          </w:tcPr>
          <w:p>
            <w:pPr>
              <w:keepLines/>
              <w:spacing w:after="0"/>
            </w:pPr>
            <w:r>
              <w:rPr>
                <w:sz w:val="15"/>
              </w:rPr>
              <w:t>DH-02</w:t>
            </w:r>
          </w:p>
        </w:tc>
        <w:tc>
          <w:tcPr>
            <w:tcW w:type="dxa" w:w="2592"/>
            <w:vAlign w:val="top"/>
            <w:tcMar>
              <w:top w:w="80" w:type="dxa"/>
              <w:start w:w="80" w:type="dxa"/>
              <w:bottom w:w="80" w:type="dxa"/>
              <w:end w:w="80" w:type="dxa"/>
            </w:tcMar>
          </w:tcPr>
          <w:p>
            <w:pPr>
              <w:keepLines/>
              <w:spacing w:after="0"/>
            </w:pPr>
            <w:r>
              <w:rPr>
                <w:sz w:val="15"/>
              </w:rPr>
              <w:t>Paragraph QA</w:t>
            </w:r>
          </w:p>
        </w:tc>
        <w:tc>
          <w:tcPr>
            <w:tcW w:type="dxa" w:w="6840"/>
            <w:vAlign w:val="top"/>
            <w:tcMar>
              <w:top w:w="80" w:type="dxa"/>
              <w:start w:w="80" w:type="dxa"/>
              <w:bottom w:w="80" w:type="dxa"/>
              <w:end w:w="80" w:type="dxa"/>
            </w:tcMar>
          </w:tcPr>
          <w:p>
            <w:pPr>
              <w:keepLines/>
              <w:spacing w:after="0"/>
            </w:pPr>
            <w:r>
              <w:rPr>
                <w:sz w:val="15"/>
              </w:rPr>
              <w:t>DataForge creates a paragraph-supported QA record and retains exact Resource, Division, ContentNode, SourceSelector and strong ProvenanceAddress support.</w:t>
            </w:r>
          </w:p>
        </w:tc>
      </w:tr>
      <w:tr>
        <w:tc>
          <w:tcPr>
            <w:tcW w:type="dxa" w:w="936"/>
            <w:vAlign w:val="top"/>
            <w:tcMar>
              <w:top w:w="80" w:type="dxa"/>
              <w:start w:w="80" w:type="dxa"/>
              <w:bottom w:w="80" w:type="dxa"/>
              <w:end w:w="80" w:type="dxa"/>
            </w:tcMar>
          </w:tcPr>
          <w:p>
            <w:pPr>
              <w:keepLines/>
              <w:spacing w:after="0"/>
            </w:pPr>
            <w:r>
              <w:rPr>
                <w:sz w:val="15"/>
              </w:rPr>
              <w:t>DH-03</w:t>
            </w:r>
          </w:p>
        </w:tc>
        <w:tc>
          <w:tcPr>
            <w:tcW w:type="dxa" w:w="2592"/>
            <w:vAlign w:val="top"/>
            <w:tcMar>
              <w:top w:w="80" w:type="dxa"/>
              <w:start w:w="80" w:type="dxa"/>
              <w:bottom w:w="80" w:type="dxa"/>
              <w:end w:w="80" w:type="dxa"/>
            </w:tcMar>
          </w:tcPr>
          <w:p>
            <w:pPr>
              <w:keepLines/>
              <w:spacing w:after="0"/>
            </w:pPr>
            <w:r>
              <w:rPr>
                <w:sz w:val="15"/>
              </w:rPr>
              <w:t>No independent segmentation</w:t>
            </w:r>
          </w:p>
        </w:tc>
        <w:tc>
          <w:tcPr>
            <w:tcW w:type="dxa" w:w="6840"/>
            <w:vAlign w:val="top"/>
            <w:tcMar>
              <w:top w:w="80" w:type="dxa"/>
              <w:start w:w="80" w:type="dxa"/>
              <w:bottom w:w="80" w:type="dxa"/>
              <w:end w:w="80" w:type="dxa"/>
            </w:tcMar>
          </w:tcPr>
          <w:p>
            <w:pPr>
              <w:keepLines/>
              <w:spacing w:after="0"/>
            </w:pPr>
            <w:r>
              <w:rPr>
                <w:sz w:val="15"/>
              </w:rPr>
              <w:t>DataForge consumes Ingest paragraph spans and does not split or copy source content.</w:t>
            </w:r>
          </w:p>
        </w:tc>
      </w:tr>
      <w:tr>
        <w:tc>
          <w:tcPr>
            <w:tcW w:type="dxa" w:w="936"/>
            <w:vAlign w:val="top"/>
            <w:tcMar>
              <w:top w:w="80" w:type="dxa"/>
              <w:start w:w="80" w:type="dxa"/>
              <w:bottom w:w="80" w:type="dxa"/>
              <w:end w:w="80" w:type="dxa"/>
            </w:tcMar>
          </w:tcPr>
          <w:p>
            <w:pPr>
              <w:keepLines/>
              <w:spacing w:after="0"/>
            </w:pPr>
            <w:r>
              <w:rPr>
                <w:sz w:val="15"/>
              </w:rPr>
              <w:t>DH-04</w:t>
            </w:r>
          </w:p>
        </w:tc>
        <w:tc>
          <w:tcPr>
            <w:tcW w:type="dxa" w:w="2592"/>
            <w:vAlign w:val="top"/>
            <w:tcMar>
              <w:top w:w="80" w:type="dxa"/>
              <w:start w:w="80" w:type="dxa"/>
              <w:bottom w:w="80" w:type="dxa"/>
              <w:end w:w="80" w:type="dxa"/>
            </w:tcMar>
          </w:tcPr>
          <w:p>
            <w:pPr>
              <w:keepLines/>
              <w:spacing w:after="0"/>
            </w:pPr>
            <w:r>
              <w:rPr>
                <w:sz w:val="15"/>
              </w:rPr>
              <w:t>Relation-expanded view</w:t>
            </w:r>
          </w:p>
        </w:tc>
        <w:tc>
          <w:tcPr>
            <w:tcW w:type="dxa" w:w="6840"/>
            <w:vAlign w:val="top"/>
            <w:tcMar>
              <w:top w:w="80" w:type="dxa"/>
              <w:start w:w="80" w:type="dxa"/>
              <w:bottom w:w="80" w:type="dxa"/>
              <w:end w:w="80" w:type="dxa"/>
            </w:tcMar>
          </w:tcPr>
          <w:p>
            <w:pPr>
              <w:keepLines/>
              <w:spacing w:after="0"/>
            </w:pPr>
            <w:r>
              <w:rPr>
                <w:sz w:val="15"/>
              </w:rPr>
              <w:t>A seed division expands to validated intra-document and inter-document targets under bounded traversal.</w:t>
            </w:r>
          </w:p>
        </w:tc>
      </w:tr>
      <w:tr>
        <w:tc>
          <w:tcPr>
            <w:tcW w:type="dxa" w:w="936"/>
            <w:vAlign w:val="top"/>
            <w:tcMar>
              <w:top w:w="80" w:type="dxa"/>
              <w:start w:w="80" w:type="dxa"/>
              <w:bottom w:w="80" w:type="dxa"/>
              <w:end w:w="80" w:type="dxa"/>
            </w:tcMar>
          </w:tcPr>
          <w:p>
            <w:pPr>
              <w:keepLines/>
              <w:spacing w:after="0"/>
            </w:pPr>
            <w:r>
              <w:rPr>
                <w:sz w:val="15"/>
              </w:rPr>
              <w:t>DH-05</w:t>
            </w:r>
          </w:p>
        </w:tc>
        <w:tc>
          <w:tcPr>
            <w:tcW w:type="dxa" w:w="2592"/>
            <w:vAlign w:val="top"/>
            <w:tcMar>
              <w:top w:w="80" w:type="dxa"/>
              <w:start w:w="80" w:type="dxa"/>
              <w:bottom w:w="80" w:type="dxa"/>
              <w:end w:w="80" w:type="dxa"/>
            </w:tcMar>
          </w:tcPr>
          <w:p>
            <w:pPr>
              <w:keepLines/>
              <w:spacing w:after="0"/>
            </w:pPr>
            <w:r>
              <w:rPr>
                <w:sz w:val="15"/>
              </w:rPr>
              <w:t>Composite KU</w:t>
            </w:r>
          </w:p>
        </w:tc>
        <w:tc>
          <w:tcPr>
            <w:tcW w:type="dxa" w:w="6840"/>
            <w:vAlign w:val="top"/>
            <w:tcMar>
              <w:top w:w="80" w:type="dxa"/>
              <w:start w:w="80" w:type="dxa"/>
              <w:bottom w:w="80" w:type="dxa"/>
              <w:end w:w="80" w:type="dxa"/>
            </w:tcMar>
          </w:tcPr>
          <w:p>
            <w:pPr>
              <w:keepLines/>
              <w:spacing w:after="0"/>
            </w:pPr>
            <w:r>
              <w:rPr>
                <w:sz w:val="15"/>
              </w:rPr>
              <w:t>DataForge assembles one KU from multiple supported nodes/objects across sections and at least two resources.</w:t>
            </w:r>
          </w:p>
        </w:tc>
      </w:tr>
      <w:tr>
        <w:tc>
          <w:tcPr>
            <w:tcW w:type="dxa" w:w="936"/>
            <w:vAlign w:val="top"/>
            <w:tcMar>
              <w:top w:w="80" w:type="dxa"/>
              <w:start w:w="80" w:type="dxa"/>
              <w:bottom w:w="80" w:type="dxa"/>
              <w:end w:w="80" w:type="dxa"/>
            </w:tcMar>
          </w:tcPr>
          <w:p>
            <w:pPr>
              <w:keepLines/>
              <w:spacing w:after="0"/>
            </w:pPr>
            <w:r>
              <w:rPr>
                <w:sz w:val="15"/>
              </w:rPr>
              <w:t>DH-06</w:t>
            </w:r>
          </w:p>
        </w:tc>
        <w:tc>
          <w:tcPr>
            <w:tcW w:type="dxa" w:w="2592"/>
            <w:vAlign w:val="top"/>
            <w:tcMar>
              <w:top w:w="80" w:type="dxa"/>
              <w:start w:w="80" w:type="dxa"/>
              <w:bottom w:w="80" w:type="dxa"/>
              <w:end w:w="80" w:type="dxa"/>
            </w:tcMar>
          </w:tcPr>
          <w:p>
            <w:pPr>
              <w:keepLines/>
              <w:spacing w:after="0"/>
            </w:pPr>
            <w:r>
              <w:rPr>
                <w:sz w:val="15"/>
              </w:rPr>
              <w:t>Evidence-set address</w:t>
            </w:r>
          </w:p>
        </w:tc>
        <w:tc>
          <w:tcPr>
            <w:tcW w:type="dxa" w:w="6840"/>
            <w:vAlign w:val="top"/>
            <w:tcMar>
              <w:top w:w="80" w:type="dxa"/>
              <w:start w:w="80" w:type="dxa"/>
              <w:bottom w:w="80" w:type="dxa"/>
              <w:end w:w="80" w:type="dxa"/>
            </w:tcMar>
          </w:tcPr>
          <w:p>
            <w:pPr>
              <w:keepLines/>
              <w:spacing w:after="0"/>
            </w:pPr>
            <w:r>
              <w:rPr>
                <w:sz w:val="15"/>
              </w:rPr>
              <w:t>The composite KU retains an EvidenceSetAddress whose members resolve to exact supported spans and objects.</w:t>
            </w:r>
          </w:p>
        </w:tc>
      </w:tr>
      <w:tr>
        <w:tc>
          <w:tcPr>
            <w:tcW w:type="dxa" w:w="936"/>
            <w:vAlign w:val="top"/>
            <w:tcMar>
              <w:top w:w="80" w:type="dxa"/>
              <w:start w:w="80" w:type="dxa"/>
              <w:bottom w:w="80" w:type="dxa"/>
              <w:end w:w="80" w:type="dxa"/>
            </w:tcMar>
          </w:tcPr>
          <w:p>
            <w:pPr>
              <w:keepLines/>
              <w:spacing w:after="0"/>
            </w:pPr>
            <w:r>
              <w:rPr>
                <w:sz w:val="15"/>
              </w:rPr>
              <w:t>DH-07</w:t>
            </w:r>
          </w:p>
        </w:tc>
        <w:tc>
          <w:tcPr>
            <w:tcW w:type="dxa" w:w="2592"/>
            <w:vAlign w:val="top"/>
            <w:tcMar>
              <w:top w:w="80" w:type="dxa"/>
              <w:start w:w="80" w:type="dxa"/>
              <w:bottom w:w="80" w:type="dxa"/>
              <w:end w:w="80" w:type="dxa"/>
            </w:tcMar>
          </w:tcPr>
          <w:p>
            <w:pPr>
              <w:keepLines/>
              <w:spacing w:after="0"/>
            </w:pPr>
            <w:r>
              <w:rPr>
                <w:sz w:val="15"/>
              </w:rPr>
              <w:t>Ambiguity exclusion</w:t>
            </w:r>
          </w:p>
        </w:tc>
        <w:tc>
          <w:tcPr>
            <w:tcW w:type="dxa" w:w="6840"/>
            <w:vAlign w:val="top"/>
            <w:tcMar>
              <w:top w:w="80" w:type="dxa"/>
              <w:start w:w="80" w:type="dxa"/>
              <w:bottom w:w="80" w:type="dxa"/>
              <w:end w:w="80" w:type="dxa"/>
            </w:tcMar>
          </w:tcPr>
          <w:p>
            <w:pPr>
              <w:keepLines/>
              <w:spacing w:after="0"/>
            </w:pPr>
            <w:r>
              <w:rPr>
                <w:sz w:val="15"/>
              </w:rPr>
              <w:t>Ambiguous and unresolved relations remain visible but are excluded from gold KU support and address resolution.</w:t>
            </w:r>
          </w:p>
        </w:tc>
      </w:tr>
      <w:tr>
        <w:tc>
          <w:tcPr>
            <w:tcW w:type="dxa" w:w="936"/>
            <w:vAlign w:val="top"/>
            <w:tcMar>
              <w:top w:w="80" w:type="dxa"/>
              <w:start w:w="80" w:type="dxa"/>
              <w:bottom w:w="80" w:type="dxa"/>
              <w:end w:w="80" w:type="dxa"/>
            </w:tcMar>
          </w:tcPr>
          <w:p>
            <w:pPr>
              <w:keepLines/>
              <w:spacing w:after="0"/>
            </w:pPr>
            <w:r>
              <w:rPr>
                <w:sz w:val="15"/>
              </w:rPr>
              <w:t>DH-08</w:t>
            </w:r>
          </w:p>
        </w:tc>
        <w:tc>
          <w:tcPr>
            <w:tcW w:type="dxa" w:w="2592"/>
            <w:vAlign w:val="top"/>
            <w:tcMar>
              <w:top w:w="80" w:type="dxa"/>
              <w:start w:w="80" w:type="dxa"/>
              <w:bottom w:w="80" w:type="dxa"/>
              <w:end w:w="80" w:type="dxa"/>
            </w:tcMar>
          </w:tcPr>
          <w:p>
            <w:pPr>
              <w:keepLines/>
              <w:spacing w:after="0"/>
            </w:pPr>
            <w:r>
              <w:rPr>
                <w:sz w:val="15"/>
              </w:rPr>
              <w:t>No semantic-KG dependency</w:t>
            </w:r>
          </w:p>
        </w:tc>
        <w:tc>
          <w:tcPr>
            <w:tcW w:type="dxa" w:w="6840"/>
            <w:vAlign w:val="top"/>
            <w:tcMar>
              <w:top w:w="80" w:type="dxa"/>
              <w:start w:w="80" w:type="dxa"/>
              <w:bottom w:w="80" w:type="dxa"/>
              <w:end w:w="80" w:type="dxa"/>
            </w:tcMar>
          </w:tcPr>
          <w:p>
            <w:pPr>
              <w:keepLines/>
              <w:spacing w:after="0"/>
            </w:pPr>
            <w:r>
              <w:rPr>
                <w:sz w:val="15"/>
              </w:rPr>
              <w:t>The two handoff tests pass using the canonical Source Graph without requiring an automatic or oracle semantic Knowledge Graph.</w:t>
            </w:r>
          </w:p>
        </w:tc>
      </w:tr>
      <w:tr>
        <w:tc>
          <w:tcPr>
            <w:tcW w:type="dxa" w:w="936"/>
            <w:vAlign w:val="top"/>
            <w:tcMar>
              <w:top w:w="80" w:type="dxa"/>
              <w:start w:w="80" w:type="dxa"/>
              <w:bottom w:w="80" w:type="dxa"/>
              <w:end w:w="80" w:type="dxa"/>
            </w:tcMar>
          </w:tcPr>
          <w:p>
            <w:pPr>
              <w:keepLines/>
              <w:spacing w:after="0"/>
            </w:pPr>
            <w:r>
              <w:rPr>
                <w:sz w:val="15"/>
              </w:rPr>
              <w:t>DH-09</w:t>
            </w:r>
          </w:p>
        </w:tc>
        <w:tc>
          <w:tcPr>
            <w:tcW w:type="dxa" w:w="2592"/>
            <w:vAlign w:val="top"/>
            <w:tcMar>
              <w:top w:w="80" w:type="dxa"/>
              <w:start w:w="80" w:type="dxa"/>
              <w:bottom w:w="80" w:type="dxa"/>
              <w:end w:w="80" w:type="dxa"/>
            </w:tcMar>
          </w:tcPr>
          <w:p>
            <w:pPr>
              <w:keepLines/>
              <w:spacing w:after="0"/>
            </w:pPr>
            <w:r>
              <w:rPr>
                <w:sz w:val="15"/>
              </w:rPr>
              <w:t>Reusable derived identity</w:t>
            </w:r>
          </w:p>
        </w:tc>
        <w:tc>
          <w:tcPr>
            <w:tcW w:type="dxa" w:w="6840"/>
            <w:vAlign w:val="top"/>
            <w:tcMar>
              <w:top w:w="80" w:type="dxa"/>
              <w:start w:w="80" w:type="dxa"/>
              <w:bottom w:w="80" w:type="dxa"/>
              <w:end w:w="80" w:type="dxa"/>
            </w:tcMar>
          </w:tcPr>
          <w:p>
            <w:pPr>
              <w:keepLines/>
              <w:spacing w:after="0"/>
            </w:pPr>
            <w:r>
              <w:rPr>
                <w:sz w:val="15"/>
              </w:rPr>
              <w:t>Equivalent QA/KU generation is keyed by source addresses, method, model and configuration rather than duplicated source text.</w:t>
            </w:r>
          </w:p>
        </w:tc>
      </w:tr>
    </w:tbl>
    <w:p/>
    <w:p>
      <w:pPr>
        <w:pStyle w:val="Heading2"/>
      </w:pPr>
      <w:r>
        <w:t>13.6 Segmentation, source-graph and address contracts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1F4E78"/>
            <w:vAlign w:val="center"/>
            <w:tcMar>
              <w:top w:w="80" w:type="dxa"/>
              <w:start w:w="80" w:type="dxa"/>
              <w:bottom w:w="80" w:type="dxa"/>
              <w:end w:w="80" w:type="dxa"/>
            </w:tcMar>
          </w:tcPr>
          <w:p>
            <w:pPr>
              <w:keepLines/>
            </w:pPr>
            <w:r>
              <w:rPr>
                <w:b/>
                <w:color w:val="FFFFFF"/>
                <w:sz w:val="15"/>
              </w:rPr>
              <w:t>ID</w:t>
            </w:r>
          </w:p>
        </w:tc>
        <w:tc>
          <w:tcPr>
            <w:tcW w:type="dxa" w:w="2592"/>
            <w:shd w:fill="1F4E78"/>
            <w:vAlign w:val="center"/>
            <w:tcMar>
              <w:top w:w="80" w:type="dxa"/>
              <w:start w:w="80" w:type="dxa"/>
              <w:bottom w:w="80" w:type="dxa"/>
              <w:end w:w="80" w:type="dxa"/>
            </w:tcMar>
          </w:tcPr>
          <w:p>
            <w:pPr>
              <w:keepLines/>
            </w:pPr>
            <w:r>
              <w:rPr>
                <w:b/>
                <w:color w:val="FFFFFF"/>
                <w:sz w:val="15"/>
              </w:rPr>
              <w:t>Objective</w:t>
            </w:r>
          </w:p>
        </w:tc>
        <w:tc>
          <w:tcPr>
            <w:tcW w:type="dxa" w:w="6840"/>
            <w:shd w:fill="1F4E78"/>
            <w:vAlign w:val="center"/>
            <w:tcMar>
              <w:top w:w="80" w:type="dxa"/>
              <w:start w:w="80" w:type="dxa"/>
              <w:bottom w:w="80" w:type="dxa"/>
              <w:end w:w="80" w:type="dxa"/>
            </w:tcMar>
          </w:tcPr>
          <w:p>
            <w:pPr>
              <w:keepLines/>
            </w:pPr>
            <w:r>
              <w:rPr>
                <w:b/>
                <w:color w:val="FFFFFF"/>
                <w:sz w:val="15"/>
              </w:rPr>
              <w:t>Pass condition</w:t>
            </w:r>
          </w:p>
        </w:tc>
      </w:tr>
      <w:tr>
        <w:tc>
          <w:tcPr>
            <w:tcW w:type="dxa" w:w="936"/>
            <w:vAlign w:val="top"/>
            <w:tcMar>
              <w:top w:w="80" w:type="dxa"/>
              <w:start w:w="80" w:type="dxa"/>
              <w:bottom w:w="80" w:type="dxa"/>
              <w:end w:w="80" w:type="dxa"/>
            </w:tcMar>
          </w:tcPr>
          <w:p>
            <w:pPr>
              <w:keepLines/>
              <w:spacing w:after="0"/>
            </w:pPr>
            <w:r>
              <w:rPr>
                <w:sz w:val="15"/>
              </w:rPr>
              <w:t>EX-01</w:t>
            </w:r>
          </w:p>
        </w:tc>
        <w:tc>
          <w:tcPr>
            <w:tcW w:type="dxa" w:w="2592"/>
            <w:vAlign w:val="top"/>
            <w:tcMar>
              <w:top w:w="80" w:type="dxa"/>
              <w:start w:w="80" w:type="dxa"/>
              <w:bottom w:w="80" w:type="dxa"/>
              <w:end w:w="80" w:type="dxa"/>
            </w:tcMar>
          </w:tcPr>
          <w:p>
            <w:pPr>
              <w:keepLines/>
              <w:spacing w:after="0"/>
            </w:pPr>
            <w:r>
              <w:rPr>
                <w:sz w:val="15"/>
              </w:rPr>
              <w:t>Multiple views over one source</w:t>
            </w:r>
          </w:p>
        </w:tc>
        <w:tc>
          <w:tcPr>
            <w:tcW w:type="dxa" w:w="6840"/>
            <w:vAlign w:val="top"/>
            <w:tcMar>
              <w:top w:w="80" w:type="dxa"/>
              <w:start w:w="80" w:type="dxa"/>
              <w:bottom w:w="80" w:type="dxa"/>
              <w:end w:w="80" w:type="dxa"/>
            </w:tcMar>
          </w:tcPr>
          <w:p>
            <w:pPr>
              <w:keepLines/>
              <w:spacing w:after="0"/>
            </w:pPr>
            <w:r>
              <w:rPr>
                <w:sz w:val="15"/>
              </w:rPr>
              <w:t>Docling hierarchical, paragraph, sentence-safe and fixed-size views reference the same canonical nodes without changing canonical content.</w:t>
            </w:r>
          </w:p>
        </w:tc>
      </w:tr>
      <w:tr>
        <w:tc>
          <w:tcPr>
            <w:tcW w:type="dxa" w:w="936"/>
            <w:vAlign w:val="top"/>
            <w:tcMar>
              <w:top w:w="80" w:type="dxa"/>
              <w:start w:w="80" w:type="dxa"/>
              <w:bottom w:w="80" w:type="dxa"/>
              <w:end w:w="80" w:type="dxa"/>
            </w:tcMar>
          </w:tcPr>
          <w:p>
            <w:pPr>
              <w:keepLines/>
              <w:spacing w:after="0"/>
            </w:pPr>
            <w:r>
              <w:rPr>
                <w:sz w:val="15"/>
              </w:rPr>
              <w:t>EX-02</w:t>
            </w:r>
          </w:p>
        </w:tc>
        <w:tc>
          <w:tcPr>
            <w:tcW w:type="dxa" w:w="2592"/>
            <w:vAlign w:val="top"/>
            <w:tcMar>
              <w:top w:w="80" w:type="dxa"/>
              <w:start w:w="80" w:type="dxa"/>
              <w:bottom w:w="80" w:type="dxa"/>
              <w:end w:w="80" w:type="dxa"/>
            </w:tcMar>
          </w:tcPr>
          <w:p>
            <w:pPr>
              <w:keepLines/>
              <w:spacing w:after="0"/>
            </w:pPr>
            <w:r>
              <w:rPr>
                <w:sz w:val="15"/>
              </w:rPr>
              <w:t>Native chunk preservation</w:t>
            </w:r>
          </w:p>
        </w:tc>
        <w:tc>
          <w:tcPr>
            <w:tcW w:type="dxa" w:w="6840"/>
            <w:vAlign w:val="top"/>
            <w:tcMar>
              <w:top w:w="80" w:type="dxa"/>
              <w:start w:w="80" w:type="dxa"/>
              <w:bottom w:w="80" w:type="dxa"/>
              <w:end w:w="80" w:type="dxa"/>
            </w:tcMar>
          </w:tcPr>
          <w:p>
            <w:pPr>
              <w:keepLines/>
              <w:spacing w:after="0"/>
            </w:pPr>
            <w:r>
              <w:rPr>
                <w:sz w:val="15"/>
              </w:rPr>
              <w:t>Docling-native chunk output is retained with native metadata and mapped to canonical spans rather than flattened into a new authoritative text copy.</w:t>
            </w:r>
          </w:p>
        </w:tc>
      </w:tr>
      <w:tr>
        <w:tc>
          <w:tcPr>
            <w:tcW w:type="dxa" w:w="936"/>
            <w:vAlign w:val="top"/>
            <w:tcMar>
              <w:top w:w="80" w:type="dxa"/>
              <w:start w:w="80" w:type="dxa"/>
              <w:bottom w:w="80" w:type="dxa"/>
              <w:end w:w="80" w:type="dxa"/>
            </w:tcMar>
          </w:tcPr>
          <w:p>
            <w:pPr>
              <w:keepLines/>
              <w:spacing w:after="0"/>
            </w:pPr>
            <w:r>
              <w:rPr>
                <w:sz w:val="15"/>
              </w:rPr>
              <w:t>EX-03</w:t>
            </w:r>
          </w:p>
        </w:tc>
        <w:tc>
          <w:tcPr>
            <w:tcW w:type="dxa" w:w="2592"/>
            <w:vAlign w:val="top"/>
            <w:tcMar>
              <w:top w:w="80" w:type="dxa"/>
              <w:start w:w="80" w:type="dxa"/>
              <w:bottom w:w="80" w:type="dxa"/>
              <w:end w:w="80" w:type="dxa"/>
            </w:tcMar>
          </w:tcPr>
          <w:p>
            <w:pPr>
              <w:keepLines/>
              <w:spacing w:after="0"/>
            </w:pPr>
            <w:r>
              <w:rPr>
                <w:sz w:val="15"/>
              </w:rPr>
              <w:t>Strategy identity</w:t>
            </w:r>
          </w:p>
        </w:tc>
        <w:tc>
          <w:tcPr>
            <w:tcW w:type="dxa" w:w="6840"/>
            <w:vAlign w:val="top"/>
            <w:tcMar>
              <w:top w:w="80" w:type="dxa"/>
              <w:start w:w="80" w:type="dxa"/>
              <w:bottom w:w="80" w:type="dxa"/>
              <w:end w:w="80" w:type="dxa"/>
            </w:tcMar>
          </w:tcPr>
          <w:p>
            <w:pPr>
              <w:keepLines/>
              <w:spacing w:after="0"/>
            </w:pPr>
            <w:r>
              <w:rPr>
                <w:sz w:val="15"/>
              </w:rPr>
              <w:t>Each SegmentationView records chunker, version, parameters, tokenizer/profile, source-graph revision and generation activity.</w:t>
            </w:r>
          </w:p>
        </w:tc>
      </w:tr>
      <w:tr>
        <w:tc>
          <w:tcPr>
            <w:tcW w:type="dxa" w:w="936"/>
            <w:vAlign w:val="top"/>
            <w:tcMar>
              <w:top w:w="80" w:type="dxa"/>
              <w:start w:w="80" w:type="dxa"/>
              <w:bottom w:w="80" w:type="dxa"/>
              <w:end w:w="80" w:type="dxa"/>
            </w:tcMar>
          </w:tcPr>
          <w:p>
            <w:pPr>
              <w:keepLines/>
              <w:spacing w:after="0"/>
            </w:pPr>
            <w:r>
              <w:rPr>
                <w:sz w:val="15"/>
              </w:rPr>
              <w:t>EX-04</w:t>
            </w:r>
          </w:p>
        </w:tc>
        <w:tc>
          <w:tcPr>
            <w:tcW w:type="dxa" w:w="2592"/>
            <w:vAlign w:val="top"/>
            <w:tcMar>
              <w:top w:w="80" w:type="dxa"/>
              <w:start w:w="80" w:type="dxa"/>
              <w:bottom w:w="80" w:type="dxa"/>
              <w:end w:w="80" w:type="dxa"/>
            </w:tcMar>
          </w:tcPr>
          <w:p>
            <w:pPr>
              <w:keepLines/>
              <w:spacing w:after="0"/>
            </w:pPr>
            <w:r>
              <w:rPr>
                <w:sz w:val="15"/>
              </w:rPr>
              <w:t>No fused canonical boundary</w:t>
            </w:r>
          </w:p>
        </w:tc>
        <w:tc>
          <w:tcPr>
            <w:tcW w:type="dxa" w:w="6840"/>
            <w:vAlign w:val="top"/>
            <w:tcMar>
              <w:top w:w="80" w:type="dxa"/>
              <w:start w:w="80" w:type="dxa"/>
              <w:bottom w:w="80" w:type="dxa"/>
              <w:end w:w="80" w:type="dxa"/>
            </w:tcMar>
          </w:tcPr>
          <w:p>
            <w:pPr>
              <w:keepLines/>
              <w:spacing w:after="0"/>
            </w:pPr>
            <w:r>
              <w:rPr>
                <w:sz w:val="15"/>
              </w:rPr>
              <w:t>Selecting or combining several views does not create a new permanent canonical source partition.</w:t>
            </w:r>
          </w:p>
        </w:tc>
      </w:tr>
      <w:tr>
        <w:tc>
          <w:tcPr>
            <w:tcW w:type="dxa" w:w="936"/>
            <w:vAlign w:val="top"/>
            <w:tcMar>
              <w:top w:w="80" w:type="dxa"/>
              <w:start w:w="80" w:type="dxa"/>
              <w:bottom w:w="80" w:type="dxa"/>
              <w:end w:w="80" w:type="dxa"/>
            </w:tcMar>
          </w:tcPr>
          <w:p>
            <w:pPr>
              <w:keepLines/>
              <w:spacing w:after="0"/>
            </w:pPr>
            <w:r>
              <w:rPr>
                <w:sz w:val="15"/>
              </w:rPr>
              <w:t>EX-05</w:t>
            </w:r>
          </w:p>
        </w:tc>
        <w:tc>
          <w:tcPr>
            <w:tcW w:type="dxa" w:w="2592"/>
            <w:vAlign w:val="top"/>
            <w:tcMar>
              <w:top w:w="80" w:type="dxa"/>
              <w:start w:w="80" w:type="dxa"/>
              <w:bottom w:w="80" w:type="dxa"/>
              <w:end w:w="80" w:type="dxa"/>
            </w:tcMar>
          </w:tcPr>
          <w:p>
            <w:pPr>
              <w:keepLines/>
              <w:spacing w:after="0"/>
            </w:pPr>
            <w:r>
              <w:rPr>
                <w:sz w:val="15"/>
              </w:rPr>
              <w:t>Source Graph distinction</w:t>
            </w:r>
          </w:p>
        </w:tc>
        <w:tc>
          <w:tcPr>
            <w:tcW w:type="dxa" w:w="6840"/>
            <w:vAlign w:val="top"/>
            <w:tcMar>
              <w:top w:w="80" w:type="dxa"/>
              <w:start w:w="80" w:type="dxa"/>
              <w:bottom w:w="80" w:type="dxa"/>
              <w:end w:w="80" w:type="dxa"/>
            </w:tcMar>
          </w:tcPr>
          <w:p>
            <w:pPr>
              <w:keepLines/>
              <w:spacing w:after="0"/>
            </w:pPr>
            <w:r>
              <w:rPr>
                <w:sz w:val="15"/>
              </w:rPr>
              <w:t>Canonical source relations and epistemic states are present without entity extraction, communities or GraphRAG-specific schema.</w:t>
            </w:r>
          </w:p>
        </w:tc>
      </w:tr>
      <w:tr>
        <w:tc>
          <w:tcPr>
            <w:tcW w:type="dxa" w:w="936"/>
            <w:vAlign w:val="top"/>
            <w:tcMar>
              <w:top w:w="80" w:type="dxa"/>
              <w:start w:w="80" w:type="dxa"/>
              <w:bottom w:w="80" w:type="dxa"/>
              <w:end w:w="80" w:type="dxa"/>
            </w:tcMar>
          </w:tcPr>
          <w:p>
            <w:pPr>
              <w:keepLines/>
              <w:spacing w:after="0"/>
            </w:pPr>
            <w:r>
              <w:rPr>
                <w:sz w:val="15"/>
              </w:rPr>
              <w:t>EX-06</w:t>
            </w:r>
          </w:p>
        </w:tc>
        <w:tc>
          <w:tcPr>
            <w:tcW w:type="dxa" w:w="2592"/>
            <w:vAlign w:val="top"/>
            <w:tcMar>
              <w:top w:w="80" w:type="dxa"/>
              <w:start w:w="80" w:type="dxa"/>
              <w:bottom w:w="80" w:type="dxa"/>
              <w:end w:w="80" w:type="dxa"/>
            </w:tcMar>
          </w:tcPr>
          <w:p>
            <w:pPr>
              <w:keepLines/>
              <w:spacing w:after="0"/>
            </w:pPr>
            <w:r>
              <w:rPr>
                <w:sz w:val="15"/>
              </w:rPr>
              <w:t>Graph projection binding</w:t>
            </w:r>
          </w:p>
        </w:tc>
        <w:tc>
          <w:tcPr>
            <w:tcW w:type="dxa" w:w="6840"/>
            <w:vAlign w:val="top"/>
            <w:tcMar>
              <w:top w:w="80" w:type="dxa"/>
              <w:start w:w="80" w:type="dxa"/>
              <w:bottom w:w="80" w:type="dxa"/>
              <w:end w:w="80" w:type="dxa"/>
            </w:tcMar>
          </w:tcPr>
          <w:p>
            <w:pPr>
              <w:keepLines/>
              <w:spacing w:after="0"/>
            </w:pPr>
            <w:r>
              <w:rPr>
                <w:sz w:val="15"/>
              </w:rPr>
              <w:t>A derived graph projection binds every node and edge to canonical source support and remains replaceable.</w:t>
            </w:r>
          </w:p>
        </w:tc>
      </w:tr>
      <w:tr>
        <w:tc>
          <w:tcPr>
            <w:tcW w:type="dxa" w:w="936"/>
            <w:vAlign w:val="top"/>
            <w:tcMar>
              <w:top w:w="80" w:type="dxa"/>
              <w:start w:w="80" w:type="dxa"/>
              <w:bottom w:w="80" w:type="dxa"/>
              <w:end w:w="80" w:type="dxa"/>
            </w:tcMar>
          </w:tcPr>
          <w:p>
            <w:pPr>
              <w:keepLines/>
              <w:spacing w:after="0"/>
            </w:pPr>
            <w:r>
              <w:rPr>
                <w:sz w:val="15"/>
              </w:rPr>
              <w:t>EX-07</w:t>
            </w:r>
          </w:p>
        </w:tc>
        <w:tc>
          <w:tcPr>
            <w:tcW w:type="dxa" w:w="2592"/>
            <w:vAlign w:val="top"/>
            <w:tcMar>
              <w:top w:w="80" w:type="dxa"/>
              <w:start w:w="80" w:type="dxa"/>
              <w:bottom w:w="80" w:type="dxa"/>
              <w:end w:w="80" w:type="dxa"/>
            </w:tcMar>
          </w:tcPr>
          <w:p>
            <w:pPr>
              <w:keepLines/>
              <w:spacing w:after="0"/>
            </w:pPr>
            <w:r>
              <w:rPr>
                <w:sz w:val="15"/>
              </w:rPr>
              <w:t>Strong address resolution</w:t>
            </w:r>
          </w:p>
        </w:tc>
        <w:tc>
          <w:tcPr>
            <w:tcW w:type="dxa" w:w="6840"/>
            <w:vAlign w:val="top"/>
            <w:tcMar>
              <w:top w:w="80" w:type="dxa"/>
              <w:start w:w="80" w:type="dxa"/>
              <w:bottom w:w="80" w:type="dxa"/>
              <w:end w:w="80" w:type="dxa"/>
            </w:tcMar>
          </w:tcPr>
          <w:p>
            <w:pPr>
              <w:keepLines/>
              <w:spacing w:after="0"/>
            </w:pPr>
            <w:r>
              <w:rPr>
                <w:sz w:val="15"/>
              </w:rPr>
              <w:t>A strong address resolves only to the exact source hash, graph revision and selector set.</w:t>
            </w:r>
          </w:p>
        </w:tc>
      </w:tr>
      <w:tr>
        <w:tc>
          <w:tcPr>
            <w:tcW w:type="dxa" w:w="936"/>
            <w:vAlign w:val="top"/>
            <w:tcMar>
              <w:top w:w="80" w:type="dxa"/>
              <w:start w:w="80" w:type="dxa"/>
              <w:bottom w:w="80" w:type="dxa"/>
              <w:end w:w="80" w:type="dxa"/>
            </w:tcMar>
          </w:tcPr>
          <w:p>
            <w:pPr>
              <w:keepLines/>
              <w:spacing w:after="0"/>
            </w:pPr>
            <w:r>
              <w:rPr>
                <w:sz w:val="15"/>
              </w:rPr>
              <w:t>EX-08</w:t>
            </w:r>
          </w:p>
        </w:tc>
        <w:tc>
          <w:tcPr>
            <w:tcW w:type="dxa" w:w="2592"/>
            <w:vAlign w:val="top"/>
            <w:tcMar>
              <w:top w:w="80" w:type="dxa"/>
              <w:start w:w="80" w:type="dxa"/>
              <w:bottom w:w="80" w:type="dxa"/>
              <w:end w:w="80" w:type="dxa"/>
            </w:tcMar>
          </w:tcPr>
          <w:p>
            <w:pPr>
              <w:keepLines/>
              <w:spacing w:after="0"/>
            </w:pPr>
            <w:r>
              <w:rPr>
                <w:sz w:val="15"/>
              </w:rPr>
              <w:t>Logical address resolution</w:t>
            </w:r>
          </w:p>
        </w:tc>
        <w:tc>
          <w:tcPr>
            <w:tcW w:type="dxa" w:w="6840"/>
            <w:vAlign w:val="top"/>
            <w:tcMar>
              <w:top w:w="80" w:type="dxa"/>
              <w:start w:w="80" w:type="dxa"/>
              <w:bottom w:w="80" w:type="dxa"/>
              <w:end w:w="80" w:type="dxa"/>
            </w:tcMar>
          </w:tcPr>
          <w:p>
            <w:pPr>
              <w:keepLines/>
              <w:spacing w:after="0"/>
            </w:pPr>
            <w:r>
              <w:rPr>
                <w:sz w:val="15"/>
              </w:rPr>
              <w:t>A logical version-aware address resolves to one strong address or returns explicit ambiguity/obsolete/unresolved status.</w:t>
            </w:r>
          </w:p>
        </w:tc>
      </w:tr>
      <w:tr>
        <w:tc>
          <w:tcPr>
            <w:tcW w:type="dxa" w:w="936"/>
            <w:vAlign w:val="top"/>
            <w:tcMar>
              <w:top w:w="80" w:type="dxa"/>
              <w:start w:w="80" w:type="dxa"/>
              <w:bottom w:w="80" w:type="dxa"/>
              <w:end w:w="80" w:type="dxa"/>
            </w:tcMar>
          </w:tcPr>
          <w:p>
            <w:pPr>
              <w:keepLines/>
              <w:spacing w:after="0"/>
            </w:pPr>
            <w:r>
              <w:rPr>
                <w:sz w:val="15"/>
              </w:rPr>
              <w:t>EX-09</w:t>
            </w:r>
          </w:p>
        </w:tc>
        <w:tc>
          <w:tcPr>
            <w:tcW w:type="dxa" w:w="2592"/>
            <w:vAlign w:val="top"/>
            <w:tcMar>
              <w:top w:w="80" w:type="dxa"/>
              <w:start w:w="80" w:type="dxa"/>
              <w:bottom w:w="80" w:type="dxa"/>
              <w:end w:w="80" w:type="dxa"/>
            </w:tcMar>
          </w:tcPr>
          <w:p>
            <w:pPr>
              <w:keepLines/>
              <w:spacing w:after="0"/>
            </w:pPr>
            <w:r>
              <w:rPr>
                <w:sz w:val="15"/>
              </w:rPr>
              <w:t>Invalid-address safety</w:t>
            </w:r>
          </w:p>
        </w:tc>
        <w:tc>
          <w:tcPr>
            <w:tcW w:type="dxa" w:w="6840"/>
            <w:vAlign w:val="top"/>
            <w:tcMar>
              <w:top w:w="80" w:type="dxa"/>
              <w:start w:w="80" w:type="dxa"/>
              <w:bottom w:w="80" w:type="dxa"/>
              <w:end w:w="80" w:type="dxa"/>
            </w:tcMar>
          </w:tcPr>
          <w:p>
            <w:pPr>
              <w:keepLines/>
              <w:spacing w:after="0"/>
            </w:pPr>
            <w:r>
              <w:rPr>
                <w:sz w:val="15"/>
              </w:rPr>
              <w:t>Invented node IDs, forbidden versions or mismatched hashes are rejected and never return substitute evidence.</w:t>
            </w:r>
          </w:p>
        </w:tc>
      </w:tr>
      <w:tr>
        <w:tc>
          <w:tcPr>
            <w:tcW w:type="dxa" w:w="936"/>
            <w:vAlign w:val="top"/>
            <w:tcMar>
              <w:top w:w="80" w:type="dxa"/>
              <w:start w:w="80" w:type="dxa"/>
              <w:bottom w:w="80" w:type="dxa"/>
              <w:end w:w="80" w:type="dxa"/>
            </w:tcMar>
          </w:tcPr>
          <w:p>
            <w:pPr>
              <w:keepLines/>
              <w:spacing w:after="0"/>
            </w:pPr>
            <w:r>
              <w:rPr>
                <w:sz w:val="15"/>
              </w:rPr>
              <w:t>EX-10</w:t>
            </w:r>
          </w:p>
        </w:tc>
        <w:tc>
          <w:tcPr>
            <w:tcW w:type="dxa" w:w="2592"/>
            <w:vAlign w:val="top"/>
            <w:tcMar>
              <w:top w:w="80" w:type="dxa"/>
              <w:start w:w="80" w:type="dxa"/>
              <w:bottom w:w="80" w:type="dxa"/>
              <w:end w:w="80" w:type="dxa"/>
            </w:tcMar>
          </w:tcPr>
          <w:p>
            <w:pPr>
              <w:keepLines/>
              <w:spacing w:after="0"/>
            </w:pPr>
            <w:r>
              <w:rPr>
                <w:sz w:val="15"/>
              </w:rPr>
              <w:t>No performance claim</w:t>
            </w:r>
          </w:p>
        </w:tc>
        <w:tc>
          <w:tcPr>
            <w:tcW w:type="dxa" w:w="6840"/>
            <w:vAlign w:val="top"/>
            <w:tcMar>
              <w:top w:w="80" w:type="dxa"/>
              <w:start w:w="80" w:type="dxa"/>
              <w:bottom w:w="80" w:type="dxa"/>
              <w:end w:w="80" w:type="dxa"/>
            </w:tcMar>
          </w:tcPr>
          <w:p>
            <w:pPr>
              <w:keepLines/>
              <w:spacing w:after="0"/>
            </w:pPr>
            <w:r>
              <w:rPr>
                <w:sz w:val="15"/>
              </w:rPr>
              <w:t>Contract tests prove extensibility and correctness only; they do not assert chunker, graph or address-generation superiority.</w:t>
            </w:r>
          </w:p>
        </w:tc>
      </w:tr>
    </w:tbl>
    <w:p/>
    <w:p>
      <w:pPr>
        <w:pStyle w:val="Heading2"/>
      </w:pPr>
      <w:r>
        <w:t>13.7 Negative and regression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1F4E78"/>
            <w:vAlign w:val="center"/>
            <w:tcMar>
              <w:top w:w="80" w:type="dxa"/>
              <w:start w:w="80" w:type="dxa"/>
              <w:bottom w:w="80" w:type="dxa"/>
              <w:end w:w="80" w:type="dxa"/>
            </w:tcMar>
          </w:tcPr>
          <w:p>
            <w:pPr>
              <w:keepLines/>
            </w:pPr>
            <w:r>
              <w:rPr>
                <w:b/>
                <w:color w:val="FFFFFF"/>
                <w:sz w:val="15"/>
              </w:rPr>
              <w:t>ID</w:t>
            </w:r>
          </w:p>
        </w:tc>
        <w:tc>
          <w:tcPr>
            <w:tcW w:type="dxa" w:w="2592"/>
            <w:shd w:fill="1F4E78"/>
            <w:vAlign w:val="center"/>
            <w:tcMar>
              <w:top w:w="80" w:type="dxa"/>
              <w:start w:w="80" w:type="dxa"/>
              <w:bottom w:w="80" w:type="dxa"/>
              <w:end w:w="80" w:type="dxa"/>
            </w:tcMar>
          </w:tcPr>
          <w:p>
            <w:pPr>
              <w:keepLines/>
            </w:pPr>
            <w:r>
              <w:rPr>
                <w:b/>
                <w:color w:val="FFFFFF"/>
                <w:sz w:val="15"/>
              </w:rPr>
              <w:t>Objective</w:t>
            </w:r>
          </w:p>
        </w:tc>
        <w:tc>
          <w:tcPr>
            <w:tcW w:type="dxa" w:w="6840"/>
            <w:shd w:fill="1F4E78"/>
            <w:vAlign w:val="center"/>
            <w:tcMar>
              <w:top w:w="80" w:type="dxa"/>
              <w:start w:w="80" w:type="dxa"/>
              <w:bottom w:w="80" w:type="dxa"/>
              <w:end w:w="80" w:type="dxa"/>
            </w:tcMar>
          </w:tcPr>
          <w:p>
            <w:pPr>
              <w:keepLines/>
            </w:pPr>
            <w:r>
              <w:rPr>
                <w:b/>
                <w:color w:val="FFFFFF"/>
                <w:sz w:val="15"/>
              </w:rPr>
              <w:t>Pass condition</w:t>
            </w:r>
          </w:p>
        </w:tc>
      </w:tr>
      <w:tr>
        <w:tc>
          <w:tcPr>
            <w:tcW w:type="dxa" w:w="936"/>
            <w:vAlign w:val="top"/>
            <w:tcMar>
              <w:top w:w="80" w:type="dxa"/>
              <w:start w:w="80" w:type="dxa"/>
              <w:bottom w:w="80" w:type="dxa"/>
              <w:end w:w="80" w:type="dxa"/>
            </w:tcMar>
          </w:tcPr>
          <w:p>
            <w:pPr>
              <w:keepLines/>
              <w:spacing w:after="0"/>
            </w:pPr>
            <w:r>
              <w:rPr>
                <w:sz w:val="15"/>
              </w:rPr>
              <w:t>RG-01</w:t>
            </w:r>
          </w:p>
        </w:tc>
        <w:tc>
          <w:tcPr>
            <w:tcW w:type="dxa" w:w="2592"/>
            <w:vAlign w:val="top"/>
            <w:tcMar>
              <w:top w:w="80" w:type="dxa"/>
              <w:start w:w="80" w:type="dxa"/>
              <w:bottom w:w="80" w:type="dxa"/>
              <w:end w:w="80" w:type="dxa"/>
            </w:tcMar>
          </w:tcPr>
          <w:p>
            <w:pPr>
              <w:keepLines/>
              <w:spacing w:after="0"/>
            </w:pPr>
            <w:r>
              <w:rPr>
                <w:sz w:val="15"/>
              </w:rPr>
              <w:t>Missing parser</w:t>
            </w:r>
          </w:p>
        </w:tc>
        <w:tc>
          <w:tcPr>
            <w:tcW w:type="dxa" w:w="6840"/>
            <w:vAlign w:val="top"/>
            <w:tcMar>
              <w:top w:w="80" w:type="dxa"/>
              <w:start w:w="80" w:type="dxa"/>
              <w:bottom w:w="80" w:type="dxa"/>
              <w:end w:w="80" w:type="dxa"/>
            </w:tcMar>
          </w:tcPr>
          <w:p>
            <w:pPr>
              <w:keepLines/>
              <w:spacing w:after="0"/>
            </w:pPr>
            <w:r>
              <w:rPr>
                <w:sz w:val="15"/>
              </w:rPr>
              <w:t>Fixed mode reports a clear capability error; fallback/hybrid uses an allowed alternative and records the failure.</w:t>
            </w:r>
          </w:p>
        </w:tc>
      </w:tr>
      <w:tr>
        <w:tc>
          <w:tcPr>
            <w:tcW w:type="dxa" w:w="936"/>
            <w:vAlign w:val="top"/>
            <w:tcMar>
              <w:top w:w="80" w:type="dxa"/>
              <w:start w:w="80" w:type="dxa"/>
              <w:bottom w:w="80" w:type="dxa"/>
              <w:end w:w="80" w:type="dxa"/>
            </w:tcMar>
          </w:tcPr>
          <w:p>
            <w:pPr>
              <w:keepLines/>
              <w:spacing w:after="0"/>
            </w:pPr>
            <w:r>
              <w:rPr>
                <w:sz w:val="15"/>
              </w:rPr>
              <w:t>RG-02</w:t>
            </w:r>
          </w:p>
        </w:tc>
        <w:tc>
          <w:tcPr>
            <w:tcW w:type="dxa" w:w="2592"/>
            <w:vAlign w:val="top"/>
            <w:tcMar>
              <w:top w:w="80" w:type="dxa"/>
              <w:start w:w="80" w:type="dxa"/>
              <w:bottom w:w="80" w:type="dxa"/>
              <w:end w:w="80" w:type="dxa"/>
            </w:tcMar>
          </w:tcPr>
          <w:p>
            <w:pPr>
              <w:keepLines/>
              <w:spacing w:after="0"/>
            </w:pPr>
            <w:r>
              <w:rPr>
                <w:sz w:val="15"/>
              </w:rPr>
              <w:t>Corrupt/encrypted source</w:t>
            </w:r>
          </w:p>
        </w:tc>
        <w:tc>
          <w:tcPr>
            <w:tcW w:type="dxa" w:w="6840"/>
            <w:vAlign w:val="top"/>
            <w:tcMar>
              <w:top w:w="80" w:type="dxa"/>
              <w:start w:w="80" w:type="dxa"/>
              <w:bottom w:w="80" w:type="dxa"/>
              <w:end w:w="80" w:type="dxa"/>
            </w:tcMar>
          </w:tcPr>
          <w:p>
            <w:pPr>
              <w:keepLines/>
              <w:spacing w:after="0"/>
            </w:pPr>
            <w:r>
              <w:rPr>
                <w:sz w:val="15"/>
              </w:rPr>
              <w:t>The job fails safely without publishing a partial authoritative canonical graph.</w:t>
            </w:r>
          </w:p>
        </w:tc>
      </w:tr>
      <w:tr>
        <w:tc>
          <w:tcPr>
            <w:tcW w:type="dxa" w:w="936"/>
            <w:vAlign w:val="top"/>
            <w:tcMar>
              <w:top w:w="80" w:type="dxa"/>
              <w:start w:w="80" w:type="dxa"/>
              <w:bottom w:w="80" w:type="dxa"/>
              <w:end w:w="80" w:type="dxa"/>
            </w:tcMar>
          </w:tcPr>
          <w:p>
            <w:pPr>
              <w:keepLines/>
              <w:spacing w:after="0"/>
            </w:pPr>
            <w:r>
              <w:rPr>
                <w:sz w:val="15"/>
              </w:rPr>
              <w:t>RG-03</w:t>
            </w:r>
          </w:p>
        </w:tc>
        <w:tc>
          <w:tcPr>
            <w:tcW w:type="dxa" w:w="2592"/>
            <w:vAlign w:val="top"/>
            <w:tcMar>
              <w:top w:w="80" w:type="dxa"/>
              <w:start w:w="80" w:type="dxa"/>
              <w:bottom w:w="80" w:type="dxa"/>
              <w:end w:w="80" w:type="dxa"/>
            </w:tcMar>
          </w:tcPr>
          <w:p>
            <w:pPr>
              <w:keepLines/>
              <w:spacing w:after="0"/>
            </w:pPr>
            <w:r>
              <w:rPr>
                <w:sz w:val="15"/>
              </w:rPr>
              <w:t>Malformed hierarchy</w:t>
            </w:r>
          </w:p>
        </w:tc>
        <w:tc>
          <w:tcPr>
            <w:tcW w:type="dxa" w:w="6840"/>
            <w:vAlign w:val="top"/>
            <w:tcMar>
              <w:top w:w="80" w:type="dxa"/>
              <w:start w:w="80" w:type="dxa"/>
              <w:bottom w:w="80" w:type="dxa"/>
              <w:end w:w="80" w:type="dxa"/>
            </w:tcMar>
          </w:tcPr>
          <w:p>
            <w:pPr>
              <w:keepLines/>
              <w:spacing w:after="0"/>
            </w:pPr>
            <w:r>
              <w:rPr>
                <w:sz w:val="15"/>
              </w:rPr>
              <w:t>Literal headings are retained and ambiguity is explicit; no hierarchy is fabricated.</w:t>
            </w:r>
          </w:p>
        </w:tc>
      </w:tr>
      <w:tr>
        <w:tc>
          <w:tcPr>
            <w:tcW w:type="dxa" w:w="936"/>
            <w:vAlign w:val="top"/>
            <w:tcMar>
              <w:top w:w="80" w:type="dxa"/>
              <w:start w:w="80" w:type="dxa"/>
              <w:bottom w:w="80" w:type="dxa"/>
              <w:end w:w="80" w:type="dxa"/>
            </w:tcMar>
          </w:tcPr>
          <w:p>
            <w:pPr>
              <w:keepLines/>
              <w:spacing w:after="0"/>
            </w:pPr>
            <w:r>
              <w:rPr>
                <w:sz w:val="15"/>
              </w:rPr>
              <w:t>RG-04</w:t>
            </w:r>
          </w:p>
        </w:tc>
        <w:tc>
          <w:tcPr>
            <w:tcW w:type="dxa" w:w="2592"/>
            <w:vAlign w:val="top"/>
            <w:tcMar>
              <w:top w:w="80" w:type="dxa"/>
              <w:start w:w="80" w:type="dxa"/>
              <w:bottom w:w="80" w:type="dxa"/>
              <w:end w:w="80" w:type="dxa"/>
            </w:tcMar>
          </w:tcPr>
          <w:p>
            <w:pPr>
              <w:keepLines/>
              <w:spacing w:after="0"/>
            </w:pPr>
            <w:r>
              <w:rPr>
                <w:sz w:val="15"/>
              </w:rPr>
              <w:t>Broken reference</w:t>
            </w:r>
          </w:p>
        </w:tc>
        <w:tc>
          <w:tcPr>
            <w:tcW w:type="dxa" w:w="6840"/>
            <w:vAlign w:val="top"/>
            <w:tcMar>
              <w:top w:w="80" w:type="dxa"/>
              <w:start w:w="80" w:type="dxa"/>
              <w:bottom w:w="80" w:type="dxa"/>
              <w:end w:w="80" w:type="dxa"/>
            </w:tcMar>
          </w:tcPr>
          <w:p>
            <w:pPr>
              <w:keepLines/>
              <w:spacing w:after="0"/>
            </w:pPr>
            <w:r>
              <w:rPr>
                <w:sz w:val="15"/>
              </w:rPr>
              <w:t>Literal reference and source support remain with unresolved/broken status.</w:t>
            </w:r>
          </w:p>
        </w:tc>
      </w:tr>
      <w:tr>
        <w:tc>
          <w:tcPr>
            <w:tcW w:type="dxa" w:w="936"/>
            <w:vAlign w:val="top"/>
            <w:tcMar>
              <w:top w:w="80" w:type="dxa"/>
              <w:start w:w="80" w:type="dxa"/>
              <w:bottom w:w="80" w:type="dxa"/>
              <w:end w:w="80" w:type="dxa"/>
            </w:tcMar>
          </w:tcPr>
          <w:p>
            <w:pPr>
              <w:keepLines/>
              <w:spacing w:after="0"/>
            </w:pPr>
            <w:r>
              <w:rPr>
                <w:sz w:val="15"/>
              </w:rPr>
              <w:t>RG-05</w:t>
            </w:r>
          </w:p>
        </w:tc>
        <w:tc>
          <w:tcPr>
            <w:tcW w:type="dxa" w:w="2592"/>
            <w:vAlign w:val="top"/>
            <w:tcMar>
              <w:top w:w="80" w:type="dxa"/>
              <w:start w:w="80" w:type="dxa"/>
              <w:bottom w:w="80" w:type="dxa"/>
              <w:end w:w="80" w:type="dxa"/>
            </w:tcMar>
          </w:tcPr>
          <w:p>
            <w:pPr>
              <w:keepLines/>
              <w:spacing w:after="0"/>
            </w:pPr>
            <w:r>
              <w:rPr>
                <w:sz w:val="15"/>
              </w:rPr>
              <w:t>Backward compatibility</w:t>
            </w:r>
          </w:p>
        </w:tc>
        <w:tc>
          <w:tcPr>
            <w:tcW w:type="dxa" w:w="6840"/>
            <w:vAlign w:val="top"/>
            <w:tcMar>
              <w:top w:w="80" w:type="dxa"/>
              <w:start w:w="80" w:type="dxa"/>
              <w:bottom w:w="80" w:type="dxa"/>
              <w:end w:w="80" w:type="dxa"/>
            </w:tcMar>
          </w:tcPr>
          <w:p>
            <w:pPr>
              <w:keepLines/>
              <w:spacing w:after="0"/>
            </w:pPr>
            <w:r>
              <w:rPr>
                <w:sz w:val="15"/>
              </w:rPr>
              <w:t>Stored v1/v2 documents and manifests remain readable.</w:t>
            </w:r>
          </w:p>
        </w:tc>
      </w:tr>
      <w:tr>
        <w:tc>
          <w:tcPr>
            <w:tcW w:type="dxa" w:w="936"/>
            <w:vAlign w:val="top"/>
            <w:tcMar>
              <w:top w:w="80" w:type="dxa"/>
              <w:start w:w="80" w:type="dxa"/>
              <w:bottom w:w="80" w:type="dxa"/>
              <w:end w:w="80" w:type="dxa"/>
            </w:tcMar>
          </w:tcPr>
          <w:p>
            <w:pPr>
              <w:keepLines/>
              <w:spacing w:after="0"/>
            </w:pPr>
            <w:r>
              <w:rPr>
                <w:sz w:val="15"/>
              </w:rPr>
              <w:t>RG-06</w:t>
            </w:r>
          </w:p>
        </w:tc>
        <w:tc>
          <w:tcPr>
            <w:tcW w:type="dxa" w:w="2592"/>
            <w:vAlign w:val="top"/>
            <w:tcMar>
              <w:top w:w="80" w:type="dxa"/>
              <w:start w:w="80" w:type="dxa"/>
              <w:bottom w:w="80" w:type="dxa"/>
              <w:end w:w="80" w:type="dxa"/>
            </w:tcMar>
          </w:tcPr>
          <w:p>
            <w:pPr>
              <w:keepLines/>
              <w:spacing w:after="0"/>
            </w:pPr>
            <w:r>
              <w:rPr>
                <w:sz w:val="15"/>
              </w:rPr>
              <w:t>Fixture immutability</w:t>
            </w:r>
          </w:p>
        </w:tc>
        <w:tc>
          <w:tcPr>
            <w:tcW w:type="dxa" w:w="6840"/>
            <w:vAlign w:val="top"/>
            <w:tcMar>
              <w:top w:w="80" w:type="dxa"/>
              <w:start w:w="80" w:type="dxa"/>
              <w:bottom w:w="80" w:type="dxa"/>
              <w:end w:w="80" w:type="dxa"/>
            </w:tcMar>
          </w:tcPr>
          <w:p>
            <w:pPr>
              <w:keepLines/>
              <w:spacing w:after="0"/>
            </w:pPr>
            <w:r>
              <w:rPr>
                <w:sz w:val="15"/>
              </w:rPr>
              <w:t>Frozen source and expected artifact hashes are validated in CI.</w:t>
            </w:r>
          </w:p>
        </w:tc>
      </w:tr>
      <w:tr>
        <w:tc>
          <w:tcPr>
            <w:tcW w:type="dxa" w:w="936"/>
            <w:vAlign w:val="top"/>
            <w:tcMar>
              <w:top w:w="80" w:type="dxa"/>
              <w:start w:w="80" w:type="dxa"/>
              <w:bottom w:w="80" w:type="dxa"/>
              <w:end w:w="80" w:type="dxa"/>
            </w:tcMar>
          </w:tcPr>
          <w:p>
            <w:pPr>
              <w:keepLines/>
              <w:spacing w:after="0"/>
            </w:pPr>
            <w:r>
              <w:rPr>
                <w:sz w:val="15"/>
              </w:rPr>
              <w:t>RG-07</w:t>
            </w:r>
          </w:p>
        </w:tc>
        <w:tc>
          <w:tcPr>
            <w:tcW w:type="dxa" w:w="2592"/>
            <w:vAlign w:val="top"/>
            <w:tcMar>
              <w:top w:w="80" w:type="dxa"/>
              <w:start w:w="80" w:type="dxa"/>
              <w:bottom w:w="80" w:type="dxa"/>
              <w:end w:w="80" w:type="dxa"/>
            </w:tcMar>
          </w:tcPr>
          <w:p>
            <w:pPr>
              <w:keepLines/>
              <w:spacing w:after="0"/>
            </w:pPr>
            <w:r>
              <w:rPr>
                <w:sz w:val="15"/>
              </w:rPr>
              <w:t>Backend/private separation</w:t>
            </w:r>
          </w:p>
        </w:tc>
        <w:tc>
          <w:tcPr>
            <w:tcW w:type="dxa" w:w="6840"/>
            <w:vAlign w:val="top"/>
            <w:tcMar>
              <w:top w:w="80" w:type="dxa"/>
              <w:start w:w="80" w:type="dxa"/>
              <w:bottom w:w="80" w:type="dxa"/>
              <w:end w:w="80" w:type="dxa"/>
            </w:tcMar>
          </w:tcPr>
          <w:p>
            <w:pPr>
              <w:keepLines/>
              <w:spacing w:after="0"/>
            </w:pPr>
            <w:r>
              <w:rPr>
                <w:sz w:val="15"/>
              </w:rPr>
              <w:t>Parser-native capability tests are separate from canonical acceptance tests.</w:t>
            </w:r>
          </w:p>
        </w:tc>
      </w:tr>
      <w:tr>
        <w:tc>
          <w:tcPr>
            <w:tcW w:type="dxa" w:w="936"/>
            <w:vAlign w:val="top"/>
            <w:tcMar>
              <w:top w:w="80" w:type="dxa"/>
              <w:start w:w="80" w:type="dxa"/>
              <w:bottom w:w="80" w:type="dxa"/>
              <w:end w:w="80" w:type="dxa"/>
            </w:tcMar>
          </w:tcPr>
          <w:p>
            <w:pPr>
              <w:keepLines/>
              <w:spacing w:after="0"/>
            </w:pPr>
            <w:r>
              <w:rPr>
                <w:sz w:val="15"/>
              </w:rPr>
              <w:t>RG-08</w:t>
            </w:r>
          </w:p>
        </w:tc>
        <w:tc>
          <w:tcPr>
            <w:tcW w:type="dxa" w:w="2592"/>
            <w:vAlign w:val="top"/>
            <w:tcMar>
              <w:top w:w="80" w:type="dxa"/>
              <w:start w:w="80" w:type="dxa"/>
              <w:bottom w:w="80" w:type="dxa"/>
              <w:end w:w="80" w:type="dxa"/>
            </w:tcMar>
          </w:tcPr>
          <w:p>
            <w:pPr>
              <w:keepLines/>
              <w:spacing w:after="0"/>
            </w:pPr>
            <w:r>
              <w:rPr>
                <w:sz w:val="15"/>
              </w:rPr>
              <w:t>No implementation snapshots</w:t>
            </w:r>
          </w:p>
        </w:tc>
        <w:tc>
          <w:tcPr>
            <w:tcW w:type="dxa" w:w="6840"/>
            <w:vAlign w:val="top"/>
            <w:tcMar>
              <w:top w:w="80" w:type="dxa"/>
              <w:start w:w="80" w:type="dxa"/>
              <w:bottom w:w="80" w:type="dxa"/>
              <w:end w:w="80" w:type="dxa"/>
            </w:tcMar>
          </w:tcPr>
          <w:p>
            <w:pPr>
              <w:keepLines/>
              <w:spacing w:after="0"/>
            </w:pPr>
            <w:r>
              <w:rPr>
                <w:sz w:val="15"/>
              </w:rPr>
              <w:t>Tests assert ground-truth facts and invariants, not a full JSON snapshot emitted by the current implementation.</w:t>
            </w:r>
          </w:p>
        </w:tc>
      </w:tr>
    </w:tbl>
    <w:p/>
    <w:p>
      <w:pPr>
        <w:pStyle w:val="Heading1"/>
      </w:pPr>
      <w:r>
        <w:t>14. Focused implementation and test sequence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8"/>
            <w:vAlign w:val="center"/>
            <w:tcMar>
              <w:top w:w="80" w:type="dxa"/>
              <w:start w:w="80" w:type="dxa"/>
              <w:bottom w:w="80" w:type="dxa"/>
              <w:end w:w="80" w:type="dxa"/>
            </w:tcMar>
          </w:tcPr>
          <w:p>
            <w:pPr>
              <w:keepLines/>
            </w:pPr>
            <w:r>
              <w:rPr>
                <w:b/>
                <w:color w:val="FFFFFF"/>
                <w:sz w:val="16"/>
              </w:rPr>
              <w:t>Phase</w:t>
            </w:r>
          </w:p>
        </w:tc>
        <w:tc>
          <w:tcPr>
            <w:tcW w:type="dxa" w:w="7920"/>
            <w:shd w:fill="1F4E78"/>
            <w:vAlign w:val="center"/>
            <w:tcMar>
              <w:top w:w="80" w:type="dxa"/>
              <w:start w:w="80" w:type="dxa"/>
              <w:bottom w:w="80" w:type="dxa"/>
              <w:end w:w="80" w:type="dxa"/>
            </w:tcMar>
          </w:tcPr>
          <w:p>
            <w:pPr>
              <w:keepLines/>
            </w:pPr>
            <w:r>
              <w:rPr>
                <w:b/>
                <w:color w:val="FFFFFF"/>
                <w:sz w:val="16"/>
              </w:rPr>
              <w:t>Outcome</w:t>
            </w:r>
          </w:p>
        </w:tc>
      </w:tr>
      <w:tr>
        <w:tc>
          <w:tcPr>
            <w:tcW w:type="dxa" w:w="2448"/>
            <w:vAlign w:val="top"/>
            <w:tcMar>
              <w:top w:w="80" w:type="dxa"/>
              <w:start w:w="80" w:type="dxa"/>
              <w:bottom w:w="80" w:type="dxa"/>
              <w:end w:w="80" w:type="dxa"/>
            </w:tcMar>
          </w:tcPr>
          <w:p>
            <w:pPr>
              <w:keepLines/>
              <w:spacing w:after="0"/>
            </w:pPr>
            <w:r>
              <w:rPr>
                <w:sz w:val="16"/>
              </w:rPr>
              <w:t>F0 — Contract freeze</w:t>
            </w:r>
          </w:p>
        </w:tc>
        <w:tc>
          <w:tcPr>
            <w:tcW w:type="dxa" w:w="7920"/>
            <w:vAlign w:val="top"/>
            <w:tcMar>
              <w:top w:w="80" w:type="dxa"/>
              <w:start w:w="80" w:type="dxa"/>
              <w:bottom w:w="80" w:type="dxa"/>
              <w:end w:w="80" w:type="dxa"/>
            </w:tcMar>
          </w:tcPr>
          <w:p>
            <w:pPr>
              <w:keepLines/>
              <w:spacing w:after="0"/>
            </w:pPr>
            <w:r>
              <w:rPr>
                <w:sz w:val="16"/>
              </w:rPr>
              <w:t>Freeze the revised schema, native-binding contract, processing capability registry, focused fixtures and exact acceptance tests. Keep semantic-KG and model-training benchmarks outside the active plan.</w:t>
            </w:r>
          </w:p>
        </w:tc>
      </w:tr>
      <w:tr>
        <w:tc>
          <w:tcPr>
            <w:tcW w:type="dxa" w:w="2448"/>
            <w:vAlign w:val="top"/>
            <w:tcMar>
              <w:top w:w="80" w:type="dxa"/>
              <w:start w:w="80" w:type="dxa"/>
              <w:bottom w:w="80" w:type="dxa"/>
              <w:end w:w="80" w:type="dxa"/>
            </w:tcMar>
          </w:tcPr>
          <w:p>
            <w:pPr>
              <w:keepLines/>
              <w:spacing w:after="0"/>
            </w:pPr>
            <w:r>
              <w:rPr>
                <w:sz w:val="16"/>
              </w:rPr>
              <w:t>F1 — Docling lossless path</w:t>
            </w:r>
          </w:p>
        </w:tc>
        <w:tc>
          <w:tcPr>
            <w:tcW w:type="dxa" w:w="7920"/>
            <w:vAlign w:val="top"/>
            <w:tcMar>
              <w:top w:w="80" w:type="dxa"/>
              <w:start w:w="80" w:type="dxa"/>
              <w:bottom w:w="80" w:type="dxa"/>
              <w:end w:w="80" w:type="dxa"/>
            </w:tcMar>
          </w:tcPr>
          <w:p>
            <w:pPr>
              <w:keepLines/>
              <w:spacing w:after="0"/>
            </w:pPr>
            <w:r>
              <w:rPr>
                <w:sz w:val="16"/>
              </w:rPr>
              <w:t>Retain complete DoclingDocument; build additive canonical mappings and prove no loss of required native richness.</w:t>
            </w:r>
          </w:p>
        </w:tc>
      </w:tr>
      <w:tr>
        <w:tc>
          <w:tcPr>
            <w:tcW w:type="dxa" w:w="2448"/>
            <w:vAlign w:val="top"/>
            <w:tcMar>
              <w:top w:w="80" w:type="dxa"/>
              <w:start w:w="80" w:type="dxa"/>
              <w:bottom w:w="80" w:type="dxa"/>
              <w:end w:w="80" w:type="dxa"/>
            </w:tcMar>
          </w:tcPr>
          <w:p>
            <w:pPr>
              <w:keepLines/>
              <w:spacing w:after="0"/>
            </w:pPr>
            <w:r>
              <w:rPr>
                <w:sz w:val="16"/>
              </w:rPr>
              <w:t>F2 — Parser neutrality</w:t>
            </w:r>
          </w:p>
        </w:tc>
        <w:tc>
          <w:tcPr>
            <w:tcW w:type="dxa" w:w="7920"/>
            <w:vAlign w:val="top"/>
            <w:tcMar>
              <w:top w:w="80" w:type="dxa"/>
              <w:start w:w="80" w:type="dxa"/>
              <w:bottom w:w="80" w:type="dxa"/>
              <w:end w:w="80" w:type="dxa"/>
            </w:tcMar>
          </w:tcPr>
          <w:p>
            <w:pPr>
              <w:keepLines/>
              <w:spacing w:after="0"/>
            </w:pPr>
            <w:r>
              <w:rPr>
                <w:sz w:val="16"/>
              </w:rPr>
              <w:t>Add PyMuPDF and controlled alternative/mock adapter; prove stable downstream contract and per-field fact sources.</w:t>
            </w:r>
          </w:p>
        </w:tc>
      </w:tr>
      <w:tr>
        <w:tc>
          <w:tcPr>
            <w:tcW w:type="dxa" w:w="2448"/>
            <w:vAlign w:val="top"/>
            <w:tcMar>
              <w:top w:w="80" w:type="dxa"/>
              <w:start w:w="80" w:type="dxa"/>
              <w:bottom w:w="80" w:type="dxa"/>
              <w:end w:w="80" w:type="dxa"/>
            </w:tcMar>
          </w:tcPr>
          <w:p>
            <w:pPr>
              <w:keepLines/>
              <w:spacing w:after="0"/>
            </w:pPr>
            <w:r>
              <w:rPr>
                <w:sz w:val="16"/>
              </w:rPr>
              <w:t>F3 — Capability intelligence</w:t>
            </w:r>
          </w:p>
        </w:tc>
        <w:tc>
          <w:tcPr>
            <w:tcW w:type="dxa" w:w="7920"/>
            <w:vAlign w:val="top"/>
            <w:tcMar>
              <w:top w:w="80" w:type="dxa"/>
              <w:start w:w="80" w:type="dxa"/>
              <w:bottom w:w="80" w:type="dxa"/>
              <w:end w:w="80" w:type="dxa"/>
            </w:tcMar>
          </w:tcPr>
          <w:p>
            <w:pPr>
              <w:keepLines/>
              <w:spacing w:after="0"/>
            </w:pPr>
            <w:r>
              <w:rPr>
                <w:sz w:val="16"/>
              </w:rPr>
              <w:t>Implement three-source registry, official-documentation discovery agent and three routing modes for parsers; keep the subject model reusable for chunkers.</w:t>
            </w:r>
          </w:p>
        </w:tc>
      </w:tr>
      <w:tr>
        <w:tc>
          <w:tcPr>
            <w:tcW w:type="dxa" w:w="2448"/>
            <w:vAlign w:val="top"/>
            <w:tcMar>
              <w:top w:w="80" w:type="dxa"/>
              <w:start w:w="80" w:type="dxa"/>
              <w:bottom w:w="80" w:type="dxa"/>
              <w:end w:w="80" w:type="dxa"/>
            </w:tcMar>
          </w:tcPr>
          <w:p>
            <w:pPr>
              <w:keepLines/>
              <w:spacing w:after="0"/>
            </w:pPr>
            <w:r>
              <w:rPr>
                <w:sz w:val="16"/>
              </w:rPr>
              <w:t>F4 — Alignment and fusion</w:t>
            </w:r>
          </w:p>
        </w:tc>
        <w:tc>
          <w:tcPr>
            <w:tcW w:type="dxa" w:w="7920"/>
            <w:vAlign w:val="top"/>
            <w:tcMar>
              <w:top w:w="80" w:type="dxa"/>
              <w:start w:w="80" w:type="dxa"/>
              <w:bottom w:w="80" w:type="dxa"/>
              <w:end w:w="80" w:type="dxa"/>
            </w:tcMar>
          </w:tcPr>
          <w:p>
            <w:pPr>
              <w:keepLines/>
              <w:spacing w:after="0"/>
            </w:pPr>
            <w:r>
              <w:rPr>
                <w:sz w:val="16"/>
              </w:rPr>
              <w:t>Implement multi-signal observation alignment, complementary merge, conflict records and bounded adjudication.</w:t>
            </w:r>
          </w:p>
        </w:tc>
      </w:tr>
      <w:tr>
        <w:tc>
          <w:tcPr>
            <w:tcW w:type="dxa" w:w="2448"/>
            <w:vAlign w:val="top"/>
            <w:tcMar>
              <w:top w:w="80" w:type="dxa"/>
              <w:start w:w="80" w:type="dxa"/>
              <w:bottom w:w="80" w:type="dxa"/>
              <w:end w:w="80" w:type="dxa"/>
            </w:tcMar>
          </w:tcPr>
          <w:p>
            <w:pPr>
              <w:keepLines/>
              <w:spacing w:after="0"/>
            </w:pPr>
            <w:r>
              <w:rPr>
                <w:sz w:val="16"/>
              </w:rPr>
              <w:t>F5 — Reuse and retention</w:t>
            </w:r>
          </w:p>
        </w:tc>
        <w:tc>
          <w:tcPr>
            <w:tcW w:type="dxa" w:w="7920"/>
            <w:vAlign w:val="top"/>
            <w:tcMar>
              <w:top w:w="80" w:type="dxa"/>
              <w:start w:w="80" w:type="dxa"/>
              <w:bottom w:w="80" w:type="dxa"/>
              <w:end w:w="80" w:type="dxa"/>
            </w:tcMar>
          </w:tcPr>
          <w:p>
            <w:pPr>
              <w:keepLines/>
              <w:spacing w:after="0"/>
            </w:pPr>
            <w:r>
              <w:rPr>
                <w:sz w:val="16"/>
              </w:rPr>
              <w:t>Implement extraction identity, cache/reference reuse, raw retention modes, legal hold, purge and tombstones.</w:t>
            </w:r>
          </w:p>
        </w:tc>
      </w:tr>
      <w:tr>
        <w:tc>
          <w:tcPr>
            <w:tcW w:type="dxa" w:w="2448"/>
            <w:vAlign w:val="top"/>
            <w:tcMar>
              <w:top w:w="80" w:type="dxa"/>
              <w:start w:w="80" w:type="dxa"/>
              <w:bottom w:w="80" w:type="dxa"/>
              <w:end w:w="80" w:type="dxa"/>
            </w:tcMar>
          </w:tcPr>
          <w:p>
            <w:pPr>
              <w:keepLines/>
              <w:spacing w:after="0"/>
            </w:pPr>
            <w:r>
              <w:rPr>
                <w:sz w:val="16"/>
              </w:rPr>
              <w:t>F6 — Source Graph, views and addresses</w:t>
            </w:r>
          </w:p>
        </w:tc>
        <w:tc>
          <w:tcPr>
            <w:tcW w:type="dxa" w:w="7920"/>
            <w:vAlign w:val="top"/>
            <w:tcMar>
              <w:top w:w="80" w:type="dxa"/>
              <w:start w:w="80" w:type="dxa"/>
              <w:bottom w:w="80" w:type="dxa"/>
              <w:end w:w="80" w:type="dxa"/>
            </w:tcMar>
          </w:tcPr>
          <w:p>
            <w:pPr>
              <w:keepLines/>
              <w:spacing w:after="0"/>
            </w:pPr>
            <w:r>
              <w:rPr>
                <w:sz w:val="16"/>
              </w:rPr>
              <w:t>Implement direct, subtree, paragraph, object, relation-expanded and representative multi-strategy views; add strong/logical/evidence-set address resolution and simple graph-projection bindings.</w:t>
            </w:r>
          </w:p>
        </w:tc>
      </w:tr>
      <w:tr>
        <w:tc>
          <w:tcPr>
            <w:tcW w:type="dxa" w:w="2448"/>
            <w:vAlign w:val="top"/>
            <w:tcMar>
              <w:top w:w="80" w:type="dxa"/>
              <w:start w:w="80" w:type="dxa"/>
              <w:bottom w:w="80" w:type="dxa"/>
              <w:end w:w="80" w:type="dxa"/>
            </w:tcMar>
          </w:tcPr>
          <w:p>
            <w:pPr>
              <w:keepLines/>
              <w:spacing w:after="0"/>
            </w:pPr>
            <w:r>
              <w:rPr>
                <w:sz w:val="16"/>
              </w:rPr>
              <w:t>F7 — DataForge handoffs</w:t>
            </w:r>
          </w:p>
        </w:tc>
        <w:tc>
          <w:tcPr>
            <w:tcW w:type="dxa" w:w="7920"/>
            <w:vAlign w:val="top"/>
            <w:tcMar>
              <w:top w:w="80" w:type="dxa"/>
              <w:start w:w="80" w:type="dxa"/>
              <w:bottom w:w="80" w:type="dxa"/>
              <w:end w:w="80" w:type="dxa"/>
            </w:tcMar>
          </w:tcPr>
          <w:p>
            <w:pPr>
              <w:keepLines/>
              <w:spacing w:after="0"/>
            </w:pPr>
            <w:r>
              <w:rPr>
                <w:sz w:val="16"/>
              </w:rPr>
              <w:t>Pass paragraph QA and cross-section/cross-document KU tests from actual Ingest output, including resolvable support addresses.</w:t>
            </w:r>
          </w:p>
        </w:tc>
      </w:tr>
      <w:tr>
        <w:tc>
          <w:tcPr>
            <w:tcW w:type="dxa" w:w="2448"/>
            <w:vAlign w:val="top"/>
            <w:tcMar>
              <w:top w:w="80" w:type="dxa"/>
              <w:start w:w="80" w:type="dxa"/>
              <w:bottom w:w="80" w:type="dxa"/>
              <w:end w:w="80" w:type="dxa"/>
            </w:tcMar>
          </w:tcPr>
          <w:p>
            <w:pPr>
              <w:keepLines/>
              <w:spacing w:after="0"/>
            </w:pPr>
            <w:r>
              <w:rPr>
                <w:sz w:val="16"/>
              </w:rPr>
              <w:t>F8 — Regression and documentation</w:t>
            </w:r>
          </w:p>
        </w:tc>
        <w:tc>
          <w:tcPr>
            <w:tcW w:type="dxa" w:w="7920"/>
            <w:vAlign w:val="top"/>
            <w:tcMar>
              <w:top w:w="80" w:type="dxa"/>
              <w:start w:w="80" w:type="dxa"/>
              <w:bottom w:w="80" w:type="dxa"/>
              <w:end w:w="80" w:type="dxa"/>
            </w:tcMar>
          </w:tcPr>
          <w:p>
            <w:pPr>
              <w:keepLines/>
              <w:spacing w:after="0"/>
            </w:pPr>
            <w:r>
              <w:rPr>
                <w:sz w:val="16"/>
              </w:rPr>
              <w:t>Run full compatibility, negative, fixture-integrity and documentation checks; report measured limitations and deferred research.</w:t>
            </w:r>
          </w:p>
        </w:tc>
      </w:tr>
    </w:tbl>
    <w:p/>
    <w:p>
      <w:pPr>
        <w:pStyle w:val="Heading2"/>
      </w:pPr>
      <w:r>
        <w:t>14.1 Deferred extension sequence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1F4E78"/>
            <w:vAlign w:val="center"/>
            <w:tcMar>
              <w:top w:w="80" w:type="dxa"/>
              <w:start w:w="80" w:type="dxa"/>
              <w:bottom w:w="80" w:type="dxa"/>
              <w:end w:w="80" w:type="dxa"/>
            </w:tcMar>
          </w:tcPr>
          <w:p>
            <w:pPr>
              <w:keepLines/>
            </w:pPr>
            <w:r>
              <w:rPr>
                <w:b/>
                <w:color w:val="FFFFFF"/>
                <w:sz w:val="16"/>
              </w:rPr>
              <w:t>Future phase</w:t>
            </w:r>
          </w:p>
        </w:tc>
        <w:tc>
          <w:tcPr>
            <w:tcW w:type="dxa" w:w="7632"/>
            <w:shd w:fill="1F4E78"/>
            <w:vAlign w:val="center"/>
            <w:tcMar>
              <w:top w:w="80" w:type="dxa"/>
              <w:start w:w="80" w:type="dxa"/>
              <w:bottom w:w="80" w:type="dxa"/>
              <w:end w:w="80" w:type="dxa"/>
            </w:tcMar>
          </w:tcPr>
          <w:p>
            <w:pPr>
              <w:keepLines/>
            </w:pPr>
            <w:r>
              <w:rPr>
                <w:b/>
                <w:color w:val="FFFFFF"/>
                <w:sz w:val="16"/>
              </w:rPr>
              <w:t>Start only after focused definition of done</w:t>
            </w:r>
          </w:p>
        </w:tc>
      </w:tr>
      <w:tr>
        <w:tc>
          <w:tcPr>
            <w:tcW w:type="dxa" w:w="2736"/>
            <w:vAlign w:val="top"/>
            <w:tcMar>
              <w:top w:w="80" w:type="dxa"/>
              <w:start w:w="80" w:type="dxa"/>
              <w:bottom w:w="80" w:type="dxa"/>
              <w:end w:w="80" w:type="dxa"/>
            </w:tcMar>
          </w:tcPr>
          <w:p>
            <w:pPr>
              <w:keepLines/>
              <w:spacing w:after="0"/>
            </w:pPr>
            <w:r>
              <w:rPr>
                <w:sz w:val="16"/>
              </w:rPr>
              <w:t>E1 — Adaptive chunker evaluation</w:t>
            </w:r>
          </w:p>
        </w:tc>
        <w:tc>
          <w:tcPr>
            <w:tcW w:type="dxa" w:w="7632"/>
            <w:vAlign w:val="top"/>
            <w:tcMar>
              <w:top w:w="80" w:type="dxa"/>
              <w:start w:w="80" w:type="dxa"/>
              <w:bottom w:w="80" w:type="dxa"/>
              <w:end w:w="80" w:type="dxa"/>
            </w:tcMar>
          </w:tcPr>
          <w:p>
            <w:pPr>
              <w:keepLines/>
              <w:spacing w:after="0"/>
            </w:pPr>
            <w:r>
              <w:rPr>
                <w:sz w:val="16"/>
              </w:rPr>
              <w:t>Benchmark strong fixed/recursive, Docling structure-aware, parent-child, semantic, late/cross-granularity and full-context controls using identical canonical content.</w:t>
            </w:r>
          </w:p>
        </w:tc>
      </w:tr>
      <w:tr>
        <w:tc>
          <w:tcPr>
            <w:tcW w:type="dxa" w:w="2736"/>
            <w:vAlign w:val="top"/>
            <w:tcMar>
              <w:top w:w="80" w:type="dxa"/>
              <w:start w:w="80" w:type="dxa"/>
              <w:bottom w:w="80" w:type="dxa"/>
              <w:end w:w="80" w:type="dxa"/>
            </w:tcMar>
          </w:tcPr>
          <w:p>
            <w:pPr>
              <w:keepLines/>
              <w:spacing w:after="0"/>
            </w:pPr>
            <w:r>
              <w:rPr>
                <w:sz w:val="16"/>
              </w:rPr>
              <w:t>E2 — Query-time multi-view fusion</w:t>
            </w:r>
          </w:p>
        </w:tc>
        <w:tc>
          <w:tcPr>
            <w:tcW w:type="dxa" w:w="7632"/>
            <w:vAlign w:val="top"/>
            <w:tcMar>
              <w:top w:w="80" w:type="dxa"/>
              <w:start w:w="80" w:type="dxa"/>
              <w:bottom w:w="80" w:type="dxa"/>
              <w:end w:w="80" w:type="dxa"/>
            </w:tcMar>
          </w:tcPr>
          <w:p>
            <w:pPr>
              <w:keepLines/>
              <w:spacing w:after="0"/>
            </w:pPr>
            <w:r>
              <w:rPr>
                <w:sz w:val="16"/>
              </w:rPr>
              <w:t>Implement trained or rule/LLM-routed view selection, rank fusion, span deduplication and context assembly; measure claim recall, duplication, latency and answer closure.</w:t>
            </w:r>
          </w:p>
        </w:tc>
      </w:tr>
      <w:tr>
        <w:tc>
          <w:tcPr>
            <w:tcW w:type="dxa" w:w="2736"/>
            <w:vAlign w:val="top"/>
            <w:tcMar>
              <w:top w:w="80" w:type="dxa"/>
              <w:start w:w="80" w:type="dxa"/>
              <w:bottom w:w="80" w:type="dxa"/>
              <w:end w:w="80" w:type="dxa"/>
            </w:tcMar>
          </w:tcPr>
          <w:p>
            <w:pPr>
              <w:keepLines/>
              <w:spacing w:after="0"/>
            </w:pPr>
            <w:r>
              <w:rPr>
                <w:sz w:val="16"/>
              </w:rPr>
              <w:t>E3 — Graph adapters</w:t>
            </w:r>
          </w:p>
        </w:tc>
        <w:tc>
          <w:tcPr>
            <w:tcW w:type="dxa" w:w="7632"/>
            <w:vAlign w:val="top"/>
            <w:tcMar>
              <w:top w:w="80" w:type="dxa"/>
              <w:start w:w="80" w:type="dxa"/>
              <w:bottom w:w="80" w:type="dxa"/>
              <w:end w:w="80" w:type="dxa"/>
            </w:tcMar>
          </w:tcPr>
          <w:p>
            <w:pPr>
              <w:keepLines/>
              <w:spacing w:after="0"/>
            </w:pPr>
            <w:r>
              <w:rPr>
                <w:sz w:val="16"/>
              </w:rPr>
              <w:t>Add Docling Graph, Microsoft GraphRAG and one secondary graph adapter behind GraphProjectionDescriptor; separate graph construction from graph retrieval evaluation.</w:t>
            </w:r>
          </w:p>
        </w:tc>
      </w:tr>
      <w:tr>
        <w:tc>
          <w:tcPr>
            <w:tcW w:type="dxa" w:w="2736"/>
            <w:vAlign w:val="top"/>
            <w:tcMar>
              <w:top w:w="80" w:type="dxa"/>
              <w:start w:w="80" w:type="dxa"/>
              <w:bottom w:w="80" w:type="dxa"/>
              <w:end w:w="80" w:type="dxa"/>
            </w:tcMar>
          </w:tcPr>
          <w:p>
            <w:pPr>
              <w:keepLines/>
              <w:spacing w:after="0"/>
            </w:pPr>
            <w:r>
              <w:rPr>
                <w:sz w:val="16"/>
              </w:rPr>
              <w:t>E4 — Provenance-address model</w:t>
            </w:r>
          </w:p>
        </w:tc>
        <w:tc>
          <w:tcPr>
            <w:tcW w:type="dxa" w:w="7632"/>
            <w:vAlign w:val="top"/>
            <w:tcMar>
              <w:top w:w="80" w:type="dxa"/>
              <w:start w:w="80" w:type="dxa"/>
              <w:bottom w:w="80" w:type="dxa"/>
              <w:end w:w="80" w:type="dxa"/>
            </w:tcMar>
          </w:tcPr>
          <w:p>
            <w:pPr>
              <w:keepLines/>
              <w:spacing w:after="0"/>
            </w:pPr>
            <w:r>
              <w:rPr>
                <w:sz w:val="16"/>
              </w:rPr>
              <w:t>Create matched data for query-to-address prediction, constrained address resolution, sufficiency verification and RAG fallback.</w:t>
            </w:r>
          </w:p>
        </w:tc>
      </w:tr>
      <w:tr>
        <w:tc>
          <w:tcPr>
            <w:tcW w:type="dxa" w:w="2736"/>
            <w:vAlign w:val="top"/>
            <w:tcMar>
              <w:top w:w="80" w:type="dxa"/>
              <w:start w:w="80" w:type="dxa"/>
              <w:bottom w:w="80" w:type="dxa"/>
              <w:end w:w="80" w:type="dxa"/>
            </w:tcMar>
          </w:tcPr>
          <w:p>
            <w:pPr>
              <w:keepLines/>
              <w:spacing w:after="0"/>
            </w:pPr>
            <w:r>
              <w:rPr>
                <w:sz w:val="16"/>
              </w:rPr>
              <w:t>E5 — Research decision</w:t>
            </w:r>
          </w:p>
        </w:tc>
        <w:tc>
          <w:tcPr>
            <w:tcW w:type="dxa" w:w="7632"/>
            <w:vAlign w:val="top"/>
            <w:tcMar>
              <w:top w:w="80" w:type="dxa"/>
              <w:start w:w="80" w:type="dxa"/>
              <w:bottom w:w="80" w:type="dxa"/>
              <w:end w:w="80" w:type="dxa"/>
            </w:tcMar>
          </w:tcPr>
          <w:p>
            <w:pPr>
              <w:keepLines/>
              <w:spacing w:after="0"/>
            </w:pPr>
            <w:r>
              <w:rPr>
                <w:sz w:val="16"/>
              </w:rPr>
              <w:t>Continue only where the controlled study shows incremental completeness, provenance or efficiency beyond strong existing methods.</w:t>
            </w:r>
          </w:p>
        </w:tc>
      </w:tr>
    </w:tbl>
    <w:p/>
    <w:p>
      <w:pPr>
        <w:pStyle w:val="Heading1"/>
      </w:pPr>
      <w:r>
        <w:t>15. Disposition of the previous v1.2 plan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F4E78"/>
            <w:vAlign w:val="center"/>
            <w:tcMar>
              <w:top w:w="80" w:type="dxa"/>
              <w:start w:w="80" w:type="dxa"/>
              <w:bottom w:w="80" w:type="dxa"/>
              <w:end w:w="80" w:type="dxa"/>
            </w:tcMar>
          </w:tcPr>
          <w:p>
            <w:pPr>
              <w:keepLines/>
            </w:pPr>
            <w:r>
              <w:rPr>
                <w:b/>
                <w:color w:val="FFFFFF"/>
                <w:sz w:val="16"/>
              </w:rPr>
              <w:t>Previous item</w:t>
            </w:r>
          </w:p>
        </w:tc>
        <w:tc>
          <w:tcPr>
            <w:tcW w:type="dxa" w:w="6768"/>
            <w:shd w:fill="1F4E78"/>
            <w:vAlign w:val="center"/>
            <w:tcMar>
              <w:top w:w="80" w:type="dxa"/>
              <w:start w:w="80" w:type="dxa"/>
              <w:bottom w:w="80" w:type="dxa"/>
              <w:end w:w="80" w:type="dxa"/>
            </w:tcMar>
          </w:tcPr>
          <w:p>
            <w:pPr>
              <w:keepLines/>
            </w:pPr>
            <w:r>
              <w:rPr>
                <w:b/>
                <w:color w:val="FFFFFF"/>
                <w:sz w:val="16"/>
              </w:rPr>
              <w:t>Decision</w:t>
            </w:r>
          </w:p>
        </w:tc>
      </w:tr>
      <w:tr>
        <w:tc>
          <w:tcPr>
            <w:tcW w:type="dxa" w:w="3600"/>
            <w:vAlign w:val="top"/>
            <w:tcMar>
              <w:top w:w="80" w:type="dxa"/>
              <w:start w:w="80" w:type="dxa"/>
              <w:bottom w:w="80" w:type="dxa"/>
              <w:end w:w="80" w:type="dxa"/>
            </w:tcMar>
          </w:tcPr>
          <w:p>
            <w:pPr>
              <w:keepLines/>
              <w:spacing w:after="0"/>
            </w:pPr>
            <w:r>
              <w:rPr>
                <w:sz w:val="16"/>
              </w:rPr>
              <w:t>P01-P06 divisions, ownership and text-once</w:t>
            </w:r>
          </w:p>
        </w:tc>
        <w:tc>
          <w:tcPr>
            <w:tcW w:type="dxa" w:w="6768"/>
            <w:vAlign w:val="top"/>
            <w:tcMar>
              <w:top w:w="80" w:type="dxa"/>
              <w:start w:w="80" w:type="dxa"/>
              <w:bottom w:w="80" w:type="dxa"/>
              <w:end w:w="80" w:type="dxa"/>
            </w:tcMar>
          </w:tcPr>
          <w:p>
            <w:pPr>
              <w:keepLines/>
              <w:spacing w:after="0"/>
            </w:pPr>
            <w:r>
              <w:rPr>
                <w:sz w:val="16"/>
              </w:rPr>
              <w:t>Retain as core requirements.</w:t>
            </w:r>
          </w:p>
        </w:tc>
      </w:tr>
      <w:tr>
        <w:tc>
          <w:tcPr>
            <w:tcW w:type="dxa" w:w="3600"/>
            <w:vAlign w:val="top"/>
            <w:tcMar>
              <w:top w:w="80" w:type="dxa"/>
              <w:start w:w="80" w:type="dxa"/>
              <w:bottom w:w="80" w:type="dxa"/>
              <w:end w:w="80" w:type="dxa"/>
            </w:tcMar>
          </w:tcPr>
          <w:p>
            <w:pPr>
              <w:keepLines/>
              <w:spacing w:after="0"/>
            </w:pPr>
            <w:r>
              <w:rPr>
                <w:sz w:val="16"/>
              </w:rPr>
              <w:t>P07 remove page-level Evidence text</w:t>
            </w:r>
          </w:p>
        </w:tc>
        <w:tc>
          <w:tcPr>
            <w:tcW w:type="dxa" w:w="6768"/>
            <w:vAlign w:val="top"/>
            <w:tcMar>
              <w:top w:w="80" w:type="dxa"/>
              <w:start w:w="80" w:type="dxa"/>
              <w:bottom w:w="80" w:type="dxa"/>
              <w:end w:w="80" w:type="dxa"/>
            </w:tcMar>
          </w:tcPr>
          <w:p>
            <w:pPr>
              <w:keepLines/>
              <w:spacing w:after="0"/>
            </w:pPr>
            <w:r>
              <w:rPr>
                <w:sz w:val="16"/>
              </w:rPr>
              <w:t>Retain principle; replace duplicated Evidence text with evidence sets over canonical node spans.</w:t>
            </w:r>
          </w:p>
        </w:tc>
      </w:tr>
      <w:tr>
        <w:tc>
          <w:tcPr>
            <w:tcW w:type="dxa" w:w="3600"/>
            <w:vAlign w:val="top"/>
            <w:tcMar>
              <w:top w:w="80" w:type="dxa"/>
              <w:start w:w="80" w:type="dxa"/>
              <w:bottom w:w="80" w:type="dxa"/>
              <w:end w:w="80" w:type="dxa"/>
            </w:tcMar>
          </w:tcPr>
          <w:p>
            <w:pPr>
              <w:keepLines/>
              <w:spacing w:after="0"/>
            </w:pPr>
            <w:r>
              <w:rPr>
                <w:sz w:val="16"/>
              </w:rPr>
              <w:t>P08 raw parser purge</w:t>
            </w:r>
          </w:p>
        </w:tc>
        <w:tc>
          <w:tcPr>
            <w:tcW w:type="dxa" w:w="6768"/>
            <w:vAlign w:val="top"/>
            <w:tcMar>
              <w:top w:w="80" w:type="dxa"/>
              <w:start w:w="80" w:type="dxa"/>
              <w:bottom w:w="80" w:type="dxa"/>
              <w:end w:w="80" w:type="dxa"/>
            </w:tcMar>
          </w:tcPr>
          <w:p>
            <w:pPr>
              <w:keepLines/>
              <w:spacing w:after="0"/>
            </w:pPr>
            <w:r>
              <w:rPr>
                <w:sz w:val="16"/>
              </w:rPr>
              <w:t>Retain and strengthen with native artifact identity, legal hold and tombstone.</w:t>
            </w:r>
          </w:p>
        </w:tc>
      </w:tr>
      <w:tr>
        <w:tc>
          <w:tcPr>
            <w:tcW w:type="dxa" w:w="3600"/>
            <w:vAlign w:val="top"/>
            <w:tcMar>
              <w:top w:w="80" w:type="dxa"/>
              <w:start w:w="80" w:type="dxa"/>
              <w:bottom w:w="80" w:type="dxa"/>
              <w:end w:w="80" w:type="dxa"/>
            </w:tcMar>
          </w:tcPr>
          <w:p>
            <w:pPr>
              <w:keepLines/>
              <w:spacing w:after="0"/>
            </w:pPr>
            <w:r>
              <w:rPr>
                <w:sz w:val="16"/>
              </w:rPr>
              <w:t>P09-P11 semantic nodes and derived views</w:t>
            </w:r>
          </w:p>
        </w:tc>
        <w:tc>
          <w:tcPr>
            <w:tcW w:type="dxa" w:w="6768"/>
            <w:vAlign w:val="top"/>
            <w:tcMar>
              <w:top w:w="80" w:type="dxa"/>
              <w:start w:w="80" w:type="dxa"/>
              <w:bottom w:w="80" w:type="dxa"/>
              <w:end w:w="80" w:type="dxa"/>
            </w:tcMar>
          </w:tcPr>
          <w:p>
            <w:pPr>
              <w:keepLines/>
              <w:spacing w:after="0"/>
            </w:pPr>
            <w:r>
              <w:rPr>
                <w:sz w:val="16"/>
              </w:rPr>
              <w:t>Retain and extend to adaptive multi-view segmentation. Immediate executable views remain direct, subtree, paragraph, object, relation-expanded and representative no-copy chunker views; performance fusion is deferred.</w:t>
            </w:r>
          </w:p>
        </w:tc>
      </w:tr>
      <w:tr>
        <w:tc>
          <w:tcPr>
            <w:tcW w:type="dxa" w:w="3600"/>
            <w:vAlign w:val="top"/>
            <w:tcMar>
              <w:top w:w="80" w:type="dxa"/>
              <w:start w:w="80" w:type="dxa"/>
              <w:bottom w:w="80" w:type="dxa"/>
              <w:end w:w="80" w:type="dxa"/>
            </w:tcMar>
          </w:tcPr>
          <w:p>
            <w:pPr>
              <w:keepLines/>
              <w:spacing w:after="0"/>
            </w:pPr>
            <w:r>
              <w:rPr>
                <w:sz w:val="16"/>
              </w:rPr>
              <w:t>P12 certified model/hardware profiles</w:t>
            </w:r>
          </w:p>
        </w:tc>
        <w:tc>
          <w:tcPr>
            <w:tcW w:type="dxa" w:w="6768"/>
            <w:vAlign w:val="top"/>
            <w:tcMar>
              <w:top w:w="80" w:type="dxa"/>
              <w:start w:w="80" w:type="dxa"/>
              <w:bottom w:w="80" w:type="dxa"/>
              <w:end w:w="80" w:type="dxa"/>
            </w:tcMar>
          </w:tcPr>
          <w:p>
            <w:pPr>
              <w:keepLines/>
              <w:spacing w:after="0"/>
            </w:pPr>
            <w:r>
              <w:rPr>
                <w:sz w:val="16"/>
              </w:rPr>
              <w:t>Retain as later extension; remove from current focused acceptance.</w:t>
            </w:r>
          </w:p>
        </w:tc>
      </w:tr>
      <w:tr>
        <w:tc>
          <w:tcPr>
            <w:tcW w:type="dxa" w:w="3600"/>
            <w:vAlign w:val="top"/>
            <w:tcMar>
              <w:top w:w="80" w:type="dxa"/>
              <w:start w:w="80" w:type="dxa"/>
              <w:bottom w:w="80" w:type="dxa"/>
              <w:end w:w="80" w:type="dxa"/>
            </w:tcMar>
          </w:tcPr>
          <w:p>
            <w:pPr>
              <w:keepLines/>
              <w:spacing w:after="0"/>
            </w:pPr>
            <w:r>
              <w:rPr>
                <w:sz w:val="16"/>
              </w:rPr>
              <w:t>P13-P17 quality, order, fact sources and OCR</w:t>
            </w:r>
          </w:p>
        </w:tc>
        <w:tc>
          <w:tcPr>
            <w:tcW w:type="dxa" w:w="6768"/>
            <w:vAlign w:val="top"/>
            <w:tcMar>
              <w:top w:w="80" w:type="dxa"/>
              <w:start w:w="80" w:type="dxa"/>
              <w:bottom w:w="80" w:type="dxa"/>
              <w:end w:w="80" w:type="dxa"/>
            </w:tcMar>
          </w:tcPr>
          <w:p>
            <w:pPr>
              <w:keepLines/>
              <w:spacing w:after="0"/>
            </w:pPr>
            <w:r>
              <w:rPr>
                <w:sz w:val="16"/>
              </w:rPr>
              <w:t>Retain. Add capability-aware routing and multi-signal fusion.</w:t>
            </w:r>
          </w:p>
        </w:tc>
      </w:tr>
      <w:tr>
        <w:tc>
          <w:tcPr>
            <w:tcW w:type="dxa" w:w="3600"/>
            <w:vAlign w:val="top"/>
            <w:tcMar>
              <w:top w:w="80" w:type="dxa"/>
              <w:start w:w="80" w:type="dxa"/>
              <w:bottom w:w="80" w:type="dxa"/>
              <w:end w:w="80" w:type="dxa"/>
            </w:tcMar>
          </w:tcPr>
          <w:p>
            <w:pPr>
              <w:keepLines/>
              <w:spacing w:after="0"/>
            </w:pPr>
            <w:r>
              <w:rPr>
                <w:sz w:val="16"/>
              </w:rPr>
              <w:t>P18-P22 broad formats, roles, objects and selectors</w:t>
            </w:r>
          </w:p>
        </w:tc>
        <w:tc>
          <w:tcPr>
            <w:tcW w:type="dxa" w:w="6768"/>
            <w:vAlign w:val="top"/>
            <w:tcMar>
              <w:top w:w="80" w:type="dxa"/>
              <w:start w:w="80" w:type="dxa"/>
              <w:bottom w:w="80" w:type="dxa"/>
              <w:end w:w="80" w:type="dxa"/>
            </w:tcMar>
          </w:tcPr>
          <w:p>
            <w:pPr>
              <w:keepLines/>
              <w:spacing w:after="0"/>
            </w:pPr>
            <w:r>
              <w:rPr>
                <w:sz w:val="16"/>
              </w:rPr>
              <w:t>Retain in schema. Current validation uses a bounded representative subset rather than claiming universal format readiness.</w:t>
            </w:r>
          </w:p>
        </w:tc>
      </w:tr>
      <w:tr>
        <w:tc>
          <w:tcPr>
            <w:tcW w:type="dxa" w:w="3600"/>
            <w:vAlign w:val="top"/>
            <w:tcMar>
              <w:top w:w="80" w:type="dxa"/>
              <w:start w:w="80" w:type="dxa"/>
              <w:bottom w:w="80" w:type="dxa"/>
              <w:end w:w="80" w:type="dxa"/>
            </w:tcMar>
          </w:tcPr>
          <w:p>
            <w:pPr>
              <w:keepLines/>
              <w:spacing w:after="0"/>
            </w:pPr>
            <w:r>
              <w:rPr>
                <w:sz w:val="16"/>
              </w:rPr>
              <w:t>P23 connected multimodal graph</w:t>
            </w:r>
          </w:p>
        </w:tc>
        <w:tc>
          <w:tcPr>
            <w:tcW w:type="dxa" w:w="6768"/>
            <w:vAlign w:val="top"/>
            <w:tcMar>
              <w:top w:w="80" w:type="dxa"/>
              <w:start w:w="80" w:type="dxa"/>
              <w:bottom w:w="80" w:type="dxa"/>
              <w:end w:w="80" w:type="dxa"/>
            </w:tcMar>
          </w:tcPr>
          <w:p>
            <w:pPr>
              <w:keepLines/>
              <w:spacing w:after="0"/>
            </w:pPr>
            <w:r>
              <w:rPr>
                <w:sz w:val="16"/>
              </w:rPr>
              <w:t>Retain as the parser-neutral Source Graph plus native bindings. Explicitly distinguish it from parser-native document graphs and downstream semantic/retrieval graphs.</w:t>
            </w:r>
          </w:p>
        </w:tc>
      </w:tr>
      <w:tr>
        <w:tc>
          <w:tcPr>
            <w:tcW w:type="dxa" w:w="3600"/>
            <w:vAlign w:val="top"/>
            <w:tcMar>
              <w:top w:w="80" w:type="dxa"/>
              <w:start w:w="80" w:type="dxa"/>
              <w:bottom w:w="80" w:type="dxa"/>
              <w:end w:w="80" w:type="dxa"/>
            </w:tcMar>
          </w:tcPr>
          <w:p>
            <w:pPr>
              <w:keepLines/>
              <w:spacing w:after="0"/>
            </w:pPr>
            <w:r>
              <w:rPr>
                <w:sz w:val="16"/>
              </w:rPr>
              <w:t>P24 downstream does not reparse</w:t>
            </w:r>
          </w:p>
        </w:tc>
        <w:tc>
          <w:tcPr>
            <w:tcW w:type="dxa" w:w="6768"/>
            <w:vAlign w:val="top"/>
            <w:tcMar>
              <w:top w:w="80" w:type="dxa"/>
              <w:start w:w="80" w:type="dxa"/>
              <w:bottom w:w="80" w:type="dxa"/>
              <w:end w:w="80" w:type="dxa"/>
            </w:tcMar>
          </w:tcPr>
          <w:p>
            <w:pPr>
              <w:keepLines/>
              <w:spacing w:after="0"/>
            </w:pPr>
            <w:r>
              <w:rPr>
                <w:sz w:val="16"/>
              </w:rPr>
              <w:t>Retain and test through DataForge handoff, reusable views and deterministic provenance-address resolution.</w:t>
            </w:r>
          </w:p>
        </w:tc>
      </w:tr>
      <w:tr>
        <w:tc>
          <w:tcPr>
            <w:tcW w:type="dxa" w:w="3600"/>
            <w:vAlign w:val="top"/>
            <w:tcMar>
              <w:top w:w="80" w:type="dxa"/>
              <w:start w:w="80" w:type="dxa"/>
              <w:bottom w:w="80" w:type="dxa"/>
              <w:end w:w="80" w:type="dxa"/>
            </w:tcMar>
          </w:tcPr>
          <w:p>
            <w:pPr>
              <w:keepLines/>
              <w:spacing w:after="0"/>
            </w:pPr>
            <w:r>
              <w:rPr>
                <w:sz w:val="16"/>
              </w:rPr>
              <w:t>P25 broad downstream matrix</w:t>
            </w:r>
          </w:p>
        </w:tc>
        <w:tc>
          <w:tcPr>
            <w:tcW w:type="dxa" w:w="6768"/>
            <w:vAlign w:val="top"/>
            <w:tcMar>
              <w:top w:w="80" w:type="dxa"/>
              <w:start w:w="80" w:type="dxa"/>
              <w:bottom w:w="80" w:type="dxa"/>
              <w:end w:w="80" w:type="dxa"/>
            </w:tcMar>
          </w:tcPr>
          <w:p>
            <w:pPr>
              <w:keepLines/>
              <w:spacing w:after="0"/>
            </w:pPr>
            <w:r>
              <w:rPr>
                <w:sz w:val="16"/>
              </w:rPr>
              <w:t>Keep as architectural compatibility goal; current acceptance is limited to two DataForge paths.</w:t>
            </w:r>
          </w:p>
        </w:tc>
      </w:tr>
      <w:tr>
        <w:tc>
          <w:tcPr>
            <w:tcW w:type="dxa" w:w="3600"/>
            <w:vAlign w:val="top"/>
            <w:tcMar>
              <w:top w:w="80" w:type="dxa"/>
              <w:start w:w="80" w:type="dxa"/>
              <w:bottom w:w="80" w:type="dxa"/>
              <w:end w:w="80" w:type="dxa"/>
            </w:tcMar>
          </w:tcPr>
          <w:p>
            <w:pPr>
              <w:keepLines/>
              <w:spacing w:after="0"/>
            </w:pPr>
            <w:r>
              <w:rPr>
                <w:sz w:val="16"/>
              </w:rPr>
              <w:t>P26 relations across documents and sources</w:t>
            </w:r>
          </w:p>
        </w:tc>
        <w:tc>
          <w:tcPr>
            <w:tcW w:type="dxa" w:w="6768"/>
            <w:vAlign w:val="top"/>
            <w:tcMar>
              <w:top w:w="80" w:type="dxa"/>
              <w:start w:w="80" w:type="dxa"/>
              <w:bottom w:w="80" w:type="dxa"/>
              <w:end w:w="80" w:type="dxa"/>
            </w:tcMar>
          </w:tcPr>
          <w:p>
            <w:pPr>
              <w:keepLines/>
              <w:spacing w:after="0"/>
            </w:pPr>
            <w:r>
              <w:rPr>
                <w:sz w:val="16"/>
              </w:rPr>
              <w:t>Retain explicit and validated relations needed for the composite KU handoff; do not turn this into a KG research claim.</w:t>
            </w:r>
          </w:p>
        </w:tc>
      </w:tr>
      <w:tr>
        <w:tc>
          <w:tcPr>
            <w:tcW w:type="dxa" w:w="3600"/>
            <w:vAlign w:val="top"/>
            <w:tcMar>
              <w:top w:w="80" w:type="dxa"/>
              <w:start w:w="80" w:type="dxa"/>
              <w:bottom w:w="80" w:type="dxa"/>
              <w:end w:w="80" w:type="dxa"/>
            </w:tcMar>
          </w:tcPr>
          <w:p>
            <w:pPr>
              <w:keepLines/>
              <w:spacing w:after="0"/>
            </w:pPr>
            <w:r>
              <w:rPr>
                <w:sz w:val="16"/>
              </w:rPr>
              <w:t>P27 KU handoff</w:t>
            </w:r>
          </w:p>
        </w:tc>
        <w:tc>
          <w:tcPr>
            <w:tcW w:type="dxa" w:w="6768"/>
            <w:vAlign w:val="top"/>
            <w:tcMar>
              <w:top w:w="80" w:type="dxa"/>
              <w:start w:w="80" w:type="dxa"/>
              <w:bottom w:w="80" w:type="dxa"/>
              <w:end w:w="80" w:type="dxa"/>
            </w:tcMar>
          </w:tcPr>
          <w:p>
            <w:pPr>
              <w:keepLines/>
              <w:spacing w:after="0"/>
            </w:pPr>
            <w:r>
              <w:rPr>
                <w:sz w:val="16"/>
              </w:rPr>
              <w:t>Retain, narrowed to paragraph QA and one intra/inter-document composite KU.</w:t>
            </w:r>
          </w:p>
        </w:tc>
      </w:tr>
      <w:tr>
        <w:tc>
          <w:tcPr>
            <w:tcW w:type="dxa" w:w="3600"/>
            <w:vAlign w:val="top"/>
            <w:tcMar>
              <w:top w:w="80" w:type="dxa"/>
              <w:start w:w="80" w:type="dxa"/>
              <w:bottom w:w="80" w:type="dxa"/>
              <w:end w:w="80" w:type="dxa"/>
            </w:tcMar>
          </w:tcPr>
          <w:p>
            <w:pPr>
              <w:keepLines/>
              <w:spacing w:after="0"/>
            </w:pPr>
            <w:r>
              <w:rPr>
                <w:sz w:val="16"/>
              </w:rPr>
              <w:t>P28 standards mapping</w:t>
            </w:r>
          </w:p>
        </w:tc>
        <w:tc>
          <w:tcPr>
            <w:tcW w:type="dxa" w:w="6768"/>
            <w:vAlign w:val="top"/>
            <w:tcMar>
              <w:top w:w="80" w:type="dxa"/>
              <w:start w:w="80" w:type="dxa"/>
              <w:bottom w:w="80" w:type="dxa"/>
              <w:end w:w="80" w:type="dxa"/>
            </w:tcMar>
          </w:tcPr>
          <w:p>
            <w:pPr>
              <w:keepLines/>
              <w:spacing w:after="0"/>
            </w:pPr>
            <w:r>
              <w:rPr>
                <w:sz w:val="16"/>
              </w:rPr>
              <w:t>Retain as design input, not a major executable workstream in the focused plan.</w:t>
            </w:r>
          </w:p>
        </w:tc>
      </w:tr>
      <w:tr>
        <w:tc>
          <w:tcPr>
            <w:tcW w:type="dxa" w:w="3600"/>
            <w:vAlign w:val="top"/>
            <w:tcMar>
              <w:top w:w="80" w:type="dxa"/>
              <w:start w:w="80" w:type="dxa"/>
              <w:bottom w:w="80" w:type="dxa"/>
              <w:end w:w="80" w:type="dxa"/>
            </w:tcMar>
          </w:tcPr>
          <w:p>
            <w:pPr>
              <w:keepLines/>
              <w:spacing w:after="0"/>
            </w:pPr>
            <w:r>
              <w:rPr>
                <w:sz w:val="16"/>
              </w:rPr>
              <w:t>Sections 15-23: KG baselines, oracle KG, B0-B6/P1, T00-T10 lighthouse</w:t>
            </w:r>
          </w:p>
        </w:tc>
        <w:tc>
          <w:tcPr>
            <w:tcW w:type="dxa" w:w="6768"/>
            <w:vAlign w:val="top"/>
            <w:tcMar>
              <w:top w:w="80" w:type="dxa"/>
              <w:start w:w="80" w:type="dxa"/>
              <w:bottom w:w="80" w:type="dxa"/>
              <w:end w:w="80" w:type="dxa"/>
            </w:tcMar>
          </w:tcPr>
          <w:p>
            <w:pPr>
              <w:keepLines/>
              <w:spacing w:after="0"/>
            </w:pPr>
            <w:r>
              <w:rPr>
                <w:sz w:val="16"/>
              </w:rPr>
              <w:t>Remove from the active parser-layer test plan. Reintroduce only through deferred graph-adapter and controlled research phases after the focused foundation passes.</w:t>
            </w:r>
          </w:p>
        </w:tc>
      </w:tr>
      <w:tr>
        <w:tc>
          <w:tcPr>
            <w:tcW w:type="dxa" w:w="3600"/>
            <w:vAlign w:val="top"/>
            <w:tcMar>
              <w:top w:w="80" w:type="dxa"/>
              <w:start w:w="80" w:type="dxa"/>
              <w:bottom w:w="80" w:type="dxa"/>
              <w:end w:w="80" w:type="dxa"/>
            </w:tcMar>
          </w:tcPr>
          <w:p>
            <w:pPr>
              <w:keepLines/>
              <w:spacing w:after="0"/>
            </w:pPr>
            <w:r>
              <w:rPr>
                <w:sz w:val="16"/>
              </w:rPr>
              <w:t>Chunker fusion idea</w:t>
            </w:r>
          </w:p>
        </w:tc>
        <w:tc>
          <w:tcPr>
            <w:tcW w:type="dxa" w:w="6768"/>
            <w:vAlign w:val="top"/>
            <w:tcMar>
              <w:top w:w="80" w:type="dxa"/>
              <w:start w:w="80" w:type="dxa"/>
              <w:bottom w:w="80" w:type="dxa"/>
              <w:end w:w="80" w:type="dxa"/>
            </w:tcMar>
          </w:tcPr>
          <w:p>
            <w:pPr>
              <w:keepLines/>
              <w:spacing w:after="0"/>
            </w:pPr>
            <w:r>
              <w:rPr>
                <w:sz w:val="16"/>
              </w:rPr>
              <w:t>Adopt architecturally as multi-view segmentation and downstream result fusion; do not create one canonical fused chunk set or claim superiority in the focused stage.</w:t>
            </w:r>
          </w:p>
        </w:tc>
      </w:tr>
      <w:tr>
        <w:tc>
          <w:tcPr>
            <w:tcW w:type="dxa" w:w="3600"/>
            <w:vAlign w:val="top"/>
            <w:tcMar>
              <w:top w:w="80" w:type="dxa"/>
              <w:start w:w="80" w:type="dxa"/>
              <w:bottom w:w="80" w:type="dxa"/>
              <w:end w:w="80" w:type="dxa"/>
            </w:tcMar>
          </w:tcPr>
          <w:p>
            <w:pPr>
              <w:keepLines/>
              <w:spacing w:after="0"/>
            </w:pPr>
            <w:r>
              <w:rPr>
                <w:sz w:val="16"/>
              </w:rPr>
              <w:t>Docling Graph / GraphRAG integration</w:t>
            </w:r>
          </w:p>
        </w:tc>
        <w:tc>
          <w:tcPr>
            <w:tcW w:type="dxa" w:w="6768"/>
            <w:vAlign w:val="top"/>
            <w:tcMar>
              <w:top w:w="80" w:type="dxa"/>
              <w:start w:w="80" w:type="dxa"/>
              <w:bottom w:w="80" w:type="dxa"/>
              <w:end w:w="80" w:type="dxa"/>
            </w:tcMar>
          </w:tcPr>
          <w:p>
            <w:pPr>
              <w:keepLines/>
              <w:spacing w:after="0"/>
            </w:pPr>
            <w:r>
              <w:rPr>
                <w:sz w:val="16"/>
              </w:rPr>
              <w:t>Add only the projection/binding contract now. Actual semantic graph systems remain replaceable future adapters.</w:t>
            </w:r>
          </w:p>
        </w:tc>
      </w:tr>
      <w:tr>
        <w:tc>
          <w:tcPr>
            <w:tcW w:type="dxa" w:w="3600"/>
            <w:vAlign w:val="top"/>
            <w:tcMar>
              <w:top w:w="80" w:type="dxa"/>
              <w:start w:w="80" w:type="dxa"/>
              <w:bottom w:w="80" w:type="dxa"/>
              <w:end w:w="80" w:type="dxa"/>
            </w:tcMar>
          </w:tcPr>
          <w:p>
            <w:pPr>
              <w:keepLines/>
              <w:spacing w:after="0"/>
            </w:pPr>
            <w:r>
              <w:rPr>
                <w:sz w:val="16"/>
              </w:rPr>
              <w:t>Provenance-address generation</w:t>
            </w:r>
          </w:p>
        </w:tc>
        <w:tc>
          <w:tcPr>
            <w:tcW w:type="dxa" w:w="6768"/>
            <w:vAlign w:val="top"/>
            <w:tcMar>
              <w:top w:w="80" w:type="dxa"/>
              <w:start w:w="80" w:type="dxa"/>
              <w:bottom w:w="80" w:type="dxa"/>
              <w:end w:w="80" w:type="dxa"/>
            </w:tcMar>
          </w:tcPr>
          <w:p>
            <w:pPr>
              <w:keepLines/>
              <w:spacing w:after="0"/>
            </w:pPr>
            <w:r>
              <w:rPr>
                <w:sz w:val="16"/>
              </w:rPr>
              <w:t>Add address and resolver contracts now; model address generation and address-first inference remain future experiments.</w:t>
            </w:r>
          </w:p>
        </w:tc>
      </w:tr>
      <w:tr>
        <w:tc>
          <w:tcPr>
            <w:tcW w:type="dxa" w:w="3600"/>
            <w:vAlign w:val="top"/>
            <w:tcMar>
              <w:top w:w="80" w:type="dxa"/>
              <w:start w:w="80" w:type="dxa"/>
              <w:bottom w:w="80" w:type="dxa"/>
              <w:end w:w="80" w:type="dxa"/>
            </w:tcMar>
          </w:tcPr>
          <w:p>
            <w:pPr>
              <w:keepLines/>
              <w:spacing w:after="0"/>
            </w:pPr>
            <w:r>
              <w:rPr>
                <w:sz w:val="16"/>
              </w:rPr>
              <w:t>Old provenance P-01-P-30 suite</w:t>
            </w:r>
          </w:p>
        </w:tc>
        <w:tc>
          <w:tcPr>
            <w:tcW w:type="dxa" w:w="6768"/>
            <w:vAlign w:val="top"/>
            <w:tcMar>
              <w:top w:w="80" w:type="dxa"/>
              <w:start w:w="80" w:type="dxa"/>
              <w:bottom w:w="80" w:type="dxa"/>
              <w:end w:w="80" w:type="dxa"/>
            </w:tcMar>
          </w:tcPr>
          <w:p>
            <w:pPr>
              <w:keepLines/>
              <w:spacing w:after="0"/>
            </w:pPr>
            <w:r>
              <w:rPr>
                <w:sz w:val="16"/>
              </w:rPr>
              <w:t>Reuse source identity, pages/labels, hierarchy, objects, references, decision trace, reproducibility, negative cases and compatibility where they directly support this focused design.</w:t>
            </w:r>
          </w:p>
        </w:tc>
      </w:tr>
    </w:tbl>
    <w:p/>
    <w:p>
      <w:pPr>
        <w:pStyle w:val="Heading1"/>
      </w:pPr>
      <w:r>
        <w:t>16. Consolidated invariants</w:t>
      </w:r>
    </w:p>
    <w:p>
      <w:pPr>
        <w:pStyle w:val="ListBullet"/>
        <w:spacing w:after="60"/>
      </w:pPr>
      <w:r>
        <w:t>Docling or any future parser remains a replaceable engine; no parser-private class becomes the public downstream contract.</w:t>
      </w:r>
    </w:p>
    <w:p>
      <w:pPr>
        <w:pStyle w:val="ListBullet"/>
        <w:spacing w:after="60"/>
      </w:pPr>
      <w:r>
        <w:t>The complete selected parser-native representation is preserved losslessly while retained.</w:t>
      </w:r>
    </w:p>
    <w:p>
      <w:pPr>
        <w:pStyle w:val="ListBullet"/>
        <w:spacing w:after="60"/>
      </w:pPr>
      <w:r>
        <w:t>The canonical schema is an additive overlay and never silently discards required native detail.</w:t>
      </w:r>
    </w:p>
    <w:p>
      <w:pPr>
        <w:pStyle w:val="ListBullet"/>
        <w:spacing w:after="60"/>
      </w:pPr>
      <w:r>
        <w:t>Division and division_role generalize logical structure independently from pages, slides, sheets and time ranges.</w:t>
      </w:r>
    </w:p>
    <w:p>
      <w:pPr>
        <w:pStyle w:val="ListBullet"/>
        <w:spacing w:after="60"/>
      </w:pPr>
      <w:r>
        <w:t>Each canonical content node has one direct owner and one authoritative content identity.</w:t>
      </w:r>
    </w:p>
    <w:p>
      <w:pPr>
        <w:pStyle w:val="ListBullet"/>
        <w:spacing w:after="60"/>
      </w:pPr>
      <w:r>
        <w:t>Parent, subtree, evidence, provenance, views and downstream products do not duplicate source text.</w:t>
      </w:r>
    </w:p>
    <w:p>
      <w:pPr>
        <w:pStyle w:val="ListBullet"/>
        <w:spacing w:after="60"/>
      </w:pPr>
      <w:r>
        <w:t>Every canonical field retains exact source selector, native binding, processing lineage and fact-source decision evidence.</w:t>
      </w:r>
    </w:p>
    <w:p>
      <w:pPr>
        <w:pStyle w:val="ListBullet"/>
        <w:spacing w:after="60"/>
      </w:pPr>
      <w:r>
        <w:t>Capability evidence has exactly three sources and execution has exactly three control modes; the same pattern can apply to parsers, chunkers and graph adapters without merging their domains.</w:t>
      </w:r>
    </w:p>
    <w:p>
      <w:pPr>
        <w:pStyle w:val="ListBullet"/>
        <w:spacing w:after="60"/>
      </w:pPr>
      <w:r>
        <w:t>The LLM consults the live capability registry and cannot substitute its pretrained memory for current capability evidence.</w:t>
      </w:r>
    </w:p>
    <w:p>
      <w:pPr>
        <w:pStyle w:val="ListBullet"/>
        <w:spacing w:after="60"/>
      </w:pPr>
      <w:r>
        <w:t>Routing, alignment, fusion and adjudication are separate recorded stages.</w:t>
      </w:r>
    </w:p>
    <w:p>
      <w:pPr>
        <w:pStyle w:val="ListBullet"/>
        <w:spacing w:after="60"/>
      </w:pPr>
      <w:r>
        <w:t>Ambiguous, rejected and unresolved facts remain explicit and are not promoted to gold support.</w:t>
      </w:r>
    </w:p>
    <w:p>
      <w:pPr>
        <w:pStyle w:val="ListBullet"/>
        <w:spacing w:after="60"/>
      </w:pPr>
      <w:r>
        <w:t>Raw parser artifacts are retained once, governed independently and purgeable without destroying the canonical graph.</w:t>
      </w:r>
    </w:p>
    <w:p>
      <w:pPr>
        <w:pStyle w:val="ListBullet"/>
        <w:spacing w:after="60"/>
      </w:pPr>
      <w:r>
        <w:t>Views are reference-based and task-specific; canonical content does not change when a chunker, tokenizer or view profile changes.</w:t>
      </w:r>
    </w:p>
    <w:p>
      <w:pPr>
        <w:pStyle w:val="ListBullet"/>
        <w:spacing w:after="60"/>
      </w:pPr>
      <w:r>
        <w:t>No chunking strategy creates the canonical source boundary, and chunker fusion combines views/results rather than averaging boundaries.</w:t>
      </w:r>
    </w:p>
    <w:p>
      <w:pPr>
        <w:pStyle w:val="ListBullet"/>
        <w:spacing w:after="60"/>
      </w:pPr>
      <w:r>
        <w:t>The canonical Source Graph is distinct from parser-native document graphs and downstream semantic/retrieval graphs.</w:t>
      </w:r>
    </w:p>
    <w:p>
      <w:pPr>
        <w:pStyle w:val="ListBullet"/>
        <w:spacing w:after="60"/>
      </w:pPr>
      <w:r>
        <w:t>Every derived graph node/edge remains bound to exact canonical support and epistemic state.</w:t>
      </w:r>
    </w:p>
    <w:p>
      <w:pPr>
        <w:pStyle w:val="ListBullet"/>
        <w:spacing w:after="60"/>
      </w:pPr>
      <w:r>
        <w:t>Provenance addresses resolve deterministically to exact source support; invalid, obsolete or ambiguous addresses never yield invented substitutes.</w:t>
      </w:r>
    </w:p>
    <w:p>
      <w:pPr>
        <w:pStyle w:val="ListBullet"/>
        <w:spacing w:after="60"/>
      </w:pPr>
      <w:r>
        <w:t>DataForge normally consumes the completed handoff and does not reopen or independently split the source.</w:t>
      </w:r>
    </w:p>
    <w:p>
      <w:pPr>
        <w:pStyle w:val="ListBullet"/>
        <w:spacing w:after="60"/>
      </w:pPr>
      <w:r>
        <w:t>Current success is limited to parser neutrality/fusion, view/address contracts and two DataForge handoffs; no chunker-superiority, semantic-KG or address-generation novelty claim is made.</w:t>
      </w:r>
    </w:p>
    <w:p>
      <w:pPr>
        <w:pStyle w:val="Heading1"/>
      </w:pPr>
      <w:r>
        <w:t>17. Definition of done for this focused stage</w:t>
      </w:r>
    </w:p>
    <w:p>
      <w:pPr>
        <w:pStyle w:val="ListBullet"/>
        <w:spacing w:after="60"/>
      </w:pPr>
      <w:r>
        <w:t>Docling native output is retained losslessly and the Cognityx overlay demonstrably does not flatten away required structure or provenance.</w:t>
      </w:r>
    </w:p>
    <w:p>
      <w:pPr>
        <w:pStyle w:val="ListBullet"/>
        <w:spacing w:after="60"/>
      </w:pPr>
      <w:r>
        <w:t>At least one alternative parser can replace or complement Docling without changing the DataForge-facing contract.</w:t>
      </w:r>
    </w:p>
    <w:p>
      <w:pPr>
        <w:pStyle w:val="ListBullet"/>
        <w:spacing w:after="60"/>
      </w:pPr>
      <w:r>
        <w:t>The three-source capability registry and three routing/adjudication modes pass frozen parser tests, and the schema can register chunkers without a parallel incompatible mechanism.</w:t>
      </w:r>
    </w:p>
    <w:p>
      <w:pPr>
        <w:pStyle w:val="ListBullet"/>
        <w:spacing w:after="60"/>
      </w:pPr>
      <w:r>
        <w:t>Fusion preserves complementary facts, aligns non-identical parser segmentation and exposes conflicts.</w:t>
      </w:r>
    </w:p>
    <w:p>
      <w:pPr>
        <w:pStyle w:val="ListBullet"/>
        <w:spacing w:after="60"/>
      </w:pPr>
      <w:r>
        <w:t>Identical extraction work is reused and canonical/downstream text is not duplicated.</w:t>
      </w:r>
    </w:p>
    <w:p>
      <w:pPr>
        <w:pStyle w:val="ListBullet"/>
        <w:spacing w:after="60"/>
      </w:pPr>
      <w:r>
        <w:t>Raw parser outputs can be retained, legally held, expired and purged while the canonical handoff remains usable.</w:t>
      </w:r>
    </w:p>
    <w:p>
      <w:pPr>
        <w:pStyle w:val="ListBullet"/>
        <w:spacing w:after="60"/>
      </w:pPr>
      <w:r>
        <w:t>Representative multiple segmentation views bind to the same canonical content without duplication or a fused canonical boundary.</w:t>
      </w:r>
    </w:p>
    <w:p>
      <w:pPr>
        <w:pStyle w:val="ListBullet"/>
        <w:spacing w:after="60"/>
      </w:pPr>
      <w:r>
        <w:t>Strong, logical and evidence-set provenance addresses resolve or fail with explicit validated status.</w:t>
      </w:r>
    </w:p>
    <w:p>
      <w:pPr>
        <w:pStyle w:val="ListBullet"/>
        <w:spacing w:after="60"/>
      </w:pPr>
      <w:r>
        <w:t>The Source Graph and a simple derived graph projection are demonstrably distinct and fully source-bound.</w:t>
      </w:r>
    </w:p>
    <w:p>
      <w:pPr>
        <w:pStyle w:val="ListBullet"/>
        <w:spacing w:after="60"/>
      </w:pPr>
      <w:r>
        <w:t>DataForge creates a paragraph-only QA record from a paragraph view without reparsing and retains a resolvable support address.</w:t>
      </w:r>
    </w:p>
    <w:p>
      <w:pPr>
        <w:pStyle w:val="ListBullet"/>
        <w:spacing w:after="60"/>
      </w:pPr>
      <w:r>
        <w:t>DataForge assembles one supported cross-section and cross-document Knowledge Unit from actual Ingest output without a semantic-KG dependency and retains an evidence-set address.</w:t>
      </w:r>
    </w:p>
    <w:p>
      <w:pPr>
        <w:pStyle w:val="ListBullet"/>
        <w:spacing w:after="60"/>
      </w:pPr>
      <w:r>
        <w:t>All fixtures, expected truth and source hashes are frozen; tests assert implementation-independent outcomes.</w:t>
      </w:r>
    </w:p>
    <w:p>
      <w:pPr>
        <w:pStyle w:val="ListBullet"/>
        <w:spacing w:after="60"/>
      </w:pPr>
      <w:r>
        <w:t>The documentation states measured support and limitations and does not claim universal chunker, graph or provenance-address superiority.</w:t>
      </w:r>
    </w:p>
    <w:p>
      <w:pPr>
        <w:pStyle w:val="Heading1"/>
      </w:pPr>
      <w:r>
        <w:t>Appendix A. Source documents reconciled</w:t>
      </w:r>
    </w:p>
    <w:p>
      <w:pPr>
        <w:pStyle w:val="ListBullet"/>
        <w:spacing w:after="60"/>
      </w:pPr>
      <w:r>
        <w:t>Cognityx Ingest v3 — Generalized Multimodal Document Graph — Design and Test-Fixture Plan v1.1, 4 August 2026.</w:t>
      </w:r>
    </w:p>
    <w:p>
      <w:pPr>
        <w:pStyle w:val="ListBullet"/>
        <w:spacing w:after="60"/>
      </w:pPr>
      <w:r>
        <w:t>Cognityx Ingest v3 — Design and Test Plan v1.2, 4 August 2026.</w:t>
      </w:r>
    </w:p>
    <w:p>
      <w:pPr>
        <w:pStyle w:val="ListBullet"/>
        <w:spacing w:after="60"/>
      </w:pPr>
      <w:r>
        <w:t>Cognityx Ingest — Provenance Test Objectives and Fixture Recipe, 1 August 2026.</w:t>
      </w:r>
    </w:p>
    <w:p>
      <w:pPr>
        <w:pStyle w:val="ListBullet"/>
        <w:spacing w:after="60"/>
      </w:pPr>
      <w:r>
        <w:t>Combined Cognityx Ingest CLI Review and Chunking in Knowledge Systems design discussions.</w:t>
      </w:r>
    </w:p>
    <w:p>
      <w:pPr>
        <w:pStyle w:val="ListBullet"/>
        <w:spacing w:after="60"/>
      </w:pPr>
      <w:r>
        <w:t>Critical Review of Arbitrary Chunking, Provenance Graphs, and Knowledge Units for Cognityx, reviewed as the evidence basis for task-dependent segmentation and staged graph research.</w:t>
      </w:r>
    </w:p>
    <w:p>
      <w:pPr>
        <w:pStyle w:val="ListBullet"/>
        <w:spacing w:after="60"/>
      </w:pPr>
      <w:r>
        <w:t>Official Docling documentation reviewed for current DoclingDocument, supported formats, provenance and native chunking capabilities.</w:t>
      </w:r>
    </w:p>
    <w:p>
      <w:pPr>
        <w:pStyle w:val="ListBullet"/>
        <w:spacing w:after="60"/>
      </w:pPr>
      <w:r>
        <w:t>Official Docling Graph and Microsoft GraphRAG documentation reviewed to distinguish parser-native document structure, semantic graph extraction and graph retrieval.</w:t>
      </w:r>
    </w:p>
    <w:p>
      <w:pPr>
        <w:pStyle w:val="Heading1"/>
      </w:pPr>
      <w:r>
        <w:t>Appendix B. Evidence informing the extension decisions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8"/>
            <w:vAlign w:val="center"/>
            <w:tcMar>
              <w:top w:w="80" w:type="dxa"/>
              <w:start w:w="80" w:type="dxa"/>
              <w:bottom w:w="80" w:type="dxa"/>
              <w:end w:w="80" w:type="dxa"/>
            </w:tcMar>
          </w:tcPr>
          <w:p>
            <w:pPr>
              <w:keepLines/>
            </w:pPr>
            <w:r>
              <w:rPr>
                <w:b/>
                <w:color w:val="FFFFFF"/>
                <w:sz w:val="16"/>
              </w:rPr>
              <w:t>Evidence</w:t>
            </w:r>
          </w:p>
        </w:tc>
        <w:tc>
          <w:tcPr>
            <w:tcW w:type="dxa" w:w="7344"/>
            <w:shd w:fill="1F4E78"/>
            <w:vAlign w:val="center"/>
            <w:tcMar>
              <w:top w:w="80" w:type="dxa"/>
              <w:start w:w="80" w:type="dxa"/>
              <w:bottom w:w="80" w:type="dxa"/>
              <w:end w:w="80" w:type="dxa"/>
            </w:tcMar>
          </w:tcPr>
          <w:p>
            <w:pPr>
              <w:keepLines/>
            </w:pPr>
            <w:r>
              <w:rPr>
                <w:b/>
                <w:color w:val="FFFFFF"/>
                <w:sz w:val="16"/>
              </w:rPr>
              <w:t>Design implication</w:t>
            </w:r>
          </w:p>
        </w:tc>
      </w:tr>
      <w:tr>
        <w:tc>
          <w:tcPr>
            <w:tcW w:type="dxa" w:w="3024"/>
            <w:vAlign w:val="top"/>
            <w:tcMar>
              <w:top w:w="80" w:type="dxa"/>
              <w:start w:w="80" w:type="dxa"/>
              <w:bottom w:w="80" w:type="dxa"/>
              <w:end w:w="80" w:type="dxa"/>
            </w:tcMar>
          </w:tcPr>
          <w:p>
            <w:pPr>
              <w:keepLines/>
              <w:spacing w:after="0"/>
            </w:pPr>
            <w:r>
              <w:rPr>
                <w:sz w:val="16"/>
              </w:rPr>
              <w:t>Cognityx critical review</w:t>
            </w:r>
          </w:p>
        </w:tc>
        <w:tc>
          <w:tcPr>
            <w:tcW w:type="dxa" w:w="7344"/>
            <w:vAlign w:val="top"/>
            <w:tcMar>
              <w:top w:w="80" w:type="dxa"/>
              <w:start w:w="80" w:type="dxa"/>
              <w:bottom w:w="80" w:type="dxa"/>
              <w:end w:w="80" w:type="dxa"/>
            </w:tcMar>
          </w:tcPr>
          <w:p>
            <w:pPr>
              <w:keepLines/>
              <w:spacing w:after="0"/>
            </w:pPr>
            <w:r>
              <w:rPr>
                <w:sz w:val="16"/>
              </w:rPr>
              <w:t>No chunking method guarantees semantic coherence, cross-document closure, exact provenance and low cost simultaneously. Existing methods mitigate different failure modes; source loss, segmentation loss, retrieval loss and graph-use loss must remain causally distinct.</w:t>
            </w:r>
          </w:p>
        </w:tc>
      </w:tr>
      <w:tr>
        <w:tc>
          <w:tcPr>
            <w:tcW w:type="dxa" w:w="3024"/>
            <w:vAlign w:val="top"/>
            <w:tcMar>
              <w:top w:w="80" w:type="dxa"/>
              <w:start w:w="80" w:type="dxa"/>
              <w:bottom w:w="80" w:type="dxa"/>
              <w:end w:w="80" w:type="dxa"/>
            </w:tcMar>
          </w:tcPr>
          <w:p>
            <w:pPr>
              <w:keepLines/>
              <w:spacing w:after="0"/>
            </w:pPr>
            <w:r>
              <w:rPr>
                <w:sz w:val="16"/>
              </w:rPr>
              <w:t>Docling native chunkers</w:t>
            </w:r>
          </w:p>
        </w:tc>
        <w:tc>
          <w:tcPr>
            <w:tcW w:type="dxa" w:w="7344"/>
            <w:vAlign w:val="top"/>
            <w:tcMar>
              <w:top w:w="80" w:type="dxa"/>
              <w:start w:w="80" w:type="dxa"/>
              <w:bottom w:w="80" w:type="dxa"/>
              <w:end w:w="80" w:type="dxa"/>
            </w:tcMar>
          </w:tcPr>
          <w:p>
            <w:pPr>
              <w:keepLines/>
              <w:spacing w:after="0"/>
            </w:pPr>
            <w:r>
              <w:rPr>
                <w:sz w:val="16"/>
              </w:rPr>
              <w:t>Docling provides a BaseChunker interface plus Hierarchical, Hybrid and line-based token chunking. Cognityx should preserve these outputs as one family of views and remain open to third-party chunkers.</w:t>
            </w:r>
          </w:p>
        </w:tc>
      </w:tr>
      <w:tr>
        <w:tc>
          <w:tcPr>
            <w:tcW w:type="dxa" w:w="3024"/>
            <w:vAlign w:val="top"/>
            <w:tcMar>
              <w:top w:w="80" w:type="dxa"/>
              <w:start w:w="80" w:type="dxa"/>
              <w:bottom w:w="80" w:type="dxa"/>
              <w:end w:w="80" w:type="dxa"/>
            </w:tcMar>
          </w:tcPr>
          <w:p>
            <w:pPr>
              <w:keepLines/>
              <w:spacing w:after="0"/>
            </w:pPr>
            <w:r>
              <w:rPr>
                <w:sz w:val="16"/>
              </w:rPr>
              <w:t>Mix-of-Granularity and Mixture-of-Chunkers research</w:t>
            </w:r>
          </w:p>
        </w:tc>
        <w:tc>
          <w:tcPr>
            <w:tcW w:type="dxa" w:w="7344"/>
            <w:vAlign w:val="top"/>
            <w:tcMar>
              <w:top w:w="80" w:type="dxa"/>
              <w:start w:w="80" w:type="dxa"/>
              <w:bottom w:w="80" w:type="dxa"/>
              <w:end w:w="80" w:type="dxa"/>
            </w:tcMar>
          </w:tcPr>
          <w:p>
            <w:pPr>
              <w:keepLines/>
              <w:spacing w:after="0"/>
            </w:pPr>
            <w:r>
              <w:rPr>
                <w:sz w:val="16"/>
              </w:rPr>
              <w:t>Query/document-dependent routing and multiple granularities are credible directions; this supports a capability registry and view router rather than one global chunk size.</w:t>
            </w:r>
          </w:p>
        </w:tc>
      </w:tr>
      <w:tr>
        <w:tc>
          <w:tcPr>
            <w:tcW w:type="dxa" w:w="3024"/>
            <w:vAlign w:val="top"/>
            <w:tcMar>
              <w:top w:w="80" w:type="dxa"/>
              <w:start w:w="80" w:type="dxa"/>
              <w:bottom w:w="80" w:type="dxa"/>
              <w:end w:w="80" w:type="dxa"/>
            </w:tcMar>
          </w:tcPr>
          <w:p>
            <w:pPr>
              <w:keepLines/>
              <w:spacing w:after="0"/>
            </w:pPr>
            <w:r>
              <w:rPr>
                <w:sz w:val="16"/>
              </w:rPr>
              <w:t>FreeChunker and cross-granularity methods</w:t>
            </w:r>
          </w:p>
        </w:tc>
        <w:tc>
          <w:tcPr>
            <w:tcW w:type="dxa" w:w="7344"/>
            <w:vAlign w:val="top"/>
            <w:tcMar>
              <w:top w:w="80" w:type="dxa"/>
              <w:start w:w="80" w:type="dxa"/>
              <w:bottom w:w="80" w:type="dxa"/>
              <w:end w:w="80" w:type="dxa"/>
            </w:tcMar>
          </w:tcPr>
          <w:p>
            <w:pPr>
              <w:keepLines/>
              <w:spacing w:after="0"/>
            </w:pPr>
            <w:r>
              <w:rPr>
                <w:sz w:val="16"/>
              </w:rPr>
              <w:t>Flexible combinations over atomic sentences weaken the assumption that chunks must be a single static partition.</w:t>
            </w:r>
          </w:p>
        </w:tc>
      </w:tr>
      <w:tr>
        <w:tc>
          <w:tcPr>
            <w:tcW w:type="dxa" w:w="3024"/>
            <w:vAlign w:val="top"/>
            <w:tcMar>
              <w:top w:w="80" w:type="dxa"/>
              <w:start w:w="80" w:type="dxa"/>
              <w:bottom w:w="80" w:type="dxa"/>
              <w:end w:w="80" w:type="dxa"/>
            </w:tcMar>
          </w:tcPr>
          <w:p>
            <w:pPr>
              <w:keepLines/>
              <w:spacing w:after="0"/>
            </w:pPr>
            <w:r>
              <w:rPr>
                <w:sz w:val="16"/>
              </w:rPr>
              <w:t>Docling Graph</w:t>
            </w:r>
          </w:p>
        </w:tc>
        <w:tc>
          <w:tcPr>
            <w:tcW w:type="dxa" w:w="7344"/>
            <w:vAlign w:val="top"/>
            <w:tcMar>
              <w:top w:w="80" w:type="dxa"/>
              <w:start w:w="80" w:type="dxa"/>
              <w:bottom w:w="80" w:type="dxa"/>
              <w:end w:w="80" w:type="dxa"/>
            </w:tcMar>
          </w:tcPr>
          <w:p>
            <w:pPr>
              <w:keepLines/>
              <w:spacing w:after="0"/>
            </w:pPr>
            <w:r>
              <w:rPr>
                <w:sz w:val="16"/>
              </w:rPr>
              <w:t>Docling Graph is a separate semantic KG extraction toolkit using Pydantic models and LLM/VLM backends; it should be integrated through a graph adapter, not confused with DoclingDocument hierarchy.</w:t>
            </w:r>
          </w:p>
        </w:tc>
      </w:tr>
      <w:tr>
        <w:tc>
          <w:tcPr>
            <w:tcW w:type="dxa" w:w="3024"/>
            <w:vAlign w:val="top"/>
            <w:tcMar>
              <w:top w:w="80" w:type="dxa"/>
              <w:start w:w="80" w:type="dxa"/>
              <w:bottom w:w="80" w:type="dxa"/>
              <w:end w:w="80" w:type="dxa"/>
            </w:tcMar>
          </w:tcPr>
          <w:p>
            <w:pPr>
              <w:keepLines/>
              <w:spacing w:after="0"/>
            </w:pPr>
            <w:r>
              <w:rPr>
                <w:sz w:val="16"/>
              </w:rPr>
              <w:t>Microsoft GraphRAG</w:t>
            </w:r>
          </w:p>
        </w:tc>
        <w:tc>
          <w:tcPr>
            <w:tcW w:type="dxa" w:w="7344"/>
            <w:vAlign w:val="top"/>
            <w:tcMar>
              <w:top w:w="80" w:type="dxa"/>
              <w:start w:w="80" w:type="dxa"/>
              <w:bottom w:w="80" w:type="dxa"/>
              <w:end w:w="80" w:type="dxa"/>
            </w:tcMar>
          </w:tcPr>
          <w:p>
            <w:pPr>
              <w:keepLines/>
              <w:spacing w:after="0"/>
            </w:pPr>
            <w:r>
              <w:rPr>
                <w:sz w:val="16"/>
              </w:rPr>
              <w:t>GraphRAG builds semantic entities, relationships, communities and reports from TextUnits. Its graph model is a downstream retrieval projection, not the canonical source/provenance layer.</w:t>
            </w:r>
          </w:p>
        </w:tc>
      </w:tr>
      <w:tr>
        <w:tc>
          <w:tcPr>
            <w:tcW w:type="dxa" w:w="3024"/>
            <w:vAlign w:val="top"/>
            <w:tcMar>
              <w:top w:w="80" w:type="dxa"/>
              <w:start w:w="80" w:type="dxa"/>
              <w:bottom w:w="80" w:type="dxa"/>
              <w:end w:w="80" w:type="dxa"/>
            </w:tcMar>
          </w:tcPr>
          <w:p>
            <w:pPr>
              <w:keepLines/>
              <w:spacing w:after="0"/>
            </w:pPr>
            <w:r>
              <w:rPr>
                <w:sz w:val="16"/>
              </w:rPr>
              <w:t>Provenance-address proposal</w:t>
            </w:r>
          </w:p>
        </w:tc>
        <w:tc>
          <w:tcPr>
            <w:tcW w:type="dxa" w:w="7344"/>
            <w:vAlign w:val="top"/>
            <w:tcMar>
              <w:top w:w="80" w:type="dxa"/>
              <w:start w:w="80" w:type="dxa"/>
              <w:bottom w:w="80" w:type="dxa"/>
              <w:end w:w="80" w:type="dxa"/>
            </w:tcMar>
          </w:tcPr>
          <w:p>
            <w:pPr>
              <w:keepLines/>
              <w:spacing w:after="0"/>
            </w:pPr>
            <w:r>
              <w:rPr>
                <w:sz w:val="16"/>
              </w:rPr>
              <w:t>Exact stable addresses can support deterministic retrieval of governed content, but model address generation must be constrained, version-aware, validated and evaluated against ordinary RAG fallback.</w:t>
            </w:r>
          </w:p>
        </w:tc>
      </w:tr>
    </w:tbl>
    <w:p/>
    <w:p>
      <w:pPr>
        <w:pStyle w:val="ListBullet"/>
        <w:spacing w:after="60"/>
      </w:pPr>
      <w:r>
        <w:t>Official Docling chunking documentation: https://docling-project.github.io/docling/concepts/chunking/</w:t>
      </w:r>
    </w:p>
    <w:p>
      <w:pPr>
        <w:pStyle w:val="ListBullet"/>
        <w:spacing w:after="60"/>
      </w:pPr>
      <w:r>
        <w:t>Official Docling Graph documentation: https://docling-project.github.io/docling-graph/</w:t>
      </w:r>
    </w:p>
    <w:p>
      <w:pPr>
        <w:pStyle w:val="ListBullet"/>
        <w:spacing w:after="60"/>
      </w:pPr>
      <w:r>
        <w:t>Official Microsoft GraphRAG architecture and outputs: https://microsoft.github.io/graphrag/</w:t>
      </w:r>
    </w:p>
    <w:p>
      <w:pPr>
        <w:pStyle w:val="ListBullet"/>
        <w:spacing w:after="60"/>
      </w:pPr>
      <w:r>
        <w:t>Mix-of-Granularity, COLING 2025: https://aclanthology.org/2025.coling-main.384/</w:t>
      </w:r>
    </w:p>
    <w:p>
      <w:pPr>
        <w:pStyle w:val="ListBullet"/>
        <w:spacing w:after="60"/>
      </w:pPr>
      <w:r>
        <w:t>Mixtures of Text Chunking Learners, ACL 2025: https://aclanthology.org/2025.acl-long.258/</w:t>
      </w:r>
    </w:p>
    <w:p>
      <w:pPr>
        <w:pStyle w:val="ListBullet"/>
        <w:spacing w:after="60"/>
      </w:pPr>
      <w:r>
        <w:t>FreeChunker, Findings ACL 2026: https://aclanthology.org/2026.findings-acl.730/</w:t>
      </w:r>
    </w:p>
    <w:p>
      <w:pPr>
        <w:pStyle w:val="ListBullet"/>
        <w:spacing w:after="60"/>
      </w:pPr>
      <w:r>
        <w:t>MultiDocFusion, EMNLP 2025: https://aclanthology.org/2025.emnlp-main.1062/</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Revised design baseline | 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Cognityx Ingest v3.2 — Parser-Neutral Ingest and Extension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Cognityx Ingest v3.2 Adaptive Segmentation, Source Graph and Provenance-Address Plan</dc:title>
  <dc:subject>Parser-neutral ingest architecture with staged segmentation, graph and provenance-address extensions</dc:subject>
  <dc:creator>Cognityx</dc:creator>
  <cp:keywords>Cognityx, Ingest, Docling, parser fusion, adaptive chunking, source graph, provenance address, DataForge</cp:keywords>
  <dc:description>generated by python-docx</dc:description>
  <cp:lastModifiedBy/>
  <cp:revision>1</cp:revision>
  <dcterms:created xsi:type="dcterms:W3CDTF">2013-12-23T23:15:00Z</dcterms:created>
  <dcterms:modified xsi:type="dcterms:W3CDTF">2013-12-23T23:15:00Z</dcterms:modified>
  <cp:category/>
</cp:coreProperties>
</file>