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F5FEE" w:rsidRPr="00057B94" w14:paraId="0E10AD7A" w14:textId="77777777" w:rsidTr="004F484B">
        <w:trPr>
          <w:cantSplit/>
          <w:trHeight w:hRule="exact" w:val="1134"/>
        </w:trPr>
        <w:tc>
          <w:tcPr>
            <w:tcW w:w="1242" w:type="dxa"/>
            <w:vAlign w:val="bottom"/>
          </w:tcPr>
          <w:p w14:paraId="0E10AD77" w14:textId="79E7531D" w:rsidR="003F5FEE" w:rsidRPr="00057B94" w:rsidRDefault="00681A37" w:rsidP="003F5FEE">
            <w:r w:rsidRPr="00057B94">
              <w:rPr>
                <w:noProof/>
                <w:lang w:val="en-US" w:eastAsia="en-US"/>
              </w:rPr>
              <w:drawing>
                <wp:inline distT="0" distB="0" distL="0" distR="0" wp14:anchorId="0E10ADC3" wp14:editId="0E10ADC4">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E10AD78" w14:textId="77777777" w:rsidR="003F5FEE" w:rsidRPr="00057B94" w:rsidRDefault="003F5FEE" w:rsidP="0027419E">
            <w:pPr>
              <w:ind w:left="113"/>
              <w:rPr>
                <w:sz w:val="28"/>
                <w:szCs w:val="28"/>
              </w:rPr>
            </w:pPr>
            <w:r w:rsidRPr="00057B94">
              <w:rPr>
                <w:sz w:val="28"/>
                <w:szCs w:val="28"/>
              </w:rPr>
              <w:t>United Nations</w:t>
            </w:r>
          </w:p>
        </w:tc>
        <w:tc>
          <w:tcPr>
            <w:tcW w:w="5845" w:type="dxa"/>
            <w:gridSpan w:val="3"/>
            <w:vAlign w:val="bottom"/>
          </w:tcPr>
          <w:p w14:paraId="0E10AD79" w14:textId="4AE68810" w:rsidR="003F5FEE" w:rsidRPr="00057B94" w:rsidRDefault="005B36AA" w:rsidP="008D2770">
            <w:pPr>
              <w:jc w:val="right"/>
            </w:pPr>
            <w:r w:rsidRPr="00057B94">
              <w:rPr>
                <w:sz w:val="40"/>
              </w:rPr>
              <w:t>FCCC</w:t>
            </w:r>
            <w:r w:rsidRPr="00057B94">
              <w:t>/PA/CMA/201</w:t>
            </w:r>
            <w:r w:rsidR="007B7EA3" w:rsidRPr="00057B94">
              <w:t>8</w:t>
            </w:r>
            <w:r w:rsidRPr="00057B94">
              <w:t>/</w:t>
            </w:r>
            <w:r w:rsidR="0041441C" w:rsidRPr="00057B94">
              <w:t>3</w:t>
            </w:r>
            <w:r w:rsidRPr="00057B94">
              <w:t>/Add.1</w:t>
            </w:r>
          </w:p>
        </w:tc>
      </w:tr>
      <w:tr w:rsidR="003F5FEE" w:rsidRPr="00057B94" w14:paraId="0E10AD84" w14:textId="77777777" w:rsidTr="004F484B">
        <w:trPr>
          <w:cantSplit/>
          <w:trHeight w:hRule="exact" w:val="2552"/>
        </w:trPr>
        <w:tc>
          <w:tcPr>
            <w:tcW w:w="4511" w:type="dxa"/>
            <w:gridSpan w:val="3"/>
          </w:tcPr>
          <w:p w14:paraId="2667FC09" w14:textId="57279E6C" w:rsidR="003F5FEE" w:rsidRPr="00057B94" w:rsidRDefault="00681A37" w:rsidP="006E3EB7">
            <w:r w:rsidRPr="00057B94">
              <w:rPr>
                <w:noProof/>
                <w:lang w:val="en-US" w:eastAsia="en-US"/>
              </w:rPr>
              <w:drawing>
                <wp:anchor distT="0" distB="0" distL="114300" distR="114300" simplePos="0" relativeHeight="251661312" behindDoc="1" locked="0" layoutInCell="1" allowOverlap="1" wp14:anchorId="0E10ADC5" wp14:editId="377B9B22">
                  <wp:simplePos x="0" y="0"/>
                  <wp:positionH relativeFrom="margin">
                    <wp:posOffset>-31750</wp:posOffset>
                  </wp:positionH>
                  <wp:positionV relativeFrom="paragraph">
                    <wp:posOffset>-1905</wp:posOffset>
                  </wp:positionV>
                  <wp:extent cx="2398395" cy="560705"/>
                  <wp:effectExtent l="0" t="0" r="1905"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pic:spPr>
                      </pic:pic>
                    </a:graphicData>
                  </a:graphic>
                  <wp14:sizeRelH relativeFrom="page">
                    <wp14:pctWidth>0</wp14:pctWidth>
                  </wp14:sizeRelH>
                  <wp14:sizeRelV relativeFrom="page">
                    <wp14:pctHeight>0</wp14:pctHeight>
                  </wp14:sizeRelV>
                </wp:anchor>
              </w:drawing>
            </w:r>
          </w:p>
        </w:tc>
        <w:tc>
          <w:tcPr>
            <w:tcW w:w="2293" w:type="dxa"/>
          </w:tcPr>
          <w:p w14:paraId="0E10AD7F" w14:textId="77777777" w:rsidR="003F5FEE" w:rsidRPr="00057B94" w:rsidRDefault="003F5FEE" w:rsidP="003F5FEE"/>
        </w:tc>
        <w:tc>
          <w:tcPr>
            <w:tcW w:w="2835" w:type="dxa"/>
          </w:tcPr>
          <w:p w14:paraId="0E10AD80" w14:textId="77777777" w:rsidR="00A3615E" w:rsidRPr="00057B94" w:rsidRDefault="005B36AA" w:rsidP="005B36AA">
            <w:pPr>
              <w:spacing w:before="240" w:line="240" w:lineRule="exact"/>
            </w:pPr>
            <w:r w:rsidRPr="00057B94">
              <w:t>Distr.: General</w:t>
            </w:r>
          </w:p>
          <w:p w14:paraId="0E10AD81" w14:textId="253E8C14" w:rsidR="005B36AA" w:rsidRPr="00057B94" w:rsidRDefault="001A22C3" w:rsidP="005B36AA">
            <w:pPr>
              <w:spacing w:line="240" w:lineRule="exact"/>
            </w:pPr>
            <w:r>
              <w:t>1</w:t>
            </w:r>
            <w:r w:rsidR="004C1696">
              <w:t>9</w:t>
            </w:r>
            <w:r w:rsidR="0041441C" w:rsidRPr="00057B94">
              <w:t xml:space="preserve"> March</w:t>
            </w:r>
            <w:r w:rsidR="00206450" w:rsidRPr="00057B94">
              <w:t xml:space="preserve"> </w:t>
            </w:r>
            <w:r w:rsidR="00CD2549" w:rsidRPr="00057B94">
              <w:t>201</w:t>
            </w:r>
            <w:r w:rsidR="00206450" w:rsidRPr="00057B94">
              <w:t>9</w:t>
            </w:r>
          </w:p>
          <w:p w14:paraId="0E10AD82" w14:textId="77777777" w:rsidR="005B36AA" w:rsidRPr="00057B94" w:rsidRDefault="005B36AA" w:rsidP="005B36AA">
            <w:pPr>
              <w:spacing w:line="240" w:lineRule="exact"/>
            </w:pPr>
          </w:p>
          <w:p w14:paraId="0E10AD83" w14:textId="77777777" w:rsidR="005B36AA" w:rsidRPr="00057B94" w:rsidRDefault="005B36AA" w:rsidP="005B36AA">
            <w:pPr>
              <w:spacing w:line="240" w:lineRule="exact"/>
            </w:pPr>
            <w:r w:rsidRPr="00057B94">
              <w:t>Original: English</w:t>
            </w:r>
          </w:p>
        </w:tc>
      </w:tr>
    </w:tbl>
    <w:p w14:paraId="0E10AD85" w14:textId="77777777" w:rsidR="00A3615E" w:rsidRPr="00057B94" w:rsidRDefault="00FE5B75" w:rsidP="00A3615E">
      <w:pPr>
        <w:spacing w:before="120"/>
        <w:rPr>
          <w:bCs/>
        </w:rPr>
      </w:pPr>
      <w:r w:rsidRPr="00057B94">
        <w:rPr>
          <w:b/>
          <w:bCs/>
          <w:sz w:val="24"/>
          <w:szCs w:val="24"/>
        </w:rPr>
        <w:t>Conference of the Parties serving as the meeting</w:t>
      </w:r>
      <w:r w:rsidRPr="00057B94">
        <w:rPr>
          <w:b/>
          <w:bCs/>
          <w:sz w:val="24"/>
          <w:szCs w:val="24"/>
        </w:rPr>
        <w:br/>
        <w:t xml:space="preserve">of the Parties to the </w:t>
      </w:r>
      <w:r w:rsidR="005B36AA" w:rsidRPr="00057B94">
        <w:rPr>
          <w:b/>
          <w:bCs/>
          <w:sz w:val="24"/>
          <w:szCs w:val="24"/>
        </w:rPr>
        <w:t>Paris Agreement</w:t>
      </w:r>
    </w:p>
    <w:p w14:paraId="0E10AD86" w14:textId="00D9E9B0" w:rsidR="00A3615E" w:rsidRPr="00057B94" w:rsidRDefault="00A3615E" w:rsidP="00A3615E">
      <w:pPr>
        <w:pStyle w:val="HChG"/>
        <w:spacing w:after="0"/>
      </w:pPr>
      <w:r w:rsidRPr="00057B94">
        <w:tab/>
      </w:r>
      <w:r w:rsidRPr="00057B94">
        <w:tab/>
        <w:t xml:space="preserve">Report of the Conference of the Parties </w:t>
      </w:r>
      <w:r w:rsidR="00FE5B75" w:rsidRPr="00057B94">
        <w:t xml:space="preserve">serving as the meeting of the Parties to the </w:t>
      </w:r>
      <w:r w:rsidR="005B36AA" w:rsidRPr="00057B94">
        <w:t>Paris Agreement</w:t>
      </w:r>
      <w:r w:rsidR="004965EA" w:rsidRPr="00057B94">
        <w:t xml:space="preserve"> on the </w:t>
      </w:r>
      <w:r w:rsidR="00144761" w:rsidRPr="00057B94">
        <w:br/>
      </w:r>
      <w:r w:rsidR="007B7EA3" w:rsidRPr="00057B94">
        <w:t>third</w:t>
      </w:r>
      <w:r w:rsidR="004965EA" w:rsidRPr="00057B94">
        <w:t xml:space="preserve"> part of its first session</w:t>
      </w:r>
      <w:r w:rsidRPr="00057B94">
        <w:t xml:space="preserve">, held in </w:t>
      </w:r>
      <w:r w:rsidR="007B7EA3" w:rsidRPr="00057B94">
        <w:t>Katowice</w:t>
      </w:r>
      <w:r w:rsidRPr="00057B94">
        <w:t xml:space="preserve"> from </w:t>
      </w:r>
      <w:r w:rsidR="00144761" w:rsidRPr="00057B94">
        <w:br/>
      </w:r>
      <w:r w:rsidR="007B7EA3" w:rsidRPr="00057B94">
        <w:t>2</w:t>
      </w:r>
      <w:r w:rsidRPr="00057B94">
        <w:t xml:space="preserve"> to 1</w:t>
      </w:r>
      <w:r w:rsidR="001A22C3">
        <w:t>5</w:t>
      </w:r>
      <w:r w:rsidRPr="00057B94">
        <w:t xml:space="preserve"> </w:t>
      </w:r>
      <w:r w:rsidR="007B7EA3" w:rsidRPr="00057B94">
        <w:t>Dece</w:t>
      </w:r>
      <w:r w:rsidRPr="00057B94">
        <w:t>mber 201</w:t>
      </w:r>
      <w:r w:rsidR="007B7EA3" w:rsidRPr="00057B94">
        <w:t>8</w:t>
      </w:r>
    </w:p>
    <w:p w14:paraId="0E10AD87" w14:textId="77777777" w:rsidR="00A3615E" w:rsidRPr="00057B94" w:rsidRDefault="00A3615E" w:rsidP="00A3615E">
      <w:pPr>
        <w:pStyle w:val="H1G"/>
        <w:spacing w:before="240"/>
      </w:pPr>
      <w:r w:rsidRPr="00057B94">
        <w:tab/>
        <w:t>Addendum</w:t>
      </w:r>
    </w:p>
    <w:p w14:paraId="0E10AD88" w14:textId="3542BFC2" w:rsidR="00A3615E" w:rsidRPr="00057B94" w:rsidRDefault="00A3615E" w:rsidP="00733FEB">
      <w:pPr>
        <w:pStyle w:val="RegH1G"/>
        <w:numPr>
          <w:ilvl w:val="0"/>
          <w:numId w:val="0"/>
        </w:numPr>
        <w:ind w:left="1135" w:hanging="454"/>
      </w:pPr>
      <w:r w:rsidRPr="00057B94">
        <w:t xml:space="preserve">Part two: Action taken by the Conference of the Parties </w:t>
      </w:r>
      <w:r w:rsidR="00FE5B75" w:rsidRPr="00057B94">
        <w:t xml:space="preserve">serving as the meeting of the Parties to the </w:t>
      </w:r>
      <w:r w:rsidR="005B36AA" w:rsidRPr="00057B94">
        <w:t>Paris Agreement</w:t>
      </w:r>
    </w:p>
    <w:p w14:paraId="0E10AD89" w14:textId="77777777" w:rsidR="00A3615E" w:rsidRPr="00057B94" w:rsidRDefault="00A3615E" w:rsidP="00144761">
      <w:pPr>
        <w:pStyle w:val="HChG"/>
        <w:rPr>
          <w:b w:val="0"/>
        </w:rPr>
      </w:pPr>
      <w:r w:rsidRPr="00057B94">
        <w:rPr>
          <w:b w:val="0"/>
        </w:rPr>
        <w:t>Contents</w:t>
      </w:r>
    </w:p>
    <w:p w14:paraId="0E10AD8A" w14:textId="77777777" w:rsidR="00A3615E" w:rsidRPr="00057B94" w:rsidRDefault="00A3615E" w:rsidP="00A3615E">
      <w:pPr>
        <w:pStyle w:val="HChG"/>
        <w:spacing w:before="120"/>
      </w:pPr>
      <w:r w:rsidRPr="00057B94">
        <w:tab/>
      </w:r>
      <w:r w:rsidRPr="00057B94">
        <w:tab/>
        <w:t>Decisions adopted by the Conference of the Parties</w:t>
      </w:r>
      <w:r w:rsidR="00FE5B75" w:rsidRPr="00057B94">
        <w:t xml:space="preserve"> serving as the meeting of the Parties to the </w:t>
      </w:r>
      <w:r w:rsidR="005B36AA" w:rsidRPr="00057B94">
        <w:t>Paris Agreement</w:t>
      </w:r>
    </w:p>
    <w:p w14:paraId="0E10AD8B" w14:textId="77777777" w:rsidR="00A3615E" w:rsidRPr="00057B94" w:rsidRDefault="00A3615E" w:rsidP="00A3615E">
      <w:pPr>
        <w:tabs>
          <w:tab w:val="right" w:pos="8929"/>
          <w:tab w:val="right" w:pos="9638"/>
        </w:tabs>
        <w:spacing w:after="120"/>
        <w:ind w:left="1134"/>
      </w:pPr>
      <w:r w:rsidRPr="00057B94">
        <w:rPr>
          <w:i/>
          <w:sz w:val="18"/>
        </w:rPr>
        <w:t>Decision</w:t>
      </w:r>
      <w:r w:rsidRPr="00057B94">
        <w:rPr>
          <w:i/>
          <w:sz w:val="18"/>
        </w:rPr>
        <w:tab/>
      </w:r>
      <w:r w:rsidRPr="00057B94">
        <w:rPr>
          <w:i/>
          <w:sz w:val="18"/>
        </w:rPr>
        <w:tab/>
        <w:t>Page</w:t>
      </w:r>
    </w:p>
    <w:p w14:paraId="0E10AD8C" w14:textId="66F86CCD" w:rsidR="00A3615E" w:rsidRPr="00057B94" w:rsidRDefault="00A3615E"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3" w:history="1">
        <w:r w:rsidR="00AB1981" w:rsidRPr="007A692D">
          <w:rPr>
            <w:rStyle w:val="Hyperlink"/>
          </w:rPr>
          <w:t>3</w:t>
        </w:r>
        <w:r w:rsidRPr="007A692D">
          <w:rPr>
            <w:rStyle w:val="Hyperlink"/>
          </w:rPr>
          <w:t>/C</w:t>
        </w:r>
        <w:r w:rsidR="00FE5B75" w:rsidRPr="007A692D">
          <w:rPr>
            <w:rStyle w:val="Hyperlink"/>
          </w:rPr>
          <w:t>M</w:t>
        </w:r>
        <w:r w:rsidR="005B36AA" w:rsidRPr="007A692D">
          <w:rPr>
            <w:rStyle w:val="Hyperlink"/>
          </w:rPr>
          <w:t>A</w:t>
        </w:r>
        <w:r w:rsidRPr="007A692D">
          <w:rPr>
            <w:rStyle w:val="Hyperlink"/>
          </w:rPr>
          <w:t>.</w:t>
        </w:r>
        <w:r w:rsidR="00FE5B75" w:rsidRPr="007A692D">
          <w:rPr>
            <w:rStyle w:val="Hyperlink"/>
          </w:rPr>
          <w:t>1</w:t>
        </w:r>
      </w:hyperlink>
      <w:r w:rsidRPr="00057B94">
        <w:tab/>
      </w:r>
      <w:r w:rsidRPr="00057B94">
        <w:tab/>
      </w:r>
      <w:r w:rsidR="00101D66" w:rsidRPr="00057B94">
        <w:t>Matters relating to the implementation of the Paris Agreement</w:t>
      </w:r>
      <w:r w:rsidR="00101D66" w:rsidRPr="00057B94">
        <w:tab/>
      </w:r>
      <w:r w:rsidR="00144761" w:rsidRPr="00057B94">
        <w:tab/>
      </w:r>
      <w:r w:rsidR="00144761" w:rsidRPr="00057B94">
        <w:tab/>
      </w:r>
      <w:r w:rsidR="00BF58FC" w:rsidRPr="00057B94">
        <w:t>3</w:t>
      </w:r>
    </w:p>
    <w:p w14:paraId="0E10AD8D" w14:textId="723A9466" w:rsidR="00413059" w:rsidRPr="00057B94" w:rsidRDefault="00413059"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4" w:history="1">
        <w:r w:rsidR="00AB1981" w:rsidRPr="007A692D">
          <w:rPr>
            <w:rStyle w:val="Hyperlink"/>
          </w:rPr>
          <w:t>4</w:t>
        </w:r>
        <w:r w:rsidRPr="007A692D">
          <w:rPr>
            <w:rStyle w:val="Hyperlink"/>
          </w:rPr>
          <w:t>/CMA.1</w:t>
        </w:r>
      </w:hyperlink>
      <w:r w:rsidRPr="00057B94">
        <w:tab/>
      </w:r>
      <w:r w:rsidR="007B7EA3" w:rsidRPr="00057B94">
        <w:t xml:space="preserve">Further guidance in relation to the mitigation section of </w:t>
      </w:r>
      <w:r w:rsidR="00144761" w:rsidRPr="00057B94">
        <w:br/>
      </w:r>
      <w:r w:rsidR="007B7EA3" w:rsidRPr="00057B94">
        <w:t>decision 1/CP.21</w:t>
      </w:r>
      <w:r w:rsidR="003D4526" w:rsidRPr="00057B94">
        <w:tab/>
      </w:r>
      <w:r w:rsidR="00144761" w:rsidRPr="00057B94">
        <w:tab/>
      </w:r>
      <w:r w:rsidR="003D4526" w:rsidRPr="00057B94">
        <w:tab/>
      </w:r>
      <w:r w:rsidR="00C77D90">
        <w:t>6</w:t>
      </w:r>
    </w:p>
    <w:p w14:paraId="5808C3E3" w14:textId="1B5BB526" w:rsidR="007B7EA3" w:rsidRPr="00057B94" w:rsidRDefault="007B7EA3"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5" w:history="1">
        <w:r w:rsidR="00AB1981" w:rsidRPr="007A692D">
          <w:rPr>
            <w:rStyle w:val="Hyperlink"/>
          </w:rPr>
          <w:t>5</w:t>
        </w:r>
        <w:r w:rsidRPr="007A692D">
          <w:rPr>
            <w:rStyle w:val="Hyperlink"/>
          </w:rPr>
          <w:t>/CMA.1</w:t>
        </w:r>
      </w:hyperlink>
      <w:r w:rsidRPr="00057B94">
        <w:tab/>
        <w:t xml:space="preserve">Modalities and procedures for the operation and use of a public </w:t>
      </w:r>
      <w:r w:rsidR="00144761" w:rsidRPr="00057B94">
        <w:br/>
      </w:r>
      <w:r w:rsidRPr="00057B94">
        <w:t xml:space="preserve">registry referred to in Article 4, paragraph 12, of the Paris </w:t>
      </w:r>
      <w:r w:rsidR="00144761" w:rsidRPr="00057B94">
        <w:br/>
      </w:r>
      <w:r w:rsidRPr="00057B94">
        <w:t>Agreement</w:t>
      </w:r>
      <w:r w:rsidRPr="00057B94">
        <w:tab/>
      </w:r>
      <w:r w:rsidRPr="00057B94">
        <w:tab/>
      </w:r>
      <w:r w:rsidR="00144761" w:rsidRPr="00057B94">
        <w:tab/>
      </w:r>
      <w:r w:rsidR="00BF58FC" w:rsidRPr="00057B94">
        <w:t>1</w:t>
      </w:r>
      <w:r w:rsidR="00C77D90">
        <w:t>4</w:t>
      </w:r>
    </w:p>
    <w:p w14:paraId="583172A6" w14:textId="634075DB" w:rsidR="007B7EA3" w:rsidRPr="00057B94" w:rsidRDefault="007B7EA3"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6" w:history="1">
        <w:r w:rsidR="00AB1981" w:rsidRPr="007A692D">
          <w:rPr>
            <w:rStyle w:val="Hyperlink"/>
          </w:rPr>
          <w:t>6</w:t>
        </w:r>
        <w:r w:rsidRPr="007A692D">
          <w:rPr>
            <w:rStyle w:val="Hyperlink"/>
          </w:rPr>
          <w:t>/CMA.1</w:t>
        </w:r>
      </w:hyperlink>
      <w:r w:rsidRPr="00057B94">
        <w:tab/>
        <w:t xml:space="preserve">Common time frames for nationally determined contributions </w:t>
      </w:r>
      <w:r w:rsidR="00B15320" w:rsidRPr="00057B94">
        <w:br/>
      </w:r>
      <w:r w:rsidRPr="00057B94">
        <w:t>referred to in Article 4, paragraph 10, of the Paris Agreement</w:t>
      </w:r>
      <w:r w:rsidRPr="00057B94">
        <w:tab/>
      </w:r>
      <w:r w:rsidRPr="00057B94">
        <w:tab/>
      </w:r>
      <w:r w:rsidR="00B15320" w:rsidRPr="00057B94">
        <w:tab/>
      </w:r>
      <w:r w:rsidR="00BF58FC" w:rsidRPr="00057B94">
        <w:t>1</w:t>
      </w:r>
      <w:r w:rsidR="00C77D90">
        <w:t>7</w:t>
      </w:r>
    </w:p>
    <w:p w14:paraId="479BE46D" w14:textId="3C0E2031" w:rsidR="007B7EA3" w:rsidRPr="00057B94" w:rsidRDefault="007B7EA3"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7" w:history="1">
        <w:r w:rsidR="00AB1981" w:rsidRPr="007A692D">
          <w:rPr>
            <w:rStyle w:val="Hyperlink"/>
          </w:rPr>
          <w:t>7</w:t>
        </w:r>
        <w:r w:rsidRPr="007A692D">
          <w:rPr>
            <w:rStyle w:val="Hyperlink"/>
          </w:rPr>
          <w:t>/CMA.1</w:t>
        </w:r>
      </w:hyperlink>
      <w:r w:rsidRPr="00057B94">
        <w:tab/>
        <w:t xml:space="preserve">Modalities, work programme and functions under the Paris </w:t>
      </w:r>
      <w:r w:rsidR="00B15320" w:rsidRPr="00057B94">
        <w:br/>
      </w:r>
      <w:r w:rsidRPr="00057B94">
        <w:t xml:space="preserve">Agreement of the forum on the impact of the implementation of </w:t>
      </w:r>
      <w:r w:rsidR="00B15320" w:rsidRPr="00057B94">
        <w:br/>
      </w:r>
      <w:r w:rsidRPr="00057B94">
        <w:t>response measures</w:t>
      </w:r>
      <w:r w:rsidRPr="00057B94">
        <w:tab/>
      </w:r>
      <w:r w:rsidRPr="00057B94">
        <w:tab/>
      </w:r>
      <w:r w:rsidR="00B15320" w:rsidRPr="00057B94">
        <w:tab/>
      </w:r>
      <w:r w:rsidR="00BF58FC" w:rsidRPr="00057B94">
        <w:t>1</w:t>
      </w:r>
      <w:r w:rsidR="00C77D90">
        <w:t>8</w:t>
      </w:r>
    </w:p>
    <w:p w14:paraId="6CFF273C" w14:textId="6CA6AF1A" w:rsidR="007B7EA3" w:rsidRPr="00057B94" w:rsidRDefault="007B7EA3" w:rsidP="00B15320">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8" w:history="1">
        <w:r w:rsidR="00AB1981" w:rsidRPr="007A692D">
          <w:rPr>
            <w:rStyle w:val="Hyperlink"/>
          </w:rPr>
          <w:t>8</w:t>
        </w:r>
        <w:r w:rsidRPr="007A692D">
          <w:rPr>
            <w:rStyle w:val="Hyperlink"/>
          </w:rPr>
          <w:t>/CMA.1</w:t>
        </w:r>
      </w:hyperlink>
      <w:r w:rsidRPr="00057B94">
        <w:tab/>
        <w:t xml:space="preserve">Matters relating to Article 6 of the Paris Agreement and </w:t>
      </w:r>
      <w:r w:rsidR="00B15320" w:rsidRPr="00057B94">
        <w:br/>
      </w:r>
      <w:r w:rsidRPr="00057B94">
        <w:t>paragraphs 36–40 of decision 1/CP.21</w:t>
      </w:r>
      <w:r w:rsidRPr="00057B94">
        <w:tab/>
      </w:r>
      <w:r w:rsidRPr="00057B94">
        <w:tab/>
      </w:r>
      <w:r w:rsidR="00B15320" w:rsidRPr="00057B94">
        <w:tab/>
      </w:r>
      <w:r w:rsidR="00BF58FC" w:rsidRPr="00057B94">
        <w:t>2</w:t>
      </w:r>
      <w:r w:rsidR="00C77D90">
        <w:t>3</w:t>
      </w:r>
    </w:p>
    <w:p w14:paraId="3E86C739" w14:textId="4A887CFE" w:rsidR="007B7EA3" w:rsidRPr="00057B94" w:rsidRDefault="007B7EA3"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9" w:history="1">
        <w:r w:rsidR="00AB1981" w:rsidRPr="007A692D">
          <w:rPr>
            <w:rStyle w:val="Hyperlink"/>
          </w:rPr>
          <w:t>9</w:t>
        </w:r>
        <w:r w:rsidRPr="007A692D">
          <w:rPr>
            <w:rStyle w:val="Hyperlink"/>
          </w:rPr>
          <w:t>/CMA.1</w:t>
        </w:r>
      </w:hyperlink>
      <w:r w:rsidRPr="00057B94">
        <w:tab/>
        <w:t xml:space="preserve">Further guidance in relation to the adaptation communication, </w:t>
      </w:r>
      <w:r w:rsidR="00B15320" w:rsidRPr="00057B94">
        <w:br/>
      </w:r>
      <w:r w:rsidRPr="00057B94">
        <w:t xml:space="preserve">including, inter alia, as a component of nationally determined </w:t>
      </w:r>
      <w:r w:rsidR="00B15320" w:rsidRPr="00057B94">
        <w:br/>
      </w:r>
      <w:r w:rsidRPr="00057B94">
        <w:t xml:space="preserve">contributions, referred to in Article 7, paragraphs 10 and 11, </w:t>
      </w:r>
      <w:r w:rsidR="00B15320" w:rsidRPr="00057B94">
        <w:br/>
      </w:r>
      <w:r w:rsidRPr="00057B94">
        <w:t>of the Paris Agreement</w:t>
      </w:r>
      <w:r w:rsidRPr="00057B94">
        <w:tab/>
      </w:r>
      <w:r w:rsidRPr="00057B94">
        <w:tab/>
      </w:r>
      <w:r w:rsidR="00B15320" w:rsidRPr="00057B94">
        <w:tab/>
      </w:r>
      <w:r w:rsidR="00D80EB8" w:rsidRPr="00057B94">
        <w:t>25</w:t>
      </w:r>
    </w:p>
    <w:p w14:paraId="1B9F2E78" w14:textId="14B4B76C" w:rsidR="007B7EA3" w:rsidRPr="00057B94" w:rsidRDefault="007B7EA3" w:rsidP="00144761">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10" w:history="1">
        <w:r w:rsidR="00AB1981" w:rsidRPr="007A692D">
          <w:rPr>
            <w:rStyle w:val="Hyperlink"/>
          </w:rPr>
          <w:t>10</w:t>
        </w:r>
        <w:r w:rsidRPr="007A692D">
          <w:rPr>
            <w:rStyle w:val="Hyperlink"/>
          </w:rPr>
          <w:t>/CMA.1</w:t>
        </w:r>
      </w:hyperlink>
      <w:r w:rsidRPr="00057B94">
        <w:tab/>
        <w:t xml:space="preserve">Modalities and procedures for the operation and use of a public </w:t>
      </w:r>
      <w:r w:rsidR="00B15320" w:rsidRPr="00057B94">
        <w:br/>
      </w:r>
      <w:r w:rsidRPr="00057B94">
        <w:t xml:space="preserve">registry referred to in Article 7, paragraph 12, of the Paris </w:t>
      </w:r>
      <w:r w:rsidR="00B15320" w:rsidRPr="00057B94">
        <w:br/>
      </w:r>
      <w:r w:rsidRPr="00057B94">
        <w:t>Agreement</w:t>
      </w:r>
      <w:r w:rsidRPr="00057B94">
        <w:tab/>
      </w:r>
      <w:r w:rsidRPr="00057B94">
        <w:tab/>
      </w:r>
      <w:r w:rsidR="00B15320" w:rsidRPr="00057B94">
        <w:tab/>
      </w:r>
      <w:r w:rsidR="00D80EB8" w:rsidRPr="00057B94">
        <w:t>2</w:t>
      </w:r>
      <w:r w:rsidR="00C77D90">
        <w:t>7</w:t>
      </w:r>
    </w:p>
    <w:p w14:paraId="14B3EAC5" w14:textId="40BC18CB" w:rsidR="007B7EA3" w:rsidRPr="00057B94" w:rsidRDefault="007B7EA3" w:rsidP="00B15320">
      <w:pPr>
        <w:tabs>
          <w:tab w:val="right" w:pos="850"/>
          <w:tab w:val="left" w:pos="1134"/>
          <w:tab w:val="left" w:pos="1559"/>
          <w:tab w:val="left" w:pos="2268"/>
          <w:tab w:val="left" w:leader="dot" w:pos="7654"/>
          <w:tab w:val="right" w:pos="8929"/>
          <w:tab w:val="right" w:pos="9638"/>
        </w:tabs>
        <w:spacing w:after="120"/>
        <w:ind w:left="2265" w:hanging="2265"/>
      </w:pPr>
      <w:r w:rsidRPr="00057B94">
        <w:lastRenderedPageBreak/>
        <w:tab/>
      </w:r>
      <w:r w:rsidRPr="00057B94">
        <w:tab/>
      </w:r>
      <w:hyperlink w:anchor="D11" w:history="1">
        <w:r w:rsidR="00AB1981" w:rsidRPr="007A692D">
          <w:rPr>
            <w:rStyle w:val="Hyperlink"/>
          </w:rPr>
          <w:t>11</w:t>
        </w:r>
        <w:r w:rsidRPr="007A692D">
          <w:rPr>
            <w:rStyle w:val="Hyperlink"/>
          </w:rPr>
          <w:t>/CMA.1</w:t>
        </w:r>
      </w:hyperlink>
      <w:r w:rsidRPr="00057B94">
        <w:tab/>
        <w:t xml:space="preserve">Matters referred to in paragraphs 41, 42 and 45 of </w:t>
      </w:r>
      <w:r w:rsidR="00B15320" w:rsidRPr="00057B94">
        <w:br/>
      </w:r>
      <w:r w:rsidRPr="00057B94">
        <w:t>decision 1/CP.21</w:t>
      </w:r>
      <w:r w:rsidRPr="00057B94">
        <w:tab/>
      </w:r>
      <w:r w:rsidRPr="00057B94">
        <w:tab/>
      </w:r>
      <w:r w:rsidR="00B15320" w:rsidRPr="00057B94">
        <w:tab/>
      </w:r>
      <w:r w:rsidR="00D80EB8" w:rsidRPr="00057B94">
        <w:t>3</w:t>
      </w:r>
      <w:r w:rsidR="00034A83">
        <w:t>0</w:t>
      </w:r>
    </w:p>
    <w:p w14:paraId="2575F874" w14:textId="2D5E0799" w:rsidR="007B7EA3" w:rsidRPr="00057B94" w:rsidRDefault="007B7EA3" w:rsidP="00B15320">
      <w:pPr>
        <w:tabs>
          <w:tab w:val="right" w:pos="850"/>
          <w:tab w:val="left" w:pos="1134"/>
          <w:tab w:val="left" w:pos="1559"/>
          <w:tab w:val="left" w:pos="2268"/>
          <w:tab w:val="left" w:leader="dot" w:pos="7654"/>
          <w:tab w:val="right" w:pos="8929"/>
          <w:tab w:val="right" w:pos="9638"/>
        </w:tabs>
        <w:spacing w:after="120"/>
        <w:ind w:left="2265" w:hanging="2265"/>
      </w:pPr>
      <w:r w:rsidRPr="00057B94">
        <w:tab/>
      </w:r>
      <w:r w:rsidRPr="00057B94">
        <w:tab/>
      </w:r>
      <w:hyperlink w:anchor="D12" w:history="1">
        <w:r w:rsidRPr="007A692D">
          <w:rPr>
            <w:rStyle w:val="Hyperlink"/>
          </w:rPr>
          <w:t>1</w:t>
        </w:r>
        <w:r w:rsidR="00AB1981" w:rsidRPr="007A692D">
          <w:rPr>
            <w:rStyle w:val="Hyperlink"/>
          </w:rPr>
          <w:t>2</w:t>
        </w:r>
        <w:r w:rsidRPr="007A692D">
          <w:rPr>
            <w:rStyle w:val="Hyperlink"/>
          </w:rPr>
          <w:t>/CMA</w:t>
        </w:r>
        <w:r w:rsidR="00AB1981" w:rsidRPr="007A692D">
          <w:rPr>
            <w:rStyle w:val="Hyperlink"/>
          </w:rPr>
          <w:t>.</w:t>
        </w:r>
        <w:r w:rsidRPr="007A692D">
          <w:rPr>
            <w:rStyle w:val="Hyperlink"/>
          </w:rPr>
          <w:t>1</w:t>
        </w:r>
      </w:hyperlink>
      <w:r w:rsidRPr="00057B94">
        <w:tab/>
      </w:r>
      <w:r w:rsidR="00393E70" w:rsidRPr="00057B94">
        <w:t xml:space="preserve">Identification of the information to be provided by Parties in </w:t>
      </w:r>
      <w:r w:rsidR="00B15320" w:rsidRPr="00057B94">
        <w:br/>
      </w:r>
      <w:r w:rsidR="00393E70" w:rsidRPr="00057B94">
        <w:t>accordance with Article 9, paragraph 5, of the Paris Agreement</w:t>
      </w:r>
      <w:r w:rsidR="00393E70" w:rsidRPr="00057B94">
        <w:tab/>
      </w:r>
      <w:r w:rsidR="00B15320" w:rsidRPr="00057B94">
        <w:tab/>
      </w:r>
      <w:r w:rsidR="00393E70" w:rsidRPr="00057B94">
        <w:tab/>
      </w:r>
      <w:r w:rsidR="00D80EB8" w:rsidRPr="00057B94">
        <w:t>3</w:t>
      </w:r>
      <w:r w:rsidR="00034A83">
        <w:t>5</w:t>
      </w:r>
    </w:p>
    <w:p w14:paraId="0E10AD90" w14:textId="4AAF8645" w:rsidR="007503FA" w:rsidRPr="00057B94" w:rsidRDefault="007503FA" w:rsidP="001D006D">
      <w:pPr>
        <w:tabs>
          <w:tab w:val="right" w:pos="850"/>
          <w:tab w:val="left" w:pos="1134"/>
          <w:tab w:val="left" w:pos="1559"/>
          <w:tab w:val="left" w:pos="2268"/>
          <w:tab w:val="right" w:leader="dot" w:pos="8929"/>
          <w:tab w:val="right" w:pos="9638"/>
        </w:tabs>
        <w:spacing w:after="120"/>
        <w:ind w:left="2265" w:hanging="2265"/>
        <w:sectPr w:rsidR="007503FA" w:rsidRPr="00057B94" w:rsidSect="00AC172A">
          <w:headerReference w:type="even" r:id="rId14"/>
          <w:headerReference w:type="default" r:id="rId15"/>
          <w:footerReference w:type="even" r:id="rId16"/>
          <w:footerReference w:type="default" r:id="rId17"/>
          <w:headerReference w:type="first" r:id="rId18"/>
          <w:pgSz w:w="11906" w:h="16838" w:code="9"/>
          <w:pgMar w:top="1418" w:right="1134" w:bottom="1134" w:left="1134" w:header="850" w:footer="567" w:gutter="0"/>
          <w:cols w:space="708"/>
          <w:titlePg/>
          <w:docGrid w:linePitch="360"/>
        </w:sectPr>
      </w:pPr>
      <w:r w:rsidRPr="00057B94">
        <w:tab/>
      </w:r>
    </w:p>
    <w:tbl>
      <w:tblPr>
        <w:tblStyle w:val="TableGrid"/>
        <w:tblW w:w="0" w:type="auto"/>
        <w:tblInd w:w="1134" w:type="dxa"/>
        <w:tblLook w:val="04A0" w:firstRow="1" w:lastRow="0" w:firstColumn="1" w:lastColumn="0" w:noHBand="0" w:noVBand="1"/>
      </w:tblPr>
      <w:tblGrid>
        <w:gridCol w:w="8494"/>
      </w:tblGrid>
      <w:tr w:rsidR="00EB5740" w:rsidRPr="00EB5740" w14:paraId="2EF60440" w14:textId="77777777" w:rsidTr="00EB5740">
        <w:tc>
          <w:tcPr>
            <w:tcW w:w="9628" w:type="dxa"/>
          </w:tcPr>
          <w:p w14:paraId="372559E2" w14:textId="77777777" w:rsidR="00EB5740" w:rsidRPr="00EB5740" w:rsidRDefault="00EB5740" w:rsidP="00E2722E">
            <w:pPr>
              <w:pStyle w:val="HChG"/>
              <w:spacing w:before="120"/>
              <w:ind w:left="0" w:right="0" w:firstLine="0"/>
              <w:rPr>
                <w:bCs/>
              </w:rPr>
            </w:pPr>
            <w:bookmarkStart w:id="0" w:name="D3"/>
            <w:r w:rsidRPr="00EB5740">
              <w:rPr>
                <w:bCs/>
              </w:rPr>
              <w:lastRenderedPageBreak/>
              <w:t>Decision 3/CMA.1</w:t>
            </w:r>
          </w:p>
        </w:tc>
      </w:tr>
      <w:bookmarkEnd w:id="0"/>
      <w:tr w:rsidR="00EB5740" w:rsidRPr="00EB5740" w14:paraId="4179A7C8" w14:textId="77777777" w:rsidTr="00EB5740">
        <w:tc>
          <w:tcPr>
            <w:tcW w:w="9628" w:type="dxa"/>
          </w:tcPr>
          <w:p w14:paraId="2F0DDA3A" w14:textId="77777777" w:rsidR="00EB5740" w:rsidRPr="00EB5740" w:rsidRDefault="00EB5740" w:rsidP="00E2722E">
            <w:pPr>
              <w:pStyle w:val="HChG"/>
              <w:ind w:left="0" w:right="0" w:firstLine="0"/>
            </w:pPr>
            <w:r w:rsidRPr="00EB5740">
              <w:tab/>
            </w:r>
            <w:r w:rsidRPr="00EB5740">
              <w:tab/>
            </w:r>
            <w:bookmarkStart w:id="1" w:name="_Hlk533675315"/>
            <w:r w:rsidRPr="00EB5740">
              <w:t>Matters relating to the implementation of the Paris Agreement</w:t>
            </w:r>
            <w:bookmarkEnd w:id="1"/>
          </w:p>
        </w:tc>
      </w:tr>
      <w:tr w:rsidR="00EB5740" w:rsidRPr="00EB5740" w14:paraId="24283FA6" w14:textId="77777777" w:rsidTr="00EB5740">
        <w:tc>
          <w:tcPr>
            <w:tcW w:w="9628" w:type="dxa"/>
          </w:tcPr>
          <w:p w14:paraId="73266CC9" w14:textId="77777777" w:rsidR="00EB5740" w:rsidRPr="00EB5740" w:rsidRDefault="00EB5740" w:rsidP="00E2722E">
            <w:pPr>
              <w:spacing w:before="120"/>
              <w:rPr>
                <w:i/>
              </w:rPr>
            </w:pPr>
            <w:r w:rsidRPr="00EB5740">
              <w:rPr>
                <w:i/>
              </w:rPr>
              <w:t>The Conference of the Parties serving as the meeting of the Parties to the Paris Agreement</w:t>
            </w:r>
            <w:r w:rsidRPr="00EB5740">
              <w:t>,</w:t>
            </w:r>
          </w:p>
        </w:tc>
      </w:tr>
      <w:tr w:rsidR="00EB5740" w:rsidRPr="00EB5740" w14:paraId="2C2EE9BC" w14:textId="77777777" w:rsidTr="00EB5740">
        <w:tc>
          <w:tcPr>
            <w:tcW w:w="9628" w:type="dxa"/>
          </w:tcPr>
          <w:p w14:paraId="371E9B0C" w14:textId="77777777" w:rsidR="00EB5740" w:rsidRPr="00EB5740" w:rsidRDefault="00EB5740" w:rsidP="00E2722E">
            <w:pPr>
              <w:spacing w:before="120"/>
            </w:pPr>
            <w:r w:rsidRPr="00EB5740">
              <w:rPr>
                <w:i/>
              </w:rPr>
              <w:t>Recalling</w:t>
            </w:r>
            <w:r w:rsidRPr="00EB5740">
              <w:t xml:space="preserve"> the Paris Agreement, adopted under the Convention, </w:t>
            </w:r>
          </w:p>
        </w:tc>
      </w:tr>
      <w:tr w:rsidR="00EB5740" w:rsidRPr="00EB5740" w14:paraId="39B16FA5" w14:textId="77777777" w:rsidTr="00EB5740">
        <w:tc>
          <w:tcPr>
            <w:tcW w:w="9628" w:type="dxa"/>
          </w:tcPr>
          <w:p w14:paraId="1EC9AAFD" w14:textId="77777777" w:rsidR="00EB5740" w:rsidRPr="00EB5740" w:rsidRDefault="00EB5740" w:rsidP="00E2722E">
            <w:pPr>
              <w:spacing w:before="120"/>
            </w:pPr>
            <w:r w:rsidRPr="00EB5740">
              <w:rPr>
                <w:i/>
              </w:rPr>
              <w:t>Also recalling</w:t>
            </w:r>
            <w:r w:rsidRPr="00EB5740">
              <w:t xml:space="preserve"> Article 9, paragraph 8, Article 11, paragraph 5, and Article 19 of the Paris Agreement,</w:t>
            </w:r>
          </w:p>
        </w:tc>
      </w:tr>
      <w:tr w:rsidR="00EB5740" w:rsidRPr="00EB5740" w14:paraId="29114AE1" w14:textId="77777777" w:rsidTr="00EB5740">
        <w:tc>
          <w:tcPr>
            <w:tcW w:w="9628" w:type="dxa"/>
          </w:tcPr>
          <w:p w14:paraId="6714EE92" w14:textId="77777777" w:rsidR="00EB5740" w:rsidRPr="00EB5740" w:rsidRDefault="00EB5740" w:rsidP="00E2722E">
            <w:pPr>
              <w:spacing w:before="120" w:after="120"/>
            </w:pPr>
            <w:r w:rsidRPr="00EB5740">
              <w:rPr>
                <w:i/>
              </w:rPr>
              <w:t>Further recalling</w:t>
            </w:r>
            <w:r w:rsidRPr="00EB5740">
              <w:t xml:space="preserve"> Article 2, paragraph 2, of the Paris Agreement, which states that the Agreement will be implemented to reflect equity and the principle of common but differentiated responsibilities and respective capabilities, in the light of different national circumstances,</w:t>
            </w:r>
          </w:p>
        </w:tc>
      </w:tr>
      <w:tr w:rsidR="00EB5740" w:rsidRPr="00EB5740" w14:paraId="1BBA9299" w14:textId="77777777" w:rsidTr="00EB5740">
        <w:tc>
          <w:tcPr>
            <w:tcW w:w="9628" w:type="dxa"/>
          </w:tcPr>
          <w:p w14:paraId="17726C89" w14:textId="77777777" w:rsidR="00EB5740" w:rsidRPr="00EB5740" w:rsidRDefault="00EB5740" w:rsidP="00E2722E">
            <w:pPr>
              <w:spacing w:before="120"/>
            </w:pPr>
            <w:r w:rsidRPr="00EB5740">
              <w:rPr>
                <w:i/>
              </w:rPr>
              <w:t xml:space="preserve">Recalling </w:t>
            </w:r>
            <w:r w:rsidRPr="00EB5740">
              <w:t xml:space="preserve">decision 1/CMA.1, </w:t>
            </w:r>
          </w:p>
        </w:tc>
      </w:tr>
      <w:tr w:rsidR="00EB5740" w:rsidRPr="00EB5740" w14:paraId="32ABAA6F" w14:textId="77777777" w:rsidTr="00EB5740">
        <w:tc>
          <w:tcPr>
            <w:tcW w:w="9628" w:type="dxa"/>
          </w:tcPr>
          <w:p w14:paraId="5F96AE5A" w14:textId="77777777" w:rsidR="00EB5740" w:rsidRPr="00EB5740" w:rsidRDefault="00EB5740" w:rsidP="00E2722E">
            <w:pPr>
              <w:spacing w:before="120" w:after="120"/>
            </w:pPr>
            <w:r w:rsidRPr="00EB5740">
              <w:rPr>
                <w:i/>
              </w:rPr>
              <w:t xml:space="preserve">Also recalling </w:t>
            </w:r>
            <w:r w:rsidRPr="00EB5740">
              <w:t xml:space="preserve">decisions 1/CP.21, 1/CP.22, 1/CP.23 and 1/CP.24, </w:t>
            </w:r>
          </w:p>
        </w:tc>
      </w:tr>
      <w:tr w:rsidR="00EB5740" w:rsidRPr="00EB5740" w14:paraId="2C3D13D1" w14:textId="77777777" w:rsidTr="00EB5740">
        <w:tc>
          <w:tcPr>
            <w:tcW w:w="9628" w:type="dxa"/>
          </w:tcPr>
          <w:p w14:paraId="7EB621D6" w14:textId="77777777" w:rsidR="00EB5740" w:rsidRPr="00EB5740" w:rsidRDefault="00EB5740" w:rsidP="00E2722E">
            <w:pPr>
              <w:pStyle w:val="RegSingleTxtG"/>
              <w:numPr>
                <w:ilvl w:val="0"/>
                <w:numId w:val="0"/>
              </w:numPr>
              <w:tabs>
                <w:tab w:val="left" w:pos="568"/>
              </w:tabs>
              <w:ind w:right="0"/>
            </w:pPr>
            <w:r w:rsidRPr="00EB5740">
              <w:t>1.</w:t>
            </w:r>
            <w:r w:rsidRPr="00EB5740">
              <w:tab/>
            </w:r>
            <w:r w:rsidRPr="00EB5740">
              <w:rPr>
                <w:i/>
              </w:rPr>
              <w:t>Congratulates</w:t>
            </w:r>
            <w:r w:rsidRPr="00EB5740">
              <w:t xml:space="preserve"> Parties that have ratified, accepted, approved or acceded to the Paris Agreement, and </w:t>
            </w:r>
            <w:r w:rsidRPr="00EB5740">
              <w:rPr>
                <w:i/>
              </w:rPr>
              <w:t>invites</w:t>
            </w:r>
            <w:r w:rsidRPr="00EB5740">
              <w:t xml:space="preserve"> those that have not yet done so to deposit their instruments of ratification, acceptance, approval or accession, where appropriate, with the Depositary as soon as possible;</w:t>
            </w:r>
          </w:p>
        </w:tc>
      </w:tr>
      <w:tr w:rsidR="00EB5740" w:rsidRPr="00EB5740" w14:paraId="063CD5C7" w14:textId="77777777" w:rsidTr="00EB5740">
        <w:tc>
          <w:tcPr>
            <w:tcW w:w="9628" w:type="dxa"/>
          </w:tcPr>
          <w:p w14:paraId="3E2E032E" w14:textId="77777777" w:rsidR="00EB5740" w:rsidRPr="00EB5740" w:rsidRDefault="00EB5740" w:rsidP="00E2722E">
            <w:pPr>
              <w:pStyle w:val="RegHChG"/>
              <w:numPr>
                <w:ilvl w:val="0"/>
                <w:numId w:val="0"/>
              </w:numPr>
              <w:tabs>
                <w:tab w:val="left" w:pos="1135"/>
              </w:tabs>
              <w:ind w:right="0"/>
            </w:pPr>
            <w:r w:rsidRPr="00EB5740">
              <w:t>I.</w:t>
            </w:r>
            <w:r w:rsidRPr="00EB5740">
              <w:tab/>
              <w:t>Paris Agreement work programme</w:t>
            </w:r>
          </w:p>
        </w:tc>
      </w:tr>
      <w:tr w:rsidR="00EB5740" w:rsidRPr="00EB5740" w14:paraId="05478F42" w14:textId="77777777" w:rsidTr="00EB5740">
        <w:tc>
          <w:tcPr>
            <w:tcW w:w="9628" w:type="dxa"/>
          </w:tcPr>
          <w:p w14:paraId="66E1F381" w14:textId="77777777" w:rsidR="00EB5740" w:rsidRPr="00EB5740" w:rsidRDefault="00EB5740" w:rsidP="00E2722E">
            <w:pPr>
              <w:pStyle w:val="RegSingleTxtG"/>
              <w:numPr>
                <w:ilvl w:val="0"/>
                <w:numId w:val="0"/>
              </w:numPr>
              <w:tabs>
                <w:tab w:val="left" w:pos="568"/>
              </w:tabs>
              <w:ind w:right="0"/>
            </w:pPr>
            <w:r w:rsidRPr="00EB5740">
              <w:t>2.</w:t>
            </w:r>
            <w:r w:rsidRPr="00EB5740">
              <w:tab/>
            </w:r>
            <w:r w:rsidRPr="00EB5740">
              <w:rPr>
                <w:i/>
              </w:rPr>
              <w:t xml:space="preserve">Expresses its appreciation </w:t>
            </w:r>
            <w:r w:rsidRPr="00EB5740">
              <w:t>to the Conference of the Parties for overseeing the implementation of the Paris Agreement work programme by the subsidiary and constituted bodies;</w:t>
            </w:r>
          </w:p>
        </w:tc>
      </w:tr>
      <w:tr w:rsidR="00EB5740" w:rsidRPr="00EB5740" w14:paraId="75ECE7EA" w14:textId="77777777" w:rsidTr="00EB5740">
        <w:tc>
          <w:tcPr>
            <w:tcW w:w="9628" w:type="dxa"/>
          </w:tcPr>
          <w:p w14:paraId="254F7FF7" w14:textId="77777777" w:rsidR="00EB5740" w:rsidRPr="00EB5740" w:rsidRDefault="00EB5740" w:rsidP="00E2722E">
            <w:pPr>
              <w:pStyle w:val="RegSingleTxtG"/>
              <w:numPr>
                <w:ilvl w:val="0"/>
                <w:numId w:val="0"/>
              </w:numPr>
              <w:tabs>
                <w:tab w:val="left" w:pos="568"/>
              </w:tabs>
              <w:ind w:right="0"/>
            </w:pPr>
            <w:r w:rsidRPr="00EB5740">
              <w:t>3.</w:t>
            </w:r>
            <w:r w:rsidRPr="00EB5740">
              <w:tab/>
            </w:r>
            <w:r w:rsidRPr="00EB5740">
              <w:rPr>
                <w:i/>
              </w:rPr>
              <w:t xml:space="preserve">Also expresses its appreciation </w:t>
            </w:r>
            <w:r w:rsidRPr="00EB5740">
              <w:t>to the subsidiary and constituted bodies for their work on the implementation of the Paris Agreement work programme;</w:t>
            </w:r>
          </w:p>
        </w:tc>
      </w:tr>
      <w:tr w:rsidR="00EB5740" w:rsidRPr="00EB5740" w14:paraId="74C5B38D" w14:textId="77777777" w:rsidTr="00EB5740">
        <w:tc>
          <w:tcPr>
            <w:tcW w:w="9628" w:type="dxa"/>
          </w:tcPr>
          <w:p w14:paraId="1C89FD43" w14:textId="77777777" w:rsidR="00EB5740" w:rsidRPr="00EB5740" w:rsidRDefault="00EB5740" w:rsidP="00E2722E">
            <w:pPr>
              <w:pStyle w:val="RegSingleTxtG"/>
              <w:numPr>
                <w:ilvl w:val="0"/>
                <w:numId w:val="0"/>
              </w:numPr>
              <w:tabs>
                <w:tab w:val="left" w:pos="568"/>
              </w:tabs>
              <w:spacing w:before="120"/>
              <w:ind w:right="0"/>
            </w:pPr>
            <w:r w:rsidRPr="00EB5740">
              <w:t>4.</w:t>
            </w:r>
            <w:r w:rsidRPr="00EB5740">
              <w:tab/>
            </w:r>
            <w:r w:rsidRPr="00EB5740">
              <w:rPr>
                <w:i/>
              </w:rPr>
              <w:t>Decides</w:t>
            </w:r>
            <w:r w:rsidRPr="00EB5740">
              <w:t>,</w:t>
            </w:r>
            <w:r w:rsidRPr="00EB5740">
              <w:rPr>
                <w:i/>
              </w:rPr>
              <w:t xml:space="preserve"> </w:t>
            </w:r>
            <w:r w:rsidRPr="00EB5740">
              <w:t xml:space="preserve">having considered the draft decisions on matters relating to the Paris Agreement work programme forwarded by the Conference of the Parties at its twenty-fourth session and the Subsidiary Body for Implementation, to adopt them as follows: </w:t>
            </w:r>
          </w:p>
        </w:tc>
      </w:tr>
      <w:tr w:rsidR="00EB5740" w:rsidRPr="00EB5740" w14:paraId="36DE2563" w14:textId="77777777" w:rsidTr="00EB5740">
        <w:tc>
          <w:tcPr>
            <w:tcW w:w="9628" w:type="dxa"/>
          </w:tcPr>
          <w:p w14:paraId="5F861B9C" w14:textId="77777777" w:rsidR="00EB5740" w:rsidRPr="00EB5740" w:rsidRDefault="00EB5740" w:rsidP="00E2722E">
            <w:pPr>
              <w:pStyle w:val="NoSpacing"/>
              <w:keepNext/>
              <w:spacing w:before="120" w:after="120"/>
              <w:rPr>
                <w:i/>
              </w:rPr>
            </w:pPr>
            <w:r w:rsidRPr="00EB5740">
              <w:rPr>
                <w:i/>
              </w:rPr>
              <w:t>Matters relating to Article 4 of the Paris Agreement and paragraphs 22–35 of decision 1/CP.21</w:t>
            </w:r>
          </w:p>
        </w:tc>
      </w:tr>
      <w:tr w:rsidR="00EB5740" w:rsidRPr="00EB5740" w14:paraId="3D3E9B0E" w14:textId="77777777" w:rsidTr="00EB5740">
        <w:tc>
          <w:tcPr>
            <w:tcW w:w="9628" w:type="dxa"/>
          </w:tcPr>
          <w:p w14:paraId="034D0828" w14:textId="77777777" w:rsidR="00EB5740" w:rsidRPr="00EB5740" w:rsidRDefault="00EB5740" w:rsidP="00E2722E">
            <w:pPr>
              <w:pStyle w:val="RegSingleTxtG2"/>
              <w:tabs>
                <w:tab w:val="clear" w:pos="360"/>
                <w:tab w:val="left" w:pos="720"/>
                <w:tab w:val="left" w:pos="1701"/>
              </w:tabs>
              <w:ind w:left="0" w:right="0" w:firstLine="0"/>
            </w:pPr>
            <w:r w:rsidRPr="00EB5740">
              <w:rPr>
                <w:szCs w:val="28"/>
              </w:rPr>
              <w:t>(a)</w:t>
            </w:r>
            <w:r w:rsidRPr="00EB5740">
              <w:rPr>
                <w:szCs w:val="28"/>
              </w:rPr>
              <w:tab/>
            </w:r>
            <w:r w:rsidRPr="00EB5740">
              <w:t xml:space="preserve">Further guidance in relation to the mitigation section of decision 1/CP.21 (decision 4/CMA.1); </w:t>
            </w:r>
          </w:p>
        </w:tc>
      </w:tr>
      <w:tr w:rsidR="00EB5740" w:rsidRPr="00EB5740" w14:paraId="1D06D3EB" w14:textId="77777777" w:rsidTr="00EB5740">
        <w:tc>
          <w:tcPr>
            <w:tcW w:w="9628" w:type="dxa"/>
          </w:tcPr>
          <w:p w14:paraId="25CF4E98"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(b)</w:t>
            </w:r>
            <w:r w:rsidRPr="00EB5740">
              <w:rPr>
                <w:szCs w:val="28"/>
              </w:rPr>
              <w:tab/>
            </w:r>
            <w:r w:rsidRPr="00EB5740">
              <w:t>Modalities and procedures for the operation and use of a public registry referred to in Article 4, paragraph 12, of the Paris Agreement (decision 5/CMA.1);</w:t>
            </w:r>
          </w:p>
        </w:tc>
      </w:tr>
      <w:tr w:rsidR="00EB5740" w:rsidRPr="00EB5740" w14:paraId="5CE39BEE" w14:textId="77777777" w:rsidTr="00EB5740">
        <w:tc>
          <w:tcPr>
            <w:tcW w:w="9628" w:type="dxa"/>
          </w:tcPr>
          <w:p w14:paraId="29FCA8C7"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(c)</w:t>
            </w:r>
            <w:r w:rsidRPr="00EB5740">
              <w:rPr>
                <w:szCs w:val="28"/>
              </w:rPr>
              <w:tab/>
            </w:r>
            <w:r w:rsidRPr="00EB5740">
              <w:t>Common time frames for nationally determined contributions referred to in Article 4, paragraph 10, of the Paris Agreement (decision 6/CMA.1);</w:t>
            </w:r>
          </w:p>
        </w:tc>
      </w:tr>
      <w:tr w:rsidR="00EB5740" w:rsidRPr="00EB5740" w14:paraId="4D207AE2" w14:textId="77777777" w:rsidTr="00EB5740">
        <w:tc>
          <w:tcPr>
            <w:tcW w:w="9628" w:type="dxa"/>
          </w:tcPr>
          <w:p w14:paraId="22E1D7CC"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(d)</w:t>
            </w:r>
            <w:r w:rsidRPr="00EB5740">
              <w:rPr>
                <w:szCs w:val="28"/>
              </w:rPr>
              <w:tab/>
            </w:r>
            <w:r w:rsidRPr="00EB5740">
              <w:t>Modalities, work programme and functions under the Paris Agreement of the forum on the impact of the implementation of response measures (decision 7/CMA.1);</w:t>
            </w:r>
          </w:p>
        </w:tc>
      </w:tr>
      <w:tr w:rsidR="00EB5740" w:rsidRPr="00EB5740" w14:paraId="7C045044" w14:textId="77777777" w:rsidTr="00EB5740">
        <w:tc>
          <w:tcPr>
            <w:tcW w:w="9628" w:type="dxa"/>
          </w:tcPr>
          <w:p w14:paraId="72171EC5" w14:textId="77777777" w:rsidR="00EB5740" w:rsidRPr="00EB5740" w:rsidRDefault="00EB5740" w:rsidP="00E2722E">
            <w:pPr>
              <w:pStyle w:val="NoSpacing"/>
              <w:keepNext/>
              <w:spacing w:before="120" w:after="120"/>
              <w:rPr>
                <w:i/>
              </w:rPr>
            </w:pPr>
            <w:r w:rsidRPr="00EB5740">
              <w:rPr>
                <w:i/>
              </w:rPr>
              <w:t>Matters relating to Article 6 of the Paris Agreement and paragraphs 36–40 of decision 1/CP.</w:t>
            </w:r>
          </w:p>
        </w:tc>
      </w:tr>
      <w:tr w:rsidR="00EB5740" w:rsidRPr="00EB5740" w14:paraId="22E6CDC1" w14:textId="77777777" w:rsidTr="00EB5740">
        <w:tc>
          <w:tcPr>
            <w:tcW w:w="9628" w:type="dxa"/>
          </w:tcPr>
          <w:p w14:paraId="4C8845B3"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(e)</w:t>
            </w:r>
            <w:r w:rsidRPr="00EB5740">
              <w:rPr>
                <w:szCs w:val="28"/>
              </w:rPr>
              <w:tab/>
            </w:r>
            <w:r w:rsidRPr="00EB5740">
              <w:t>Matters relating to Article 6 of the Paris Agreement and paragraphs 36–40 of decision 1/CP.21 (decision 8/CMA.1);</w:t>
            </w:r>
          </w:p>
        </w:tc>
      </w:tr>
      <w:tr w:rsidR="00EB5740" w:rsidRPr="00EB5740" w14:paraId="681E36FF" w14:textId="77777777" w:rsidTr="00EB5740">
        <w:tc>
          <w:tcPr>
            <w:tcW w:w="9628" w:type="dxa"/>
          </w:tcPr>
          <w:p w14:paraId="0B7023E8" w14:textId="77777777" w:rsidR="00EB5740" w:rsidRPr="00EB5740" w:rsidRDefault="00EB5740" w:rsidP="00E2722E">
            <w:pPr>
              <w:pStyle w:val="NoSpacing"/>
              <w:keepNext/>
              <w:spacing w:before="120" w:after="120"/>
              <w:rPr>
                <w:i/>
              </w:rPr>
            </w:pPr>
            <w:r w:rsidRPr="00EB5740">
              <w:rPr>
                <w:i/>
              </w:rPr>
              <w:t>Matters relating to Article 7 of the Paris Agreement and paragraphs 41, 42 and 45 of decision 1/CP.21</w:t>
            </w:r>
          </w:p>
        </w:tc>
      </w:tr>
      <w:tr w:rsidR="00EB5740" w:rsidRPr="00EB5740" w14:paraId="6D0BFD2A" w14:textId="77777777" w:rsidTr="00EB5740">
        <w:tc>
          <w:tcPr>
            <w:tcW w:w="9628" w:type="dxa"/>
          </w:tcPr>
          <w:p w14:paraId="6A30CBEC"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(f)</w:t>
            </w:r>
            <w:r w:rsidRPr="00EB5740">
              <w:rPr>
                <w:szCs w:val="28"/>
              </w:rPr>
              <w:tab/>
            </w:r>
            <w:r w:rsidRPr="00EB5740">
              <w:t xml:space="preserve">Further guidance in relation to the adaptation communication, including, inter alia, as a component of nationally determined contributions, referred to in Article 7, paragraphs 10 and </w:t>
            </w:r>
            <w:proofErr w:type="gramStart"/>
            <w:r w:rsidRPr="00EB5740">
              <w:t>11,</w:t>
            </w:r>
            <w:proofErr w:type="gramEnd"/>
            <w:r w:rsidRPr="00EB5740">
              <w:t xml:space="preserve"> of the Paris Agreement (decision 9/CMA.1);</w:t>
            </w:r>
          </w:p>
        </w:tc>
      </w:tr>
      <w:tr w:rsidR="00EB5740" w:rsidRPr="00EB5740" w14:paraId="082513D3" w14:textId="77777777" w:rsidTr="00EB5740">
        <w:tc>
          <w:tcPr>
            <w:tcW w:w="9628" w:type="dxa"/>
          </w:tcPr>
          <w:p w14:paraId="7FFC2BB1"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lastRenderedPageBreak/>
              <w:t>(g)</w:t>
            </w:r>
            <w:r w:rsidRPr="00EB5740">
              <w:rPr>
                <w:szCs w:val="28"/>
              </w:rPr>
              <w:tab/>
            </w:r>
            <w:r w:rsidRPr="00EB5740">
              <w:t>Modalities and procedures for the operation and use of a public registry referred to in Article 7, paragraph 12, of the Paris Agreement (decision 10/CMA.1);</w:t>
            </w:r>
          </w:p>
        </w:tc>
      </w:tr>
      <w:tr w:rsidR="00EB5740" w:rsidRPr="00EB5740" w14:paraId="7F077DD4" w14:textId="77777777" w:rsidTr="00EB5740">
        <w:tc>
          <w:tcPr>
            <w:tcW w:w="9628" w:type="dxa"/>
          </w:tcPr>
          <w:p w14:paraId="11763622"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(h)</w:t>
            </w:r>
            <w:r w:rsidRPr="00EB5740">
              <w:rPr>
                <w:szCs w:val="28"/>
              </w:rPr>
              <w:tab/>
            </w:r>
            <w:r w:rsidRPr="00EB5740">
              <w:t>Matters referred to in paragraphs 41, 42 and 45 of decision 1/CP.21 (decision 11/CMA.1);</w:t>
            </w:r>
          </w:p>
        </w:tc>
      </w:tr>
      <w:tr w:rsidR="00EB5740" w:rsidRPr="00EB5740" w14:paraId="28649936" w14:textId="77777777" w:rsidTr="00EB5740">
        <w:tc>
          <w:tcPr>
            <w:tcW w:w="9628" w:type="dxa"/>
          </w:tcPr>
          <w:p w14:paraId="5D733928" w14:textId="77777777" w:rsidR="00EB5740" w:rsidRPr="00EB5740" w:rsidRDefault="00EB5740" w:rsidP="00E2722E">
            <w:pPr>
              <w:pStyle w:val="NoSpacing"/>
              <w:keepNext/>
              <w:spacing w:before="120" w:after="120"/>
              <w:rPr>
                <w:i/>
              </w:rPr>
            </w:pPr>
            <w:r w:rsidRPr="00EB5740">
              <w:rPr>
                <w:i/>
              </w:rPr>
              <w:t>Matters relating to Article 9 of the Paris Agreement and paragraphs 52–64 of decision 1/CP.21</w:t>
            </w:r>
            <w:r w:rsidRPr="00EB5740">
              <w:rPr>
                <w:rStyle w:val="FootnoteReference"/>
              </w:rPr>
              <w:footnoteReference w:id="1"/>
            </w:r>
          </w:p>
        </w:tc>
      </w:tr>
      <w:tr w:rsidR="00EB5740" w:rsidRPr="00EB5740" w14:paraId="2D7D0A31" w14:textId="77777777" w:rsidTr="00EB5740">
        <w:tc>
          <w:tcPr>
            <w:tcW w:w="9628" w:type="dxa"/>
          </w:tcPr>
          <w:p w14:paraId="365672C0"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(i)</w:t>
            </w:r>
            <w:r w:rsidRPr="00EB5740">
              <w:rPr>
                <w:szCs w:val="28"/>
              </w:rPr>
              <w:tab/>
            </w:r>
            <w:r w:rsidRPr="00EB5740">
              <w:t>Identification of the information to be provided by Parties in accordance with Article 9, paragraph 5, of the Paris Agreement (decision 12/CMA.1);</w:t>
            </w:r>
          </w:p>
        </w:tc>
      </w:tr>
      <w:tr w:rsidR="00EB5740" w:rsidRPr="00EB5740" w14:paraId="69F1DE8E" w14:textId="77777777" w:rsidTr="00EB5740">
        <w:tc>
          <w:tcPr>
            <w:tcW w:w="9628" w:type="dxa"/>
          </w:tcPr>
          <w:p w14:paraId="30FCB67E"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(j)</w:t>
            </w:r>
            <w:r w:rsidRPr="00EB5740">
              <w:rPr>
                <w:szCs w:val="28"/>
              </w:rPr>
              <w:tab/>
            </w:r>
            <w:r w:rsidRPr="00EB5740">
              <w:t>Matters relating to the Adaptation Fund (decision 13/CMA.1);</w:t>
            </w:r>
          </w:p>
        </w:tc>
      </w:tr>
      <w:tr w:rsidR="00EB5740" w:rsidRPr="00EB5740" w14:paraId="6DAB9EED" w14:textId="77777777" w:rsidTr="00EB5740">
        <w:tc>
          <w:tcPr>
            <w:tcW w:w="9628" w:type="dxa"/>
          </w:tcPr>
          <w:p w14:paraId="7EF3E52B"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(k)</w:t>
            </w:r>
            <w:r w:rsidRPr="00EB5740">
              <w:rPr>
                <w:szCs w:val="28"/>
              </w:rPr>
              <w:tab/>
            </w:r>
            <w:r w:rsidRPr="00EB5740">
              <w:t>Setting a new collective quantified goal on finance in accordance with decision 1/CP.21, paragraph 53 (decision 14/CMA.1);</w:t>
            </w:r>
          </w:p>
        </w:tc>
      </w:tr>
      <w:tr w:rsidR="00EB5740" w:rsidRPr="00EB5740" w14:paraId="5CEF892C" w14:textId="77777777" w:rsidTr="00EB5740">
        <w:tc>
          <w:tcPr>
            <w:tcW w:w="9628" w:type="dxa"/>
          </w:tcPr>
          <w:p w14:paraId="6BFCD11F" w14:textId="77777777" w:rsidR="00EB5740" w:rsidRPr="00EB5740" w:rsidRDefault="00EB5740" w:rsidP="00E2722E">
            <w:pPr>
              <w:pStyle w:val="NoSpacing"/>
              <w:keepNext/>
              <w:spacing w:before="120" w:after="120"/>
              <w:rPr>
                <w:i/>
              </w:rPr>
            </w:pPr>
            <w:r w:rsidRPr="00EB5740">
              <w:rPr>
                <w:i/>
              </w:rPr>
              <w:t>Matters relating to Article 10 of the Paris Agreement and paragraphs 66–70 of decision 1/CP.21</w:t>
            </w:r>
          </w:p>
        </w:tc>
      </w:tr>
      <w:tr w:rsidR="00EB5740" w:rsidRPr="00EB5740" w14:paraId="5CC0FCBC" w14:textId="77777777" w:rsidTr="00EB5740">
        <w:tc>
          <w:tcPr>
            <w:tcW w:w="9628" w:type="dxa"/>
          </w:tcPr>
          <w:p w14:paraId="6C6E4103"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(l)</w:t>
            </w:r>
            <w:r w:rsidRPr="00EB5740">
              <w:rPr>
                <w:szCs w:val="28"/>
              </w:rPr>
              <w:tab/>
            </w:r>
            <w:r w:rsidRPr="00EB5740">
              <w:t>Technology framework under Article 10, paragraph 4, of the Paris Agreement (decision 15/CMA.1);</w:t>
            </w:r>
          </w:p>
        </w:tc>
      </w:tr>
      <w:tr w:rsidR="00EB5740" w:rsidRPr="00EB5740" w14:paraId="63A28109" w14:textId="77777777" w:rsidTr="00EB5740">
        <w:tc>
          <w:tcPr>
            <w:tcW w:w="9628" w:type="dxa"/>
          </w:tcPr>
          <w:p w14:paraId="72ACA0D2"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(m)</w:t>
            </w:r>
            <w:r w:rsidRPr="00EB5740">
              <w:rPr>
                <w:szCs w:val="28"/>
              </w:rPr>
              <w:tab/>
            </w:r>
            <w:r w:rsidRPr="00EB5740">
              <w:t>Scope of and modalities for the periodic assessment referred to in paragraph 69 of decision 1/CP.21 (decision 16/CMA.1);</w:t>
            </w:r>
          </w:p>
        </w:tc>
      </w:tr>
      <w:tr w:rsidR="00EB5740" w:rsidRPr="00EB5740" w14:paraId="030395C5" w14:textId="77777777" w:rsidTr="00EB5740">
        <w:tc>
          <w:tcPr>
            <w:tcW w:w="9628" w:type="dxa"/>
          </w:tcPr>
          <w:p w14:paraId="6C3D3412" w14:textId="77777777" w:rsidR="00EB5740" w:rsidRPr="00EB5740" w:rsidRDefault="00EB5740" w:rsidP="00E2722E">
            <w:pPr>
              <w:pStyle w:val="NoSpacing"/>
              <w:keepNext/>
              <w:spacing w:before="120" w:after="120"/>
              <w:rPr>
                <w:i/>
              </w:rPr>
            </w:pPr>
            <w:r w:rsidRPr="00EB5740">
              <w:rPr>
                <w:i/>
              </w:rPr>
              <w:t>Matters relating to Article 12 of the Paris Agreement and paragraphs 82 and 83 of decision 1/CP.21</w:t>
            </w:r>
          </w:p>
        </w:tc>
      </w:tr>
      <w:tr w:rsidR="00EB5740" w:rsidRPr="00EB5740" w14:paraId="6E248D37" w14:textId="77777777" w:rsidTr="00EB5740">
        <w:tc>
          <w:tcPr>
            <w:tcW w:w="9628" w:type="dxa"/>
          </w:tcPr>
          <w:p w14:paraId="3B956A87"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(n)</w:t>
            </w:r>
            <w:r w:rsidRPr="00EB5740">
              <w:rPr>
                <w:szCs w:val="28"/>
              </w:rPr>
              <w:tab/>
            </w:r>
            <w:r w:rsidRPr="00EB5740">
              <w:t>Ways of enhancing the implementation of education, training public awareness, public participation and public access to information so as to enhance actions under the Paris Agreement (decision 17/CMA.1);</w:t>
            </w:r>
          </w:p>
        </w:tc>
      </w:tr>
      <w:tr w:rsidR="00EB5740" w:rsidRPr="00EB5740" w14:paraId="4288FAB9" w14:textId="77777777" w:rsidTr="00EB5740">
        <w:tc>
          <w:tcPr>
            <w:tcW w:w="9628" w:type="dxa"/>
          </w:tcPr>
          <w:p w14:paraId="0B4A7577" w14:textId="77777777" w:rsidR="00EB5740" w:rsidRPr="00EB5740" w:rsidRDefault="00EB5740" w:rsidP="00E2722E">
            <w:pPr>
              <w:pStyle w:val="NoSpacing"/>
              <w:keepNext/>
              <w:spacing w:before="120" w:after="120"/>
              <w:rPr>
                <w:i/>
              </w:rPr>
            </w:pPr>
            <w:r w:rsidRPr="00EB5740">
              <w:rPr>
                <w:i/>
              </w:rPr>
              <w:t>Matters relating to Article 13 of the Paris Agreement and paragraphs 84–98 of decision 1/CP.21</w:t>
            </w:r>
          </w:p>
        </w:tc>
      </w:tr>
      <w:tr w:rsidR="00EB5740" w:rsidRPr="00EB5740" w14:paraId="5FA012DA" w14:textId="77777777" w:rsidTr="00EB5740">
        <w:tc>
          <w:tcPr>
            <w:tcW w:w="9628" w:type="dxa"/>
          </w:tcPr>
          <w:p w14:paraId="1C07504B"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(o)</w:t>
            </w:r>
            <w:r w:rsidRPr="00EB5740">
              <w:rPr>
                <w:szCs w:val="28"/>
              </w:rPr>
              <w:tab/>
            </w:r>
            <w:r w:rsidRPr="00EB5740">
              <w:t>Modalities, procedures and guidelines for the transparency framework for action and support referred to in Article 13 of the Paris Agreement (decision 18/CMA.1);</w:t>
            </w:r>
            <w:r w:rsidRPr="00EB5740">
              <w:rPr>
                <w:rStyle w:val="FootnoteReference"/>
              </w:rPr>
              <w:footnoteReference w:id="2"/>
            </w:r>
          </w:p>
        </w:tc>
      </w:tr>
      <w:tr w:rsidR="00EB5740" w:rsidRPr="00EB5740" w14:paraId="7094CCAA" w14:textId="77777777" w:rsidTr="00EB5740">
        <w:tc>
          <w:tcPr>
            <w:tcW w:w="9628" w:type="dxa"/>
          </w:tcPr>
          <w:p w14:paraId="1B002B96" w14:textId="77777777" w:rsidR="00EB5740" w:rsidRPr="00EB5740" w:rsidRDefault="00EB5740" w:rsidP="00E2722E">
            <w:pPr>
              <w:pStyle w:val="NoSpacing"/>
              <w:keepNext/>
              <w:spacing w:before="120" w:after="120"/>
              <w:rPr>
                <w:i/>
              </w:rPr>
            </w:pPr>
            <w:r w:rsidRPr="00EB5740">
              <w:rPr>
                <w:i/>
              </w:rPr>
              <w:t>Matters relating to Article 14 of the Paris Agreement and paragraphs 99–101 of decision 1/CP.21</w:t>
            </w:r>
          </w:p>
        </w:tc>
      </w:tr>
      <w:tr w:rsidR="00EB5740" w:rsidRPr="00EB5740" w14:paraId="21EAEC2F" w14:textId="77777777" w:rsidTr="00EB5740">
        <w:tc>
          <w:tcPr>
            <w:tcW w:w="9628" w:type="dxa"/>
          </w:tcPr>
          <w:p w14:paraId="177C9849"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(p)</w:t>
            </w:r>
            <w:r w:rsidRPr="00EB5740">
              <w:rPr>
                <w:szCs w:val="28"/>
              </w:rPr>
              <w:tab/>
            </w:r>
            <w:r w:rsidRPr="00EB5740">
              <w:t>Matters relating to Article 14 of the Paris Agreement and paragraphs 99–101 of decision 1/CP.21 (decision 19/CMA.1);</w:t>
            </w:r>
          </w:p>
        </w:tc>
      </w:tr>
      <w:tr w:rsidR="00EB5740" w:rsidRPr="00EB5740" w14:paraId="0550E37A" w14:textId="77777777" w:rsidTr="00EB5740">
        <w:tc>
          <w:tcPr>
            <w:tcW w:w="9628" w:type="dxa"/>
          </w:tcPr>
          <w:p w14:paraId="4C737B60" w14:textId="77777777" w:rsidR="00EB5740" w:rsidRPr="00EB5740" w:rsidRDefault="00EB5740" w:rsidP="00E2722E">
            <w:pPr>
              <w:pStyle w:val="NoSpacing"/>
              <w:keepNext/>
              <w:spacing w:before="120" w:after="120"/>
              <w:rPr>
                <w:i/>
              </w:rPr>
            </w:pPr>
            <w:r w:rsidRPr="00EB5740">
              <w:rPr>
                <w:i/>
              </w:rPr>
              <w:t>Matters relating to Article 15 of the Paris Agreement and paragraphs 102 and 103 of decision 1/CP.21</w:t>
            </w:r>
          </w:p>
        </w:tc>
      </w:tr>
      <w:tr w:rsidR="00EB5740" w:rsidRPr="00EB5740" w14:paraId="4EAB3A95" w14:textId="77777777" w:rsidTr="00EB5740">
        <w:tc>
          <w:tcPr>
            <w:tcW w:w="9628" w:type="dxa"/>
          </w:tcPr>
          <w:p w14:paraId="0B336B62" w14:textId="77777777" w:rsidR="00EB5740" w:rsidRPr="00EB5740" w:rsidRDefault="00EB5740" w:rsidP="00E2722E">
            <w:pPr>
              <w:pStyle w:val="RegSingleTxtG2"/>
              <w:tabs>
                <w:tab w:val="clear" w:pos="360"/>
                <w:tab w:val="left" w:pos="720"/>
                <w:tab w:val="left" w:pos="1702"/>
              </w:tabs>
              <w:ind w:left="0" w:right="0" w:firstLine="0"/>
            </w:pPr>
            <w:r w:rsidRPr="00EB5740">
              <w:rPr>
                <w:szCs w:val="28"/>
              </w:rPr>
              <w:t>(q)</w:t>
            </w:r>
            <w:r w:rsidRPr="00EB5740">
              <w:rPr>
                <w:szCs w:val="28"/>
              </w:rPr>
              <w:tab/>
            </w:r>
            <w:r w:rsidRPr="00EB5740">
              <w:t>Modalities and procedures for the effective operation of the committee to facilitate implementation and promote compliance referred to in Article 15, paragraph 2, of the Paris Agreement (decision 20/CMA.1);</w:t>
            </w:r>
          </w:p>
        </w:tc>
      </w:tr>
      <w:tr w:rsidR="00EB5740" w:rsidRPr="00EB5740" w14:paraId="277ED583" w14:textId="77777777" w:rsidTr="00EB5740">
        <w:tc>
          <w:tcPr>
            <w:tcW w:w="9628" w:type="dxa"/>
          </w:tcPr>
          <w:p w14:paraId="19F357DF" w14:textId="77777777" w:rsidR="00EB5740" w:rsidRPr="00EB5740" w:rsidRDefault="00EB5740" w:rsidP="00E2722E">
            <w:pPr>
              <w:pStyle w:val="RegSingleTxtG"/>
              <w:numPr>
                <w:ilvl w:val="0"/>
                <w:numId w:val="0"/>
              </w:numPr>
              <w:tabs>
                <w:tab w:val="left" w:pos="568"/>
              </w:tabs>
              <w:ind w:right="0"/>
            </w:pPr>
            <w:r w:rsidRPr="00EB5740">
              <w:t>5.</w:t>
            </w:r>
            <w:r w:rsidRPr="00EB5740">
              <w:tab/>
            </w:r>
            <w:r w:rsidRPr="00EB5740">
              <w:rPr>
                <w:i/>
              </w:rPr>
              <w:t xml:space="preserve">Notes </w:t>
            </w:r>
            <w:r w:rsidRPr="00EB5740">
              <w:t>the technical follow-up work to be undertaken by the subsidiary and constituted bodies as specified in the decisions referred to in paragraph 4 above;</w:t>
            </w:r>
          </w:p>
        </w:tc>
      </w:tr>
      <w:tr w:rsidR="00EB5740" w:rsidRPr="00EB5740" w14:paraId="57672C20" w14:textId="77777777" w:rsidTr="00EB5740">
        <w:tc>
          <w:tcPr>
            <w:tcW w:w="9628" w:type="dxa"/>
          </w:tcPr>
          <w:p w14:paraId="47D1D1B7" w14:textId="77777777" w:rsidR="00EB5740" w:rsidRPr="00EB5740" w:rsidRDefault="00EB5740" w:rsidP="00E2722E">
            <w:pPr>
              <w:pStyle w:val="RegHChG"/>
              <w:numPr>
                <w:ilvl w:val="0"/>
                <w:numId w:val="0"/>
              </w:numPr>
              <w:tabs>
                <w:tab w:val="left" w:pos="1135"/>
              </w:tabs>
              <w:ind w:right="0"/>
            </w:pPr>
            <w:r w:rsidRPr="00EB5740">
              <w:t>II.</w:t>
            </w:r>
            <w:r w:rsidRPr="00EB5740">
              <w:tab/>
              <w:t xml:space="preserve">Guidance to the operating entities of the Financial Mechanism – the Green Climate Fund and the Global Environment Facility – and on the Least Developed Countries Fund and the Special Climate Change Fund </w:t>
            </w:r>
          </w:p>
        </w:tc>
      </w:tr>
      <w:tr w:rsidR="00EB5740" w:rsidRPr="00EB5740" w14:paraId="3085ACC1" w14:textId="77777777" w:rsidTr="00EB5740">
        <w:tc>
          <w:tcPr>
            <w:tcW w:w="9628" w:type="dxa"/>
          </w:tcPr>
          <w:p w14:paraId="2C14AEE1" w14:textId="77777777" w:rsidR="00EB5740" w:rsidRPr="00EB5740" w:rsidRDefault="00EB5740" w:rsidP="00E2722E">
            <w:pPr>
              <w:pStyle w:val="RegSingleTxtG"/>
              <w:numPr>
                <w:ilvl w:val="0"/>
                <w:numId w:val="0"/>
              </w:numPr>
              <w:tabs>
                <w:tab w:val="left" w:pos="568"/>
              </w:tabs>
              <w:ind w:right="0"/>
            </w:pPr>
            <w:r w:rsidRPr="00EB5740">
              <w:t>6.</w:t>
            </w:r>
            <w:r w:rsidRPr="00EB5740">
              <w:tab/>
            </w:r>
            <w:r w:rsidRPr="00EB5740">
              <w:rPr>
                <w:i/>
              </w:rPr>
              <w:t>Confirms</w:t>
            </w:r>
            <w:r w:rsidRPr="00EB5740">
              <w:t xml:space="preserve"> that the Standing Committee on Finance shall serve the Paris Agreement;</w:t>
            </w:r>
          </w:p>
        </w:tc>
      </w:tr>
      <w:tr w:rsidR="00EB5740" w:rsidRPr="00EB5740" w14:paraId="482A6F38" w14:textId="77777777" w:rsidTr="00EB5740">
        <w:tc>
          <w:tcPr>
            <w:tcW w:w="9628" w:type="dxa"/>
          </w:tcPr>
          <w:p w14:paraId="134138BD" w14:textId="77777777" w:rsidR="00EB5740" w:rsidRPr="00EB5740" w:rsidRDefault="00EB5740" w:rsidP="00E2722E">
            <w:pPr>
              <w:pStyle w:val="RegSingleTxtG"/>
              <w:numPr>
                <w:ilvl w:val="0"/>
                <w:numId w:val="0"/>
              </w:numPr>
              <w:tabs>
                <w:tab w:val="left" w:pos="568"/>
              </w:tabs>
              <w:ind w:right="0"/>
            </w:pPr>
            <w:r w:rsidRPr="00EB5740">
              <w:t>7.</w:t>
            </w:r>
            <w:r w:rsidRPr="00EB5740">
              <w:tab/>
            </w:r>
            <w:r w:rsidRPr="00EB5740">
              <w:rPr>
                <w:i/>
              </w:rPr>
              <w:t>Also confirms</w:t>
            </w:r>
            <w:r w:rsidRPr="00EB5740">
              <w:t xml:space="preserve"> that the Least Developed Countries Fund and the Special Climate Change Fund shall serve the Paris Agreement;</w:t>
            </w:r>
          </w:p>
        </w:tc>
      </w:tr>
      <w:tr w:rsidR="00EB5740" w:rsidRPr="00EB5740" w14:paraId="686B9C6C" w14:textId="77777777" w:rsidTr="00EB5740">
        <w:tc>
          <w:tcPr>
            <w:tcW w:w="9628" w:type="dxa"/>
          </w:tcPr>
          <w:p w14:paraId="1EF998E7" w14:textId="77777777" w:rsidR="00EB5740" w:rsidRPr="00EB5740" w:rsidRDefault="00EB5740" w:rsidP="00E2722E">
            <w:pPr>
              <w:pStyle w:val="RegSingleTxtG"/>
              <w:numPr>
                <w:ilvl w:val="0"/>
                <w:numId w:val="0"/>
              </w:numPr>
              <w:tabs>
                <w:tab w:val="left" w:pos="568"/>
              </w:tabs>
              <w:ind w:right="0"/>
            </w:pPr>
            <w:r w:rsidRPr="00EB5740">
              <w:lastRenderedPageBreak/>
              <w:t>8.</w:t>
            </w:r>
            <w:r w:rsidRPr="00EB5740">
              <w:tab/>
            </w:r>
            <w:r w:rsidRPr="00EB5740">
              <w:rPr>
                <w:i/>
              </w:rPr>
              <w:t>Requests</w:t>
            </w:r>
            <w:r w:rsidRPr="00EB5740">
              <w:t xml:space="preserve"> the Standing Committee on Finance to prepare draft guidance for the entities entrusted with the operation of the Financial Mechanism, and on the Least Developed Countries Fund and the Special Climate Change Fund, for consideration and adoption by the Conference of the Parties serving as the meeting of the Parties to the Paris Agreement at its second session (December 2019);</w:t>
            </w:r>
          </w:p>
        </w:tc>
      </w:tr>
      <w:tr w:rsidR="00EB5740" w:rsidRPr="00EB5740" w14:paraId="1BEB0E68" w14:textId="77777777" w:rsidTr="00EB5740">
        <w:tc>
          <w:tcPr>
            <w:tcW w:w="9628" w:type="dxa"/>
          </w:tcPr>
          <w:p w14:paraId="035CD885" w14:textId="77777777" w:rsidR="00EB5740" w:rsidRPr="00EB5740" w:rsidRDefault="00EB5740" w:rsidP="00E2722E">
            <w:pPr>
              <w:pStyle w:val="RegSingleTxtG"/>
              <w:numPr>
                <w:ilvl w:val="0"/>
                <w:numId w:val="0"/>
              </w:numPr>
              <w:tabs>
                <w:tab w:val="left" w:pos="568"/>
              </w:tabs>
              <w:ind w:right="0"/>
            </w:pPr>
            <w:r w:rsidRPr="00EB5740">
              <w:t>9.</w:t>
            </w:r>
            <w:r w:rsidRPr="00EB5740">
              <w:tab/>
            </w:r>
            <w:r w:rsidRPr="00EB5740">
              <w:rPr>
                <w:i/>
              </w:rPr>
              <w:t>Confirms</w:t>
            </w:r>
            <w:r w:rsidRPr="00EB5740">
              <w:t xml:space="preserve"> that it shall provide guidance to the entities entrusted with the operation of the Financial Mechanism of the Convention on the policies, programme priorities and eligibility criteria related to the Paris Agreement for transmission by the Conference of the Parties;</w:t>
            </w:r>
          </w:p>
        </w:tc>
      </w:tr>
      <w:tr w:rsidR="00EB5740" w:rsidRPr="00EB5740" w14:paraId="0F1CCCE2" w14:textId="77777777" w:rsidTr="00EB5740">
        <w:tc>
          <w:tcPr>
            <w:tcW w:w="9628" w:type="dxa"/>
          </w:tcPr>
          <w:p w14:paraId="23946614" w14:textId="77777777" w:rsidR="00EB5740" w:rsidRPr="00EB5740" w:rsidRDefault="00EB5740" w:rsidP="00E2722E">
            <w:pPr>
              <w:pStyle w:val="RegSingleTxtG"/>
              <w:numPr>
                <w:ilvl w:val="0"/>
                <w:numId w:val="0"/>
              </w:numPr>
              <w:tabs>
                <w:tab w:val="left" w:pos="568"/>
              </w:tabs>
              <w:ind w:right="0"/>
            </w:pPr>
            <w:r w:rsidRPr="00EB5740">
              <w:t>10.</w:t>
            </w:r>
            <w:r w:rsidRPr="00EB5740">
              <w:tab/>
            </w:r>
            <w:r w:rsidRPr="00EB5740">
              <w:rPr>
                <w:i/>
              </w:rPr>
              <w:t>Recommends</w:t>
            </w:r>
            <w:r w:rsidRPr="00EB5740">
              <w:t xml:space="preserve"> that, in accordance with decision 1/CP.21, paragraph 61, the Conference of the Parties transmit to the operating entities of the Financial Mechanism the guidance contained in the decisions referred to in paragraph 4 above;</w:t>
            </w:r>
          </w:p>
        </w:tc>
      </w:tr>
      <w:tr w:rsidR="00EB5740" w:rsidRPr="00EB5740" w14:paraId="3A052A57" w14:textId="77777777" w:rsidTr="00EB5740">
        <w:tc>
          <w:tcPr>
            <w:tcW w:w="9628" w:type="dxa"/>
          </w:tcPr>
          <w:p w14:paraId="5EECB5BE" w14:textId="77777777" w:rsidR="00EB5740" w:rsidRPr="00EB5740" w:rsidRDefault="00EB5740" w:rsidP="00E2722E">
            <w:pPr>
              <w:pStyle w:val="RegHChG"/>
              <w:numPr>
                <w:ilvl w:val="0"/>
                <w:numId w:val="0"/>
              </w:numPr>
              <w:tabs>
                <w:tab w:val="left" w:pos="1135"/>
              </w:tabs>
              <w:ind w:right="0"/>
            </w:pPr>
            <w:r w:rsidRPr="00EB5740">
              <w:t>III.</w:t>
            </w:r>
            <w:r w:rsidRPr="00EB5740">
              <w:tab/>
              <w:t>Capacity-building under the Paris Agreement</w:t>
            </w:r>
          </w:p>
        </w:tc>
      </w:tr>
      <w:tr w:rsidR="00EB5740" w:rsidRPr="00EB5740" w14:paraId="00E26599" w14:textId="77777777" w:rsidTr="00EB5740">
        <w:tc>
          <w:tcPr>
            <w:tcW w:w="9628" w:type="dxa"/>
          </w:tcPr>
          <w:p w14:paraId="73363028" w14:textId="77777777" w:rsidR="00EB5740" w:rsidRPr="00EB5740" w:rsidRDefault="00EB5740" w:rsidP="00E2722E">
            <w:pPr>
              <w:pStyle w:val="RegSingleTxtG"/>
              <w:numPr>
                <w:ilvl w:val="0"/>
                <w:numId w:val="0"/>
              </w:numPr>
              <w:tabs>
                <w:tab w:val="left" w:pos="568"/>
              </w:tabs>
              <w:spacing w:before="120"/>
              <w:ind w:right="0"/>
            </w:pPr>
            <w:r w:rsidRPr="00EB5740">
              <w:t>11.</w:t>
            </w:r>
            <w:r w:rsidRPr="00EB5740">
              <w:tab/>
            </w:r>
            <w:r w:rsidRPr="00EB5740">
              <w:rPr>
                <w:i/>
              </w:rPr>
              <w:t>Recognizes</w:t>
            </w:r>
            <w:r w:rsidRPr="00EB5740">
              <w:t xml:space="preserve"> the importance of capacity-building under the Paris Agreement in enhancing the capacity and ability of developing country Parties, in particular countries with the least capacity and those that are particularly vulnerable to the adverse effects of climate change, to take effective climate change action; </w:t>
            </w:r>
          </w:p>
        </w:tc>
      </w:tr>
      <w:tr w:rsidR="00EB5740" w:rsidRPr="00EB5740" w14:paraId="7016B3B1" w14:textId="77777777" w:rsidTr="00EB5740">
        <w:tc>
          <w:tcPr>
            <w:tcW w:w="9628" w:type="dxa"/>
          </w:tcPr>
          <w:p w14:paraId="086043D3" w14:textId="77777777" w:rsidR="00EB5740" w:rsidRPr="00EB5740" w:rsidRDefault="00EB5740" w:rsidP="00E2722E">
            <w:pPr>
              <w:pStyle w:val="RegSingleTxtG"/>
              <w:numPr>
                <w:ilvl w:val="0"/>
                <w:numId w:val="0"/>
              </w:numPr>
              <w:tabs>
                <w:tab w:val="left" w:pos="568"/>
              </w:tabs>
              <w:spacing w:before="120"/>
              <w:ind w:right="0"/>
            </w:pPr>
            <w:r w:rsidRPr="00EB5740">
              <w:t>12.</w:t>
            </w:r>
            <w:r w:rsidRPr="00EB5740">
              <w:tab/>
            </w:r>
            <w:r w:rsidRPr="00EB5740">
              <w:rPr>
                <w:i/>
              </w:rPr>
              <w:t>Decides</w:t>
            </w:r>
            <w:r w:rsidRPr="00EB5740">
              <w:t xml:space="preserve"> to consider at its second session any recommendations made by the Conference of the Parties at its twenty-fifth session (December 2019) pursuant to decision 1/CP.21, paragraph 81; </w:t>
            </w:r>
          </w:p>
        </w:tc>
      </w:tr>
      <w:tr w:rsidR="00EB5740" w:rsidRPr="00EB5740" w14:paraId="259D43A1" w14:textId="77777777" w:rsidTr="00EB5740">
        <w:tc>
          <w:tcPr>
            <w:tcW w:w="9628" w:type="dxa"/>
          </w:tcPr>
          <w:p w14:paraId="31F881EE" w14:textId="77777777" w:rsidR="00EB5740" w:rsidRPr="00EB5740" w:rsidRDefault="00EB5740" w:rsidP="00E2722E">
            <w:pPr>
              <w:pStyle w:val="RegSingleTxtG"/>
              <w:numPr>
                <w:ilvl w:val="0"/>
                <w:numId w:val="0"/>
              </w:numPr>
              <w:tabs>
                <w:tab w:val="left" w:pos="568"/>
              </w:tabs>
              <w:ind w:right="0"/>
            </w:pPr>
            <w:r w:rsidRPr="00EB5740">
              <w:t>13.</w:t>
            </w:r>
            <w:r w:rsidRPr="00EB5740">
              <w:tab/>
            </w:r>
            <w:r w:rsidRPr="00EB5740">
              <w:rPr>
                <w:i/>
              </w:rPr>
              <w:t>Also decides</w:t>
            </w:r>
            <w:r w:rsidRPr="00EB5740">
              <w:t xml:space="preserve"> to consider and adopt at its second session a decision on the initial institutional arrangements for capacity-building;</w:t>
            </w:r>
          </w:p>
        </w:tc>
      </w:tr>
      <w:tr w:rsidR="00EB5740" w:rsidRPr="00EB5740" w14:paraId="13C2FEA2" w14:textId="77777777" w:rsidTr="00EB5740">
        <w:tc>
          <w:tcPr>
            <w:tcW w:w="9628" w:type="dxa"/>
          </w:tcPr>
          <w:p w14:paraId="1D384BDC" w14:textId="77777777" w:rsidR="00EB5740" w:rsidRPr="00EB5740" w:rsidRDefault="00EB5740" w:rsidP="00E2722E">
            <w:pPr>
              <w:pStyle w:val="RegHChG"/>
              <w:numPr>
                <w:ilvl w:val="0"/>
                <w:numId w:val="0"/>
              </w:numPr>
              <w:tabs>
                <w:tab w:val="left" w:pos="1135"/>
              </w:tabs>
              <w:ind w:right="0"/>
            </w:pPr>
            <w:bookmarkStart w:id="2" w:name="_Hlk532560287"/>
            <w:r w:rsidRPr="00EB5740">
              <w:t>IV.</w:t>
            </w:r>
            <w:r w:rsidRPr="00EB5740">
              <w:tab/>
              <w:t>Administrative and budgetary matters</w:t>
            </w:r>
          </w:p>
        </w:tc>
      </w:tr>
      <w:bookmarkEnd w:id="2"/>
      <w:tr w:rsidR="00EB5740" w:rsidRPr="00EB5740" w14:paraId="6F499370" w14:textId="77777777" w:rsidTr="00EB5740">
        <w:tc>
          <w:tcPr>
            <w:tcW w:w="9628" w:type="dxa"/>
          </w:tcPr>
          <w:p w14:paraId="3AAF39CF" w14:textId="77777777" w:rsidR="00EB5740" w:rsidRPr="00EB5740" w:rsidRDefault="00EB5740" w:rsidP="00E2722E">
            <w:pPr>
              <w:pStyle w:val="RegSingleTxtG"/>
              <w:numPr>
                <w:ilvl w:val="0"/>
                <w:numId w:val="0"/>
              </w:numPr>
              <w:tabs>
                <w:tab w:val="left" w:pos="568"/>
              </w:tabs>
              <w:ind w:right="0"/>
            </w:pPr>
            <w:r w:rsidRPr="00EB5740">
              <w:t>14.</w:t>
            </w:r>
            <w:r w:rsidRPr="00EB5740">
              <w:tab/>
            </w:r>
            <w:r w:rsidRPr="00EB5740">
              <w:rPr>
                <w:i/>
              </w:rPr>
              <w:t xml:space="preserve">Takes note </w:t>
            </w:r>
            <w:r w:rsidRPr="00EB5740">
              <w:t>of the estimated budgetary implications of the activities to be undertaken by the secretariat referred to in this decision;</w:t>
            </w:r>
          </w:p>
        </w:tc>
      </w:tr>
      <w:tr w:rsidR="00EB5740" w:rsidRPr="00EB5740" w14:paraId="3C27DBC0" w14:textId="77777777" w:rsidTr="00EB5740">
        <w:tc>
          <w:tcPr>
            <w:tcW w:w="9628" w:type="dxa"/>
          </w:tcPr>
          <w:p w14:paraId="74AA1656" w14:textId="77777777" w:rsidR="00EB5740" w:rsidRPr="00EB5740" w:rsidRDefault="00EB5740" w:rsidP="00E2722E">
            <w:pPr>
              <w:tabs>
                <w:tab w:val="left" w:pos="568"/>
                <w:tab w:val="left" w:pos="1701"/>
              </w:tabs>
              <w:spacing w:after="120"/>
              <w:jc w:val="both"/>
            </w:pPr>
            <w:r w:rsidRPr="00EB5740">
              <w:t>15.</w:t>
            </w:r>
            <w:r w:rsidRPr="00EB5740">
              <w:tab/>
            </w:r>
            <w:r w:rsidRPr="00EB5740">
              <w:rPr>
                <w:i/>
              </w:rPr>
              <w:t xml:space="preserve">Requests </w:t>
            </w:r>
            <w:r w:rsidRPr="00EB5740">
              <w:t>that the actions of the secretariat called for in this decision be undertaken subject to the availability of financial resources.</w:t>
            </w:r>
          </w:p>
        </w:tc>
      </w:tr>
      <w:tr w:rsidR="00EB5740" w:rsidRPr="00EB5740" w14:paraId="33BF2990" w14:textId="77777777" w:rsidTr="00EB5740">
        <w:tc>
          <w:tcPr>
            <w:tcW w:w="9628" w:type="dxa"/>
          </w:tcPr>
          <w:p w14:paraId="60262DFD" w14:textId="77777777" w:rsidR="00EB5740" w:rsidRPr="00EB5740" w:rsidRDefault="00EB5740" w:rsidP="00E2722E">
            <w:pPr>
              <w:pStyle w:val="RegSingleTxtG"/>
              <w:numPr>
                <w:ilvl w:val="0"/>
                <w:numId w:val="0"/>
              </w:numPr>
              <w:suppressAutoHyphens w:val="0"/>
              <w:autoSpaceDE w:val="0"/>
              <w:autoSpaceDN w:val="0"/>
              <w:adjustRightInd w:val="0"/>
              <w:spacing w:after="0" w:line="240" w:lineRule="auto"/>
              <w:ind w:right="0"/>
              <w:jc w:val="right"/>
              <w:rPr>
                <w:i/>
                <w:lang w:eastAsia="en-US"/>
              </w:rPr>
            </w:pPr>
            <w:r w:rsidRPr="00EB5740">
              <w:rPr>
                <w:i/>
                <w:lang w:eastAsia="en-US"/>
              </w:rPr>
              <w:t>26</w:t>
            </w:r>
            <w:r w:rsidRPr="00EB5740">
              <w:rPr>
                <w:i/>
                <w:vertAlign w:val="superscript"/>
                <w:lang w:eastAsia="en-US"/>
              </w:rPr>
              <w:t>th</w:t>
            </w:r>
            <w:r w:rsidRPr="00EB5740">
              <w:rPr>
                <w:i/>
                <w:lang w:eastAsia="en-US"/>
              </w:rPr>
              <w:t xml:space="preserve"> plenary meeting</w:t>
            </w:r>
          </w:p>
        </w:tc>
      </w:tr>
      <w:tr w:rsidR="00EB5740" w:rsidRPr="00EB5740" w14:paraId="6B649AED" w14:textId="77777777" w:rsidTr="00EB5740">
        <w:tc>
          <w:tcPr>
            <w:tcW w:w="9628" w:type="dxa"/>
          </w:tcPr>
          <w:p w14:paraId="47AA4D4F" w14:textId="77777777" w:rsidR="00EB5740" w:rsidRPr="00EB5740" w:rsidRDefault="00EB5740" w:rsidP="00E2722E">
            <w:pPr>
              <w:pStyle w:val="RegSingleTxtG"/>
              <w:numPr>
                <w:ilvl w:val="0"/>
                <w:numId w:val="0"/>
              </w:numPr>
              <w:suppressAutoHyphens w:val="0"/>
              <w:autoSpaceDE w:val="0"/>
              <w:autoSpaceDN w:val="0"/>
              <w:adjustRightInd w:val="0"/>
              <w:spacing w:after="0" w:line="240" w:lineRule="auto"/>
              <w:ind w:right="0"/>
              <w:jc w:val="right"/>
              <w:rPr>
                <w:i/>
                <w:lang w:eastAsia="en-US"/>
              </w:rPr>
            </w:pPr>
            <w:r w:rsidRPr="00EB5740">
              <w:rPr>
                <w:i/>
                <w:lang w:eastAsia="en-US"/>
              </w:rPr>
              <w:t>15 December 2018</w:t>
            </w:r>
          </w:p>
        </w:tc>
      </w:tr>
    </w:tbl>
    <w:p w14:paraId="0E10ADA8" w14:textId="53A2626A" w:rsidR="00413059" w:rsidRPr="00057B94" w:rsidRDefault="00413059"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413059" w:rsidRPr="00057B94" w:rsidSect="00144761">
          <w:headerReference w:type="even" r:id="rId19"/>
          <w:headerReference w:type="default" r:id="rId20"/>
          <w:footerReference w:type="even" r:id="rId21"/>
          <w:footerReference w:type="default" r:id="rId22"/>
          <w:pgSz w:w="11906" w:h="16838" w:code="9"/>
          <w:pgMar w:top="1418" w:right="1134" w:bottom="1134" w:left="1134" w:header="851" w:footer="567" w:gutter="0"/>
          <w:cols w:space="708"/>
          <w:docGrid w:linePitch="360"/>
        </w:sectPr>
      </w:pPr>
    </w:p>
    <w:p w14:paraId="0E10ADA9" w14:textId="691060F7" w:rsidR="00413059" w:rsidRPr="00057B94" w:rsidRDefault="00413059" w:rsidP="00034A83">
      <w:pPr>
        <w:pStyle w:val="HChG"/>
        <w:spacing w:before="120"/>
        <w:ind w:firstLine="0"/>
        <w:rPr>
          <w:bCs/>
        </w:rPr>
      </w:pPr>
      <w:bookmarkStart w:id="3" w:name="D4"/>
      <w:r w:rsidRPr="00057B94">
        <w:rPr>
          <w:bCs/>
        </w:rPr>
        <w:lastRenderedPageBreak/>
        <w:t xml:space="preserve">Decision </w:t>
      </w:r>
      <w:r w:rsidR="00AB1981" w:rsidRPr="00057B94">
        <w:rPr>
          <w:bCs/>
        </w:rPr>
        <w:t>4</w:t>
      </w:r>
      <w:r w:rsidRPr="00057B94">
        <w:rPr>
          <w:bCs/>
        </w:rPr>
        <w:t>/CMA.1</w:t>
      </w:r>
      <w:bookmarkEnd w:id="3"/>
    </w:p>
    <w:p w14:paraId="0E10ADAA" w14:textId="130B22EB" w:rsidR="00413059" w:rsidRPr="00057B94" w:rsidRDefault="00413059" w:rsidP="00413059">
      <w:pPr>
        <w:pStyle w:val="HChG"/>
        <w:rPr>
          <w:szCs w:val="28"/>
        </w:rPr>
      </w:pPr>
      <w:r w:rsidRPr="00057B94">
        <w:tab/>
      </w:r>
      <w:r w:rsidRPr="00057B94">
        <w:tab/>
      </w:r>
      <w:r w:rsidR="003B0302" w:rsidRPr="00057B94">
        <w:t>Further guidance in relation to the mitigation section of decision 1/CP.21</w:t>
      </w:r>
    </w:p>
    <w:p w14:paraId="1A8DFEA8" w14:textId="77777777" w:rsidR="003B0302" w:rsidRPr="00057B94" w:rsidRDefault="003B0302" w:rsidP="003B0302">
      <w:pPr>
        <w:tabs>
          <w:tab w:val="left" w:pos="1701"/>
        </w:tabs>
        <w:spacing w:before="120" w:after="120"/>
        <w:ind w:left="1135" w:right="1134" w:firstLine="566"/>
        <w:jc w:val="both"/>
        <w:rPr>
          <w:i/>
        </w:rPr>
      </w:pPr>
      <w:r w:rsidRPr="00057B94">
        <w:rPr>
          <w:i/>
        </w:rPr>
        <w:t>The Conference of the Parties serving as the meeting of the Parties to the Paris Agreement</w:t>
      </w:r>
      <w:r w:rsidRPr="00057B94">
        <w:t>,</w:t>
      </w:r>
    </w:p>
    <w:p w14:paraId="546F2190" w14:textId="77777777" w:rsidR="003B0302" w:rsidRPr="00057B94" w:rsidRDefault="003B0302" w:rsidP="003B0302">
      <w:pPr>
        <w:tabs>
          <w:tab w:val="left" w:pos="1701"/>
        </w:tabs>
        <w:spacing w:before="120" w:after="120"/>
        <w:ind w:left="1135" w:right="1134"/>
        <w:jc w:val="both"/>
      </w:pPr>
      <w:r w:rsidRPr="00057B94">
        <w:rPr>
          <w:i/>
        </w:rPr>
        <w:tab/>
        <w:t>Recalling</w:t>
      </w:r>
      <w:r w:rsidRPr="00057B94">
        <w:t xml:space="preserve"> relevant Articles of the Paris Agreement, including Articles 3 and 4,</w:t>
      </w:r>
    </w:p>
    <w:p w14:paraId="4667636F" w14:textId="77777777" w:rsidR="003B0302" w:rsidRPr="00057B94" w:rsidRDefault="003B0302" w:rsidP="003B0302">
      <w:pPr>
        <w:tabs>
          <w:tab w:val="left" w:pos="1701"/>
        </w:tabs>
        <w:spacing w:before="120" w:after="120"/>
        <w:ind w:left="1135" w:right="1134"/>
        <w:jc w:val="both"/>
      </w:pPr>
      <w:r w:rsidRPr="00057B94">
        <w:tab/>
      </w:r>
      <w:r w:rsidRPr="00057B94">
        <w:rPr>
          <w:i/>
        </w:rPr>
        <w:t>Also recalling</w:t>
      </w:r>
      <w:r w:rsidRPr="00057B94">
        <w:t xml:space="preserve"> decision 1/CP.21, paragraphs 26, 28 and 31,</w:t>
      </w:r>
    </w:p>
    <w:p w14:paraId="075E762A" w14:textId="77777777" w:rsidR="003B0302" w:rsidRPr="00057B94" w:rsidRDefault="003B0302" w:rsidP="003B0302">
      <w:pPr>
        <w:tabs>
          <w:tab w:val="left" w:pos="1701"/>
        </w:tabs>
        <w:spacing w:before="120" w:after="120"/>
        <w:ind w:left="1135" w:right="1134"/>
        <w:jc w:val="both"/>
      </w:pPr>
      <w:r w:rsidRPr="00057B94">
        <w:tab/>
      </w:r>
      <w:r w:rsidRPr="00057B94">
        <w:rPr>
          <w:i/>
        </w:rPr>
        <w:t>Further recalling</w:t>
      </w:r>
      <w:r w:rsidRPr="00057B94">
        <w:t xml:space="preserve"> that, in accordance with Article 4, paragraph 5, support shall be provided to developing country Parties for the implementation of Article 4, in accordance with Articles 9, 10 and 11, of the Paris Agreement,</w:t>
      </w:r>
      <w:r w:rsidRPr="00057B94">
        <w:rPr>
          <w:color w:val="000000"/>
        </w:rPr>
        <w:t xml:space="preserve"> recognizing that enhanced support for developing country Parties will allow for higher ambition in their actions,</w:t>
      </w:r>
    </w:p>
    <w:p w14:paraId="4DE7DEC2" w14:textId="77777777" w:rsidR="003B0302" w:rsidRPr="00057B94" w:rsidRDefault="003B0302" w:rsidP="003B0302">
      <w:pPr>
        <w:tabs>
          <w:tab w:val="left" w:pos="1701"/>
        </w:tabs>
        <w:spacing w:after="120"/>
        <w:ind w:left="1135" w:right="1134"/>
        <w:jc w:val="both"/>
      </w:pPr>
      <w:r w:rsidRPr="00057B94">
        <w:rPr>
          <w:i/>
        </w:rPr>
        <w:tab/>
        <w:t>Recognizing </w:t>
      </w:r>
      <w:r w:rsidRPr="00057B94">
        <w:t>that Parties have different starting points, capacities and national circumstances and </w:t>
      </w:r>
      <w:r w:rsidRPr="00057B94">
        <w:rPr>
          <w:i/>
        </w:rPr>
        <w:t>highlighting</w:t>
      </w:r>
      <w:r w:rsidRPr="00057B94">
        <w:t xml:space="preserve"> the importance of capacity-building support for developing country Parties for the preparation and communication of their nationally determined contributions,</w:t>
      </w:r>
    </w:p>
    <w:p w14:paraId="5359867A" w14:textId="7E4A1B18" w:rsidR="003B0302" w:rsidRPr="00057B94" w:rsidRDefault="00360174" w:rsidP="00360174">
      <w:pPr>
        <w:pStyle w:val="RegSingleTxtG"/>
        <w:numPr>
          <w:ilvl w:val="0"/>
          <w:numId w:val="0"/>
        </w:numPr>
        <w:ind w:left="1134"/>
      </w:pPr>
      <w:r w:rsidRPr="00057B94">
        <w:t>1.</w:t>
      </w:r>
      <w:r w:rsidRPr="00057B94">
        <w:tab/>
      </w:r>
      <w:r w:rsidR="003B0302" w:rsidRPr="00057B94">
        <w:rPr>
          <w:i/>
        </w:rPr>
        <w:t xml:space="preserve">Reaffirms </w:t>
      </w:r>
      <w:r w:rsidR="003B0302" w:rsidRPr="00057B94">
        <w:t>and</w:t>
      </w:r>
      <w:r w:rsidR="003B0302" w:rsidRPr="00057B94">
        <w:rPr>
          <w:i/>
        </w:rPr>
        <w:t xml:space="preserve"> underscores </w:t>
      </w:r>
      <w:r w:rsidR="003B0302" w:rsidRPr="00057B94">
        <w:t>that, in accordance with Article 4, paragraph 5, of the Paris Agreement, support shall be provided to developing country Parties for the implementation of Article 4 of the Paris Agreement, including to continue to enhance the capacity of developing country Parties in preparing, communicating and accounting for their nationally determined contributions;</w:t>
      </w:r>
    </w:p>
    <w:p w14:paraId="2C88D388" w14:textId="41EEB95E" w:rsidR="003B0302" w:rsidRPr="00057B94" w:rsidRDefault="00360174" w:rsidP="00360174">
      <w:pPr>
        <w:pStyle w:val="RegSingleTxtG"/>
        <w:numPr>
          <w:ilvl w:val="0"/>
          <w:numId w:val="0"/>
        </w:numPr>
        <w:ind w:left="1134"/>
      </w:pPr>
      <w:r w:rsidRPr="00057B94">
        <w:t>2.</w:t>
      </w:r>
      <w:r w:rsidRPr="00057B94">
        <w:tab/>
      </w:r>
      <w:r w:rsidR="003B0302" w:rsidRPr="00057B94">
        <w:rPr>
          <w:i/>
        </w:rPr>
        <w:t>Encourages</w:t>
      </w:r>
      <w:r w:rsidR="003B0302" w:rsidRPr="00057B94">
        <w:t xml:space="preserve"> the relevant operating entities of the Financial Mechanism and constituted bodies under the Convention serving the Paris Agreement to continue to provide, within their mandates, support for capacity-building as referred to in paragraph 1 above; </w:t>
      </w:r>
    </w:p>
    <w:p w14:paraId="1827E0C0" w14:textId="4604D1BA" w:rsidR="003B0302" w:rsidRPr="00057B94" w:rsidRDefault="00360174" w:rsidP="00360174">
      <w:pPr>
        <w:pStyle w:val="RegSingleTxtG"/>
        <w:numPr>
          <w:ilvl w:val="0"/>
          <w:numId w:val="0"/>
        </w:numPr>
        <w:ind w:left="1134"/>
      </w:pPr>
      <w:r w:rsidRPr="00057B94">
        <w:t>3.</w:t>
      </w:r>
      <w:r w:rsidRPr="00057B94">
        <w:tab/>
      </w:r>
      <w:r w:rsidR="003B0302" w:rsidRPr="00057B94">
        <w:rPr>
          <w:i/>
        </w:rPr>
        <w:t xml:space="preserve">Invites </w:t>
      </w:r>
      <w:r w:rsidR="003B0302" w:rsidRPr="00057B94">
        <w:t>other organizations in a position to do so to provide support for capacity-building as referred to in paragraph 1 above;</w:t>
      </w:r>
    </w:p>
    <w:p w14:paraId="4CE5DF25" w14:textId="6120E52D" w:rsidR="003B0302" w:rsidRPr="00057B94" w:rsidRDefault="00360174" w:rsidP="00360174">
      <w:pPr>
        <w:pStyle w:val="RegSingleTxtG"/>
        <w:numPr>
          <w:ilvl w:val="0"/>
          <w:numId w:val="0"/>
        </w:numPr>
        <w:ind w:left="1134"/>
        <w:rPr>
          <w:i/>
        </w:rPr>
      </w:pPr>
      <w:r w:rsidRPr="00057B94">
        <w:t>4.</w:t>
      </w:r>
      <w:r w:rsidRPr="00057B94">
        <w:tab/>
      </w:r>
      <w:r w:rsidR="003B0302" w:rsidRPr="00057B94">
        <w:rPr>
          <w:i/>
        </w:rPr>
        <w:t xml:space="preserve">Recalls </w:t>
      </w:r>
      <w:r w:rsidR="003B0302" w:rsidRPr="00057B94">
        <w:t>that the least developed countries and small island developing States may prepare and communicate strategies, plans and actions for low greenhouse gas emission development reflecting their special circumstances in accordance with Article 4, paragraph</w:t>
      </w:r>
      <w:r w:rsidR="00CF77C5" w:rsidRPr="00057B94">
        <w:t> </w:t>
      </w:r>
      <w:r w:rsidR="003B0302" w:rsidRPr="00057B94">
        <w:t>6, of the Paris Agreement;</w:t>
      </w:r>
      <w:r w:rsidR="003B0302" w:rsidRPr="00057B94">
        <w:rPr>
          <w:i/>
        </w:rPr>
        <w:t xml:space="preserve"> </w:t>
      </w:r>
    </w:p>
    <w:p w14:paraId="29AE6D87" w14:textId="5916F77A" w:rsidR="003B0302" w:rsidRPr="00057B94" w:rsidRDefault="00360174" w:rsidP="00360174">
      <w:pPr>
        <w:pStyle w:val="RegSingleTxtG"/>
        <w:numPr>
          <w:ilvl w:val="0"/>
          <w:numId w:val="0"/>
        </w:numPr>
        <w:ind w:left="1134"/>
      </w:pPr>
      <w:r w:rsidRPr="00057B94">
        <w:t>5.</w:t>
      </w:r>
      <w:r w:rsidRPr="00057B94">
        <w:tab/>
      </w:r>
      <w:r w:rsidR="003B0302" w:rsidRPr="00057B94">
        <w:rPr>
          <w:i/>
        </w:rPr>
        <w:t>Also recalls</w:t>
      </w:r>
      <w:r w:rsidR="003B0302" w:rsidRPr="00057B94">
        <w:t xml:space="preserve"> Article 4, paragraph 4, of the Paris Agreement, which provides that developed country Parties should continue taking the lead by undertaking economy-wide absolute emission reduction targets, and that developing country Parties should continue enhancing their mitigation efforts and are encouraged to move over time towards economy-wide emission reduction or limitation targets in the light of different national circumstances;</w:t>
      </w:r>
    </w:p>
    <w:p w14:paraId="23AC9AC7" w14:textId="77777777" w:rsidR="003B0302" w:rsidRPr="00057B94" w:rsidRDefault="003B0302" w:rsidP="003B0302">
      <w:pPr>
        <w:pStyle w:val="RegSingleTxtG"/>
        <w:numPr>
          <w:ilvl w:val="0"/>
          <w:numId w:val="0"/>
        </w:numPr>
        <w:ind w:left="1134"/>
        <w:rPr>
          <w:i/>
        </w:rPr>
      </w:pPr>
      <w:r w:rsidRPr="00057B94">
        <w:rPr>
          <w:i/>
        </w:rPr>
        <w:t xml:space="preserve">Further guidance for information to facilitate clarity, transparency and understanding of nationally determined contributions, referred to in decision 1/CP.21, paragraph 28 </w:t>
      </w:r>
    </w:p>
    <w:p w14:paraId="2FBA89C1" w14:textId="2BEA5DA3" w:rsidR="003B0302" w:rsidRPr="00057B94" w:rsidRDefault="00360174" w:rsidP="00360174">
      <w:pPr>
        <w:pStyle w:val="RegSingleTxtG"/>
        <w:numPr>
          <w:ilvl w:val="0"/>
          <w:numId w:val="0"/>
        </w:numPr>
        <w:ind w:left="1134"/>
      </w:pPr>
      <w:r w:rsidRPr="00057B94">
        <w:t>6.</w:t>
      </w:r>
      <w:r w:rsidRPr="00057B94">
        <w:tab/>
      </w:r>
      <w:r w:rsidR="003B0302" w:rsidRPr="00057B94">
        <w:tab/>
      </w:r>
      <w:r w:rsidR="003B0302" w:rsidRPr="00057B94">
        <w:rPr>
          <w:i/>
        </w:rPr>
        <w:t>Further recalls</w:t>
      </w:r>
      <w:r w:rsidR="003B0302" w:rsidRPr="00057B94">
        <w:t xml:space="preserve"> Article 4, paragraph 8, of the Paris Agreement, which provides that, in communicating their nationally determined contributions, all Parties shall provide the information necessary for clarity, transparency and understanding in accordance with decision 1/CP.21 and any relevant decisions of the Conference of the Parties serving as the meeting of the Parties to the Paris Agreement;</w:t>
      </w:r>
    </w:p>
    <w:p w14:paraId="22437334" w14:textId="7DDD3FED" w:rsidR="003B0302" w:rsidRPr="00057B94" w:rsidRDefault="00360174" w:rsidP="00360174">
      <w:pPr>
        <w:pStyle w:val="RegSingleTxtG"/>
        <w:numPr>
          <w:ilvl w:val="0"/>
          <w:numId w:val="0"/>
        </w:numPr>
        <w:ind w:left="1134"/>
      </w:pPr>
      <w:r w:rsidRPr="00057B94">
        <w:t>7.</w:t>
      </w:r>
      <w:r w:rsidRPr="00057B94">
        <w:tab/>
      </w:r>
      <w:r w:rsidR="003B0302" w:rsidRPr="00057B94">
        <w:rPr>
          <w:i/>
        </w:rPr>
        <w:t>Decides</w:t>
      </w:r>
      <w:r w:rsidR="003B0302" w:rsidRPr="00057B94">
        <w:t xml:space="preserve"> that, in communicating their second and subsequent nationally determined contributions, Parties shall provide the information necessary for clarity, transparency and understanding contained in annex I as applicable to their nationally determined contributions, and </w:t>
      </w:r>
      <w:r w:rsidR="003B0302" w:rsidRPr="00057B94">
        <w:rPr>
          <w:i/>
        </w:rPr>
        <w:t>strongly encourages</w:t>
      </w:r>
      <w:r w:rsidR="003B0302" w:rsidRPr="00057B94">
        <w:t xml:space="preserve"> Parties to provide this information in relation to their first nationally determined contribution, including when communicating or updating it by 2020;</w:t>
      </w:r>
    </w:p>
    <w:p w14:paraId="10A74D50" w14:textId="6983BC57" w:rsidR="003B0302" w:rsidRPr="00057B94" w:rsidRDefault="00360174" w:rsidP="00360174">
      <w:pPr>
        <w:pStyle w:val="RegSingleTxtG"/>
        <w:numPr>
          <w:ilvl w:val="0"/>
          <w:numId w:val="0"/>
        </w:numPr>
        <w:ind w:left="1134"/>
      </w:pPr>
      <w:r w:rsidRPr="00057B94">
        <w:t>8.</w:t>
      </w:r>
      <w:r w:rsidRPr="00057B94">
        <w:tab/>
      </w:r>
      <w:r w:rsidR="003B0302" w:rsidRPr="00057B94">
        <w:rPr>
          <w:i/>
        </w:rPr>
        <w:t>Emphasizes</w:t>
      </w:r>
      <w:r w:rsidR="003B0302" w:rsidRPr="00057B94">
        <w:t xml:space="preserve"> that the guidance on information necessary for clarity, transparency and understanding is without prejudice to the inclusion of components other than mitigation in a nationally determined contribution, </w:t>
      </w:r>
      <w:r w:rsidR="003B0302" w:rsidRPr="00057B94">
        <w:rPr>
          <w:i/>
        </w:rPr>
        <w:t>notes</w:t>
      </w:r>
      <w:r w:rsidR="003B0302" w:rsidRPr="00057B94">
        <w:t xml:space="preserve"> that Parties may provide other information when </w:t>
      </w:r>
      <w:r w:rsidR="003B0302" w:rsidRPr="00057B94">
        <w:lastRenderedPageBreak/>
        <w:t xml:space="preserve">submitting their nationally determined contributions, and in particular that, as provided in Article 7, paragraph 11, of the Paris Agreement, an adaptation communication referred to in Article 7, paragraph 10, of the Paris Agreement may be submitted as a component of or in conjunction with a nationally determined contribution as referred to in Article 4, paragraph 2, of the Paris Agreement, and </w:t>
      </w:r>
      <w:r w:rsidR="003B0302" w:rsidRPr="00057B94">
        <w:rPr>
          <w:i/>
        </w:rPr>
        <w:t>also notes</w:t>
      </w:r>
      <w:r w:rsidR="003B0302" w:rsidRPr="00057B94">
        <w:t xml:space="preserve"> the further guidance in relation to the adaptation commu</w:t>
      </w:r>
      <w:r w:rsidR="00206450" w:rsidRPr="00057B94">
        <w:t>nication contained in decision 9</w:t>
      </w:r>
      <w:r w:rsidR="003B0302" w:rsidRPr="00057B94">
        <w:t>/CMA.1;</w:t>
      </w:r>
    </w:p>
    <w:p w14:paraId="7D4DAB1C" w14:textId="7CB5E79F" w:rsidR="003B0302" w:rsidRPr="00057B94" w:rsidRDefault="00360174" w:rsidP="00360174">
      <w:pPr>
        <w:pStyle w:val="RegSingleTxtG"/>
        <w:numPr>
          <w:ilvl w:val="0"/>
          <w:numId w:val="0"/>
        </w:numPr>
        <w:ind w:left="1134"/>
      </w:pPr>
      <w:r w:rsidRPr="00057B94">
        <w:t>9.</w:t>
      </w:r>
      <w:r w:rsidRPr="00057B94">
        <w:tab/>
      </w:r>
      <w:r w:rsidR="003B0302" w:rsidRPr="00057B94">
        <w:rPr>
          <w:i/>
        </w:rPr>
        <w:t>Recalls</w:t>
      </w:r>
      <w:r w:rsidR="003B0302" w:rsidRPr="00057B94">
        <w:t xml:space="preserve"> decision 1/CP.21, paragraph 27, applicable to Parties’ first nationally determined contributions, including those communicated or updated by 2020, pursuant to paragraph 24 of the same decision, in which the Conference of the Parties agreed that the information to be provided by Parties communicating their nationally determined contributions, in order to facilitate clarity, transparency and understanding, may include, as appropriate, inter alia, quantifiable information on the reference point (including, as appropriate, a base year), time frames and/or periods for implementation, scope and coverage, planning processes, assumptions and methodological approaches, including those for estimating and accounting for anthropogenic greenhouse gas emissions and, as appropriate, removals, and how the Party considers that its nationally determined contribution is fair and ambitious, in the light of its national circumstances, and how it contributes towards achieving the objective of the Convention as set out in its Article 2;</w:t>
      </w:r>
    </w:p>
    <w:p w14:paraId="27AA4217" w14:textId="5A795B71" w:rsidR="003B0302" w:rsidRPr="00057B94" w:rsidRDefault="00360174" w:rsidP="00360174">
      <w:pPr>
        <w:pStyle w:val="RegSingleTxtG"/>
        <w:numPr>
          <w:ilvl w:val="0"/>
          <w:numId w:val="0"/>
        </w:numPr>
        <w:ind w:left="1134"/>
      </w:pPr>
      <w:r w:rsidRPr="00057B94">
        <w:t>10.</w:t>
      </w:r>
      <w:r w:rsidRPr="00057B94">
        <w:tab/>
      </w:r>
      <w:r w:rsidR="003B0302" w:rsidRPr="00057B94">
        <w:rPr>
          <w:i/>
        </w:rPr>
        <w:t>Recognizes</w:t>
      </w:r>
      <w:r w:rsidR="003B0302" w:rsidRPr="00057B94">
        <w:t xml:space="preserve"> that each Party with a nationally determined contribution under Article 4 of the Paris Agreement that consists of mitigation co-benefits resulting from its adaptation action and/or economic diversification plans consistent with Article 4, paragraph 7, of the Paris Agreement shall provide the information referred to in annex I as applicable to its nationally determined contribution and as it relates to such mitigation co-benefits; </w:t>
      </w:r>
    </w:p>
    <w:p w14:paraId="49B63C01" w14:textId="77777777" w:rsidR="003B0302" w:rsidRPr="00057B94" w:rsidRDefault="003B0302" w:rsidP="003B0302">
      <w:pPr>
        <w:pStyle w:val="RegSingleTxtG"/>
        <w:numPr>
          <w:ilvl w:val="0"/>
          <w:numId w:val="0"/>
        </w:numPr>
        <w:ind w:left="1134"/>
        <w:rPr>
          <w:i/>
        </w:rPr>
      </w:pPr>
      <w:r w:rsidRPr="00057B94">
        <w:rPr>
          <w:i/>
        </w:rPr>
        <w:t>Guidance for accounting for Parties’ nationally determined contributions, referred to in decision 1/CP.21, paragraph 31</w:t>
      </w:r>
    </w:p>
    <w:p w14:paraId="6F28CF6C" w14:textId="0657342D" w:rsidR="003B0302" w:rsidRPr="00057B94" w:rsidRDefault="00360174" w:rsidP="00360174">
      <w:pPr>
        <w:pStyle w:val="RegSingleTxtG"/>
        <w:numPr>
          <w:ilvl w:val="0"/>
          <w:numId w:val="0"/>
        </w:numPr>
        <w:ind w:left="1134"/>
      </w:pPr>
      <w:r w:rsidRPr="00057B94">
        <w:t>11.</w:t>
      </w:r>
      <w:r w:rsidRPr="00057B94">
        <w:tab/>
      </w:r>
      <w:r w:rsidR="003B0302" w:rsidRPr="00057B94">
        <w:rPr>
          <w:i/>
        </w:rPr>
        <w:t>Recalls</w:t>
      </w:r>
      <w:r w:rsidR="003B0302" w:rsidRPr="00057B94">
        <w:t xml:space="preserve"> Article 4, paragraph 13, of the Paris Agreement, which provides that Parties shall account for their nationally determined contributions, and that, in accounting for anthropogenic emissions and removals corresponding to their nationally determined contributions, Parties shall promote environmental integrity, transparency, accuracy, completeness, comparability and consistency, and ensure the avoidance of double counting, in accordance with guidance adopted by the Conference of the Parties serving as the meeting of the Parties to the Paris Agreement;</w:t>
      </w:r>
    </w:p>
    <w:p w14:paraId="0BAA5301" w14:textId="17FE001E" w:rsidR="003B0302" w:rsidRPr="00057B94" w:rsidRDefault="00360174" w:rsidP="00360174">
      <w:pPr>
        <w:pStyle w:val="RegSingleTxtG"/>
        <w:numPr>
          <w:ilvl w:val="0"/>
          <w:numId w:val="0"/>
        </w:numPr>
        <w:ind w:left="1134"/>
      </w:pPr>
      <w:r w:rsidRPr="00057B94">
        <w:t>12.</w:t>
      </w:r>
      <w:r w:rsidRPr="00057B94">
        <w:tab/>
      </w:r>
      <w:r w:rsidR="003B0302" w:rsidRPr="00057B94">
        <w:rPr>
          <w:i/>
        </w:rPr>
        <w:t>Also recalls</w:t>
      </w:r>
      <w:r w:rsidR="003B0302" w:rsidRPr="00057B94">
        <w:t xml:space="preserve"> decision 1/CP.21, paragraph 31, in which the Ad Hoc Working Group on the Paris Agreement was requested to elaborate, drawing on approaches established under the Convention and its related legal instruments, as appropriate, guidance for accounting for Parties’ nationally determined contributions, as referred to in Article 4, paragraph 13, of the Paris Agreement, for consideration and adoption by the Conference of the Parties serving as the meeting of the Parties to the Paris Agreement at its first session, which ensures that:</w:t>
      </w:r>
    </w:p>
    <w:p w14:paraId="203F0F14" w14:textId="5B243B26"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Parties account for anthropogenic emissions and removals in accordance with methodologies and common metrics assessed by the Intergovernmental Panel on Climate Change and adopted by the Conference of the Parties serving as the meeting of the Parties to the Paris Agreement;</w:t>
      </w:r>
    </w:p>
    <w:p w14:paraId="2E323135" w14:textId="28A19D82"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Parties ensure methodological consistency, including on baselines, between the communication and implementation of nationally determined contributions;</w:t>
      </w:r>
    </w:p>
    <w:p w14:paraId="569687E8" w14:textId="4D17E464"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 xml:space="preserve">Parties strive to include all categories of anthropogenic emissions or removals in their nationally determined contributions and, once a source, sink or activity is included, continue to include it; </w:t>
      </w:r>
    </w:p>
    <w:p w14:paraId="67E8BE53" w14:textId="2BC559EF"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Parties shall provide an explanation of why any categories of anthropogenic emissions or removals are excluded;</w:t>
      </w:r>
    </w:p>
    <w:p w14:paraId="66DA5755" w14:textId="7A4E5FFD" w:rsidR="003B0302" w:rsidRPr="00057B94" w:rsidRDefault="00360174" w:rsidP="00360174">
      <w:pPr>
        <w:pStyle w:val="RegSingleTxtG"/>
        <w:numPr>
          <w:ilvl w:val="0"/>
          <w:numId w:val="0"/>
        </w:numPr>
        <w:ind w:left="1134"/>
      </w:pPr>
      <w:r w:rsidRPr="00057B94">
        <w:t>13.</w:t>
      </w:r>
      <w:r w:rsidRPr="00057B94">
        <w:tab/>
      </w:r>
      <w:r w:rsidR="003B0302" w:rsidRPr="00057B94">
        <w:rPr>
          <w:i/>
        </w:rPr>
        <w:t>Decides </w:t>
      </w:r>
      <w:r w:rsidR="003B0302" w:rsidRPr="00057B94">
        <w:t>that, in accounting for anthropogenic emissions and removals corresponding to their nationally determined contributions under Article 4, paragraph 13, of the Paris Agreement, Parties shall account for their nationally determined contributions in accordance with the guidance contained in annex II;</w:t>
      </w:r>
    </w:p>
    <w:p w14:paraId="61554845" w14:textId="4148A6D6" w:rsidR="003B0302" w:rsidRPr="00057B94" w:rsidRDefault="00360174" w:rsidP="00360174">
      <w:pPr>
        <w:pStyle w:val="RegSingleTxtG"/>
        <w:numPr>
          <w:ilvl w:val="0"/>
          <w:numId w:val="0"/>
        </w:numPr>
        <w:ind w:left="1134"/>
      </w:pPr>
      <w:bookmarkStart w:id="4" w:name="_Hlk531266117"/>
      <w:r w:rsidRPr="00057B94">
        <w:lastRenderedPageBreak/>
        <w:t>14.</w:t>
      </w:r>
      <w:r w:rsidRPr="00057B94">
        <w:tab/>
      </w:r>
      <w:r w:rsidR="003B0302" w:rsidRPr="00057B94">
        <w:rPr>
          <w:i/>
        </w:rPr>
        <w:t xml:space="preserve">Recalls </w:t>
      </w:r>
      <w:r w:rsidR="003B0302" w:rsidRPr="00057B94">
        <w:t>decision 1/CP.21, paragraph 32, which provides that Parties shall apply the guidance for accounting for nationally determined contributions to their second and subsequent nationally determined contributions, and that Parties may elect to apply such guidance to their first nationally determined contribution;</w:t>
      </w:r>
    </w:p>
    <w:p w14:paraId="1FC26A97" w14:textId="42DA06EE" w:rsidR="003B0302" w:rsidRPr="00057B94" w:rsidRDefault="00360174" w:rsidP="00360174">
      <w:pPr>
        <w:pStyle w:val="RegSingleTxtG"/>
        <w:numPr>
          <w:ilvl w:val="0"/>
          <w:numId w:val="0"/>
        </w:numPr>
        <w:ind w:left="1134"/>
      </w:pPr>
      <w:r w:rsidRPr="00057B94">
        <w:t>15.</w:t>
      </w:r>
      <w:r w:rsidRPr="00057B94">
        <w:tab/>
      </w:r>
      <w:r w:rsidR="003B0302" w:rsidRPr="00057B94">
        <w:rPr>
          <w:i/>
        </w:rPr>
        <w:t>Decides</w:t>
      </w:r>
      <w:r w:rsidR="003B0302" w:rsidRPr="00057B94">
        <w:t xml:space="preserve"> that, in accounting for anthropogenic emissions and removals corresponding to their nationally determined contributions, Parties shall ensure the avoidance of double counting;</w:t>
      </w:r>
    </w:p>
    <w:p w14:paraId="007FEF70" w14:textId="424A98F0" w:rsidR="003B0302" w:rsidRPr="00057B94" w:rsidRDefault="00360174" w:rsidP="00360174">
      <w:pPr>
        <w:pStyle w:val="RegSingleTxtG"/>
        <w:numPr>
          <w:ilvl w:val="0"/>
          <w:numId w:val="0"/>
        </w:numPr>
        <w:ind w:left="1134"/>
      </w:pPr>
      <w:r w:rsidRPr="00057B94">
        <w:t>16.</w:t>
      </w:r>
      <w:r w:rsidRPr="00057B94">
        <w:tab/>
      </w:r>
      <w:r w:rsidR="003B0302" w:rsidRPr="00057B94">
        <w:rPr>
          <w:i/>
        </w:rPr>
        <w:t>Recognizes</w:t>
      </w:r>
      <w:r w:rsidR="003B0302" w:rsidRPr="00057B94">
        <w:t xml:space="preserve"> that each Party with a nationally determined contribution under Article 4 of the Paris Agreement that consists of mitigation co-benefits resulting from its adaptation action and/or economic diversification plans consistent with Article 4, paragraph 7, of the Paris Agreement shall follow the guidance contained in annex II as it relates to such mitigation co-benefits;</w:t>
      </w:r>
    </w:p>
    <w:p w14:paraId="4711413A" w14:textId="0C4EB38B" w:rsidR="003B0302" w:rsidRPr="00057B94" w:rsidRDefault="00360174" w:rsidP="00360174">
      <w:pPr>
        <w:pStyle w:val="RegSingleTxtG"/>
        <w:numPr>
          <w:ilvl w:val="0"/>
          <w:numId w:val="0"/>
        </w:numPr>
        <w:ind w:left="1134"/>
      </w:pPr>
      <w:r w:rsidRPr="00057B94">
        <w:t>17.</w:t>
      </w:r>
      <w:r w:rsidRPr="00057B94">
        <w:tab/>
      </w:r>
      <w:r w:rsidR="003B0302" w:rsidRPr="00057B94">
        <w:rPr>
          <w:i/>
        </w:rPr>
        <w:t>Decides</w:t>
      </w:r>
      <w:r w:rsidR="003B0302" w:rsidRPr="00057B94">
        <w:t xml:space="preserve"> that Parties shall account for their nationally determined contributions in their biennial transparency reports, including through a structured summary, consistently with the guidance provided pursuant to Article 13, paragraph 7(b), of the Paris Agreement and any relevant guidance adopted by the Conference of the Parties serving as the meeting of the Parties to the Paris Agreement;</w:t>
      </w:r>
    </w:p>
    <w:p w14:paraId="7C0027FB" w14:textId="59EDA137" w:rsidR="003B0302" w:rsidRPr="00057B94" w:rsidRDefault="00360174" w:rsidP="00360174">
      <w:pPr>
        <w:pStyle w:val="RegSingleTxtG"/>
        <w:numPr>
          <w:ilvl w:val="0"/>
          <w:numId w:val="0"/>
        </w:numPr>
        <w:ind w:left="1134"/>
      </w:pPr>
      <w:r w:rsidRPr="00057B94">
        <w:t>18.</w:t>
      </w:r>
      <w:r w:rsidRPr="00057B94">
        <w:tab/>
      </w:r>
      <w:r w:rsidR="003B0302" w:rsidRPr="00057B94">
        <w:rPr>
          <w:i/>
        </w:rPr>
        <w:t>Also decides</w:t>
      </w:r>
      <w:r w:rsidR="003B0302" w:rsidRPr="00057B94">
        <w:t xml:space="preserve"> to initiate the review of and, if necessary, update the information to facilitate clarity, transparency and understanding of nationally determined contributions and the guidance for accounting for Parties’ nationally determined contributions at its tenth session (2027) with a view to considering and adopting a decision on the matter at its eleventh session (2028);</w:t>
      </w:r>
    </w:p>
    <w:bookmarkEnd w:id="4"/>
    <w:p w14:paraId="2D0AD2A7" w14:textId="77777777" w:rsidR="003B0302" w:rsidRPr="00057B94" w:rsidRDefault="003B0302" w:rsidP="003B0302">
      <w:pPr>
        <w:pStyle w:val="RegSingleTxtG"/>
        <w:numPr>
          <w:ilvl w:val="0"/>
          <w:numId w:val="0"/>
        </w:numPr>
        <w:ind w:left="1134"/>
        <w:rPr>
          <w:i/>
        </w:rPr>
      </w:pPr>
      <w:r w:rsidRPr="00057B94">
        <w:rPr>
          <w:i/>
        </w:rPr>
        <w:t>Further guidance on features of nationally determined contributions, referred to in decision 1/CP.21, paragraph 26</w:t>
      </w:r>
    </w:p>
    <w:p w14:paraId="13401DEC" w14:textId="5EA4235D" w:rsidR="003B0302" w:rsidRPr="00057B94" w:rsidRDefault="00360174" w:rsidP="00360174">
      <w:pPr>
        <w:pStyle w:val="RegSingleTxtG"/>
        <w:numPr>
          <w:ilvl w:val="0"/>
          <w:numId w:val="0"/>
        </w:numPr>
        <w:ind w:left="1134"/>
      </w:pPr>
      <w:r w:rsidRPr="00057B94">
        <w:t>19.</w:t>
      </w:r>
      <w:r w:rsidRPr="00057B94">
        <w:tab/>
      </w:r>
      <w:r w:rsidR="003B0302" w:rsidRPr="00057B94">
        <w:rPr>
          <w:i/>
        </w:rPr>
        <w:t>Notes</w:t>
      </w:r>
      <w:r w:rsidR="003B0302" w:rsidRPr="00057B94">
        <w:t xml:space="preserve"> that features of nationally determined contributions are outlined in the relevant provisions of the Paris Agreement;</w:t>
      </w:r>
    </w:p>
    <w:p w14:paraId="1DC8A4A1" w14:textId="14280713" w:rsidR="003B0302" w:rsidRPr="00057B94" w:rsidRDefault="00360174" w:rsidP="00360174">
      <w:pPr>
        <w:pStyle w:val="RegSingleTxtG"/>
        <w:numPr>
          <w:ilvl w:val="0"/>
          <w:numId w:val="0"/>
        </w:numPr>
        <w:ind w:left="1134"/>
      </w:pPr>
      <w:r w:rsidRPr="00057B94">
        <w:t>20.</w:t>
      </w:r>
      <w:r w:rsidRPr="00057B94">
        <w:tab/>
      </w:r>
      <w:r w:rsidR="003B0302" w:rsidRPr="00057B94">
        <w:rPr>
          <w:i/>
        </w:rPr>
        <w:t>Decides</w:t>
      </w:r>
      <w:r w:rsidR="003B0302" w:rsidRPr="00057B94">
        <w:t xml:space="preserve"> to continue consideration of further guidance on features of nationally determined contributions at its seventh session (2024).</w:t>
      </w:r>
    </w:p>
    <w:p w14:paraId="35606950" w14:textId="77777777" w:rsidR="003B0302" w:rsidRPr="00057B94" w:rsidRDefault="003B0302" w:rsidP="003B0302">
      <w:pPr>
        <w:suppressAutoHyphens w:val="0"/>
        <w:spacing w:line="240" w:lineRule="auto"/>
        <w:rPr>
          <w:b/>
          <w:sz w:val="28"/>
        </w:rPr>
        <w:sectPr w:rsidR="003B0302" w:rsidRPr="00057B94" w:rsidSect="003B030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p>
    <w:p w14:paraId="4EB4FE13" w14:textId="77777777" w:rsidR="003B0302" w:rsidRPr="00057B94" w:rsidRDefault="003B0302" w:rsidP="003B0302">
      <w:pPr>
        <w:pStyle w:val="HChG"/>
        <w:spacing w:before="0"/>
      </w:pPr>
      <w:r w:rsidRPr="00057B94">
        <w:lastRenderedPageBreak/>
        <w:t>Annex I</w:t>
      </w:r>
    </w:p>
    <w:p w14:paraId="1083FAD8" w14:textId="77777777" w:rsidR="003B0302" w:rsidRPr="00057B94" w:rsidRDefault="003B0302" w:rsidP="003B0302">
      <w:pPr>
        <w:pStyle w:val="HChG"/>
      </w:pPr>
      <w:r w:rsidRPr="00057B94">
        <w:tab/>
      </w:r>
      <w:r w:rsidRPr="00057B94">
        <w:tab/>
        <w:t>Information to facilitate clarity, transparency and understanding of nationally determined contributions, referred to in decision 1/CP.21, paragraph 28</w:t>
      </w:r>
    </w:p>
    <w:p w14:paraId="323ADF13" w14:textId="04C630B7" w:rsidR="003B0302" w:rsidRPr="00057B94" w:rsidRDefault="003B0302" w:rsidP="003B0302">
      <w:pPr>
        <w:jc w:val="right"/>
      </w:pPr>
    </w:p>
    <w:p w14:paraId="178CB4FF" w14:textId="77777777" w:rsidR="003B0302" w:rsidRPr="00057B94" w:rsidRDefault="003B0302" w:rsidP="003B0302"/>
    <w:p w14:paraId="0C084CFE" w14:textId="31FB6395" w:rsidR="003B0302" w:rsidRPr="00057B94" w:rsidRDefault="00360174" w:rsidP="00360174">
      <w:pPr>
        <w:pStyle w:val="RegSingleTxtG"/>
        <w:numPr>
          <w:ilvl w:val="0"/>
          <w:numId w:val="0"/>
        </w:numPr>
        <w:ind w:left="1134"/>
        <w:rPr>
          <w:b/>
        </w:rPr>
      </w:pPr>
      <w:r w:rsidRPr="00057B94">
        <w:t>1.</w:t>
      </w:r>
      <w:r w:rsidRPr="00057B94">
        <w:tab/>
      </w:r>
      <w:r w:rsidR="003B0302" w:rsidRPr="00057B94">
        <w:rPr>
          <w:b/>
        </w:rPr>
        <w:t>Quantifiable information on the reference point (including, as appropriate, a base year):</w:t>
      </w:r>
    </w:p>
    <w:p w14:paraId="357E6226" w14:textId="33ADEA1F"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Reference year(s), base year(s), reference period(s) or other starting point(s);</w:t>
      </w:r>
    </w:p>
    <w:p w14:paraId="4C881648" w14:textId="1EC982DC"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Quantifiable information on the reference indicators, their values in the reference year(s), base year(s), reference period(s) or other starting point(s), and, as applicable, in the target year;</w:t>
      </w:r>
    </w:p>
    <w:p w14:paraId="1BCBB721" w14:textId="6A281564"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For strategies, plans and actions referred to in Article 4, paragraph 6, of the Paris Agreement, or polices and measures as components of nationally determined contributions where paragraph 1(b) above is not applicable, Parties to provide other relevant information;</w:t>
      </w:r>
    </w:p>
    <w:p w14:paraId="713D20D6" w14:textId="2BD01E53"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Target relative to the reference indicator, expressed numerically, for example in percentage or amount of reduction;</w:t>
      </w:r>
    </w:p>
    <w:p w14:paraId="5121A641" w14:textId="37AE1108" w:rsidR="003B0302" w:rsidRPr="00057B94" w:rsidRDefault="00360174" w:rsidP="00360174">
      <w:pPr>
        <w:pStyle w:val="RegSingleTxtG2"/>
        <w:tabs>
          <w:tab w:val="clear" w:pos="360"/>
        </w:tabs>
      </w:pPr>
      <w:r w:rsidRPr="00057B94">
        <w:rPr>
          <w:szCs w:val="28"/>
        </w:rPr>
        <w:t>(e)</w:t>
      </w:r>
      <w:r w:rsidRPr="00057B94">
        <w:rPr>
          <w:szCs w:val="28"/>
        </w:rPr>
        <w:tab/>
      </w:r>
      <w:r w:rsidR="003B0302" w:rsidRPr="00057B94">
        <w:t>Information on sources of data used in quantifying the reference point(s);</w:t>
      </w:r>
    </w:p>
    <w:p w14:paraId="12F3F6D7" w14:textId="2AE53EFC" w:rsidR="003B0302" w:rsidRPr="00057B94" w:rsidRDefault="00360174" w:rsidP="00360174">
      <w:pPr>
        <w:pStyle w:val="RegSingleTxtG2"/>
        <w:tabs>
          <w:tab w:val="clear" w:pos="360"/>
        </w:tabs>
      </w:pPr>
      <w:r w:rsidRPr="00057B94">
        <w:rPr>
          <w:szCs w:val="28"/>
        </w:rPr>
        <w:t>(f)</w:t>
      </w:r>
      <w:r w:rsidRPr="00057B94">
        <w:rPr>
          <w:szCs w:val="28"/>
        </w:rPr>
        <w:tab/>
      </w:r>
      <w:r w:rsidR="003B0302" w:rsidRPr="00057B94">
        <w:t>Information on the circumstances under which the Party may update the values of the reference indicators.</w:t>
      </w:r>
    </w:p>
    <w:p w14:paraId="345146CF" w14:textId="2FA6BE74" w:rsidR="003B0302" w:rsidRPr="00057B94" w:rsidRDefault="00360174" w:rsidP="00360174">
      <w:pPr>
        <w:pStyle w:val="RegSingleTxtG"/>
        <w:numPr>
          <w:ilvl w:val="0"/>
          <w:numId w:val="0"/>
        </w:numPr>
        <w:ind w:left="1134"/>
        <w:rPr>
          <w:b/>
          <w:bCs/>
        </w:rPr>
      </w:pPr>
      <w:r w:rsidRPr="00057B94">
        <w:rPr>
          <w:bCs/>
        </w:rPr>
        <w:t>2.</w:t>
      </w:r>
      <w:r w:rsidRPr="00057B94">
        <w:rPr>
          <w:bCs/>
        </w:rPr>
        <w:tab/>
      </w:r>
      <w:r w:rsidR="003B0302" w:rsidRPr="00057B94">
        <w:rPr>
          <w:b/>
          <w:bCs/>
        </w:rPr>
        <w:t>Time frames and/or periods for implementation:</w:t>
      </w:r>
    </w:p>
    <w:p w14:paraId="2D164F96" w14:textId="60EE43AA"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Time frame and/or period for implementation, including start and end date, consistent with any further relevant decision adopted by the Conference of the Parties serving as the meeting of the Parties to the Paris Agreement (CMA);</w:t>
      </w:r>
    </w:p>
    <w:p w14:paraId="4BF805E8" w14:textId="43CE6B11"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Whether it is a single-year or multi-year target, as applicable.</w:t>
      </w:r>
    </w:p>
    <w:p w14:paraId="05077C03" w14:textId="0D81B376" w:rsidR="003B0302" w:rsidRPr="00057B94" w:rsidRDefault="00360174" w:rsidP="00360174">
      <w:pPr>
        <w:pStyle w:val="RegSingleTxtG"/>
        <w:numPr>
          <w:ilvl w:val="0"/>
          <w:numId w:val="0"/>
        </w:numPr>
        <w:ind w:left="1134"/>
        <w:rPr>
          <w:b/>
          <w:bCs/>
        </w:rPr>
      </w:pPr>
      <w:r w:rsidRPr="00057B94">
        <w:rPr>
          <w:bCs/>
        </w:rPr>
        <w:t>3.</w:t>
      </w:r>
      <w:r w:rsidRPr="00057B94">
        <w:rPr>
          <w:bCs/>
        </w:rPr>
        <w:tab/>
      </w:r>
      <w:r w:rsidR="003B0302" w:rsidRPr="00057B94">
        <w:rPr>
          <w:b/>
          <w:bCs/>
        </w:rPr>
        <w:t>Scope and coverage:</w:t>
      </w:r>
    </w:p>
    <w:p w14:paraId="0B2D33B1" w14:textId="092FE570"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General description of the target;</w:t>
      </w:r>
    </w:p>
    <w:p w14:paraId="6024D468" w14:textId="23C2F4A3"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 xml:space="preserve">Sectors, gases, categories and pools covered by the nationally determined contribution, including, as applicable, consistent with Intergovernmental Panel on Climate Change (IPCC) guidelines; </w:t>
      </w:r>
    </w:p>
    <w:p w14:paraId="7FF58214" w14:textId="6847C0F9"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How the Party has taken into consideration paragraph 31(c) and (d) of decision 1/CP.21;</w:t>
      </w:r>
    </w:p>
    <w:p w14:paraId="088C337A" w14:textId="5B41041D"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Mitigation co-benefits resulting from Parties’ adaptation actions and/or economic diversification plans, including description of specific projects, measures and initiatives of Parties’ adaptation actions and/or economic diversification plans.</w:t>
      </w:r>
    </w:p>
    <w:p w14:paraId="059F8CB1" w14:textId="0FF59425" w:rsidR="003B0302" w:rsidRPr="00057B94" w:rsidRDefault="00360174" w:rsidP="00360174">
      <w:pPr>
        <w:pStyle w:val="RegSingleTxtG"/>
        <w:numPr>
          <w:ilvl w:val="0"/>
          <w:numId w:val="0"/>
        </w:numPr>
        <w:ind w:left="1134"/>
        <w:rPr>
          <w:b/>
          <w:bCs/>
        </w:rPr>
      </w:pPr>
      <w:r w:rsidRPr="00057B94">
        <w:rPr>
          <w:bCs/>
        </w:rPr>
        <w:t>4.</w:t>
      </w:r>
      <w:r w:rsidRPr="00057B94">
        <w:rPr>
          <w:bCs/>
        </w:rPr>
        <w:tab/>
      </w:r>
      <w:r w:rsidR="003B0302" w:rsidRPr="00057B94">
        <w:rPr>
          <w:b/>
          <w:bCs/>
        </w:rPr>
        <w:t>Planning processes:</w:t>
      </w:r>
    </w:p>
    <w:p w14:paraId="54E50CB6" w14:textId="2BB66962" w:rsidR="003B0302" w:rsidRPr="00057B94" w:rsidRDefault="00360174" w:rsidP="00360174">
      <w:pPr>
        <w:pStyle w:val="RegSingleTxtG2"/>
        <w:tabs>
          <w:tab w:val="clear" w:pos="360"/>
        </w:tabs>
        <w:rPr>
          <w:bCs/>
        </w:rPr>
      </w:pPr>
      <w:r w:rsidRPr="00057B94">
        <w:rPr>
          <w:bCs/>
          <w:szCs w:val="28"/>
        </w:rPr>
        <w:t>(a)</w:t>
      </w:r>
      <w:r w:rsidRPr="00057B94">
        <w:rPr>
          <w:bCs/>
          <w:szCs w:val="28"/>
        </w:rPr>
        <w:tab/>
      </w:r>
      <w:r w:rsidR="003B0302" w:rsidRPr="00057B94">
        <w:t>Information on the planning processes that the Party undertook to prepare its nationally determined contribution and, if available, on the Party’s implementation plans, including, as appropriate:</w:t>
      </w:r>
    </w:p>
    <w:p w14:paraId="7225749C" w14:textId="4FB69D1E" w:rsidR="003B0302" w:rsidRPr="00057B94" w:rsidRDefault="00360174" w:rsidP="00360174">
      <w:pPr>
        <w:pStyle w:val="RegSingleTxtG3"/>
        <w:tabs>
          <w:tab w:val="clear" w:pos="360"/>
        </w:tabs>
        <w:rPr>
          <w:bCs/>
        </w:rPr>
      </w:pPr>
      <w:r w:rsidRPr="00057B94">
        <w:rPr>
          <w:bCs/>
        </w:rPr>
        <w:t>(i)</w:t>
      </w:r>
      <w:r w:rsidRPr="00057B94">
        <w:rPr>
          <w:bCs/>
        </w:rPr>
        <w:tab/>
      </w:r>
      <w:r w:rsidR="003B0302" w:rsidRPr="00057B94">
        <w:t>Domestic institutional arrangements, public participation and engagement with local communities and indigenous peoples, in a gender-responsive manner;</w:t>
      </w:r>
    </w:p>
    <w:p w14:paraId="21F7845A" w14:textId="72DAD1FC" w:rsidR="003B0302" w:rsidRPr="00057B94" w:rsidRDefault="00360174" w:rsidP="00360174">
      <w:pPr>
        <w:pStyle w:val="RegSingleTxtG3"/>
        <w:tabs>
          <w:tab w:val="clear" w:pos="360"/>
        </w:tabs>
        <w:rPr>
          <w:bCs/>
        </w:rPr>
      </w:pPr>
      <w:r w:rsidRPr="00057B94">
        <w:rPr>
          <w:bCs/>
        </w:rPr>
        <w:t>(ii)</w:t>
      </w:r>
      <w:r w:rsidRPr="00057B94">
        <w:rPr>
          <w:bCs/>
        </w:rPr>
        <w:tab/>
      </w:r>
      <w:r w:rsidR="003B0302" w:rsidRPr="00057B94">
        <w:t>Contextual matters, including, inter alia, as appropriate:</w:t>
      </w:r>
    </w:p>
    <w:p w14:paraId="2F9D37F4" w14:textId="3EAC4B8A" w:rsidR="003B0302" w:rsidRPr="00057B94" w:rsidRDefault="00360174" w:rsidP="00360174">
      <w:pPr>
        <w:pStyle w:val="RegSingleTxtG3"/>
        <w:tabs>
          <w:tab w:val="clear" w:pos="360"/>
          <w:tab w:val="left" w:pos="2268"/>
        </w:tabs>
        <w:ind w:left="2268"/>
        <w:rPr>
          <w:bCs/>
        </w:rPr>
      </w:pPr>
      <w:r w:rsidRPr="00057B94">
        <w:rPr>
          <w:bCs/>
        </w:rPr>
        <w:t>a.</w:t>
      </w:r>
      <w:r w:rsidRPr="00057B94">
        <w:rPr>
          <w:bCs/>
        </w:rPr>
        <w:tab/>
      </w:r>
      <w:r w:rsidR="003B0302" w:rsidRPr="00057B94">
        <w:t>National circumstances, such as geography, climate, economy, sustainable development and poverty eradication;</w:t>
      </w:r>
    </w:p>
    <w:p w14:paraId="3D785B84" w14:textId="5E034649" w:rsidR="003B0302" w:rsidRPr="00057B94" w:rsidRDefault="00360174" w:rsidP="00360174">
      <w:pPr>
        <w:pStyle w:val="RegSingleTxtG3"/>
        <w:tabs>
          <w:tab w:val="clear" w:pos="360"/>
          <w:tab w:val="left" w:pos="2268"/>
        </w:tabs>
        <w:ind w:left="2268"/>
        <w:rPr>
          <w:bCs/>
        </w:rPr>
      </w:pPr>
      <w:r w:rsidRPr="00057B94">
        <w:rPr>
          <w:bCs/>
        </w:rPr>
        <w:lastRenderedPageBreak/>
        <w:t>b.</w:t>
      </w:r>
      <w:r w:rsidRPr="00057B94">
        <w:rPr>
          <w:bCs/>
        </w:rPr>
        <w:tab/>
      </w:r>
      <w:r w:rsidR="003B0302" w:rsidRPr="00057B94">
        <w:t>Best practices and experience related to the preparation of the nationally determined contribution;</w:t>
      </w:r>
    </w:p>
    <w:p w14:paraId="4D5BA28E" w14:textId="3A72B7D5" w:rsidR="003B0302" w:rsidRPr="00057B94" w:rsidRDefault="00360174" w:rsidP="00360174">
      <w:pPr>
        <w:pStyle w:val="RegSingleTxtG3"/>
        <w:tabs>
          <w:tab w:val="clear" w:pos="360"/>
          <w:tab w:val="left" w:pos="2268"/>
        </w:tabs>
        <w:ind w:left="2268"/>
        <w:rPr>
          <w:bCs/>
        </w:rPr>
      </w:pPr>
      <w:r w:rsidRPr="00057B94">
        <w:rPr>
          <w:bCs/>
        </w:rPr>
        <w:t>c.</w:t>
      </w:r>
      <w:r w:rsidRPr="00057B94">
        <w:rPr>
          <w:bCs/>
        </w:rPr>
        <w:tab/>
      </w:r>
      <w:r w:rsidR="003B0302" w:rsidRPr="00057B94">
        <w:t>Other contextual aspirations and priorities acknowledged when joining the Paris Agreement;</w:t>
      </w:r>
    </w:p>
    <w:p w14:paraId="4F7805FD" w14:textId="0C808B75" w:rsidR="003B0302" w:rsidRPr="00057B94" w:rsidRDefault="00360174" w:rsidP="00360174">
      <w:pPr>
        <w:pStyle w:val="RegSingleTxtG2"/>
        <w:tabs>
          <w:tab w:val="clear" w:pos="360"/>
        </w:tabs>
        <w:rPr>
          <w:bCs/>
        </w:rPr>
      </w:pPr>
      <w:r w:rsidRPr="00057B94">
        <w:rPr>
          <w:bCs/>
          <w:szCs w:val="28"/>
        </w:rPr>
        <w:t>(b)</w:t>
      </w:r>
      <w:r w:rsidRPr="00057B94">
        <w:rPr>
          <w:bCs/>
          <w:szCs w:val="28"/>
        </w:rPr>
        <w:tab/>
      </w:r>
      <w:r w:rsidR="003B0302" w:rsidRPr="00057B94">
        <w:t xml:space="preserve">Specific information applicable to Parties, including regional economic integration organizations and their member States, that have reached an agreement to act jointly under Article 4, paragraph 2, of the Paris Agreement, including the Parties that agreed to act jointly and the terms of the agreement, in accordance with Article 4, paragraphs </w:t>
      </w:r>
      <w:r w:rsidR="00F00AF6" w:rsidRPr="00057B94">
        <w:br/>
      </w:r>
      <w:r w:rsidR="003B0302" w:rsidRPr="00057B94">
        <w:t>16–18, of the Paris Agreement;</w:t>
      </w:r>
    </w:p>
    <w:p w14:paraId="4A8AA409" w14:textId="2A0492CD"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 xml:space="preserve">How the Party’s preparation of its nationally determined contribution has been informed by the outcomes of the global stocktake, in accordance with Article 4, paragraph 9, of the Paris Agreement; </w:t>
      </w:r>
    </w:p>
    <w:p w14:paraId="43C3C10A" w14:textId="10F53525"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Each Party with a nationally determined contribution under Article 4 of the Paris Agreement that consists of adaptation action and/or economic diversification plans resulting in mitigation co-benefits consistent with Article 4, paragraph 7, of the Paris Agreement to submit information on:</w:t>
      </w:r>
    </w:p>
    <w:p w14:paraId="47D17952" w14:textId="3A029AB0" w:rsidR="003B0302" w:rsidRPr="00057B94" w:rsidRDefault="00360174" w:rsidP="00360174">
      <w:pPr>
        <w:pStyle w:val="RegSingleTxtG3"/>
        <w:tabs>
          <w:tab w:val="clear" w:pos="360"/>
        </w:tabs>
      </w:pPr>
      <w:r w:rsidRPr="00057B94">
        <w:t>(i)</w:t>
      </w:r>
      <w:r w:rsidRPr="00057B94">
        <w:tab/>
      </w:r>
      <w:r w:rsidR="003B0302" w:rsidRPr="00057B94">
        <w:t>How the economic and social consequences of response measures have been considered in developing the nationally determined contribution;</w:t>
      </w:r>
    </w:p>
    <w:p w14:paraId="4A280CB7" w14:textId="46BC1F1E" w:rsidR="003B0302" w:rsidRPr="00057B94" w:rsidRDefault="00360174" w:rsidP="00360174">
      <w:pPr>
        <w:pStyle w:val="RegSingleTxtG3"/>
        <w:tabs>
          <w:tab w:val="clear" w:pos="360"/>
        </w:tabs>
      </w:pPr>
      <w:r w:rsidRPr="00057B94">
        <w:t>(ii)</w:t>
      </w:r>
      <w:r w:rsidRPr="00057B94">
        <w:tab/>
      </w:r>
      <w:r w:rsidR="003B0302" w:rsidRPr="00057B94">
        <w:t>Specific projects, measures and activities to be implemented to contribute to mitigation co-benefits, including information on adaptation plans that also yield mitigation co-benefits, which may cover, but are not limited to, key sectors, such as energy, resources, water resources, coastal resources, human settlements and urban planning, agriculture and forestry; and economic diversification actions, which may cover, but are not limited to, sectors such as manufacturing and industry, energy and mining, transport and communication, construction, tourism, real estate, agriculture and fisheries.</w:t>
      </w:r>
    </w:p>
    <w:p w14:paraId="7D7C9EB8" w14:textId="6F590FB2" w:rsidR="003B0302" w:rsidRPr="00057B94" w:rsidRDefault="00360174" w:rsidP="00360174">
      <w:pPr>
        <w:pStyle w:val="RegSingleTxtG"/>
        <w:numPr>
          <w:ilvl w:val="0"/>
          <w:numId w:val="0"/>
        </w:numPr>
        <w:ind w:left="1134"/>
        <w:rPr>
          <w:b/>
          <w:bCs/>
        </w:rPr>
      </w:pPr>
      <w:r w:rsidRPr="00057B94">
        <w:rPr>
          <w:bCs/>
        </w:rPr>
        <w:t>5.</w:t>
      </w:r>
      <w:r w:rsidRPr="00057B94">
        <w:rPr>
          <w:bCs/>
        </w:rPr>
        <w:tab/>
      </w:r>
      <w:r w:rsidR="003B0302" w:rsidRPr="00057B94">
        <w:rPr>
          <w:b/>
          <w:bCs/>
        </w:rPr>
        <w:t>Assumptions and methodological approaches, including those for estimating and accounting for anthropogenic greenhouse gas emissions and, as appropriate, removals:</w:t>
      </w:r>
    </w:p>
    <w:p w14:paraId="30E1FBAB" w14:textId="3B02A3F7"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 xml:space="preserve">Assumptions and methodological approaches used for accounting for anthropogenic greenhouse gas emissions and removals corresponding to the Party’s nationally determined contribution, consistent with decision 1/CP.21, paragraph 31, and accounting guidance adopted by the CMA; </w:t>
      </w:r>
    </w:p>
    <w:p w14:paraId="6880AEA7" w14:textId="570D79B3"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 xml:space="preserve">Assumptions and methodological approaches used for accounting for the implementation of policies and measures or strategies in the nationally determined contribution; </w:t>
      </w:r>
    </w:p>
    <w:p w14:paraId="2BB92D36" w14:textId="1C67D971"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If applicable, information on how the Party will take into account existing methods and guidance under the Convention to account for anthropogenic emissions and removals, in accordance with Article 4, paragraph 14, of the Paris Agreement, as appropriate;</w:t>
      </w:r>
    </w:p>
    <w:p w14:paraId="7A0843B6" w14:textId="0FD29341"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IPCC methodologies and metrics used for estimating anthropogenic greenhouse gas emissions and removals;</w:t>
      </w:r>
    </w:p>
    <w:p w14:paraId="2A1A87D1" w14:textId="64619D0B" w:rsidR="003B0302" w:rsidRPr="00057B94" w:rsidRDefault="00360174" w:rsidP="00360174">
      <w:pPr>
        <w:pStyle w:val="RegSingleTxtG2"/>
        <w:tabs>
          <w:tab w:val="clear" w:pos="360"/>
        </w:tabs>
      </w:pPr>
      <w:r w:rsidRPr="00057B94">
        <w:rPr>
          <w:szCs w:val="28"/>
        </w:rPr>
        <w:t>(e)</w:t>
      </w:r>
      <w:r w:rsidRPr="00057B94">
        <w:rPr>
          <w:szCs w:val="28"/>
        </w:rPr>
        <w:tab/>
      </w:r>
      <w:r w:rsidR="003B0302" w:rsidRPr="00057B94">
        <w:t xml:space="preserve">Sector-, category- or activity-specific assumptions, methodologies and approaches consistent with IPCC guidance, as appropriate, including, as applicable: </w:t>
      </w:r>
    </w:p>
    <w:p w14:paraId="56D92994" w14:textId="57F81C46" w:rsidR="003B0302" w:rsidRPr="00057B94" w:rsidRDefault="00360174" w:rsidP="00360174">
      <w:pPr>
        <w:pStyle w:val="RegSingleTxtG3"/>
        <w:tabs>
          <w:tab w:val="clear" w:pos="360"/>
        </w:tabs>
      </w:pPr>
      <w:r w:rsidRPr="00057B94">
        <w:t>(i)</w:t>
      </w:r>
      <w:r w:rsidRPr="00057B94">
        <w:tab/>
      </w:r>
      <w:r w:rsidR="003B0302" w:rsidRPr="00057B94">
        <w:t>Approach to addressing emissions and subsequent removals from natural disturbances on managed lands;</w:t>
      </w:r>
    </w:p>
    <w:p w14:paraId="641CE5A2" w14:textId="7F46BE1B" w:rsidR="003B0302" w:rsidRPr="00057B94" w:rsidRDefault="00360174" w:rsidP="00360174">
      <w:pPr>
        <w:pStyle w:val="RegSingleTxtG3"/>
        <w:tabs>
          <w:tab w:val="clear" w:pos="360"/>
        </w:tabs>
      </w:pPr>
      <w:r w:rsidRPr="00057B94">
        <w:t>(ii)</w:t>
      </w:r>
      <w:r w:rsidRPr="00057B94">
        <w:tab/>
      </w:r>
      <w:r w:rsidR="003B0302" w:rsidRPr="00057B94">
        <w:t>Approach used to account for emissions and removals from harvested wood products;</w:t>
      </w:r>
    </w:p>
    <w:p w14:paraId="43A27402" w14:textId="2F698CAE" w:rsidR="003B0302" w:rsidRPr="00057B94" w:rsidRDefault="00360174" w:rsidP="00360174">
      <w:pPr>
        <w:pStyle w:val="RegSingleTxtG3"/>
        <w:tabs>
          <w:tab w:val="clear" w:pos="360"/>
        </w:tabs>
      </w:pPr>
      <w:r w:rsidRPr="00057B94">
        <w:t>(iii)</w:t>
      </w:r>
      <w:r w:rsidRPr="00057B94">
        <w:tab/>
      </w:r>
      <w:r w:rsidR="003B0302" w:rsidRPr="00057B94">
        <w:t>Approach used to address the effects of age-class structure in forests;</w:t>
      </w:r>
    </w:p>
    <w:p w14:paraId="4A4949BE" w14:textId="5201F039" w:rsidR="003B0302" w:rsidRPr="00057B94" w:rsidRDefault="00360174" w:rsidP="00360174">
      <w:pPr>
        <w:pStyle w:val="RegSingleTxtG2"/>
        <w:tabs>
          <w:tab w:val="clear" w:pos="360"/>
        </w:tabs>
        <w:rPr>
          <w:bCs/>
        </w:rPr>
      </w:pPr>
      <w:r w:rsidRPr="00057B94">
        <w:rPr>
          <w:bCs/>
          <w:szCs w:val="28"/>
        </w:rPr>
        <w:t>(f)</w:t>
      </w:r>
      <w:r w:rsidRPr="00057B94">
        <w:rPr>
          <w:bCs/>
          <w:szCs w:val="28"/>
        </w:rPr>
        <w:tab/>
      </w:r>
      <w:r w:rsidR="003B0302" w:rsidRPr="00057B94">
        <w:t>Other assumptions and methodological approaches used for understanding the nationally determined contribution and, if applicable, estimating corresponding emissions and removals, including:</w:t>
      </w:r>
    </w:p>
    <w:p w14:paraId="789ECFC4" w14:textId="2BAAC986" w:rsidR="003B0302" w:rsidRPr="00057B94" w:rsidRDefault="00360174" w:rsidP="00360174">
      <w:pPr>
        <w:pStyle w:val="RegSingleTxtG3"/>
        <w:tabs>
          <w:tab w:val="clear" w:pos="360"/>
        </w:tabs>
      </w:pPr>
      <w:r w:rsidRPr="00057B94">
        <w:lastRenderedPageBreak/>
        <w:t>(i)</w:t>
      </w:r>
      <w:r w:rsidRPr="00057B94">
        <w:tab/>
      </w:r>
      <w:r w:rsidR="003B0302" w:rsidRPr="00057B94">
        <w:t xml:space="preserve">How the reference indicators, baseline(s) and/or reference level(s), including, where applicable, sector-, category- or activity-specific reference levels, are constructed, including, for example, key parameters, assumptions, definitions, methodologies, data sources and models used; </w:t>
      </w:r>
    </w:p>
    <w:p w14:paraId="7F9598EC" w14:textId="6F5BB139" w:rsidR="003B0302" w:rsidRPr="00057B94" w:rsidRDefault="00360174" w:rsidP="00360174">
      <w:pPr>
        <w:pStyle w:val="RegSingleTxtG3"/>
        <w:tabs>
          <w:tab w:val="clear" w:pos="360"/>
        </w:tabs>
      </w:pPr>
      <w:r w:rsidRPr="00057B94">
        <w:t>(ii)</w:t>
      </w:r>
      <w:r w:rsidRPr="00057B94">
        <w:tab/>
      </w:r>
      <w:r w:rsidR="003B0302" w:rsidRPr="00057B94">
        <w:t>For Parties with nationally determined contributions that contain non-greenhouse-gas components, information on assumptions and methodological approaches used in relation to those components, as applicable;</w:t>
      </w:r>
    </w:p>
    <w:p w14:paraId="2918865A" w14:textId="3FCE7B44" w:rsidR="003B0302" w:rsidRPr="00057B94" w:rsidRDefault="00360174" w:rsidP="00360174">
      <w:pPr>
        <w:pStyle w:val="RegSingleTxtG3"/>
        <w:tabs>
          <w:tab w:val="clear" w:pos="360"/>
        </w:tabs>
      </w:pPr>
      <w:r w:rsidRPr="00057B94">
        <w:t>(iii)</w:t>
      </w:r>
      <w:r w:rsidRPr="00057B94">
        <w:tab/>
      </w:r>
      <w:r w:rsidR="003B0302" w:rsidRPr="00057B94">
        <w:t>For climate forcers included in nationally determined contributions not covered by IPCC guidelines, information on how the climate forcers are estimated;</w:t>
      </w:r>
    </w:p>
    <w:p w14:paraId="2CE704D6" w14:textId="4723B473" w:rsidR="003B0302" w:rsidRPr="00057B94" w:rsidRDefault="00360174" w:rsidP="00360174">
      <w:pPr>
        <w:pStyle w:val="RegSingleTxtG3"/>
        <w:tabs>
          <w:tab w:val="clear" w:pos="360"/>
        </w:tabs>
      </w:pPr>
      <w:r w:rsidRPr="00057B94">
        <w:t>(iv)</w:t>
      </w:r>
      <w:r w:rsidRPr="00057B94">
        <w:tab/>
      </w:r>
      <w:r w:rsidR="003B0302" w:rsidRPr="00057B94">
        <w:t>Further technical information, as necessary;</w:t>
      </w:r>
    </w:p>
    <w:p w14:paraId="35B14CED" w14:textId="222A2D97" w:rsidR="003B0302" w:rsidRPr="00057B94" w:rsidRDefault="00360174" w:rsidP="00360174">
      <w:pPr>
        <w:pStyle w:val="RegSingleTxtG2"/>
        <w:tabs>
          <w:tab w:val="clear" w:pos="360"/>
        </w:tabs>
      </w:pPr>
      <w:r w:rsidRPr="00057B94">
        <w:rPr>
          <w:szCs w:val="28"/>
        </w:rPr>
        <w:t>(g)</w:t>
      </w:r>
      <w:r w:rsidRPr="00057B94">
        <w:rPr>
          <w:szCs w:val="28"/>
        </w:rPr>
        <w:tab/>
      </w:r>
      <w:r w:rsidR="003B0302" w:rsidRPr="00057B94">
        <w:t xml:space="preserve">The intention to use voluntary cooperation under Article 6 of the Paris Agreement, if applicable. </w:t>
      </w:r>
    </w:p>
    <w:p w14:paraId="6DE0E900" w14:textId="2DA8073B" w:rsidR="003B0302" w:rsidRPr="00057B94" w:rsidRDefault="00360174" w:rsidP="00360174">
      <w:pPr>
        <w:pStyle w:val="RegSingleTxtG"/>
        <w:numPr>
          <w:ilvl w:val="0"/>
          <w:numId w:val="0"/>
        </w:numPr>
        <w:ind w:left="1134"/>
        <w:rPr>
          <w:b/>
          <w:bCs/>
        </w:rPr>
      </w:pPr>
      <w:r w:rsidRPr="00057B94">
        <w:rPr>
          <w:bCs/>
        </w:rPr>
        <w:t>6.</w:t>
      </w:r>
      <w:r w:rsidRPr="00057B94">
        <w:rPr>
          <w:bCs/>
        </w:rPr>
        <w:tab/>
      </w:r>
      <w:r w:rsidR="003B0302" w:rsidRPr="00057B94">
        <w:rPr>
          <w:b/>
          <w:bCs/>
        </w:rPr>
        <w:t>How the Party considers that its nationally determined contribution is fair and ambitious in the light of its national circumstances:</w:t>
      </w:r>
    </w:p>
    <w:p w14:paraId="68579B16" w14:textId="7F2AF28D"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How the Party considers that its nationally determined contribution is fair and ambitious in the light of its national circumstances;</w:t>
      </w:r>
    </w:p>
    <w:p w14:paraId="03E57F07" w14:textId="21A9839D"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Fairness considerations, including reflecting on equity;</w:t>
      </w:r>
    </w:p>
    <w:p w14:paraId="1646CF77" w14:textId="33BE2BF7" w:rsidR="003B0302" w:rsidRPr="00057B94" w:rsidRDefault="00360174" w:rsidP="00360174">
      <w:pPr>
        <w:pStyle w:val="RegSingleTxtG2"/>
        <w:tabs>
          <w:tab w:val="clear" w:pos="360"/>
        </w:tabs>
      </w:pPr>
      <w:r w:rsidRPr="00057B94">
        <w:rPr>
          <w:szCs w:val="28"/>
        </w:rPr>
        <w:t>(c)</w:t>
      </w:r>
      <w:r w:rsidRPr="00057B94">
        <w:rPr>
          <w:szCs w:val="28"/>
        </w:rPr>
        <w:tab/>
      </w:r>
      <w:r w:rsidR="003B0302" w:rsidRPr="00057B94">
        <w:t xml:space="preserve">How the Party has addressed Article 4, paragraph 3, of the Paris Agreement; </w:t>
      </w:r>
    </w:p>
    <w:p w14:paraId="3591CA3E" w14:textId="25FB4621" w:rsidR="003B0302" w:rsidRPr="00057B94" w:rsidRDefault="00360174" w:rsidP="00360174">
      <w:pPr>
        <w:pStyle w:val="RegSingleTxtG2"/>
        <w:tabs>
          <w:tab w:val="clear" w:pos="360"/>
        </w:tabs>
      </w:pPr>
      <w:r w:rsidRPr="00057B94">
        <w:rPr>
          <w:szCs w:val="28"/>
        </w:rPr>
        <w:t>(d)</w:t>
      </w:r>
      <w:r w:rsidRPr="00057B94">
        <w:rPr>
          <w:szCs w:val="28"/>
        </w:rPr>
        <w:tab/>
      </w:r>
      <w:r w:rsidR="003B0302" w:rsidRPr="00057B94">
        <w:t xml:space="preserve">How the Party has addressed Article 4, paragraph 4, of the Paris Agreement; </w:t>
      </w:r>
    </w:p>
    <w:p w14:paraId="35088756" w14:textId="043FFDE1" w:rsidR="003B0302" w:rsidRPr="00057B94" w:rsidRDefault="00360174" w:rsidP="00360174">
      <w:pPr>
        <w:pStyle w:val="RegSingleTxtG2"/>
        <w:tabs>
          <w:tab w:val="clear" w:pos="360"/>
        </w:tabs>
      </w:pPr>
      <w:r w:rsidRPr="00057B94">
        <w:rPr>
          <w:szCs w:val="28"/>
        </w:rPr>
        <w:t>(e)</w:t>
      </w:r>
      <w:r w:rsidRPr="00057B94">
        <w:rPr>
          <w:szCs w:val="28"/>
        </w:rPr>
        <w:tab/>
      </w:r>
      <w:r w:rsidR="003B0302" w:rsidRPr="00057B94">
        <w:t xml:space="preserve">How the Party has addressed Article 4, paragraph 6, of the Paris Agreement. </w:t>
      </w:r>
    </w:p>
    <w:p w14:paraId="233CCDC7" w14:textId="6DDAF6EE" w:rsidR="003B0302" w:rsidRPr="00057B94" w:rsidRDefault="00360174" w:rsidP="00360174">
      <w:pPr>
        <w:pStyle w:val="RegSingleTxtG"/>
        <w:numPr>
          <w:ilvl w:val="0"/>
          <w:numId w:val="0"/>
        </w:numPr>
        <w:ind w:left="1134"/>
        <w:rPr>
          <w:b/>
        </w:rPr>
      </w:pPr>
      <w:r w:rsidRPr="00057B94">
        <w:t>7.</w:t>
      </w:r>
      <w:r w:rsidRPr="00057B94">
        <w:tab/>
      </w:r>
      <w:r w:rsidR="003B0302" w:rsidRPr="00057B94">
        <w:rPr>
          <w:b/>
        </w:rPr>
        <w:t>How the nationally determined contribution contributes towards achieving the objective of the Convention as set out in its Article 2:</w:t>
      </w:r>
    </w:p>
    <w:p w14:paraId="6EAF1578" w14:textId="39BB9F4C" w:rsidR="003B0302" w:rsidRPr="00057B94" w:rsidRDefault="00360174" w:rsidP="00360174">
      <w:pPr>
        <w:pStyle w:val="RegSingleTxtG2"/>
        <w:tabs>
          <w:tab w:val="clear" w:pos="360"/>
        </w:tabs>
      </w:pPr>
      <w:r w:rsidRPr="00057B94">
        <w:rPr>
          <w:szCs w:val="28"/>
        </w:rPr>
        <w:t>(a)</w:t>
      </w:r>
      <w:r w:rsidRPr="00057B94">
        <w:rPr>
          <w:szCs w:val="28"/>
        </w:rPr>
        <w:tab/>
      </w:r>
      <w:r w:rsidR="003B0302" w:rsidRPr="00057B94">
        <w:t xml:space="preserve">How the nationally determined contribution contributes towards achieving the objective of the Convention as set out in its Article 2; </w:t>
      </w:r>
    </w:p>
    <w:p w14:paraId="4DD7960D" w14:textId="3F9B092B" w:rsidR="003B0302" w:rsidRPr="00057B94" w:rsidRDefault="00360174" w:rsidP="00360174">
      <w:pPr>
        <w:pStyle w:val="RegSingleTxtG2"/>
        <w:tabs>
          <w:tab w:val="clear" w:pos="360"/>
        </w:tabs>
      </w:pPr>
      <w:r w:rsidRPr="00057B94">
        <w:rPr>
          <w:szCs w:val="28"/>
        </w:rPr>
        <w:t>(b)</w:t>
      </w:r>
      <w:r w:rsidRPr="00057B94">
        <w:rPr>
          <w:szCs w:val="28"/>
        </w:rPr>
        <w:tab/>
      </w:r>
      <w:r w:rsidR="003B0302" w:rsidRPr="00057B94">
        <w:t>How the nationally determined contribution contributes towards Article 2, paragraph 1(a), and Article 4, paragraph 1, of the Paris Agreement.</w:t>
      </w:r>
    </w:p>
    <w:p w14:paraId="62A45B7E" w14:textId="77777777" w:rsidR="003B0302" w:rsidRPr="00057B94" w:rsidRDefault="003B0302" w:rsidP="003B0302">
      <w:pPr>
        <w:pStyle w:val="RegSingleTxtG2"/>
        <w:tabs>
          <w:tab w:val="clear" w:pos="360"/>
        </w:tabs>
        <w:ind w:left="1701" w:firstLine="0"/>
        <w:sectPr w:rsidR="003B0302" w:rsidRPr="00057B94" w:rsidSect="0088358F">
          <w:pgSz w:w="11906" w:h="16838" w:code="9"/>
          <w:pgMar w:top="1418" w:right="1134" w:bottom="1134" w:left="1134" w:header="851" w:footer="567" w:gutter="0"/>
          <w:cols w:space="708"/>
          <w:docGrid w:linePitch="360"/>
        </w:sectPr>
      </w:pPr>
    </w:p>
    <w:p w14:paraId="5656EAC1" w14:textId="77777777" w:rsidR="003B0302" w:rsidRPr="00057B94" w:rsidRDefault="003B0302" w:rsidP="003B0302">
      <w:pPr>
        <w:pStyle w:val="HChG"/>
        <w:pageBreakBefore/>
        <w:spacing w:before="0"/>
      </w:pPr>
      <w:r w:rsidRPr="00057B94">
        <w:lastRenderedPageBreak/>
        <w:t>Annex II</w:t>
      </w:r>
    </w:p>
    <w:p w14:paraId="5F78E339" w14:textId="77777777" w:rsidR="003B0302" w:rsidRPr="00057B94" w:rsidRDefault="003B0302" w:rsidP="003B0302">
      <w:pPr>
        <w:pStyle w:val="HChG"/>
      </w:pPr>
      <w:r w:rsidRPr="00057B94">
        <w:tab/>
      </w:r>
      <w:r w:rsidRPr="00057B94">
        <w:tab/>
      </w:r>
      <w:r w:rsidRPr="00057B94">
        <w:tab/>
        <w:t>Accounting for Parties’ nationally determined contributions, referred to in decision 1/CP.21, paragraph 31</w:t>
      </w:r>
    </w:p>
    <w:p w14:paraId="3BB1FE3D" w14:textId="1CF78CB4" w:rsidR="003B0302" w:rsidRPr="00057B94" w:rsidRDefault="003B0302" w:rsidP="003B0302">
      <w:pPr>
        <w:jc w:val="right"/>
      </w:pPr>
    </w:p>
    <w:p w14:paraId="7E5DCD2B" w14:textId="3B0EBDFB" w:rsidR="003B0302" w:rsidRPr="00057B94" w:rsidRDefault="00360174" w:rsidP="00360174">
      <w:pPr>
        <w:pStyle w:val="RegSingleTxtG"/>
        <w:numPr>
          <w:ilvl w:val="0"/>
          <w:numId w:val="0"/>
        </w:numPr>
        <w:ind w:left="1134"/>
        <w:rPr>
          <w:b/>
        </w:rPr>
      </w:pPr>
      <w:r w:rsidRPr="00057B94">
        <w:t>1.</w:t>
      </w:r>
      <w:r w:rsidRPr="00057B94">
        <w:tab/>
      </w:r>
      <w:r w:rsidR="003B0302" w:rsidRPr="00057B94">
        <w:rPr>
          <w:b/>
        </w:rPr>
        <w:t>Accounting for anthropogenic emissions and removals in accordance with methodologies and common metrics assessed by the Intergovernmental Panel on Climate Change (IPCC) and adopted by the Conference of the Parties serving as the meeting of the Parties to the Paris Agreement:</w:t>
      </w:r>
    </w:p>
    <w:p w14:paraId="6F94F336" w14:textId="0749F37D" w:rsidR="003B0302" w:rsidRPr="00057B94" w:rsidRDefault="00360174" w:rsidP="00360174">
      <w:pPr>
        <w:pStyle w:val="RegSingleTxtG2"/>
        <w:tabs>
          <w:tab w:val="clear" w:pos="360"/>
          <w:tab w:val="left" w:pos="1702"/>
        </w:tabs>
      </w:pPr>
      <w:r w:rsidRPr="00057B94">
        <w:rPr>
          <w:szCs w:val="28"/>
        </w:rPr>
        <w:t>(a)</w:t>
      </w:r>
      <w:r w:rsidRPr="00057B94">
        <w:rPr>
          <w:szCs w:val="28"/>
        </w:rPr>
        <w:tab/>
      </w:r>
      <w:r w:rsidR="003B0302" w:rsidRPr="00057B94">
        <w:t>Parties account for anthropogenic emissions and removals in accordance with methodologies and common metrics assessed by the IPCC</w:t>
      </w:r>
      <w:r w:rsidR="003B0302" w:rsidRPr="00057B94" w:rsidDel="00B61B62">
        <w:t xml:space="preserve"> </w:t>
      </w:r>
      <w:r w:rsidR="003B0302" w:rsidRPr="00057B94">
        <w:t xml:space="preserve">and </w:t>
      </w:r>
      <w:r w:rsidR="00206450" w:rsidRPr="00057B94">
        <w:t>in accordance with decision 18</w:t>
      </w:r>
      <w:r w:rsidR="003B0302" w:rsidRPr="00057B94">
        <w:t>/CMA.1;</w:t>
      </w:r>
    </w:p>
    <w:p w14:paraId="404363EA" w14:textId="2D2F367C" w:rsidR="003B0302" w:rsidRPr="00057B94" w:rsidRDefault="00360174" w:rsidP="00360174">
      <w:pPr>
        <w:pStyle w:val="RegSingleTxtG2"/>
        <w:tabs>
          <w:tab w:val="clear" w:pos="360"/>
          <w:tab w:val="left" w:pos="1702"/>
        </w:tabs>
      </w:pPr>
      <w:r w:rsidRPr="00057B94">
        <w:rPr>
          <w:szCs w:val="28"/>
        </w:rPr>
        <w:t>(b)</w:t>
      </w:r>
      <w:r w:rsidRPr="00057B94">
        <w:rPr>
          <w:szCs w:val="28"/>
        </w:rPr>
        <w:tab/>
      </w:r>
      <w:r w:rsidR="003B0302" w:rsidRPr="00057B94">
        <w:t>Parties whose nationally determined contribution cannot be accounted for using methodologies covered by IPCC guidelines provide information on their own methodology used, including for nationally determined contributions pursuant to Article 4, paragraph 6, of the Paris Agreement, if applicable;</w:t>
      </w:r>
    </w:p>
    <w:p w14:paraId="745CE73D" w14:textId="5933A434" w:rsidR="003B0302" w:rsidRPr="00057B94" w:rsidRDefault="00360174" w:rsidP="00360174">
      <w:pPr>
        <w:pStyle w:val="RegSingleTxtG2"/>
        <w:tabs>
          <w:tab w:val="clear" w:pos="360"/>
          <w:tab w:val="left" w:pos="1702"/>
        </w:tabs>
      </w:pPr>
      <w:r w:rsidRPr="00057B94">
        <w:rPr>
          <w:szCs w:val="28"/>
        </w:rPr>
        <w:t>(c)</w:t>
      </w:r>
      <w:r w:rsidRPr="00057B94">
        <w:rPr>
          <w:szCs w:val="28"/>
        </w:rPr>
        <w:tab/>
      </w:r>
      <w:r w:rsidR="003B0302" w:rsidRPr="00057B94">
        <w:t>Parties that draw on existing methods and guidance established under the Convention and its related legal instruments, as appropriate, provide information on how they have done so;</w:t>
      </w:r>
    </w:p>
    <w:p w14:paraId="2B200A32" w14:textId="54804DC0" w:rsidR="003B0302" w:rsidRPr="00057B94" w:rsidRDefault="00360174" w:rsidP="00360174">
      <w:pPr>
        <w:pStyle w:val="RegSingleTxtG2"/>
        <w:tabs>
          <w:tab w:val="clear" w:pos="360"/>
          <w:tab w:val="left" w:pos="1702"/>
        </w:tabs>
      </w:pPr>
      <w:r w:rsidRPr="00057B94">
        <w:rPr>
          <w:szCs w:val="28"/>
        </w:rPr>
        <w:t>(d)</w:t>
      </w:r>
      <w:r w:rsidRPr="00057B94">
        <w:rPr>
          <w:szCs w:val="28"/>
        </w:rPr>
        <w:tab/>
      </w:r>
      <w:r w:rsidR="003B0302" w:rsidRPr="00057B94">
        <w:t>Parties provide information on methodologies used to track progress arising from the implementation of policies and measures, as appropriate;</w:t>
      </w:r>
    </w:p>
    <w:p w14:paraId="0733DD89" w14:textId="5497896F" w:rsidR="003B0302" w:rsidRPr="00057B94" w:rsidRDefault="00360174" w:rsidP="00360174">
      <w:pPr>
        <w:pStyle w:val="RegSingleTxtG2"/>
        <w:tabs>
          <w:tab w:val="clear" w:pos="360"/>
          <w:tab w:val="left" w:pos="1702"/>
        </w:tabs>
      </w:pPr>
      <w:r w:rsidRPr="00057B94">
        <w:rPr>
          <w:szCs w:val="28"/>
        </w:rPr>
        <w:t>(e)</w:t>
      </w:r>
      <w:r w:rsidRPr="00057B94">
        <w:rPr>
          <w:szCs w:val="28"/>
        </w:rPr>
        <w:tab/>
      </w:r>
      <w:r w:rsidR="003B0302" w:rsidRPr="00057B94">
        <w:t>Parties that decide to address emissions and subsequent removals from natural disturbances on managed lands provide detailed information on the approach used and how it is consistent with relevant IPCC guidance, as appropriate, or indicate the relevant section of the national greenhouse gas inventory report containing that information;</w:t>
      </w:r>
    </w:p>
    <w:p w14:paraId="6BC67B2D" w14:textId="7449F70C" w:rsidR="003B0302" w:rsidRPr="00057B94" w:rsidRDefault="00360174" w:rsidP="00360174">
      <w:pPr>
        <w:pStyle w:val="RegSingleTxtG2"/>
        <w:tabs>
          <w:tab w:val="clear" w:pos="360"/>
          <w:tab w:val="left" w:pos="1702"/>
        </w:tabs>
      </w:pPr>
      <w:r w:rsidRPr="00057B94">
        <w:rPr>
          <w:szCs w:val="28"/>
        </w:rPr>
        <w:t>(f)</w:t>
      </w:r>
      <w:r w:rsidRPr="00057B94">
        <w:rPr>
          <w:szCs w:val="28"/>
        </w:rPr>
        <w:tab/>
      </w:r>
      <w:r w:rsidR="003B0302" w:rsidRPr="00057B94">
        <w:t>Parties that account for emissions and removals from harvested wood products provide detailed information on which IPCC approach has been used to estimate emissions and removals;</w:t>
      </w:r>
    </w:p>
    <w:p w14:paraId="38706635" w14:textId="401EAFC5" w:rsidR="003B0302" w:rsidRPr="00057B94" w:rsidRDefault="00360174" w:rsidP="00360174">
      <w:pPr>
        <w:pStyle w:val="RegSingleTxtG2"/>
        <w:tabs>
          <w:tab w:val="clear" w:pos="360"/>
          <w:tab w:val="left" w:pos="1702"/>
        </w:tabs>
      </w:pPr>
      <w:r w:rsidRPr="00057B94">
        <w:rPr>
          <w:szCs w:val="28"/>
        </w:rPr>
        <w:t>(g)</w:t>
      </w:r>
      <w:r w:rsidRPr="00057B94">
        <w:rPr>
          <w:szCs w:val="28"/>
        </w:rPr>
        <w:tab/>
      </w:r>
      <w:r w:rsidR="003B0302" w:rsidRPr="00057B94">
        <w:t>Parties that address the effects of age-class structure in forests provide detailed information on the approach used and how this is consistent with relevant IPCC guidance, as appropriate.</w:t>
      </w:r>
    </w:p>
    <w:p w14:paraId="4B0DD8A5" w14:textId="0CF22268" w:rsidR="003B0302" w:rsidRPr="00057B94" w:rsidRDefault="00360174" w:rsidP="00360174">
      <w:pPr>
        <w:pStyle w:val="RegSingleTxtG"/>
        <w:numPr>
          <w:ilvl w:val="0"/>
          <w:numId w:val="0"/>
        </w:numPr>
        <w:ind w:left="1134"/>
        <w:rPr>
          <w:b/>
          <w:bCs/>
        </w:rPr>
      </w:pPr>
      <w:r w:rsidRPr="00057B94">
        <w:rPr>
          <w:bCs/>
        </w:rPr>
        <w:t>2.</w:t>
      </w:r>
      <w:r w:rsidRPr="00057B94">
        <w:rPr>
          <w:bCs/>
        </w:rPr>
        <w:tab/>
      </w:r>
      <w:r w:rsidR="003B0302" w:rsidRPr="00057B94">
        <w:rPr>
          <w:b/>
          <w:bCs/>
        </w:rPr>
        <w:t>Ensuring methodological consistency, including on baselines, between the communication and implementation of nationally determined contributions:</w:t>
      </w:r>
    </w:p>
    <w:p w14:paraId="6D3D002A" w14:textId="4FDA8376" w:rsidR="003B0302" w:rsidRPr="00057B94" w:rsidRDefault="00360174" w:rsidP="00360174">
      <w:pPr>
        <w:pStyle w:val="RegSingleTxtG2"/>
        <w:tabs>
          <w:tab w:val="clear" w:pos="360"/>
          <w:tab w:val="left" w:pos="1702"/>
        </w:tabs>
      </w:pPr>
      <w:r w:rsidRPr="00057B94">
        <w:rPr>
          <w:szCs w:val="28"/>
        </w:rPr>
        <w:t>(a)</w:t>
      </w:r>
      <w:r w:rsidRPr="00057B94">
        <w:rPr>
          <w:szCs w:val="28"/>
        </w:rPr>
        <w:tab/>
      </w:r>
      <w:r w:rsidR="003B0302" w:rsidRPr="00057B94">
        <w:t>Parties maintain consistency in scope and coverage, definitions, data sources, metrics, assumptions and methodological approaches;</w:t>
      </w:r>
    </w:p>
    <w:p w14:paraId="583C3D5F" w14:textId="7D981E97" w:rsidR="003B0302" w:rsidRPr="00057B94" w:rsidRDefault="00360174" w:rsidP="00360174">
      <w:pPr>
        <w:pStyle w:val="RegSingleTxtG2"/>
        <w:tabs>
          <w:tab w:val="clear" w:pos="360"/>
          <w:tab w:val="left" w:pos="1702"/>
        </w:tabs>
      </w:pPr>
      <w:r w:rsidRPr="00057B94">
        <w:rPr>
          <w:szCs w:val="28"/>
        </w:rPr>
        <w:t>(b)</w:t>
      </w:r>
      <w:r w:rsidRPr="00057B94">
        <w:rPr>
          <w:szCs w:val="28"/>
        </w:rPr>
        <w:tab/>
      </w:r>
      <w:r w:rsidR="003B0302" w:rsidRPr="00057B94">
        <w:t>Any greenhouse gas data and estimation methodologies used for accounting should be consistent with the Party’s greenhouse gas inventories, pursuant to Article 13, paragraph 7(a), of the Paris Agreement, if applicable;</w:t>
      </w:r>
    </w:p>
    <w:p w14:paraId="1A0B57EE" w14:textId="6B42D2A6" w:rsidR="003B0302" w:rsidRPr="00057B94" w:rsidRDefault="00360174" w:rsidP="00360174">
      <w:pPr>
        <w:pStyle w:val="RegSingleTxtG2"/>
        <w:tabs>
          <w:tab w:val="clear" w:pos="360"/>
          <w:tab w:val="left" w:pos="1702"/>
        </w:tabs>
      </w:pPr>
      <w:r w:rsidRPr="00057B94">
        <w:rPr>
          <w:szCs w:val="28"/>
        </w:rPr>
        <w:t>(c)</w:t>
      </w:r>
      <w:r w:rsidRPr="00057B94">
        <w:rPr>
          <w:szCs w:val="28"/>
        </w:rPr>
        <w:tab/>
      </w:r>
      <w:r w:rsidR="003B0302" w:rsidRPr="00057B94">
        <w:t>Parties strive to avoid overestimating or underestimating projected emissions and removals used for accounting;</w:t>
      </w:r>
    </w:p>
    <w:p w14:paraId="403906F3" w14:textId="1C11A064" w:rsidR="003B0302" w:rsidRPr="00057B94" w:rsidRDefault="00360174" w:rsidP="00360174">
      <w:pPr>
        <w:pStyle w:val="RegSingleTxtG2"/>
        <w:tabs>
          <w:tab w:val="clear" w:pos="360"/>
          <w:tab w:val="left" w:pos="1702"/>
        </w:tabs>
      </w:pPr>
      <w:r w:rsidRPr="00057B94">
        <w:rPr>
          <w:szCs w:val="28"/>
        </w:rPr>
        <w:t>(d)</w:t>
      </w:r>
      <w:r w:rsidRPr="00057B94">
        <w:rPr>
          <w:szCs w:val="28"/>
        </w:rPr>
        <w:tab/>
      </w:r>
      <w:r w:rsidR="003B0302" w:rsidRPr="00057B94">
        <w:t xml:space="preserve">For Parties that apply technical changes to update reference points, reference levels or projections, the changes should reflect either of the following: </w:t>
      </w:r>
    </w:p>
    <w:p w14:paraId="66CC68AC" w14:textId="2F1A3936" w:rsidR="003B0302" w:rsidRPr="00057B94" w:rsidRDefault="00360174" w:rsidP="00360174">
      <w:pPr>
        <w:pStyle w:val="RegSingleTxtG3"/>
        <w:tabs>
          <w:tab w:val="clear" w:pos="360"/>
        </w:tabs>
      </w:pPr>
      <w:r w:rsidRPr="00057B94">
        <w:t>(i)</w:t>
      </w:r>
      <w:r w:rsidRPr="00057B94">
        <w:tab/>
      </w:r>
      <w:r w:rsidR="003B0302" w:rsidRPr="00057B94">
        <w:t>Changes in the Party’s inventory;</w:t>
      </w:r>
    </w:p>
    <w:p w14:paraId="4AD88ADD" w14:textId="3436A30F" w:rsidR="003B0302" w:rsidRPr="00057B94" w:rsidRDefault="00360174" w:rsidP="00360174">
      <w:pPr>
        <w:pStyle w:val="RegSingleTxtG3"/>
        <w:tabs>
          <w:tab w:val="clear" w:pos="360"/>
        </w:tabs>
      </w:pPr>
      <w:r w:rsidRPr="00057B94">
        <w:t>(ii)</w:t>
      </w:r>
      <w:r w:rsidRPr="00057B94">
        <w:tab/>
      </w:r>
      <w:r w:rsidR="003B0302" w:rsidRPr="00057B94">
        <w:t>Improvements in accuracy that maintain methodological consistency;</w:t>
      </w:r>
    </w:p>
    <w:p w14:paraId="70542E34" w14:textId="5450A0D3" w:rsidR="003B0302" w:rsidRPr="00057B94" w:rsidRDefault="00360174" w:rsidP="00360174">
      <w:pPr>
        <w:pStyle w:val="RegSingleTxtG2"/>
        <w:tabs>
          <w:tab w:val="clear" w:pos="360"/>
          <w:tab w:val="left" w:pos="1702"/>
        </w:tabs>
      </w:pPr>
      <w:r w:rsidRPr="00057B94">
        <w:rPr>
          <w:szCs w:val="28"/>
        </w:rPr>
        <w:t>(e)</w:t>
      </w:r>
      <w:r w:rsidRPr="00057B94">
        <w:rPr>
          <w:szCs w:val="28"/>
        </w:rPr>
        <w:tab/>
      </w:r>
      <w:r w:rsidR="003B0302" w:rsidRPr="00057B94">
        <w:t>Parties transparently report any methodological changes and technical updates made during the implementation of their nationally determined contribution.</w:t>
      </w:r>
    </w:p>
    <w:p w14:paraId="687D6CA3" w14:textId="3F16448D" w:rsidR="003B0302" w:rsidRPr="00057B94" w:rsidRDefault="00360174" w:rsidP="00360174">
      <w:pPr>
        <w:pStyle w:val="RegSingleTxtG"/>
        <w:keepNext/>
        <w:numPr>
          <w:ilvl w:val="0"/>
          <w:numId w:val="0"/>
        </w:numPr>
        <w:ind w:left="1134"/>
        <w:rPr>
          <w:b/>
          <w:bCs/>
        </w:rPr>
      </w:pPr>
      <w:r w:rsidRPr="00057B94">
        <w:rPr>
          <w:bCs/>
        </w:rPr>
        <w:lastRenderedPageBreak/>
        <w:t>3.</w:t>
      </w:r>
      <w:r w:rsidRPr="00057B94">
        <w:rPr>
          <w:bCs/>
        </w:rPr>
        <w:tab/>
      </w:r>
      <w:r w:rsidR="003B0302" w:rsidRPr="00057B94">
        <w:rPr>
          <w:b/>
          <w:bCs/>
        </w:rPr>
        <w:t>Striving to include all categories of anthropogenic emissions or removals in the nationally determined contribution and, once a source, sink or activity is included, continu</w:t>
      </w:r>
      <w:r w:rsidR="00E05BE2" w:rsidRPr="00057B94">
        <w:rPr>
          <w:b/>
          <w:bCs/>
        </w:rPr>
        <w:t>ing</w:t>
      </w:r>
      <w:r w:rsidR="003B0302" w:rsidRPr="00057B94">
        <w:rPr>
          <w:b/>
          <w:bCs/>
        </w:rPr>
        <w:t xml:space="preserve"> to include it:</w:t>
      </w:r>
    </w:p>
    <w:p w14:paraId="2EBD8AD9" w14:textId="49D30291" w:rsidR="003B0302" w:rsidRPr="00057B94" w:rsidRDefault="00360174" w:rsidP="00360174">
      <w:pPr>
        <w:pStyle w:val="RegSingleTxtG2"/>
        <w:tabs>
          <w:tab w:val="clear" w:pos="360"/>
          <w:tab w:val="left" w:pos="1702"/>
        </w:tabs>
      </w:pPr>
      <w:r w:rsidRPr="00057B94">
        <w:rPr>
          <w:szCs w:val="28"/>
        </w:rPr>
        <w:t>(a)</w:t>
      </w:r>
      <w:r w:rsidRPr="00057B94">
        <w:rPr>
          <w:szCs w:val="28"/>
        </w:rPr>
        <w:tab/>
      </w:r>
      <w:r w:rsidR="003B0302" w:rsidRPr="00057B94">
        <w:t>Parties account for all categories of anthropogenic emissions and removals corresponding to their nationally determined contribution;</w:t>
      </w:r>
    </w:p>
    <w:p w14:paraId="3884744F" w14:textId="2258F59B" w:rsidR="003B0302" w:rsidRPr="00057B94" w:rsidRDefault="00360174" w:rsidP="00360174">
      <w:pPr>
        <w:pStyle w:val="RegSingleTxtG2"/>
        <w:tabs>
          <w:tab w:val="clear" w:pos="360"/>
          <w:tab w:val="left" w:pos="1702"/>
        </w:tabs>
      </w:pPr>
      <w:r w:rsidRPr="00057B94">
        <w:rPr>
          <w:szCs w:val="28"/>
        </w:rPr>
        <w:t>(b)</w:t>
      </w:r>
      <w:r w:rsidRPr="00057B94">
        <w:rPr>
          <w:szCs w:val="28"/>
        </w:rPr>
        <w:tab/>
      </w:r>
      <w:r w:rsidR="003B0302" w:rsidRPr="00057B94">
        <w:t>Parties strive to include all categories of anthropogenic emissions and removals in their nationally determined contribution, and, once a source, sink or activity is included, continue to include it.</w:t>
      </w:r>
    </w:p>
    <w:p w14:paraId="0E10ADB4" w14:textId="0B4CF4D3" w:rsidR="00413059" w:rsidRPr="00057B94" w:rsidRDefault="00360174" w:rsidP="00360174">
      <w:pPr>
        <w:pStyle w:val="RegSingleTxtG"/>
        <w:numPr>
          <w:ilvl w:val="0"/>
          <w:numId w:val="0"/>
        </w:numPr>
        <w:tabs>
          <w:tab w:val="left" w:pos="2269"/>
        </w:tabs>
        <w:ind w:left="1134"/>
        <w:rPr>
          <w:b/>
        </w:rPr>
      </w:pPr>
      <w:r w:rsidRPr="00057B94">
        <w:t>4.</w:t>
      </w:r>
      <w:r w:rsidRPr="00057B94">
        <w:tab/>
      </w:r>
      <w:r w:rsidR="003B0302" w:rsidRPr="00057B94">
        <w:rPr>
          <w:b/>
          <w:bCs/>
        </w:rPr>
        <w:t>Providing an explanation of why any categories of anthropogenic emissions or removals are excluded.</w:t>
      </w:r>
      <w:r w:rsidR="00413059" w:rsidRPr="00057B94">
        <w:rPr>
          <w:b/>
        </w:rPr>
        <w:t xml:space="preserve"> </w:t>
      </w:r>
    </w:p>
    <w:p w14:paraId="0E10ADB5" w14:textId="4DA20868" w:rsidR="003D4526" w:rsidRPr="00057B94" w:rsidRDefault="009E4451" w:rsidP="003D452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7241A5" w:rsidRPr="00057B94">
        <w:rPr>
          <w:i/>
          <w:lang w:eastAsia="en-US"/>
        </w:rPr>
        <w:t>6</w:t>
      </w:r>
      <w:r w:rsidR="003D4526" w:rsidRPr="00057B94">
        <w:rPr>
          <w:i/>
          <w:vertAlign w:val="superscript"/>
          <w:lang w:eastAsia="en-US"/>
        </w:rPr>
        <w:t>th</w:t>
      </w:r>
      <w:r w:rsidR="003D4526" w:rsidRPr="00057B94">
        <w:rPr>
          <w:i/>
          <w:lang w:eastAsia="en-US"/>
        </w:rPr>
        <w:t xml:space="preserve"> plenary meeting</w:t>
      </w:r>
    </w:p>
    <w:p w14:paraId="0E10ADB6" w14:textId="2FA0E871" w:rsidR="007503FA" w:rsidRPr="00057B94" w:rsidRDefault="009E4451"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w:t>
      </w:r>
      <w:r w:rsidR="003D4526" w:rsidRPr="00057B94">
        <w:rPr>
          <w:i/>
          <w:lang w:eastAsia="en-US"/>
        </w:rPr>
        <w:t xml:space="preserve"> 201</w:t>
      </w:r>
      <w:r w:rsidRPr="00057B94">
        <w:rPr>
          <w:i/>
          <w:lang w:eastAsia="en-US"/>
        </w:rPr>
        <w:t>8</w:t>
      </w:r>
    </w:p>
    <w:p w14:paraId="0E10ADB7" w14:textId="77777777" w:rsidR="00413059" w:rsidRPr="00057B94" w:rsidRDefault="00413059"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413059" w:rsidRPr="00057B94" w:rsidSect="00B15320">
          <w:headerReference w:type="even" r:id="rId26"/>
          <w:headerReference w:type="default" r:id="rId27"/>
          <w:footerReference w:type="even" r:id="rId28"/>
          <w:footerReference w:type="default" r:id="rId29"/>
          <w:pgSz w:w="11906" w:h="16838" w:code="9"/>
          <w:pgMar w:top="1418" w:right="1134" w:bottom="1134" w:left="1134" w:header="851" w:footer="567" w:gutter="0"/>
          <w:cols w:space="708"/>
          <w:docGrid w:linePitch="360"/>
        </w:sectPr>
      </w:pPr>
    </w:p>
    <w:p w14:paraId="261011E1" w14:textId="19EB8324" w:rsidR="009E4451" w:rsidRPr="00057B94" w:rsidRDefault="009E4451" w:rsidP="00034A83">
      <w:pPr>
        <w:pStyle w:val="HChG"/>
        <w:spacing w:before="120"/>
        <w:ind w:firstLine="0"/>
        <w:rPr>
          <w:bCs/>
        </w:rPr>
      </w:pPr>
      <w:bookmarkStart w:id="5" w:name="D5"/>
      <w:r w:rsidRPr="00057B94">
        <w:rPr>
          <w:bCs/>
        </w:rPr>
        <w:lastRenderedPageBreak/>
        <w:t xml:space="preserve">Decision </w:t>
      </w:r>
      <w:r w:rsidR="00AB1981" w:rsidRPr="00057B94">
        <w:rPr>
          <w:bCs/>
        </w:rPr>
        <w:t>5</w:t>
      </w:r>
      <w:r w:rsidRPr="00057B94">
        <w:rPr>
          <w:bCs/>
        </w:rPr>
        <w:t>/CMA.1</w:t>
      </w:r>
      <w:bookmarkEnd w:id="5"/>
    </w:p>
    <w:p w14:paraId="2EC960C4" w14:textId="43B4AE6E" w:rsidR="009E4451" w:rsidRPr="00057B94" w:rsidRDefault="009E4451" w:rsidP="009E4451">
      <w:pPr>
        <w:pStyle w:val="HChG"/>
      </w:pPr>
      <w:r w:rsidRPr="00057B94">
        <w:tab/>
      </w:r>
      <w:r w:rsidRPr="00057B94">
        <w:tab/>
      </w:r>
      <w:r w:rsidR="00FB634B" w:rsidRPr="00057B94">
        <w:t>Modalities and procedures for the operation and use of a public registry referred to in Article 4, paragraph 12, of the Paris Agreement</w:t>
      </w:r>
    </w:p>
    <w:p w14:paraId="0153EDF1" w14:textId="54ABC6EF" w:rsidR="009E4451" w:rsidRPr="00057B94" w:rsidRDefault="009E4451" w:rsidP="009E4451">
      <w:pPr>
        <w:pStyle w:val="SingleTxtG"/>
        <w:ind w:firstLine="567"/>
        <w:rPr>
          <w:i/>
        </w:rPr>
      </w:pPr>
      <w:r w:rsidRPr="00057B94">
        <w:rPr>
          <w:i/>
        </w:rPr>
        <w:t>The Conference of the Parties serving as the meeting of the Parties to the Paris Agreement</w:t>
      </w:r>
      <w:r w:rsidR="00F20ADF" w:rsidRPr="00057B94">
        <w:t>,</w:t>
      </w:r>
      <w:r w:rsidRPr="00057B94">
        <w:rPr>
          <w:i/>
        </w:rPr>
        <w:t xml:space="preserve"> </w:t>
      </w:r>
    </w:p>
    <w:p w14:paraId="0BDBD7AC" w14:textId="77777777" w:rsidR="009E4451" w:rsidRPr="00057B94" w:rsidRDefault="009E4451" w:rsidP="009E4451">
      <w:pPr>
        <w:pStyle w:val="SingleTxtG"/>
        <w:ind w:firstLine="567"/>
      </w:pPr>
      <w:r w:rsidRPr="00057B94">
        <w:rPr>
          <w:i/>
        </w:rPr>
        <w:t xml:space="preserve">Recalling </w:t>
      </w:r>
      <w:r w:rsidRPr="00057B94">
        <w:t xml:space="preserve">Article 4, paragraph 12, of the Paris Agreement and decision 1/CP.21, paragraph 29, </w:t>
      </w:r>
    </w:p>
    <w:p w14:paraId="0BED9FE8" w14:textId="6C88BC46" w:rsidR="009E4451" w:rsidRPr="00057B94" w:rsidRDefault="009E4451" w:rsidP="009E4451">
      <w:pPr>
        <w:pStyle w:val="SingleTxtG"/>
        <w:ind w:firstLine="567"/>
        <w:rPr>
          <w:i/>
        </w:rPr>
      </w:pPr>
      <w:r w:rsidRPr="00057B94">
        <w:rPr>
          <w:i/>
        </w:rPr>
        <w:t xml:space="preserve">Noting with appreciation </w:t>
      </w:r>
      <w:r w:rsidRPr="00057B94">
        <w:t>the efforts made by the secretariat to develop and maintain an interim public registry pursuant to decision 1/CP.21, paragraph 30</w:t>
      </w:r>
      <w:r w:rsidR="00E05BE2" w:rsidRPr="00057B94">
        <w:t>,</w:t>
      </w:r>
    </w:p>
    <w:p w14:paraId="361C2BA9" w14:textId="5EF5806E" w:rsidR="009E4451" w:rsidRPr="00057B94" w:rsidRDefault="00360174" w:rsidP="00360174">
      <w:pPr>
        <w:pStyle w:val="RegSingleTxtG"/>
        <w:numPr>
          <w:ilvl w:val="0"/>
          <w:numId w:val="0"/>
        </w:numPr>
        <w:tabs>
          <w:tab w:val="left" w:pos="568"/>
        </w:tabs>
        <w:ind w:left="1135"/>
      </w:pPr>
      <w:r w:rsidRPr="00057B94">
        <w:t>1.</w:t>
      </w:r>
      <w:r w:rsidRPr="00057B94">
        <w:tab/>
      </w:r>
      <w:r w:rsidR="009E4451" w:rsidRPr="00057B94">
        <w:rPr>
          <w:i/>
          <w:iCs/>
        </w:rPr>
        <w:t xml:space="preserve">Adopts </w:t>
      </w:r>
      <w:r w:rsidR="009E4451" w:rsidRPr="00057B94">
        <w:t xml:space="preserve">the modalities and procedures for the operation and use of the public registry referred to in Article 4, paragraph 12, of the Paris Agreement as contained in the annex; </w:t>
      </w:r>
    </w:p>
    <w:p w14:paraId="71C3C034" w14:textId="0BDE01BE" w:rsidR="009E4451" w:rsidRPr="00057B94" w:rsidRDefault="00360174" w:rsidP="00360174">
      <w:pPr>
        <w:pStyle w:val="RegSingleTxtG"/>
        <w:numPr>
          <w:ilvl w:val="0"/>
          <w:numId w:val="0"/>
        </w:numPr>
        <w:tabs>
          <w:tab w:val="left" w:pos="568"/>
        </w:tabs>
        <w:ind w:left="1135"/>
      </w:pPr>
      <w:r w:rsidRPr="00057B94">
        <w:t>2.</w:t>
      </w:r>
      <w:r w:rsidRPr="00057B94">
        <w:tab/>
      </w:r>
      <w:r w:rsidR="009E4451" w:rsidRPr="00057B94">
        <w:rPr>
          <w:i/>
          <w:iCs/>
        </w:rPr>
        <w:t xml:space="preserve">Decides </w:t>
      </w:r>
      <w:r w:rsidR="009E4451" w:rsidRPr="00057B94">
        <w:t>that the interim public registry prepared by the secretariat pursuant to decision 1/CP.21, paragraph 30, shall serve as the public registry referred to in Article 4, paragraph 12, of the Paris Agreement following any revisions required to bring it into accordance with the modalities and procedures referred to in paragraph 1 above, subject to confirmation by the Conference of the Parties serving as the meeting of the Parties to the Paris Agreement at its second session (</w:t>
      </w:r>
      <w:r w:rsidR="000812CD">
        <w:t>December</w:t>
      </w:r>
      <w:r w:rsidR="00F20ADF" w:rsidRPr="00057B94">
        <w:t xml:space="preserve"> </w:t>
      </w:r>
      <w:r w:rsidR="009E4451" w:rsidRPr="00057B94">
        <w:t xml:space="preserve">2019); </w:t>
      </w:r>
    </w:p>
    <w:p w14:paraId="7DB19042" w14:textId="04CB71EB" w:rsidR="009E4451" w:rsidRPr="00057B94" w:rsidRDefault="00360174" w:rsidP="00360174">
      <w:pPr>
        <w:pStyle w:val="RegSingleTxtG"/>
        <w:numPr>
          <w:ilvl w:val="0"/>
          <w:numId w:val="0"/>
        </w:numPr>
        <w:tabs>
          <w:tab w:val="left" w:pos="568"/>
        </w:tabs>
        <w:ind w:left="1135"/>
      </w:pPr>
      <w:r w:rsidRPr="00057B94">
        <w:t>3.</w:t>
      </w:r>
      <w:r w:rsidRPr="00057B94">
        <w:tab/>
      </w:r>
      <w:r w:rsidR="009E4451" w:rsidRPr="00057B94">
        <w:rPr>
          <w:i/>
          <w:iCs/>
        </w:rPr>
        <w:t xml:space="preserve">Also decides </w:t>
      </w:r>
      <w:r w:rsidR="009E4451" w:rsidRPr="00057B94">
        <w:t xml:space="preserve">that the public registry referred to in paragraph 1 above shall be made available by the secretariat, together with the public registry referred to in Article 7, paragraph 12, of the Paris Agreement, through a registry portal with two parts, comprising nationally determined contributions and adaptation communications, respectively; </w:t>
      </w:r>
    </w:p>
    <w:p w14:paraId="1FF84078" w14:textId="28DEC229" w:rsidR="009E4451" w:rsidRPr="00057B94" w:rsidRDefault="00360174" w:rsidP="00360174">
      <w:pPr>
        <w:pStyle w:val="RegSingleTxtG"/>
        <w:numPr>
          <w:ilvl w:val="0"/>
          <w:numId w:val="0"/>
        </w:numPr>
        <w:tabs>
          <w:tab w:val="left" w:pos="568"/>
        </w:tabs>
        <w:ind w:left="1135"/>
      </w:pPr>
      <w:r w:rsidRPr="00057B94">
        <w:t>4.</w:t>
      </w:r>
      <w:r w:rsidRPr="00057B94">
        <w:tab/>
      </w:r>
      <w:r w:rsidR="009E4451" w:rsidRPr="00057B94">
        <w:rPr>
          <w:i/>
          <w:iCs/>
        </w:rPr>
        <w:t xml:space="preserve">Requests </w:t>
      </w:r>
      <w:r w:rsidR="009E4451" w:rsidRPr="00057B94">
        <w:t xml:space="preserve">the secretariat: </w:t>
      </w:r>
    </w:p>
    <w:p w14:paraId="11CE0540" w14:textId="2E771148" w:rsidR="009E4451" w:rsidRPr="00057B94" w:rsidRDefault="00360174" w:rsidP="00360174">
      <w:pPr>
        <w:pStyle w:val="RegSingleTxtG"/>
        <w:numPr>
          <w:ilvl w:val="0"/>
          <w:numId w:val="0"/>
        </w:numPr>
        <w:tabs>
          <w:tab w:val="left" w:pos="2269"/>
        </w:tabs>
        <w:ind w:left="1135" w:firstLine="567"/>
      </w:pPr>
      <w:r w:rsidRPr="00057B94">
        <w:t>(a)</w:t>
      </w:r>
      <w:r w:rsidRPr="00057B94">
        <w:tab/>
      </w:r>
      <w:r w:rsidR="009E4451" w:rsidRPr="00057B94">
        <w:t>To develop a prototype of the public registry referred to in Article 4, paragraph</w:t>
      </w:r>
      <w:r w:rsidR="000E0EAC" w:rsidRPr="00057B94">
        <w:t> </w:t>
      </w:r>
      <w:r w:rsidR="009E4451" w:rsidRPr="00057B94">
        <w:t xml:space="preserve">12, of the Paris Agreement by June 2019, and present it to Parties at an event to be held in conjunction with the fiftieth sessions of the subsidiary bodies (June 2019); </w:t>
      </w:r>
    </w:p>
    <w:p w14:paraId="27AC30EF" w14:textId="6A3FD90F" w:rsidR="009E4451" w:rsidRPr="00057B94" w:rsidRDefault="00360174" w:rsidP="00360174">
      <w:pPr>
        <w:pStyle w:val="RegSingleTxtG"/>
        <w:numPr>
          <w:ilvl w:val="0"/>
          <w:numId w:val="0"/>
        </w:numPr>
        <w:tabs>
          <w:tab w:val="left" w:pos="2269"/>
        </w:tabs>
        <w:ind w:left="1135" w:firstLine="567"/>
      </w:pPr>
      <w:r w:rsidRPr="00057B94">
        <w:t>(b)</w:t>
      </w:r>
      <w:r w:rsidRPr="00057B94">
        <w:tab/>
      </w:r>
      <w:r w:rsidR="009E4451" w:rsidRPr="00057B94">
        <w:t xml:space="preserve">To operate the public registry referred to in Article 4, paragraph 12, of the Paris Agreement, and to provide assistance on its use to Parties, other stakeholders and the public; </w:t>
      </w:r>
    </w:p>
    <w:p w14:paraId="13DDFBA5" w14:textId="68B7B24B" w:rsidR="009E4451" w:rsidRPr="00057B94" w:rsidRDefault="00360174" w:rsidP="00360174">
      <w:pPr>
        <w:pStyle w:val="RegSingleTxtG"/>
        <w:numPr>
          <w:ilvl w:val="0"/>
          <w:numId w:val="0"/>
        </w:numPr>
        <w:tabs>
          <w:tab w:val="left" w:pos="568"/>
        </w:tabs>
        <w:ind w:left="1135"/>
      </w:pPr>
      <w:r w:rsidRPr="00057B94">
        <w:t>5.</w:t>
      </w:r>
      <w:r w:rsidRPr="00057B94">
        <w:tab/>
      </w:r>
      <w:r w:rsidR="009E4451" w:rsidRPr="00057B94">
        <w:rPr>
          <w:i/>
          <w:iCs/>
        </w:rPr>
        <w:t xml:space="preserve">Decides </w:t>
      </w:r>
      <w:r w:rsidR="009E4451" w:rsidRPr="00057B94">
        <w:t xml:space="preserve">to consider and conclude at its second session whether the prototype referred to in paragraph 4(a) above conforms to the modalities and procedures referred to in paragraph 1 above; </w:t>
      </w:r>
    </w:p>
    <w:p w14:paraId="460BB2F8" w14:textId="75701A8E" w:rsidR="009E4451" w:rsidRPr="00057B94" w:rsidRDefault="00360174" w:rsidP="00360174">
      <w:pPr>
        <w:pStyle w:val="RegSingleTxtG"/>
        <w:numPr>
          <w:ilvl w:val="0"/>
          <w:numId w:val="0"/>
        </w:numPr>
        <w:tabs>
          <w:tab w:val="left" w:pos="568"/>
        </w:tabs>
        <w:ind w:left="1135"/>
      </w:pPr>
      <w:r w:rsidRPr="00057B94">
        <w:t>6.</w:t>
      </w:r>
      <w:r w:rsidRPr="00057B94">
        <w:tab/>
      </w:r>
      <w:r w:rsidR="009E4451" w:rsidRPr="00057B94">
        <w:rPr>
          <w:i/>
          <w:iCs/>
        </w:rPr>
        <w:t xml:space="preserve">Also decides </w:t>
      </w:r>
      <w:r w:rsidR="009E4451" w:rsidRPr="00057B94">
        <w:t xml:space="preserve">that the interim public registry prepared by the secretariat pursuant to decision 1/CP.21, paragraph 30, shall continue to be used on an interim basis for the purpose of implementing Article 4, paragraph 12, of the Paris Agreement until its second session; </w:t>
      </w:r>
    </w:p>
    <w:p w14:paraId="49DDBF9E" w14:textId="56AAE716" w:rsidR="009E4451" w:rsidRPr="00057B94" w:rsidRDefault="00360174" w:rsidP="00360174">
      <w:pPr>
        <w:pStyle w:val="RegSingleTxtG"/>
        <w:numPr>
          <w:ilvl w:val="0"/>
          <w:numId w:val="0"/>
        </w:numPr>
        <w:tabs>
          <w:tab w:val="left" w:pos="568"/>
        </w:tabs>
        <w:ind w:left="1135"/>
      </w:pPr>
      <w:r w:rsidRPr="00057B94">
        <w:t>7.</w:t>
      </w:r>
      <w:r w:rsidRPr="00057B94">
        <w:tab/>
      </w:r>
      <w:r w:rsidR="009E4451" w:rsidRPr="00057B94">
        <w:rPr>
          <w:i/>
          <w:iCs/>
        </w:rPr>
        <w:t xml:space="preserve">Takes note </w:t>
      </w:r>
      <w:r w:rsidR="009E4451" w:rsidRPr="00057B94">
        <w:t xml:space="preserve">of the estimated budgetary implications of the activities to be undertaken by the secretariat pursuant to the provisions contained in paragraphs 2–6 above; </w:t>
      </w:r>
    </w:p>
    <w:p w14:paraId="5B0CDCF9" w14:textId="05C44C2C" w:rsidR="009E4451" w:rsidRPr="00057B94" w:rsidRDefault="00360174" w:rsidP="00360174">
      <w:pPr>
        <w:pStyle w:val="RegSingleTxtG"/>
        <w:numPr>
          <w:ilvl w:val="0"/>
          <w:numId w:val="0"/>
        </w:numPr>
        <w:tabs>
          <w:tab w:val="left" w:pos="568"/>
        </w:tabs>
        <w:ind w:left="1135"/>
      </w:pPr>
      <w:r w:rsidRPr="00057B94">
        <w:t>8.</w:t>
      </w:r>
      <w:r w:rsidRPr="00057B94">
        <w:tab/>
      </w:r>
      <w:r w:rsidR="009E4451" w:rsidRPr="00057B94">
        <w:rPr>
          <w:i/>
          <w:iCs/>
        </w:rPr>
        <w:t xml:space="preserve">Requests </w:t>
      </w:r>
      <w:r w:rsidR="009E4451" w:rsidRPr="00057B94">
        <w:t xml:space="preserve">that the actions of the secretariat called for in this decision be undertaken subject to the availability of financial resources. </w:t>
      </w:r>
    </w:p>
    <w:p w14:paraId="4F8423BF" w14:textId="77777777" w:rsidR="003B6D2B" w:rsidRPr="00057B94" w:rsidRDefault="003B6D2B" w:rsidP="003B6D2B">
      <w:pPr>
        <w:pStyle w:val="HChG"/>
        <w:sectPr w:rsidR="003B6D2B" w:rsidRPr="00057B94" w:rsidSect="00B15320">
          <w:headerReference w:type="even" r:id="rId30"/>
          <w:headerReference w:type="default" r:id="rId31"/>
          <w:footerReference w:type="even" r:id="rId32"/>
          <w:footerReference w:type="default" r:id="rId33"/>
          <w:pgSz w:w="11906" w:h="16838" w:code="9"/>
          <w:pgMar w:top="1304" w:right="1134" w:bottom="1134" w:left="1134" w:header="851" w:footer="567" w:gutter="0"/>
          <w:cols w:space="708"/>
          <w:docGrid w:linePitch="360"/>
        </w:sectPr>
      </w:pPr>
    </w:p>
    <w:p w14:paraId="11BB4920" w14:textId="2B28990C" w:rsidR="009E4451" w:rsidRPr="00057B94" w:rsidRDefault="009E4451" w:rsidP="00AC172A">
      <w:pPr>
        <w:pStyle w:val="HChG"/>
      </w:pPr>
      <w:r w:rsidRPr="00057B94">
        <w:lastRenderedPageBreak/>
        <w:t xml:space="preserve">Annex </w:t>
      </w:r>
    </w:p>
    <w:p w14:paraId="58F102E7" w14:textId="77777777" w:rsidR="009E4451" w:rsidRPr="00057B94" w:rsidRDefault="009E4451" w:rsidP="009E4451">
      <w:pPr>
        <w:pStyle w:val="HChG"/>
        <w:tabs>
          <w:tab w:val="clear" w:pos="851"/>
        </w:tabs>
        <w:ind w:firstLine="0"/>
      </w:pPr>
      <w:r w:rsidRPr="00057B94">
        <w:t>Modalities and procedures for the operation and use of a public registry referred to in Article 4, paragraph 12, of the Paris Agreement</w:t>
      </w:r>
    </w:p>
    <w:p w14:paraId="31092D30" w14:textId="0020CF7B" w:rsidR="009E4451" w:rsidRPr="00057B94" w:rsidRDefault="00360174" w:rsidP="00733FEB">
      <w:pPr>
        <w:pStyle w:val="RegHChG"/>
        <w:numPr>
          <w:ilvl w:val="0"/>
          <w:numId w:val="0"/>
        </w:numPr>
        <w:tabs>
          <w:tab w:val="left" w:pos="1135"/>
        </w:tabs>
        <w:ind w:left="1135" w:hanging="454"/>
      </w:pPr>
      <w:r w:rsidRPr="00057B94">
        <w:t>I.</w:t>
      </w:r>
      <w:r w:rsidRPr="00057B94">
        <w:tab/>
      </w:r>
      <w:r w:rsidR="009E4451" w:rsidRPr="00057B94">
        <w:t>Modalities for the operation of the public registry</w:t>
      </w:r>
    </w:p>
    <w:p w14:paraId="4817590A" w14:textId="319D71BB" w:rsidR="009E4451" w:rsidRPr="00057B94" w:rsidRDefault="00360174" w:rsidP="00360174">
      <w:pPr>
        <w:pStyle w:val="AnnoSingleTxtG"/>
        <w:numPr>
          <w:ilvl w:val="0"/>
          <w:numId w:val="0"/>
        </w:numPr>
        <w:tabs>
          <w:tab w:val="left" w:pos="1702"/>
        </w:tabs>
        <w:ind w:left="1702" w:hanging="567"/>
      </w:pPr>
      <w:r w:rsidRPr="00057B94">
        <w:t>1.</w:t>
      </w:r>
      <w:r w:rsidRPr="00057B94">
        <w:tab/>
      </w:r>
      <w:r w:rsidR="009E4451" w:rsidRPr="00057B94">
        <w:t xml:space="preserve">The public registry referred to in Article 4, paragraph 12, of the Paris Agreement: </w:t>
      </w:r>
    </w:p>
    <w:p w14:paraId="42BF9CDD" w14:textId="1AB1C9F5" w:rsidR="009E4451" w:rsidRPr="00057B94" w:rsidRDefault="00360174" w:rsidP="00360174">
      <w:pPr>
        <w:pStyle w:val="AnnoSingleTxtG"/>
        <w:numPr>
          <w:ilvl w:val="0"/>
          <w:numId w:val="0"/>
        </w:numPr>
        <w:tabs>
          <w:tab w:val="left" w:pos="2269"/>
        </w:tabs>
        <w:ind w:left="1134" w:firstLine="567"/>
      </w:pPr>
      <w:r w:rsidRPr="00057B94">
        <w:t>(a)</w:t>
      </w:r>
      <w:r w:rsidRPr="00057B94">
        <w:tab/>
      </w:r>
      <w:r w:rsidR="009E4451" w:rsidRPr="00057B94">
        <w:t xml:space="preserve">Presents the recorded nationally determined contributions (NDCs) in tabular format, with one row for each NDC and columns displaying, as appropriate, name of the Party, document title, document file type, version number, status, language and date of submission; </w:t>
      </w:r>
    </w:p>
    <w:p w14:paraId="4BF1A805" w14:textId="1465A684" w:rsidR="009E4451" w:rsidRPr="00057B94" w:rsidRDefault="00360174" w:rsidP="00360174">
      <w:pPr>
        <w:pStyle w:val="AnnoSingleTxtG"/>
        <w:numPr>
          <w:ilvl w:val="0"/>
          <w:numId w:val="0"/>
        </w:numPr>
        <w:tabs>
          <w:tab w:val="left" w:pos="2269"/>
        </w:tabs>
        <w:ind w:left="1134" w:firstLine="567"/>
      </w:pPr>
      <w:r w:rsidRPr="00057B94">
        <w:t>(b)</w:t>
      </w:r>
      <w:r w:rsidRPr="00057B94">
        <w:tab/>
      </w:r>
      <w:r w:rsidR="009E4451" w:rsidRPr="00057B94">
        <w:t xml:space="preserve">Preserves the integrity of the NDCs in accordance with their nationally determined nature; </w:t>
      </w:r>
    </w:p>
    <w:p w14:paraId="10C7AA93" w14:textId="60D988E5" w:rsidR="009E4451" w:rsidRPr="00057B94" w:rsidRDefault="00360174" w:rsidP="00360174">
      <w:pPr>
        <w:pStyle w:val="AnnoSingleTxtG"/>
        <w:numPr>
          <w:ilvl w:val="0"/>
          <w:numId w:val="0"/>
        </w:numPr>
        <w:tabs>
          <w:tab w:val="left" w:pos="2269"/>
        </w:tabs>
        <w:ind w:left="1134" w:firstLine="567"/>
      </w:pPr>
      <w:r w:rsidRPr="00057B94">
        <w:t>(c)</w:t>
      </w:r>
      <w:r w:rsidRPr="00057B94">
        <w:tab/>
      </w:r>
      <w:r w:rsidR="009E4451" w:rsidRPr="00057B94">
        <w:t xml:space="preserve">Has the capability of sorting and allowing the viewing of NDCs; </w:t>
      </w:r>
    </w:p>
    <w:p w14:paraId="56E78C50" w14:textId="719AF5ED" w:rsidR="009E4451" w:rsidRPr="00057B94" w:rsidRDefault="00360174" w:rsidP="00360174">
      <w:pPr>
        <w:pStyle w:val="AnnoSingleTxtG"/>
        <w:numPr>
          <w:ilvl w:val="0"/>
          <w:numId w:val="0"/>
        </w:numPr>
        <w:tabs>
          <w:tab w:val="left" w:pos="2269"/>
        </w:tabs>
        <w:ind w:left="1134" w:firstLine="567"/>
      </w:pPr>
      <w:r w:rsidRPr="00057B94">
        <w:t>(d)</w:t>
      </w:r>
      <w:r w:rsidRPr="00057B94">
        <w:tab/>
      </w:r>
      <w:r w:rsidR="009E4451" w:rsidRPr="00057B94">
        <w:t xml:space="preserve">Avoids unauthorized alterations and deletions of its content by using Internet security measures; </w:t>
      </w:r>
    </w:p>
    <w:p w14:paraId="0BFEBAC6" w14:textId="73DC9DB4" w:rsidR="009E4451" w:rsidRPr="00057B94" w:rsidRDefault="00360174" w:rsidP="00360174">
      <w:pPr>
        <w:pStyle w:val="AnnoSingleTxtG"/>
        <w:numPr>
          <w:ilvl w:val="0"/>
          <w:numId w:val="0"/>
        </w:numPr>
        <w:tabs>
          <w:tab w:val="left" w:pos="2269"/>
        </w:tabs>
        <w:ind w:left="1134" w:firstLine="567"/>
      </w:pPr>
      <w:r w:rsidRPr="00057B94">
        <w:t>(e)</w:t>
      </w:r>
      <w:r w:rsidRPr="00057B94">
        <w:tab/>
      </w:r>
      <w:r w:rsidR="009E4451" w:rsidRPr="00057B94">
        <w:t xml:space="preserve">Ensures user-friendly navigation within the registry and to other relevant registries and web resources operated and maintained by the secretariat, including the public registry referred to in Article 7, paragraph 12, of the Paris Agreement; </w:t>
      </w:r>
    </w:p>
    <w:p w14:paraId="464FEC03" w14:textId="3D36A173" w:rsidR="009E4451" w:rsidRPr="00057B94" w:rsidRDefault="00360174" w:rsidP="00360174">
      <w:pPr>
        <w:pStyle w:val="AnnoSingleTxtG"/>
        <w:numPr>
          <w:ilvl w:val="0"/>
          <w:numId w:val="0"/>
        </w:numPr>
        <w:tabs>
          <w:tab w:val="left" w:pos="2269"/>
        </w:tabs>
        <w:ind w:left="1134" w:firstLine="567"/>
      </w:pPr>
      <w:r w:rsidRPr="00057B94">
        <w:t>(f)</w:t>
      </w:r>
      <w:r w:rsidRPr="00057B94">
        <w:tab/>
      </w:r>
      <w:r w:rsidR="009E4451" w:rsidRPr="00057B94">
        <w:t xml:space="preserve">Utilizes relevant web tools to provide updates and notify users of new and modified registry content; </w:t>
      </w:r>
    </w:p>
    <w:p w14:paraId="031DFDC5" w14:textId="715AA346" w:rsidR="009E4451" w:rsidRPr="00057B94" w:rsidRDefault="00360174" w:rsidP="00360174">
      <w:pPr>
        <w:pStyle w:val="AnnoSingleTxtG"/>
        <w:numPr>
          <w:ilvl w:val="0"/>
          <w:numId w:val="0"/>
        </w:numPr>
        <w:tabs>
          <w:tab w:val="left" w:pos="2269"/>
        </w:tabs>
        <w:ind w:left="1134" w:firstLine="567"/>
      </w:pPr>
      <w:r w:rsidRPr="00057B94">
        <w:t>(g)</w:t>
      </w:r>
      <w:r w:rsidRPr="00057B94">
        <w:tab/>
      </w:r>
      <w:r w:rsidR="009E4451" w:rsidRPr="00057B94">
        <w:t xml:space="preserve">Constitutes an intuitive, easy-to-use web-based platform; </w:t>
      </w:r>
    </w:p>
    <w:p w14:paraId="309D1767" w14:textId="69B21EF6" w:rsidR="009E4451" w:rsidRPr="00057B94" w:rsidRDefault="00360174" w:rsidP="00360174">
      <w:pPr>
        <w:pStyle w:val="AnnoSingleTxtG"/>
        <w:numPr>
          <w:ilvl w:val="0"/>
          <w:numId w:val="0"/>
        </w:numPr>
        <w:tabs>
          <w:tab w:val="left" w:pos="2269"/>
        </w:tabs>
        <w:ind w:left="1134" w:firstLine="567"/>
      </w:pPr>
      <w:r w:rsidRPr="00057B94">
        <w:t>(h)</w:t>
      </w:r>
      <w:r w:rsidRPr="00057B94">
        <w:tab/>
      </w:r>
      <w:r w:rsidR="009E4451" w:rsidRPr="00057B94">
        <w:t xml:space="preserve">Provides a user-friendly interface in all six official languages of the United Nations. </w:t>
      </w:r>
    </w:p>
    <w:p w14:paraId="1597A40A" w14:textId="5736BB09" w:rsidR="009E4451" w:rsidRPr="00057B94" w:rsidRDefault="00360174" w:rsidP="00360174">
      <w:pPr>
        <w:pStyle w:val="AnnoHCHG"/>
        <w:numPr>
          <w:ilvl w:val="0"/>
          <w:numId w:val="0"/>
        </w:numPr>
        <w:tabs>
          <w:tab w:val="left" w:pos="1135"/>
        </w:tabs>
        <w:ind w:left="1135" w:hanging="284"/>
      </w:pPr>
      <w:r w:rsidRPr="00057B94">
        <w:t>II.</w:t>
      </w:r>
      <w:r w:rsidRPr="00057B94">
        <w:tab/>
      </w:r>
      <w:r w:rsidR="009E4451" w:rsidRPr="00057B94">
        <w:t xml:space="preserve">Procedures for the use of the public registry </w:t>
      </w:r>
    </w:p>
    <w:p w14:paraId="757CC109" w14:textId="6F3ECC76" w:rsidR="009E4451" w:rsidRPr="00057B94" w:rsidRDefault="00360174" w:rsidP="00733FEB">
      <w:pPr>
        <w:pStyle w:val="RegH1G"/>
        <w:numPr>
          <w:ilvl w:val="0"/>
          <w:numId w:val="0"/>
        </w:numPr>
        <w:tabs>
          <w:tab w:val="left" w:pos="1135"/>
        </w:tabs>
        <w:ind w:left="1135" w:hanging="454"/>
      </w:pPr>
      <w:r w:rsidRPr="00057B94">
        <w:t>A.</w:t>
      </w:r>
      <w:r w:rsidRPr="00057B94">
        <w:tab/>
      </w:r>
      <w:r w:rsidR="009E4451" w:rsidRPr="00057B94">
        <w:t xml:space="preserve">Submission of nationally determined contributions </w:t>
      </w:r>
    </w:p>
    <w:p w14:paraId="4E067952" w14:textId="64AD811B" w:rsidR="009E4451" w:rsidRPr="00057B94" w:rsidRDefault="00360174" w:rsidP="00360174">
      <w:pPr>
        <w:pStyle w:val="RegSingleTxtG"/>
        <w:numPr>
          <w:ilvl w:val="0"/>
          <w:numId w:val="0"/>
        </w:numPr>
        <w:tabs>
          <w:tab w:val="left" w:pos="568"/>
        </w:tabs>
        <w:ind w:left="1135"/>
      </w:pPr>
      <w:r w:rsidRPr="00057B94">
        <w:t>2.</w:t>
      </w:r>
      <w:r w:rsidRPr="00057B94">
        <w:tab/>
      </w:r>
      <w:r w:rsidR="009E4451" w:rsidRPr="00057B94">
        <w:t xml:space="preserve">The national focal point of each Party submits the Party’s NDC by uploading it to the public registry using its unique user account. </w:t>
      </w:r>
    </w:p>
    <w:p w14:paraId="69690CCA" w14:textId="2D3BA81F" w:rsidR="009E4451" w:rsidRPr="00057B94" w:rsidRDefault="00360174" w:rsidP="00360174">
      <w:pPr>
        <w:pStyle w:val="RegSingleTxtG"/>
        <w:numPr>
          <w:ilvl w:val="0"/>
          <w:numId w:val="0"/>
        </w:numPr>
        <w:tabs>
          <w:tab w:val="left" w:pos="568"/>
        </w:tabs>
        <w:ind w:left="1135"/>
      </w:pPr>
      <w:r w:rsidRPr="00057B94">
        <w:t>3.</w:t>
      </w:r>
      <w:r w:rsidRPr="00057B94">
        <w:tab/>
      </w:r>
      <w:r w:rsidR="009E4451" w:rsidRPr="00057B94">
        <w:t xml:space="preserve">The secretariat: </w:t>
      </w:r>
    </w:p>
    <w:p w14:paraId="7E1C7E97" w14:textId="6FE7DDFA" w:rsidR="009E4451" w:rsidRPr="00057B94" w:rsidRDefault="00360174" w:rsidP="00360174">
      <w:pPr>
        <w:pStyle w:val="RegSingleTxtG"/>
        <w:numPr>
          <w:ilvl w:val="0"/>
          <w:numId w:val="0"/>
        </w:numPr>
        <w:tabs>
          <w:tab w:val="left" w:pos="2269"/>
        </w:tabs>
        <w:ind w:left="1135" w:firstLine="567"/>
      </w:pPr>
      <w:r w:rsidRPr="00057B94">
        <w:t>(a)</w:t>
      </w:r>
      <w:r w:rsidRPr="00057B94">
        <w:tab/>
      </w:r>
      <w:r w:rsidR="009E4451" w:rsidRPr="00057B94">
        <w:t xml:space="preserve"> Provides Parties with technical assistance on uploading NDCs to the public registry, as required; </w:t>
      </w:r>
    </w:p>
    <w:p w14:paraId="26316590" w14:textId="3F6A666B" w:rsidR="009E4451" w:rsidRPr="00057B94" w:rsidRDefault="00360174" w:rsidP="00360174">
      <w:pPr>
        <w:pStyle w:val="RegSingleTxtG"/>
        <w:numPr>
          <w:ilvl w:val="0"/>
          <w:numId w:val="0"/>
        </w:numPr>
        <w:tabs>
          <w:tab w:val="left" w:pos="2269"/>
        </w:tabs>
        <w:ind w:left="1135" w:firstLine="567"/>
      </w:pPr>
      <w:r w:rsidRPr="00057B94">
        <w:t>(b)</w:t>
      </w:r>
      <w:r w:rsidRPr="00057B94">
        <w:tab/>
      </w:r>
      <w:r w:rsidR="009E4451" w:rsidRPr="00057B94">
        <w:t xml:space="preserve">Contacts the national focal point to confirm the receipt of an NDC, requests clarifications when necessary and confirms the finalization of the recording process of the submitted NDC in the public registry; </w:t>
      </w:r>
    </w:p>
    <w:p w14:paraId="5011FEC8" w14:textId="3BDD9A04" w:rsidR="009E4451" w:rsidRPr="00057B94" w:rsidRDefault="00360174" w:rsidP="00360174">
      <w:pPr>
        <w:pStyle w:val="RegSingleTxtG"/>
        <w:numPr>
          <w:ilvl w:val="0"/>
          <w:numId w:val="0"/>
        </w:numPr>
        <w:tabs>
          <w:tab w:val="left" w:pos="2269"/>
        </w:tabs>
        <w:ind w:left="1134" w:firstLine="567"/>
      </w:pPr>
      <w:r w:rsidRPr="00057B94">
        <w:t>(c)</w:t>
      </w:r>
      <w:r w:rsidRPr="00057B94">
        <w:tab/>
      </w:r>
      <w:r w:rsidR="009E4451" w:rsidRPr="00057B94">
        <w:t xml:space="preserve">Undertakes an Internet security check of all submitted NDCs before recording them in the public registry. </w:t>
      </w:r>
    </w:p>
    <w:p w14:paraId="5D6824B5" w14:textId="248C77D3" w:rsidR="009E4451" w:rsidRPr="00057B94" w:rsidRDefault="00360174" w:rsidP="00733FEB">
      <w:pPr>
        <w:pStyle w:val="RegH1G"/>
        <w:numPr>
          <w:ilvl w:val="0"/>
          <w:numId w:val="0"/>
        </w:numPr>
        <w:tabs>
          <w:tab w:val="left" w:pos="1135"/>
        </w:tabs>
        <w:ind w:left="1135" w:hanging="454"/>
      </w:pPr>
      <w:r w:rsidRPr="00057B94">
        <w:t>B.</w:t>
      </w:r>
      <w:r w:rsidRPr="00057B94">
        <w:tab/>
      </w:r>
      <w:r w:rsidR="009E4451" w:rsidRPr="00057B94">
        <w:t xml:space="preserve">Maintaining a record of nationally determined contributions </w:t>
      </w:r>
    </w:p>
    <w:p w14:paraId="7F551CBA" w14:textId="72FE6598" w:rsidR="009E4451" w:rsidRPr="00057B94" w:rsidRDefault="00360174" w:rsidP="00360174">
      <w:pPr>
        <w:pStyle w:val="RegSingleTxtG"/>
        <w:numPr>
          <w:ilvl w:val="0"/>
          <w:numId w:val="0"/>
        </w:numPr>
        <w:tabs>
          <w:tab w:val="left" w:pos="568"/>
        </w:tabs>
        <w:ind w:left="1135"/>
      </w:pPr>
      <w:r w:rsidRPr="00057B94">
        <w:t>4.</w:t>
      </w:r>
      <w:r w:rsidRPr="00057B94">
        <w:tab/>
      </w:r>
      <w:r w:rsidR="009E4451" w:rsidRPr="00057B94">
        <w:t xml:space="preserve">The public registry constitutes an archive and, as a matter of public record, continues to maintain all previously submitted NDCs. </w:t>
      </w:r>
    </w:p>
    <w:p w14:paraId="7F3BF7C3" w14:textId="4ADF48F3" w:rsidR="009E4451" w:rsidRPr="00057B94" w:rsidRDefault="00360174" w:rsidP="00733FEB">
      <w:pPr>
        <w:pStyle w:val="RegH1G"/>
        <w:numPr>
          <w:ilvl w:val="0"/>
          <w:numId w:val="0"/>
        </w:numPr>
        <w:tabs>
          <w:tab w:val="left" w:pos="1135"/>
        </w:tabs>
        <w:ind w:left="1135" w:hanging="454"/>
      </w:pPr>
      <w:r w:rsidRPr="00057B94">
        <w:lastRenderedPageBreak/>
        <w:t>C.</w:t>
      </w:r>
      <w:r w:rsidRPr="00057B94">
        <w:tab/>
      </w:r>
      <w:r w:rsidR="009E4451" w:rsidRPr="00057B94">
        <w:t xml:space="preserve">Access to nationally determined contributions </w:t>
      </w:r>
    </w:p>
    <w:p w14:paraId="3A9CFF22" w14:textId="2F863656" w:rsidR="009E4451" w:rsidRPr="00057B94" w:rsidRDefault="00360174" w:rsidP="00360174">
      <w:pPr>
        <w:pStyle w:val="RegSingleTxtG"/>
        <w:numPr>
          <w:ilvl w:val="0"/>
          <w:numId w:val="0"/>
        </w:numPr>
        <w:tabs>
          <w:tab w:val="left" w:pos="568"/>
        </w:tabs>
        <w:ind w:left="1135"/>
      </w:pPr>
      <w:r w:rsidRPr="00057B94">
        <w:t>5.</w:t>
      </w:r>
      <w:r w:rsidRPr="00057B94">
        <w:tab/>
      </w:r>
      <w:r w:rsidR="009E4451" w:rsidRPr="00057B94">
        <w:t xml:space="preserve">Parties, other stakeholders and the public can view, read and download NDCs from the public registry. </w:t>
      </w:r>
    </w:p>
    <w:p w14:paraId="33F4889B" w14:textId="6DAA0B73" w:rsidR="009E4451" w:rsidRPr="00057B94" w:rsidRDefault="00360174" w:rsidP="00360174">
      <w:pPr>
        <w:pStyle w:val="RegSingleTxtG"/>
        <w:numPr>
          <w:ilvl w:val="0"/>
          <w:numId w:val="0"/>
        </w:numPr>
        <w:tabs>
          <w:tab w:val="left" w:pos="568"/>
        </w:tabs>
        <w:ind w:left="1135"/>
      </w:pPr>
      <w:r w:rsidRPr="00057B94">
        <w:t>6.</w:t>
      </w:r>
      <w:r w:rsidRPr="00057B94">
        <w:tab/>
      </w:r>
      <w:r w:rsidR="009E4451" w:rsidRPr="00057B94">
        <w:t xml:space="preserve">To the extent possible, the public registry should be easily accessible to users with slow Internet connections. </w:t>
      </w:r>
    </w:p>
    <w:p w14:paraId="47296033" w14:textId="288E6F3E" w:rsidR="009E4451" w:rsidRPr="00057B94" w:rsidRDefault="00FA116F" w:rsidP="00733FEB">
      <w:pPr>
        <w:pStyle w:val="RegHChG"/>
        <w:numPr>
          <w:ilvl w:val="0"/>
          <w:numId w:val="0"/>
        </w:numPr>
        <w:ind w:left="1135" w:hanging="454"/>
      </w:pPr>
      <w:r w:rsidRPr="00057B94">
        <w:t>III.</w:t>
      </w:r>
      <w:r w:rsidRPr="00057B94">
        <w:tab/>
      </w:r>
      <w:r w:rsidR="009E4451" w:rsidRPr="00057B94">
        <w:t xml:space="preserve">Roles </w:t>
      </w:r>
    </w:p>
    <w:p w14:paraId="195C5FB8" w14:textId="3AF54021" w:rsidR="009E4451" w:rsidRPr="00057B94" w:rsidRDefault="00360174" w:rsidP="00360174">
      <w:pPr>
        <w:pStyle w:val="RegSingleTxtG"/>
        <w:numPr>
          <w:ilvl w:val="0"/>
          <w:numId w:val="0"/>
        </w:numPr>
        <w:tabs>
          <w:tab w:val="left" w:pos="568"/>
        </w:tabs>
        <w:ind w:left="1135"/>
      </w:pPr>
      <w:r w:rsidRPr="00057B94">
        <w:t>7.</w:t>
      </w:r>
      <w:r w:rsidRPr="00057B94">
        <w:tab/>
      </w:r>
      <w:r w:rsidR="009E4451" w:rsidRPr="00057B94">
        <w:t xml:space="preserve">The national focal point of each Party is assigned a unique user account to manage the Party’s content in the public registry. </w:t>
      </w:r>
    </w:p>
    <w:p w14:paraId="07D0CB7F" w14:textId="57CBA7E7" w:rsidR="009E4451" w:rsidRPr="00057B94" w:rsidRDefault="00360174" w:rsidP="00360174">
      <w:pPr>
        <w:pStyle w:val="RegSingleTxtG"/>
        <w:numPr>
          <w:ilvl w:val="0"/>
          <w:numId w:val="0"/>
        </w:numPr>
        <w:tabs>
          <w:tab w:val="left" w:pos="568"/>
        </w:tabs>
        <w:ind w:left="1135"/>
      </w:pPr>
      <w:r w:rsidRPr="00057B94">
        <w:t>8.</w:t>
      </w:r>
      <w:r w:rsidRPr="00057B94">
        <w:tab/>
      </w:r>
      <w:r w:rsidR="009E4451" w:rsidRPr="00057B94">
        <w:t xml:space="preserve">The secretariat acts as the custodian of the public registry and is responsible for its maintenance. To that end, the secretariat: </w:t>
      </w:r>
    </w:p>
    <w:p w14:paraId="701B7CB5" w14:textId="77A388FF" w:rsidR="009E4451" w:rsidRPr="00057B94" w:rsidRDefault="00360174" w:rsidP="00360174">
      <w:pPr>
        <w:pStyle w:val="RegSingleTxtG"/>
        <w:numPr>
          <w:ilvl w:val="0"/>
          <w:numId w:val="0"/>
        </w:numPr>
        <w:tabs>
          <w:tab w:val="left" w:pos="2269"/>
        </w:tabs>
        <w:ind w:left="1135" w:firstLine="567"/>
      </w:pPr>
      <w:r w:rsidRPr="00057B94">
        <w:t>(a)</w:t>
      </w:r>
      <w:r w:rsidRPr="00057B94">
        <w:tab/>
      </w:r>
      <w:r w:rsidR="009E4451" w:rsidRPr="00057B94">
        <w:t xml:space="preserve">Operates and updates the public registry in accordance with these modalities and procedures, including taking precautionary action to avoid unauthorized access to or alteration of its content; </w:t>
      </w:r>
    </w:p>
    <w:p w14:paraId="3A2C73AD" w14:textId="07237DF3" w:rsidR="009E4451" w:rsidRPr="00057B94" w:rsidRDefault="00360174" w:rsidP="00360174">
      <w:pPr>
        <w:pStyle w:val="RegSingleTxtG"/>
        <w:numPr>
          <w:ilvl w:val="0"/>
          <w:numId w:val="0"/>
        </w:numPr>
        <w:tabs>
          <w:tab w:val="left" w:pos="2269"/>
        </w:tabs>
        <w:ind w:left="1135" w:firstLine="567"/>
      </w:pPr>
      <w:r w:rsidRPr="00057B94">
        <w:t>(b)</w:t>
      </w:r>
      <w:r w:rsidRPr="00057B94">
        <w:tab/>
      </w:r>
      <w:r w:rsidR="009E4451" w:rsidRPr="00057B94">
        <w:t>Communicates with and provides assistance to Parties, other stakeholders and the public in using the public registry, including through a user guide, training programmes and online support, as appropriate.</w:t>
      </w:r>
    </w:p>
    <w:p w14:paraId="410B1F05" w14:textId="45BFC176" w:rsidR="009E4451" w:rsidRPr="00057B94" w:rsidRDefault="009E4451" w:rsidP="009E4451">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Pr="00057B94">
        <w:rPr>
          <w:i/>
          <w:lang w:eastAsia="en-US"/>
        </w:rPr>
        <w:t xml:space="preserve"> plenary meeting</w:t>
      </w:r>
    </w:p>
    <w:p w14:paraId="62B1DBAE" w14:textId="5C458C62" w:rsidR="009E4451" w:rsidRPr="00057B94" w:rsidRDefault="009E4451" w:rsidP="009E4451">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 2018</w:t>
      </w:r>
    </w:p>
    <w:p w14:paraId="16261C23" w14:textId="77777777" w:rsidR="009E4451" w:rsidRPr="00057B94" w:rsidRDefault="009E4451" w:rsidP="009E4451">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9E4451" w:rsidRPr="00057B94" w:rsidSect="00B15320">
          <w:pgSz w:w="11906" w:h="16838" w:code="9"/>
          <w:pgMar w:top="1304" w:right="1134" w:bottom="1134" w:left="1134" w:header="851" w:footer="567" w:gutter="0"/>
          <w:cols w:space="708"/>
          <w:docGrid w:linePitch="360"/>
        </w:sectPr>
      </w:pPr>
    </w:p>
    <w:p w14:paraId="04CA78E5" w14:textId="1A3885FB" w:rsidR="00FB634B" w:rsidRPr="00057B94" w:rsidRDefault="00FB634B" w:rsidP="00034A83">
      <w:pPr>
        <w:pStyle w:val="HChG"/>
        <w:keepNext w:val="0"/>
        <w:keepLines w:val="0"/>
        <w:pageBreakBefore/>
        <w:widowControl w:val="0"/>
        <w:spacing w:before="120"/>
        <w:ind w:firstLine="0"/>
        <w:rPr>
          <w:bCs/>
        </w:rPr>
      </w:pPr>
      <w:bookmarkStart w:id="6" w:name="D6"/>
      <w:r w:rsidRPr="00057B94">
        <w:rPr>
          <w:bCs/>
        </w:rPr>
        <w:lastRenderedPageBreak/>
        <w:t xml:space="preserve">Decision </w:t>
      </w:r>
      <w:r w:rsidR="00AB1981" w:rsidRPr="00057B94">
        <w:rPr>
          <w:bCs/>
        </w:rPr>
        <w:t>6</w:t>
      </w:r>
      <w:r w:rsidRPr="00057B94">
        <w:rPr>
          <w:bCs/>
        </w:rPr>
        <w:t>/CMA.1</w:t>
      </w:r>
      <w:bookmarkEnd w:id="6"/>
    </w:p>
    <w:p w14:paraId="3A43AABA" w14:textId="2D93A77E" w:rsidR="00FB634B" w:rsidRPr="00057B94" w:rsidRDefault="00FB634B" w:rsidP="00FB634B">
      <w:pPr>
        <w:pStyle w:val="HChG"/>
      </w:pPr>
      <w:r w:rsidRPr="00057B94">
        <w:tab/>
      </w:r>
      <w:r w:rsidRPr="00057B94">
        <w:tab/>
        <w:t>Common time frames for nationally determined contributions referred to in Article 4, paragraph 10, of the Paris Agreement</w:t>
      </w:r>
    </w:p>
    <w:p w14:paraId="1C8CFD62" w14:textId="77777777" w:rsidR="001D1A4C" w:rsidRPr="00057B94" w:rsidRDefault="001D1A4C" w:rsidP="001D1A4C">
      <w:pPr>
        <w:pStyle w:val="SingleTxtG"/>
        <w:ind w:firstLine="567"/>
        <w:rPr>
          <w:i/>
        </w:rPr>
      </w:pPr>
      <w:r w:rsidRPr="00057B94">
        <w:rPr>
          <w:i/>
        </w:rPr>
        <w:t>The Conference of the Parties serving as the meeting of the Parties to the Paris Agreement</w:t>
      </w:r>
      <w:r w:rsidRPr="00057B94">
        <w:t>,</w:t>
      </w:r>
      <w:r w:rsidRPr="00057B94">
        <w:rPr>
          <w:i/>
        </w:rPr>
        <w:t xml:space="preserve"> </w:t>
      </w:r>
    </w:p>
    <w:p w14:paraId="67E15E82" w14:textId="77777777" w:rsidR="001D1A4C" w:rsidRPr="00057B94" w:rsidRDefault="001D1A4C" w:rsidP="00483363">
      <w:pPr>
        <w:pStyle w:val="SingleTxtG"/>
        <w:ind w:firstLine="567"/>
      </w:pPr>
      <w:r w:rsidRPr="00057B94">
        <w:tab/>
      </w:r>
      <w:r w:rsidRPr="00057B94">
        <w:rPr>
          <w:i/>
        </w:rPr>
        <w:t>Recalling</w:t>
      </w:r>
      <w:r w:rsidRPr="00057B94">
        <w:t xml:space="preserve"> Article 4, paragraphs 9 and </w:t>
      </w:r>
      <w:proofErr w:type="gramStart"/>
      <w:r w:rsidRPr="00057B94">
        <w:t>10,</w:t>
      </w:r>
      <w:proofErr w:type="gramEnd"/>
      <w:r w:rsidRPr="00057B94">
        <w:t xml:space="preserve"> of the Paris Agreement,</w:t>
      </w:r>
    </w:p>
    <w:p w14:paraId="4BF38D1F" w14:textId="77777777" w:rsidR="001D1A4C" w:rsidRPr="00057B94" w:rsidRDefault="001D1A4C" w:rsidP="00483363">
      <w:pPr>
        <w:pStyle w:val="SingleTxtG"/>
        <w:ind w:firstLine="567"/>
      </w:pPr>
      <w:r w:rsidRPr="00057B94">
        <w:tab/>
      </w:r>
      <w:r w:rsidRPr="00057B94">
        <w:rPr>
          <w:i/>
        </w:rPr>
        <w:t xml:space="preserve">Also recalling </w:t>
      </w:r>
      <w:r w:rsidRPr="00057B94">
        <w:t>decision 1/CP.21, paragraphs 23–25,</w:t>
      </w:r>
    </w:p>
    <w:p w14:paraId="5979CDAE" w14:textId="11D72E9A" w:rsidR="001D1A4C" w:rsidRPr="00057B94" w:rsidRDefault="00360174" w:rsidP="00360174">
      <w:pPr>
        <w:pStyle w:val="RegSingleTxtG"/>
        <w:numPr>
          <w:ilvl w:val="0"/>
          <w:numId w:val="0"/>
        </w:numPr>
        <w:tabs>
          <w:tab w:val="left" w:pos="568"/>
        </w:tabs>
        <w:ind w:left="1135"/>
      </w:pPr>
      <w:r w:rsidRPr="00057B94">
        <w:t>1.</w:t>
      </w:r>
      <w:r w:rsidRPr="00057B94">
        <w:tab/>
      </w:r>
      <w:r w:rsidR="001D1A4C" w:rsidRPr="00057B94">
        <w:tab/>
      </w:r>
      <w:r w:rsidR="001D1A4C" w:rsidRPr="00057B94">
        <w:rPr>
          <w:i/>
        </w:rPr>
        <w:t xml:space="preserve">Welcomes </w:t>
      </w:r>
      <w:r w:rsidR="001D1A4C" w:rsidRPr="00057B94">
        <w:t>the progress made</w:t>
      </w:r>
      <w:r w:rsidR="001D1A4C" w:rsidRPr="00057B94">
        <w:rPr>
          <w:sz w:val="18"/>
          <w:szCs w:val="18"/>
          <w:vertAlign w:val="superscript"/>
        </w:rPr>
        <w:footnoteReference w:id="3"/>
      </w:r>
      <w:r w:rsidR="001D1A4C" w:rsidRPr="00057B94">
        <w:t xml:space="preserve"> in the consideration of common time frames for nationally determined contributions referred to in Article 4, paragraph 10, of the Paris Agreement, and </w:t>
      </w:r>
      <w:r w:rsidR="001D1A4C" w:rsidRPr="00057B94">
        <w:rPr>
          <w:i/>
        </w:rPr>
        <w:t>takes note</w:t>
      </w:r>
      <w:r w:rsidR="001D1A4C" w:rsidRPr="00057B94">
        <w:t xml:space="preserve"> of the rich exchange of views and range of options considered and proposed by Parties on this matter;</w:t>
      </w:r>
      <w:r w:rsidR="001D1A4C" w:rsidRPr="00057B94">
        <w:rPr>
          <w:rStyle w:val="FootnoteReference"/>
        </w:rPr>
        <w:footnoteReference w:id="4"/>
      </w:r>
    </w:p>
    <w:p w14:paraId="30D469DF" w14:textId="2E51C3F4" w:rsidR="001D1A4C" w:rsidRPr="00057B94" w:rsidRDefault="00360174" w:rsidP="00360174">
      <w:pPr>
        <w:pStyle w:val="RegSingleTxtG"/>
        <w:numPr>
          <w:ilvl w:val="0"/>
          <w:numId w:val="0"/>
        </w:numPr>
        <w:tabs>
          <w:tab w:val="left" w:pos="568"/>
        </w:tabs>
        <w:ind w:left="1135"/>
      </w:pPr>
      <w:r w:rsidRPr="00057B94">
        <w:t>2.</w:t>
      </w:r>
      <w:r w:rsidRPr="00057B94">
        <w:tab/>
      </w:r>
      <w:r w:rsidR="001D1A4C" w:rsidRPr="00057B94">
        <w:rPr>
          <w:i/>
        </w:rPr>
        <w:t xml:space="preserve">Decides </w:t>
      </w:r>
      <w:r w:rsidR="001D1A4C" w:rsidRPr="00057B94">
        <w:t>that Parties shall apply common time frames to their nationally determined contributions to be implemented from 2031 onward;</w:t>
      </w:r>
    </w:p>
    <w:p w14:paraId="148D4A5E" w14:textId="751E8142" w:rsidR="00FB634B" w:rsidRPr="00057B94" w:rsidRDefault="00360174" w:rsidP="00360174">
      <w:pPr>
        <w:pStyle w:val="RegSingleTxtG"/>
        <w:numPr>
          <w:ilvl w:val="0"/>
          <w:numId w:val="0"/>
        </w:numPr>
        <w:tabs>
          <w:tab w:val="left" w:pos="568"/>
        </w:tabs>
        <w:ind w:left="1135"/>
      </w:pPr>
      <w:r w:rsidRPr="00057B94">
        <w:t>3.</w:t>
      </w:r>
      <w:r w:rsidRPr="00057B94">
        <w:tab/>
      </w:r>
      <w:r w:rsidR="001D1A4C" w:rsidRPr="00057B94">
        <w:rPr>
          <w:rStyle w:val="normaltextrun1"/>
          <w:i/>
          <w:iCs/>
        </w:rPr>
        <w:t>Requests</w:t>
      </w:r>
      <w:r w:rsidR="001D1A4C" w:rsidRPr="00057B94">
        <w:t xml:space="preserve"> the Subsidiary Body for Implementation to continue the consideration of common time frames for nationally determined contributions at its fiftieth session (June 2019) with a view to making a recommendation thereon for consideration and adoption by the Conference of the Parties serving as the meeting of the Parties to the Paris Agreement.</w:t>
      </w:r>
    </w:p>
    <w:p w14:paraId="17B401B0" w14:textId="686D9585" w:rsidR="001D1A4C" w:rsidRPr="00057B94" w:rsidRDefault="001D1A4C" w:rsidP="001D1A4C">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00924076" w:rsidRPr="00057B94">
        <w:rPr>
          <w:i/>
          <w:lang w:eastAsia="en-US"/>
        </w:rPr>
        <w:t xml:space="preserve"> </w:t>
      </w:r>
      <w:r w:rsidRPr="00057B94">
        <w:rPr>
          <w:i/>
          <w:lang w:eastAsia="en-US"/>
        </w:rPr>
        <w:t>plenary meeting</w:t>
      </w:r>
    </w:p>
    <w:p w14:paraId="36EA4F6D" w14:textId="6FB188EA" w:rsidR="001D1A4C" w:rsidRPr="00057B94" w:rsidRDefault="001D1A4C" w:rsidP="001D1A4C">
      <w:pPr>
        <w:pStyle w:val="RegSingleTxtG"/>
        <w:numPr>
          <w:ilvl w:val="0"/>
          <w:numId w:val="0"/>
        </w:numPr>
        <w:suppressAutoHyphens w:val="0"/>
        <w:autoSpaceDE w:val="0"/>
        <w:autoSpaceDN w:val="0"/>
        <w:adjustRightInd w:val="0"/>
        <w:spacing w:after="0" w:line="240" w:lineRule="auto"/>
        <w:ind w:left="1134" w:right="-1"/>
        <w:jc w:val="right"/>
      </w:pPr>
      <w:r w:rsidRPr="00057B94">
        <w:rPr>
          <w:i/>
          <w:lang w:eastAsia="en-US"/>
        </w:rPr>
        <w:t>15 December 2018</w:t>
      </w:r>
    </w:p>
    <w:p w14:paraId="6B847A05" w14:textId="77777777" w:rsidR="001D1A4C" w:rsidRPr="00057B94" w:rsidRDefault="001D1A4C" w:rsidP="001D1A4C">
      <w:pPr>
        <w:pStyle w:val="RegSingleTxtG"/>
        <w:numPr>
          <w:ilvl w:val="0"/>
          <w:numId w:val="0"/>
        </w:numPr>
        <w:ind w:left="1135"/>
      </w:pPr>
    </w:p>
    <w:p w14:paraId="7E0E23E5" w14:textId="668C952C" w:rsidR="00FB634B" w:rsidRPr="00057B94" w:rsidRDefault="00FB634B" w:rsidP="00FB634B">
      <w:pPr>
        <w:sectPr w:rsidR="00FB634B" w:rsidRPr="00057B94" w:rsidSect="00B15320">
          <w:footnotePr>
            <w:numRestart w:val="eachSect"/>
          </w:footnotePr>
          <w:pgSz w:w="11906" w:h="16838" w:code="9"/>
          <w:pgMar w:top="1418" w:right="1134" w:bottom="1134" w:left="1134" w:header="851" w:footer="567" w:gutter="0"/>
          <w:cols w:space="708"/>
          <w:docGrid w:linePitch="360"/>
        </w:sectPr>
      </w:pPr>
    </w:p>
    <w:p w14:paraId="698F8D36" w14:textId="00FE1523" w:rsidR="00FB634B" w:rsidRPr="00057B94" w:rsidRDefault="00FB634B" w:rsidP="00034A83">
      <w:pPr>
        <w:pStyle w:val="HChG"/>
        <w:keepNext w:val="0"/>
        <w:keepLines w:val="0"/>
        <w:pageBreakBefore/>
        <w:widowControl w:val="0"/>
        <w:spacing w:before="120"/>
        <w:ind w:firstLine="0"/>
        <w:rPr>
          <w:bCs/>
        </w:rPr>
      </w:pPr>
      <w:bookmarkStart w:id="7" w:name="D7"/>
      <w:r w:rsidRPr="00057B94">
        <w:rPr>
          <w:bCs/>
        </w:rPr>
        <w:lastRenderedPageBreak/>
        <w:t xml:space="preserve">Decision </w:t>
      </w:r>
      <w:r w:rsidR="00AB1981" w:rsidRPr="00057B94">
        <w:rPr>
          <w:bCs/>
        </w:rPr>
        <w:t>7</w:t>
      </w:r>
      <w:r w:rsidRPr="00057B94">
        <w:rPr>
          <w:bCs/>
        </w:rPr>
        <w:t>/CMA.1</w:t>
      </w:r>
      <w:bookmarkEnd w:id="7"/>
    </w:p>
    <w:p w14:paraId="21762C54" w14:textId="10294C22" w:rsidR="00FB634B" w:rsidRPr="00057B94" w:rsidRDefault="00FB634B" w:rsidP="00374687">
      <w:pPr>
        <w:pStyle w:val="HChG"/>
      </w:pPr>
      <w:r w:rsidRPr="00057B94">
        <w:tab/>
      </w:r>
      <w:r w:rsidRPr="00057B94">
        <w:tab/>
      </w:r>
      <w:r w:rsidR="001D1A4C" w:rsidRPr="00057B94">
        <w:t xml:space="preserve">Modalities, work programme and functions of the forum </w:t>
      </w:r>
      <w:r w:rsidR="00374687" w:rsidRPr="00057B94">
        <w:t xml:space="preserve">under the Paris Agreement </w:t>
      </w:r>
      <w:r w:rsidR="001D1A4C" w:rsidRPr="00057B94">
        <w:t xml:space="preserve">on the impact of the implementation of response measures </w:t>
      </w:r>
    </w:p>
    <w:p w14:paraId="4EBFC7A0" w14:textId="77777777" w:rsidR="001D1A4C" w:rsidRPr="00057B94" w:rsidRDefault="001D1A4C" w:rsidP="001D1A4C">
      <w:pPr>
        <w:spacing w:before="120"/>
        <w:ind w:left="1134" w:right="1174" w:firstLine="567"/>
        <w:rPr>
          <w:i/>
        </w:rPr>
      </w:pPr>
      <w:r w:rsidRPr="00057B94">
        <w:rPr>
          <w:i/>
        </w:rPr>
        <w:t>The Conference of the Parties serving as the meeting of the Parties to the Paris Agreement</w:t>
      </w:r>
      <w:r w:rsidRPr="00057B94">
        <w:t>,</w:t>
      </w:r>
    </w:p>
    <w:p w14:paraId="2E5A1C0B" w14:textId="77777777" w:rsidR="001D1A4C" w:rsidRPr="00057B94" w:rsidRDefault="001D1A4C" w:rsidP="001D1A4C">
      <w:pPr>
        <w:tabs>
          <w:tab w:val="left" w:pos="1701"/>
        </w:tabs>
        <w:spacing w:before="120" w:after="120"/>
        <w:ind w:left="1134" w:right="1134"/>
        <w:jc w:val="both"/>
      </w:pPr>
      <w:r w:rsidRPr="00057B94">
        <w:rPr>
          <w:i/>
        </w:rPr>
        <w:tab/>
        <w:t>Recalling</w:t>
      </w:r>
      <w:r w:rsidRPr="00057B94">
        <w:t xml:space="preserve"> Article 4 of the Convention, </w:t>
      </w:r>
    </w:p>
    <w:p w14:paraId="51F2A072" w14:textId="77777777" w:rsidR="001D1A4C" w:rsidRPr="00057B94" w:rsidRDefault="001D1A4C" w:rsidP="001D1A4C">
      <w:pPr>
        <w:tabs>
          <w:tab w:val="left" w:pos="1701"/>
        </w:tabs>
        <w:spacing w:after="120"/>
        <w:ind w:left="1134" w:right="1134"/>
        <w:jc w:val="both"/>
      </w:pPr>
      <w:r w:rsidRPr="00057B94">
        <w:rPr>
          <w:i/>
        </w:rPr>
        <w:tab/>
      </w:r>
      <w:r w:rsidRPr="00057B94">
        <w:rPr>
          <w:i/>
        </w:rPr>
        <w:tab/>
        <w:t xml:space="preserve">Also recalling </w:t>
      </w:r>
      <w:r w:rsidRPr="00057B94">
        <w:t xml:space="preserve">Article 2 and Article 3, paragraph 14, of the Kyoto Protocol, </w:t>
      </w:r>
    </w:p>
    <w:p w14:paraId="64021612" w14:textId="77777777" w:rsidR="001D1A4C" w:rsidRPr="00057B94" w:rsidRDefault="001D1A4C" w:rsidP="001D1A4C">
      <w:pPr>
        <w:tabs>
          <w:tab w:val="left" w:pos="1701"/>
        </w:tabs>
        <w:spacing w:after="120"/>
        <w:ind w:left="1134" w:right="1134"/>
        <w:jc w:val="both"/>
      </w:pPr>
      <w:r w:rsidRPr="00057B94">
        <w:rPr>
          <w:i/>
        </w:rPr>
        <w:tab/>
      </w:r>
      <w:r w:rsidRPr="00057B94">
        <w:rPr>
          <w:i/>
        </w:rPr>
        <w:tab/>
        <w:t>Reaffirming</w:t>
      </w:r>
      <w:r w:rsidRPr="00057B94">
        <w:t xml:space="preserve"> Article 4, paragraph 15, of the Paris Agreement,</w:t>
      </w:r>
    </w:p>
    <w:p w14:paraId="3F159684" w14:textId="77777777" w:rsidR="001D1A4C" w:rsidRPr="00057B94" w:rsidRDefault="001D1A4C" w:rsidP="001D1A4C">
      <w:pPr>
        <w:tabs>
          <w:tab w:val="left" w:pos="1701"/>
        </w:tabs>
        <w:spacing w:after="120"/>
        <w:ind w:left="1134" w:right="1134"/>
        <w:jc w:val="both"/>
      </w:pPr>
      <w:r w:rsidRPr="00057B94">
        <w:rPr>
          <w:i/>
        </w:rPr>
        <w:tab/>
        <w:t>Recalling</w:t>
      </w:r>
      <w:r w:rsidRPr="00057B94">
        <w:t xml:space="preserve"> decisions 1/CP.16, 2/CP.17, 8/CP.17, 1/CP.21 and 11/CP.21,</w:t>
      </w:r>
    </w:p>
    <w:p w14:paraId="3A3C27F6" w14:textId="77777777" w:rsidR="001D1A4C" w:rsidRPr="00057B94" w:rsidRDefault="001D1A4C" w:rsidP="001D1A4C">
      <w:pPr>
        <w:tabs>
          <w:tab w:val="left" w:pos="1701"/>
        </w:tabs>
        <w:spacing w:after="120"/>
        <w:ind w:left="1134" w:right="1134"/>
        <w:jc w:val="both"/>
      </w:pPr>
      <w:r w:rsidRPr="00057B94">
        <w:rPr>
          <w:i/>
        </w:rPr>
        <w:tab/>
        <w:t>Recognizing</w:t>
      </w:r>
      <w:r w:rsidRPr="00057B94">
        <w:t xml:space="preserve"> that Parties may be affected not only by climate change but also by the impacts of the measures taken in response to it,</w:t>
      </w:r>
    </w:p>
    <w:p w14:paraId="30D5D253" w14:textId="77777777" w:rsidR="001D1A4C" w:rsidRPr="00057B94" w:rsidRDefault="001D1A4C" w:rsidP="001D1A4C">
      <w:pPr>
        <w:tabs>
          <w:tab w:val="left" w:pos="1701"/>
        </w:tabs>
        <w:spacing w:after="120"/>
        <w:ind w:left="1134" w:right="1134"/>
        <w:jc w:val="both"/>
      </w:pPr>
      <w:r w:rsidRPr="00057B94">
        <w:rPr>
          <w:i/>
        </w:rPr>
        <w:tab/>
        <w:t>Acknowledging</w:t>
      </w:r>
      <w:r w:rsidRPr="00057B94">
        <w:t xml:space="preserve"> that there are both positive and negative impacts associated with measures taken in response to climate change, </w:t>
      </w:r>
    </w:p>
    <w:p w14:paraId="15F27859" w14:textId="77777777" w:rsidR="001D1A4C" w:rsidRPr="00057B94" w:rsidRDefault="001D1A4C" w:rsidP="001D1A4C">
      <w:pPr>
        <w:tabs>
          <w:tab w:val="left" w:pos="1701"/>
        </w:tabs>
        <w:spacing w:after="120"/>
        <w:ind w:left="1134" w:right="1134"/>
        <w:jc w:val="both"/>
      </w:pPr>
      <w:r w:rsidRPr="00057B94">
        <w:rPr>
          <w:i/>
        </w:rPr>
        <w:tab/>
        <w:t>Also acknowledging</w:t>
      </w:r>
      <w:r w:rsidRPr="00057B94">
        <w:t xml:space="preserve"> that response measures should be understood in the broader context of the transition towards low greenhouse gas emissions and climate-resilient development,</w:t>
      </w:r>
    </w:p>
    <w:p w14:paraId="11FF98AB" w14:textId="77777777" w:rsidR="001D1A4C" w:rsidRPr="00057B94" w:rsidRDefault="001D1A4C" w:rsidP="001D1A4C">
      <w:pPr>
        <w:tabs>
          <w:tab w:val="left" w:pos="1701"/>
        </w:tabs>
        <w:spacing w:after="120"/>
        <w:ind w:left="1134" w:right="1134"/>
        <w:jc w:val="both"/>
      </w:pPr>
      <w:r w:rsidRPr="00057B94">
        <w:rPr>
          <w:i/>
        </w:rPr>
        <w:tab/>
        <w:t>Reaffirming</w:t>
      </w:r>
      <w:r w:rsidRPr="00057B94">
        <w:t xml:space="preserve"> that Parties should cooperate to promote a supportive and inclusive international economic system that will lead to sustainable economic growth and development in all Parties,</w:t>
      </w:r>
    </w:p>
    <w:p w14:paraId="1590A3A7" w14:textId="2844DEA7" w:rsidR="001D1A4C" w:rsidRPr="00057B94" w:rsidRDefault="00360174" w:rsidP="00360174">
      <w:pPr>
        <w:tabs>
          <w:tab w:val="left" w:pos="1701"/>
        </w:tabs>
        <w:spacing w:after="120"/>
        <w:ind w:left="1134" w:right="1134"/>
        <w:jc w:val="both"/>
      </w:pPr>
      <w:r w:rsidRPr="00057B94">
        <w:t>1.</w:t>
      </w:r>
      <w:r w:rsidRPr="00057B94">
        <w:tab/>
      </w:r>
      <w:r w:rsidR="001D1A4C" w:rsidRPr="00057B94">
        <w:rPr>
          <w:i/>
        </w:rPr>
        <w:t>Decides</w:t>
      </w:r>
      <w:r w:rsidR="001D1A4C" w:rsidRPr="00057B94">
        <w:t xml:space="preserve"> that in accordance with decision 1/CP.21, paragraph 33, the forum on the impact of the implementation of response measures (hereinafter referred to as the forum) under the subsidiary bodies shall serve the Paris Agreement in relation to matters under the Paris Agreement; </w:t>
      </w:r>
    </w:p>
    <w:p w14:paraId="68E2F4BD" w14:textId="08F7DF79" w:rsidR="001D1A4C" w:rsidRPr="00057B94" w:rsidRDefault="00360174" w:rsidP="00360174">
      <w:pPr>
        <w:tabs>
          <w:tab w:val="left" w:pos="1701"/>
        </w:tabs>
        <w:spacing w:after="120"/>
        <w:ind w:left="1134" w:right="1134"/>
        <w:jc w:val="both"/>
      </w:pPr>
      <w:r w:rsidRPr="00057B94">
        <w:t>2.</w:t>
      </w:r>
      <w:r w:rsidRPr="00057B94">
        <w:tab/>
      </w:r>
      <w:r w:rsidR="001D1A4C" w:rsidRPr="00057B94">
        <w:rPr>
          <w:i/>
        </w:rPr>
        <w:t>Adopts</w:t>
      </w:r>
      <w:r w:rsidR="001D1A4C" w:rsidRPr="00057B94">
        <w:t xml:space="preserve"> the modalities, work programme and functions of the forum contained in the annex;</w:t>
      </w:r>
    </w:p>
    <w:p w14:paraId="65D3E3E7" w14:textId="1ABE1352" w:rsidR="001D1A4C" w:rsidRPr="00057B94" w:rsidRDefault="00360174" w:rsidP="00360174">
      <w:pPr>
        <w:pStyle w:val="RegSingleTxtG"/>
        <w:numPr>
          <w:ilvl w:val="0"/>
          <w:numId w:val="0"/>
        </w:numPr>
        <w:ind w:left="1134"/>
      </w:pPr>
      <w:r w:rsidRPr="00057B94">
        <w:t>3.</w:t>
      </w:r>
      <w:r w:rsidRPr="00057B94">
        <w:tab/>
      </w:r>
      <w:r w:rsidR="001D1A4C" w:rsidRPr="00057B94">
        <w:rPr>
          <w:i/>
        </w:rPr>
        <w:t>Acknowledges</w:t>
      </w:r>
      <w:r w:rsidR="001D1A4C" w:rsidRPr="00057B94">
        <w:t xml:space="preserve"> that there is one single forum that covers the work of the Conference of the Parties, the Conference of the Parties serving as the meeting of the Parties to the Kyoto Protocol and the Conference of the Parties serving as the meeting of the Parties to the Paris Agreement on all matters relating to the impact of the implementation of response measures; </w:t>
      </w:r>
    </w:p>
    <w:p w14:paraId="0CDB0EAE" w14:textId="73D3ADC3" w:rsidR="001D1A4C" w:rsidRPr="00057B94" w:rsidRDefault="00360174" w:rsidP="00360174">
      <w:pPr>
        <w:pStyle w:val="RegSingleTxtG"/>
        <w:numPr>
          <w:ilvl w:val="0"/>
          <w:numId w:val="0"/>
        </w:numPr>
        <w:ind w:left="1134"/>
        <w:rPr>
          <w:i/>
        </w:rPr>
      </w:pPr>
      <w:r w:rsidRPr="00057B94">
        <w:t>4.</w:t>
      </w:r>
      <w:r w:rsidRPr="00057B94">
        <w:tab/>
      </w:r>
      <w:r w:rsidR="001D1A4C" w:rsidRPr="00057B94">
        <w:rPr>
          <w:i/>
        </w:rPr>
        <w:t>Affirms</w:t>
      </w:r>
      <w:r w:rsidR="001D1A4C" w:rsidRPr="00057B94">
        <w:t xml:space="preserve"> that the forum shall report to the Conference of the Parties serving as the meeting of the Parties to the Paris Agreement in respect of matters falling under Article 4, paragraph 15, of the Paris Agreement, where the forum requires the guidance of the Conference of the Parties serving as the meeting of the Parties to the Paris Agreement; </w:t>
      </w:r>
    </w:p>
    <w:p w14:paraId="4ACEE30E" w14:textId="042E0071" w:rsidR="001D1A4C" w:rsidRPr="00057B94" w:rsidRDefault="00360174" w:rsidP="00360174">
      <w:pPr>
        <w:pStyle w:val="RegSingleTxtG"/>
        <w:numPr>
          <w:ilvl w:val="0"/>
          <w:numId w:val="0"/>
        </w:numPr>
        <w:ind w:left="1134"/>
        <w:rPr>
          <w:i/>
        </w:rPr>
      </w:pPr>
      <w:r w:rsidRPr="00057B94">
        <w:t>5.</w:t>
      </w:r>
      <w:r w:rsidRPr="00057B94">
        <w:tab/>
      </w:r>
      <w:r w:rsidR="001D1A4C" w:rsidRPr="00057B94">
        <w:rPr>
          <w:i/>
        </w:rPr>
        <w:t>Decides</w:t>
      </w:r>
      <w:r w:rsidR="001D1A4C" w:rsidRPr="00057B94">
        <w:t xml:space="preserve"> to establish a Katowice Committee of Experts on the Impacts of the Implementation of Response Measures (hereinafter referred to as the Katowice Committee o</w:t>
      </w:r>
      <w:r w:rsidR="00940117" w:rsidRPr="00057B94">
        <w:t>n Impacts</w:t>
      </w:r>
      <w:r w:rsidR="001D1A4C" w:rsidRPr="00057B94">
        <w:t>) to support the work of the forum on the impact of the implementation of response measures and to operate in accordance with the terms of reference contained in the annex;</w:t>
      </w:r>
    </w:p>
    <w:p w14:paraId="7DE9729D" w14:textId="55F3C734" w:rsidR="001D1A4C" w:rsidRPr="00057B94" w:rsidRDefault="00360174" w:rsidP="00360174">
      <w:pPr>
        <w:pStyle w:val="RegSingleTxtG"/>
        <w:numPr>
          <w:ilvl w:val="0"/>
          <w:numId w:val="0"/>
        </w:numPr>
        <w:ind w:left="1134"/>
        <w:rPr>
          <w:i/>
        </w:rPr>
      </w:pPr>
      <w:r w:rsidRPr="00057B94">
        <w:t>6.</w:t>
      </w:r>
      <w:r w:rsidRPr="00057B94">
        <w:tab/>
      </w:r>
      <w:r w:rsidR="001D1A4C" w:rsidRPr="00057B94">
        <w:rPr>
          <w:i/>
          <w:iCs/>
        </w:rPr>
        <w:t xml:space="preserve">Requests </w:t>
      </w:r>
      <w:r w:rsidR="001D1A4C" w:rsidRPr="00057B94">
        <w:t>the subsidiary bodies to review, at their fifty-ninth session</w:t>
      </w:r>
      <w:r w:rsidR="008756C8" w:rsidRPr="00057B94">
        <w:t>s</w:t>
      </w:r>
      <w:r w:rsidR="001D1A4C" w:rsidRPr="00057B94">
        <w:t xml:space="preserve"> (November 2023), the functions, work programme and modalities of the forum with a view </w:t>
      </w:r>
      <w:bookmarkStart w:id="8" w:name="_Hlk532584784"/>
      <w:r w:rsidR="001D1A4C" w:rsidRPr="00057B94">
        <w:t>to providing recommendations for consideration by the Conference of the Parties at its twenty-ninth session</w:t>
      </w:r>
      <w:bookmarkEnd w:id="8"/>
      <w:r w:rsidR="001D1A4C" w:rsidRPr="00057B94">
        <w:t xml:space="preserve"> (November 2023), the Conference of the Parties serving as the meeting of the Parties to the Kyoto Protocol at its nineteenth session (November 2023) and the Conference of the Parties serving as the meeting of the Parties to the Paris Agreement at its sixth session (November 2023);</w:t>
      </w:r>
    </w:p>
    <w:p w14:paraId="7FDEEBC4" w14:textId="1A0BE8EF" w:rsidR="001D1A4C" w:rsidRPr="00057B94" w:rsidRDefault="00360174" w:rsidP="00360174">
      <w:pPr>
        <w:pStyle w:val="RegSingleTxtG"/>
        <w:numPr>
          <w:ilvl w:val="0"/>
          <w:numId w:val="0"/>
        </w:numPr>
        <w:ind w:left="1134"/>
      </w:pPr>
      <w:r w:rsidRPr="00057B94">
        <w:t>7.</w:t>
      </w:r>
      <w:r w:rsidRPr="00057B94">
        <w:tab/>
      </w:r>
      <w:r w:rsidR="00F20ADF" w:rsidRPr="00057B94">
        <w:rPr>
          <w:i/>
        </w:rPr>
        <w:t>Also r</w:t>
      </w:r>
      <w:r w:rsidR="001D1A4C" w:rsidRPr="00057B94">
        <w:rPr>
          <w:i/>
        </w:rPr>
        <w:t xml:space="preserve">equests </w:t>
      </w:r>
      <w:r w:rsidR="001D1A4C" w:rsidRPr="00057B94">
        <w:t>the secretariat to organize the meeting</w:t>
      </w:r>
      <w:r w:rsidR="00724D7D" w:rsidRPr="00057B94">
        <w:t>s</w:t>
      </w:r>
      <w:r w:rsidR="001D1A4C" w:rsidRPr="00057B94">
        <w:t xml:space="preserve"> of the Katowice Committee </w:t>
      </w:r>
      <w:r w:rsidR="00962218" w:rsidRPr="00057B94">
        <w:t>on Impacts</w:t>
      </w:r>
      <w:r w:rsidR="00724D7D" w:rsidRPr="00057B94">
        <w:t>,</w:t>
      </w:r>
      <w:r w:rsidR="001D1A4C" w:rsidRPr="00057B94">
        <w:t xml:space="preserve"> to be held for two days, in conjunction with the sessions of the subsidiary bodies starting from </w:t>
      </w:r>
      <w:r w:rsidR="008756C8" w:rsidRPr="00057B94">
        <w:t>their fiftieth sessions</w:t>
      </w:r>
      <w:r w:rsidR="001D1A4C" w:rsidRPr="00057B94">
        <w:t xml:space="preserve"> (June 2019)</w:t>
      </w:r>
      <w:r w:rsidR="008756C8" w:rsidRPr="00057B94">
        <w:t>;</w:t>
      </w:r>
    </w:p>
    <w:p w14:paraId="2607AC6D" w14:textId="70E4F159" w:rsidR="001D1A4C" w:rsidRPr="00057B94" w:rsidRDefault="00360174" w:rsidP="00360174">
      <w:pPr>
        <w:pStyle w:val="RegSingleTxtG"/>
        <w:numPr>
          <w:ilvl w:val="0"/>
          <w:numId w:val="0"/>
        </w:numPr>
        <w:ind w:left="1134"/>
      </w:pPr>
      <w:r w:rsidRPr="00057B94">
        <w:lastRenderedPageBreak/>
        <w:t>8.</w:t>
      </w:r>
      <w:r w:rsidRPr="00057B94">
        <w:tab/>
      </w:r>
      <w:r w:rsidR="001D1A4C" w:rsidRPr="00057B94">
        <w:rPr>
          <w:i/>
        </w:rPr>
        <w:t>Invites</w:t>
      </w:r>
      <w:r w:rsidR="001D1A4C" w:rsidRPr="00057B94">
        <w:t xml:space="preserve"> Parties to nominate members to serve on the Katowice Committee </w:t>
      </w:r>
      <w:r w:rsidR="00962218" w:rsidRPr="00057B94">
        <w:t>on Impacts</w:t>
      </w:r>
      <w:r w:rsidR="001D1A4C" w:rsidRPr="00057B94">
        <w:t>, noting that the Chairs of the subsidiary bodies shall be notified of these appointments by 15 April 2019;</w:t>
      </w:r>
    </w:p>
    <w:p w14:paraId="0F6E8C92" w14:textId="33E4F056" w:rsidR="001D1A4C" w:rsidRPr="00057B94" w:rsidRDefault="00360174" w:rsidP="00360174">
      <w:pPr>
        <w:pStyle w:val="RegSingleTxtG"/>
        <w:numPr>
          <w:ilvl w:val="0"/>
          <w:numId w:val="0"/>
        </w:numPr>
        <w:ind w:left="1134"/>
      </w:pPr>
      <w:r w:rsidRPr="00057B94">
        <w:t>9.</w:t>
      </w:r>
      <w:r w:rsidRPr="00057B94">
        <w:tab/>
      </w:r>
      <w:r w:rsidR="001D1A4C" w:rsidRPr="00057B94">
        <w:rPr>
          <w:i/>
        </w:rPr>
        <w:t xml:space="preserve">Decides </w:t>
      </w:r>
      <w:r w:rsidR="001D1A4C" w:rsidRPr="00057B94">
        <w:t>that the forum shall develop and recommend a six-year workplan in line with the forum’s functions, work programme and modalities, taking into account relevant policy issues of concern to Parties, for consideration and adoption by the subsidiary bodies at their fiftieth sessions;</w:t>
      </w:r>
    </w:p>
    <w:p w14:paraId="1F136EA5" w14:textId="120A6582" w:rsidR="001D1A4C" w:rsidRPr="00057B94" w:rsidRDefault="00360174" w:rsidP="00360174">
      <w:pPr>
        <w:pStyle w:val="RegSingleTxtG"/>
        <w:numPr>
          <w:ilvl w:val="0"/>
          <w:numId w:val="0"/>
        </w:numPr>
        <w:ind w:left="1134"/>
      </w:pPr>
      <w:r w:rsidRPr="00057B94">
        <w:t>10.</w:t>
      </w:r>
      <w:r w:rsidRPr="00057B94">
        <w:tab/>
      </w:r>
      <w:r w:rsidR="001D1A4C" w:rsidRPr="00057B94">
        <w:rPr>
          <w:i/>
        </w:rPr>
        <w:t xml:space="preserve">Requests </w:t>
      </w:r>
      <w:r w:rsidR="001D1A4C" w:rsidRPr="00057B94">
        <w:t>the subsidiary bodies to conduct a midterm review of the workplan of the forum, starting from the</w:t>
      </w:r>
      <w:r w:rsidR="00DC7259" w:rsidRPr="00057B94">
        <w:t>ir</w:t>
      </w:r>
      <w:r w:rsidR="001D1A4C" w:rsidRPr="00057B94">
        <w:t xml:space="preserve"> fifty-sixth sessions (June 2022), with a view to enhancing the effectiveness of the forum;</w:t>
      </w:r>
    </w:p>
    <w:p w14:paraId="47886CDC" w14:textId="74B2FFC0" w:rsidR="001D1A4C" w:rsidRPr="00057B94" w:rsidRDefault="00360174" w:rsidP="00360174">
      <w:pPr>
        <w:pStyle w:val="RegSingleTxtG"/>
        <w:numPr>
          <w:ilvl w:val="0"/>
          <w:numId w:val="0"/>
        </w:numPr>
        <w:ind w:left="1134"/>
      </w:pPr>
      <w:r w:rsidRPr="00057B94">
        <w:t>11.</w:t>
      </w:r>
      <w:r w:rsidRPr="00057B94">
        <w:tab/>
      </w:r>
      <w:r w:rsidR="001D1A4C" w:rsidRPr="00057B94">
        <w:rPr>
          <w:i/>
          <w:iCs/>
        </w:rPr>
        <w:t xml:space="preserve">Invites </w:t>
      </w:r>
      <w:r w:rsidR="001D1A4C" w:rsidRPr="00057B94">
        <w:rPr>
          <w:iCs/>
        </w:rPr>
        <w:t>Parties to submit</w:t>
      </w:r>
      <w:r w:rsidR="001D1A4C" w:rsidRPr="00057B94">
        <w:rPr>
          <w:i/>
          <w:iCs/>
        </w:rPr>
        <w:t xml:space="preserve"> </w:t>
      </w:r>
      <w:r w:rsidR="001D1A4C" w:rsidRPr="00057B94">
        <w:t xml:space="preserve">their views on the workplan of the forum and </w:t>
      </w:r>
      <w:r w:rsidR="00DC7259" w:rsidRPr="00057B94">
        <w:t>the</w:t>
      </w:r>
      <w:r w:rsidR="001D1A4C" w:rsidRPr="00057B94">
        <w:t xml:space="preserve"> Katowice Committee </w:t>
      </w:r>
      <w:r w:rsidR="00962218" w:rsidRPr="00057B94">
        <w:t>on Impacts</w:t>
      </w:r>
      <w:r w:rsidR="001D1A4C" w:rsidRPr="00057B94">
        <w:t xml:space="preserve"> via the submission portal</w:t>
      </w:r>
      <w:r w:rsidR="001D1A4C" w:rsidRPr="00057B94">
        <w:rPr>
          <w:rStyle w:val="FootnoteReference"/>
        </w:rPr>
        <w:footnoteReference w:id="5"/>
      </w:r>
      <w:r w:rsidR="001D1A4C" w:rsidRPr="00057B94">
        <w:t xml:space="preserve"> by 15 April 2019;</w:t>
      </w:r>
    </w:p>
    <w:p w14:paraId="57C5013F" w14:textId="6F8FA4D2" w:rsidR="001D1A4C" w:rsidRPr="00057B94" w:rsidRDefault="00360174" w:rsidP="00360174">
      <w:pPr>
        <w:tabs>
          <w:tab w:val="left" w:pos="1701"/>
        </w:tabs>
        <w:spacing w:after="120"/>
        <w:ind w:left="1134" w:right="1134"/>
        <w:jc w:val="both"/>
      </w:pPr>
      <w:r w:rsidRPr="00057B94">
        <w:t>12.</w:t>
      </w:r>
      <w:r w:rsidRPr="00057B94">
        <w:tab/>
      </w:r>
      <w:r w:rsidR="001D1A4C" w:rsidRPr="00057B94">
        <w:rPr>
          <w:i/>
        </w:rPr>
        <w:t>Decides</w:t>
      </w:r>
      <w:r w:rsidR="001D1A4C" w:rsidRPr="00057B94">
        <w:t xml:space="preserve"> that the forum on the impact of the implementation of response measures shall provide recommendations for consideration by the subsidiary bodies with a view to the subsidiary bodies recommending actions </w:t>
      </w:r>
      <w:r w:rsidR="00DC7259" w:rsidRPr="00057B94">
        <w:t>for consideration and adoption by</w:t>
      </w:r>
      <w:r w:rsidR="001D1A4C" w:rsidRPr="00057B94">
        <w:t xml:space="preserve"> the </w:t>
      </w:r>
      <w:bookmarkStart w:id="9" w:name="_Hlk532384560"/>
      <w:r w:rsidR="001D1A4C" w:rsidRPr="00057B94">
        <w:t>Conference of the Parties</w:t>
      </w:r>
      <w:bookmarkEnd w:id="9"/>
      <w:r w:rsidR="001D1A4C" w:rsidRPr="00057B94">
        <w:t>, the Conference of the Parties serving as the meeting of the Parties to the Kyoto Protocol and the Conference of the Parties serving as the meeting of the Parties to the Paris Agreement;</w:t>
      </w:r>
    </w:p>
    <w:p w14:paraId="3BCDB91C" w14:textId="04E5663B" w:rsidR="001D1A4C" w:rsidRPr="00057B94" w:rsidRDefault="00360174" w:rsidP="00360174">
      <w:pPr>
        <w:tabs>
          <w:tab w:val="left" w:pos="1701"/>
        </w:tabs>
        <w:spacing w:after="120"/>
        <w:ind w:left="1134" w:right="1134"/>
        <w:jc w:val="both"/>
      </w:pPr>
      <w:r w:rsidRPr="00057B94">
        <w:t>13.</w:t>
      </w:r>
      <w:r w:rsidRPr="00057B94">
        <w:tab/>
      </w:r>
      <w:r w:rsidR="001D1A4C" w:rsidRPr="00057B94">
        <w:rPr>
          <w:i/>
        </w:rPr>
        <w:t>Requests</w:t>
      </w:r>
      <w:r w:rsidR="001D1A4C" w:rsidRPr="00057B94">
        <w:t xml:space="preserve"> the secretariat to support the implementation of the work programme of the forum on the impact of the implementation of response measures;</w:t>
      </w:r>
    </w:p>
    <w:p w14:paraId="5E433E3D" w14:textId="095B0BEE" w:rsidR="001D1A4C" w:rsidRPr="00057B94" w:rsidRDefault="00360174" w:rsidP="00360174">
      <w:pPr>
        <w:pStyle w:val="RegSingleTxtG"/>
        <w:numPr>
          <w:ilvl w:val="0"/>
          <w:numId w:val="0"/>
        </w:numPr>
        <w:ind w:left="1134"/>
      </w:pPr>
      <w:r w:rsidRPr="00057B94">
        <w:t>14.</w:t>
      </w:r>
      <w:r w:rsidRPr="00057B94">
        <w:tab/>
      </w:r>
      <w:r w:rsidR="001D1A4C" w:rsidRPr="00057B94">
        <w:rPr>
          <w:i/>
        </w:rPr>
        <w:t>Takes note</w:t>
      </w:r>
      <w:r w:rsidR="001D1A4C" w:rsidRPr="00057B94">
        <w:t xml:space="preserve"> of the estimated budgetary implications of the activities to be undertaken by the secretariat referred to in paragraphs 2, 5 and 7 above;</w:t>
      </w:r>
    </w:p>
    <w:p w14:paraId="37106186" w14:textId="3A953690" w:rsidR="00FB634B" w:rsidRPr="00057B94" w:rsidRDefault="00360174" w:rsidP="00360174">
      <w:pPr>
        <w:pStyle w:val="RegSingleTxtG"/>
        <w:numPr>
          <w:ilvl w:val="0"/>
          <w:numId w:val="0"/>
        </w:numPr>
        <w:ind w:left="1134"/>
      </w:pPr>
      <w:r w:rsidRPr="00057B94">
        <w:t>15.</w:t>
      </w:r>
      <w:r w:rsidRPr="00057B94">
        <w:tab/>
      </w:r>
      <w:r w:rsidR="001D1A4C" w:rsidRPr="00057B94">
        <w:rPr>
          <w:i/>
        </w:rPr>
        <w:t>Requests</w:t>
      </w:r>
      <w:r w:rsidR="001D1A4C" w:rsidRPr="00057B94">
        <w:t xml:space="preserve"> that the actions of the secretariat called for in this decision be undertaken subject to the availability of financial resources.</w:t>
      </w:r>
      <w:r w:rsidR="00D46F90" w:rsidRPr="00057B94">
        <w:t xml:space="preserve"> </w:t>
      </w:r>
    </w:p>
    <w:p w14:paraId="7CDE24B4" w14:textId="77777777" w:rsidR="00D46F90" w:rsidRPr="00057B94" w:rsidRDefault="00D46F90" w:rsidP="00D46F90">
      <w:pPr>
        <w:sectPr w:rsidR="00D46F90" w:rsidRPr="00057B94" w:rsidSect="00B15320">
          <w:footnotePr>
            <w:numRestart w:val="eachSect"/>
          </w:footnotePr>
          <w:pgSz w:w="11906" w:h="16838" w:code="9"/>
          <w:pgMar w:top="1418" w:right="1134" w:bottom="1134" w:left="1134" w:header="851" w:footer="567" w:gutter="0"/>
          <w:cols w:space="708"/>
          <w:docGrid w:linePitch="360"/>
        </w:sectPr>
      </w:pPr>
    </w:p>
    <w:p w14:paraId="713318E8" w14:textId="77777777" w:rsidR="00D46F90" w:rsidRPr="00057B94" w:rsidRDefault="00D46F90" w:rsidP="0041441C">
      <w:pPr>
        <w:pStyle w:val="HChG"/>
        <w:spacing w:before="0"/>
        <w:rPr>
          <w:bCs/>
        </w:rPr>
      </w:pPr>
      <w:r w:rsidRPr="00057B94">
        <w:rPr>
          <w:bCs/>
        </w:rPr>
        <w:lastRenderedPageBreak/>
        <w:t>Annex</w:t>
      </w:r>
    </w:p>
    <w:p w14:paraId="504F5E83" w14:textId="6851B9A2" w:rsidR="00D46F90" w:rsidRPr="00057B94" w:rsidRDefault="00D46F90" w:rsidP="00D46F90">
      <w:pPr>
        <w:pStyle w:val="HChG"/>
      </w:pPr>
      <w:r w:rsidRPr="00057B94">
        <w:tab/>
      </w:r>
      <w:r w:rsidRPr="00057B94">
        <w:tab/>
        <w:t xml:space="preserve">Modalities, work programme and functions </w:t>
      </w:r>
      <w:r w:rsidR="00374687" w:rsidRPr="00057B94">
        <w:t xml:space="preserve">under the Paris Agreement </w:t>
      </w:r>
      <w:r w:rsidRPr="00057B94">
        <w:t xml:space="preserve">of the forum on the impact of the implementation of response measures </w:t>
      </w:r>
    </w:p>
    <w:p w14:paraId="0FE9A687" w14:textId="4337466A" w:rsidR="00D46F90" w:rsidRPr="00057B94" w:rsidRDefault="00360174" w:rsidP="00733FEB">
      <w:pPr>
        <w:pStyle w:val="RegHChG"/>
        <w:numPr>
          <w:ilvl w:val="0"/>
          <w:numId w:val="0"/>
        </w:numPr>
        <w:tabs>
          <w:tab w:val="left" w:pos="1135"/>
        </w:tabs>
        <w:ind w:left="1135" w:hanging="454"/>
      </w:pPr>
      <w:r w:rsidRPr="00057B94">
        <w:t>I.</w:t>
      </w:r>
      <w:r w:rsidRPr="00057B94">
        <w:tab/>
      </w:r>
      <w:r w:rsidR="00D46F90" w:rsidRPr="00057B94">
        <w:t>Functions</w:t>
      </w:r>
    </w:p>
    <w:p w14:paraId="11A641D7" w14:textId="0317CD9A" w:rsidR="00D46F90" w:rsidRPr="00057B94" w:rsidRDefault="00360174" w:rsidP="00360174">
      <w:pPr>
        <w:pStyle w:val="RegSingleTxtG"/>
        <w:numPr>
          <w:ilvl w:val="0"/>
          <w:numId w:val="0"/>
        </w:numPr>
        <w:ind w:left="1134"/>
      </w:pPr>
      <w:r w:rsidRPr="00057B94">
        <w:t>1.</w:t>
      </w:r>
      <w:r w:rsidRPr="00057B94">
        <w:tab/>
      </w:r>
      <w:r w:rsidR="00D46F90" w:rsidRPr="00057B94">
        <w:t>The forum on the impact of the implementation of response measures (hereinafter referred to as the forum) shall have the following functions:</w:t>
      </w:r>
    </w:p>
    <w:p w14:paraId="3238A2CF" w14:textId="7D38B229" w:rsidR="00D46F90" w:rsidRPr="00057B94" w:rsidRDefault="00360174" w:rsidP="00360174">
      <w:pPr>
        <w:spacing w:after="120"/>
        <w:ind w:left="1134" w:right="1134" w:firstLine="567"/>
        <w:jc w:val="both"/>
      </w:pPr>
      <w:r w:rsidRPr="00057B94">
        <w:rPr>
          <w:szCs w:val="28"/>
        </w:rPr>
        <w:t>(a)</w:t>
      </w:r>
      <w:r w:rsidRPr="00057B94">
        <w:rPr>
          <w:szCs w:val="28"/>
        </w:rPr>
        <w:tab/>
      </w:r>
      <w:r w:rsidR="00D46F90" w:rsidRPr="00057B94">
        <w:t>Provide a platform allowing Parties to share, in an interactive manner, information, experiences, case studies, best practices and views, and to facilitate assessment and analysis of the impact of the implementation of response measures, including the use and development of modelling tools and methodologies, with a view to recommending specific actions;</w:t>
      </w:r>
    </w:p>
    <w:p w14:paraId="41CAA089" w14:textId="113D7185" w:rsidR="00D46F90" w:rsidRPr="00057B94" w:rsidRDefault="00360174" w:rsidP="00360174">
      <w:pPr>
        <w:tabs>
          <w:tab w:val="left" w:pos="1702"/>
        </w:tabs>
        <w:spacing w:after="120"/>
        <w:ind w:left="1134" w:right="1134" w:firstLine="567"/>
        <w:jc w:val="both"/>
      </w:pPr>
      <w:r w:rsidRPr="00057B94">
        <w:rPr>
          <w:szCs w:val="28"/>
        </w:rPr>
        <w:t>(b)</w:t>
      </w:r>
      <w:r w:rsidRPr="00057B94">
        <w:rPr>
          <w:szCs w:val="28"/>
        </w:rPr>
        <w:tab/>
      </w:r>
      <w:r w:rsidR="00D46F90" w:rsidRPr="00057B94">
        <w:t xml:space="preserve">Provide recommendations to the subsidiary bodies on the actions referred to in paragraph </w:t>
      </w:r>
      <w:r w:rsidR="00102F44" w:rsidRPr="00057B94">
        <w:t xml:space="preserve">1(a) </w:t>
      </w:r>
      <w:r w:rsidR="00D46F90" w:rsidRPr="00057B94">
        <w:t xml:space="preserve">above for their consideration, with a view to recommending those actions, as appropriate, to the Conference of the Parties, the Conference of the Parties serving as the meeting of the Parties to the Kyoto Protocol and the </w:t>
      </w:r>
      <w:bookmarkStart w:id="10" w:name="_Hlk532388581"/>
      <w:r w:rsidR="00D46F90" w:rsidRPr="00057B94">
        <w:t>Conference of the Parties serving as the meeting of the Parties to the Paris Agreement</w:t>
      </w:r>
      <w:bookmarkEnd w:id="10"/>
      <w:r w:rsidR="00D46F90" w:rsidRPr="00057B94">
        <w:t>;</w:t>
      </w:r>
    </w:p>
    <w:p w14:paraId="157D9099" w14:textId="1CB97154" w:rsidR="00D46F90" w:rsidRPr="00057B94" w:rsidRDefault="00360174" w:rsidP="00360174">
      <w:pPr>
        <w:spacing w:after="120"/>
        <w:ind w:left="1134" w:right="1134" w:firstLine="567"/>
        <w:jc w:val="both"/>
      </w:pPr>
      <w:r w:rsidRPr="00057B94">
        <w:rPr>
          <w:szCs w:val="28"/>
        </w:rPr>
        <w:t>(c)</w:t>
      </w:r>
      <w:r w:rsidRPr="00057B94">
        <w:rPr>
          <w:szCs w:val="28"/>
        </w:rPr>
        <w:tab/>
      </w:r>
      <w:r w:rsidR="00D46F90" w:rsidRPr="00057B94">
        <w:t>Provide concrete examples, case studies and practices in order to enhance the capacity of Parties, in particular developing country Parties, to deal with the impact of the implementation of response measures;</w:t>
      </w:r>
    </w:p>
    <w:p w14:paraId="0D20F57B" w14:textId="09C9C5E4" w:rsidR="00D46F90" w:rsidRPr="00057B94" w:rsidRDefault="00360174" w:rsidP="00360174">
      <w:pPr>
        <w:spacing w:after="120"/>
        <w:ind w:left="1134" w:right="1134" w:firstLine="567"/>
        <w:jc w:val="both"/>
      </w:pPr>
      <w:r w:rsidRPr="00057B94">
        <w:rPr>
          <w:szCs w:val="28"/>
        </w:rPr>
        <w:t>(d)</w:t>
      </w:r>
      <w:r w:rsidRPr="00057B94">
        <w:rPr>
          <w:szCs w:val="28"/>
        </w:rPr>
        <w:tab/>
      </w:r>
      <w:r w:rsidR="00D46F90" w:rsidRPr="00057B94">
        <w:t xml:space="preserve">Address the effects of the implementation of response measures under the Convention, the Kyoto Protocol and the Paris Agreement by enhancing cooperation among Parties, stakeholders, external organizations, experts and institutions, by enhancing </w:t>
      </w:r>
      <w:r w:rsidR="004B3868" w:rsidRPr="00057B94">
        <w:t xml:space="preserve">the </w:t>
      </w:r>
      <w:r w:rsidR="00D46F90" w:rsidRPr="00057B94">
        <w:t>capacity and the understanding of Parties of the impacts of mitigation actions and by enabling the exchange of information, experience and best practices among Parties to raise their resilience to these impacts;</w:t>
      </w:r>
    </w:p>
    <w:p w14:paraId="4476367E" w14:textId="1B684272" w:rsidR="00D46F90" w:rsidRPr="00057B94" w:rsidRDefault="00360174" w:rsidP="00360174">
      <w:pPr>
        <w:spacing w:after="120"/>
        <w:ind w:left="1134" w:right="1134" w:firstLine="567"/>
        <w:jc w:val="both"/>
      </w:pPr>
      <w:r w:rsidRPr="00057B94">
        <w:rPr>
          <w:szCs w:val="28"/>
        </w:rPr>
        <w:t>(e)</w:t>
      </w:r>
      <w:r w:rsidRPr="00057B94">
        <w:rPr>
          <w:szCs w:val="28"/>
        </w:rPr>
        <w:tab/>
      </w:r>
      <w:r w:rsidR="00D46F90" w:rsidRPr="00057B94">
        <w:t>Respond and take into consideration the relevant outcomes of different processes under the Paris Agreement;</w:t>
      </w:r>
    </w:p>
    <w:p w14:paraId="06154C34" w14:textId="7261578A" w:rsidR="00D46F90" w:rsidRPr="00057B94" w:rsidRDefault="00360174" w:rsidP="00360174">
      <w:pPr>
        <w:pStyle w:val="RegSingleTxtG2"/>
        <w:tabs>
          <w:tab w:val="clear" w:pos="360"/>
        </w:tabs>
      </w:pPr>
      <w:r w:rsidRPr="00057B94">
        <w:rPr>
          <w:szCs w:val="28"/>
        </w:rPr>
        <w:t>(f)</w:t>
      </w:r>
      <w:r w:rsidRPr="00057B94">
        <w:rPr>
          <w:szCs w:val="28"/>
        </w:rPr>
        <w:tab/>
      </w:r>
      <w:r w:rsidR="00D46F90" w:rsidRPr="00057B94">
        <w:t xml:space="preserve">Promote action to minimize the adverse impacts and maximize the positive impacts of the implementation of response measures. </w:t>
      </w:r>
    </w:p>
    <w:p w14:paraId="7A1924DA" w14:textId="315DB123" w:rsidR="00D46F90" w:rsidRPr="00057B94" w:rsidRDefault="00360174" w:rsidP="00360174">
      <w:pPr>
        <w:keepNext/>
        <w:keepLines/>
        <w:tabs>
          <w:tab w:val="left" w:pos="1135"/>
        </w:tabs>
        <w:spacing w:before="360" w:after="240" w:line="300" w:lineRule="exact"/>
        <w:ind w:left="1135" w:right="1134" w:hanging="284"/>
        <w:rPr>
          <w:b/>
          <w:sz w:val="28"/>
        </w:rPr>
      </w:pPr>
      <w:r w:rsidRPr="00057B94">
        <w:rPr>
          <w:b/>
          <w:sz w:val="28"/>
        </w:rPr>
        <w:t>II.</w:t>
      </w:r>
      <w:r w:rsidRPr="00057B94">
        <w:rPr>
          <w:b/>
          <w:sz w:val="28"/>
        </w:rPr>
        <w:tab/>
      </w:r>
      <w:r w:rsidR="00D46F90" w:rsidRPr="00057B94">
        <w:rPr>
          <w:b/>
          <w:sz w:val="28"/>
        </w:rPr>
        <w:t>Work programme</w:t>
      </w:r>
    </w:p>
    <w:p w14:paraId="31A7C7B7" w14:textId="4C3F3EEC" w:rsidR="00D46F90" w:rsidRPr="00057B94" w:rsidRDefault="00360174" w:rsidP="00360174">
      <w:pPr>
        <w:pStyle w:val="RegSingleTxtG"/>
        <w:numPr>
          <w:ilvl w:val="0"/>
          <w:numId w:val="0"/>
        </w:numPr>
        <w:tabs>
          <w:tab w:val="left" w:pos="2269"/>
        </w:tabs>
        <w:ind w:left="1134"/>
      </w:pPr>
      <w:r w:rsidRPr="00057B94">
        <w:t>2.</w:t>
      </w:r>
      <w:r w:rsidRPr="00057B94">
        <w:tab/>
      </w:r>
      <w:r w:rsidR="00D46F90" w:rsidRPr="00057B94">
        <w:t xml:space="preserve">The work programme comprises the following areas of work in order to address the concerns of all Parties, particularly developing country Parties: </w:t>
      </w:r>
    </w:p>
    <w:p w14:paraId="0CA58F86" w14:textId="689C38E3" w:rsidR="00D46F90" w:rsidRPr="00057B94" w:rsidRDefault="00360174" w:rsidP="00360174">
      <w:pPr>
        <w:pStyle w:val="RegSingleTxtG2"/>
        <w:tabs>
          <w:tab w:val="clear" w:pos="360"/>
        </w:tabs>
      </w:pPr>
      <w:r w:rsidRPr="00057B94">
        <w:rPr>
          <w:szCs w:val="28"/>
        </w:rPr>
        <w:t>(a)</w:t>
      </w:r>
      <w:r w:rsidRPr="00057B94">
        <w:rPr>
          <w:szCs w:val="28"/>
        </w:rPr>
        <w:tab/>
      </w:r>
      <w:r w:rsidR="00D46F90" w:rsidRPr="00057B94">
        <w:t>Economic diversification and transformation;</w:t>
      </w:r>
    </w:p>
    <w:p w14:paraId="467FCB91" w14:textId="31822397" w:rsidR="00D46F90" w:rsidRPr="00057B94" w:rsidRDefault="00360174" w:rsidP="00360174">
      <w:pPr>
        <w:pStyle w:val="RegSingleTxtG2"/>
        <w:tabs>
          <w:tab w:val="clear" w:pos="360"/>
        </w:tabs>
      </w:pPr>
      <w:r w:rsidRPr="00057B94">
        <w:rPr>
          <w:szCs w:val="28"/>
        </w:rPr>
        <w:t>(b)</w:t>
      </w:r>
      <w:r w:rsidRPr="00057B94">
        <w:rPr>
          <w:szCs w:val="28"/>
        </w:rPr>
        <w:tab/>
      </w:r>
      <w:r w:rsidR="00D46F90" w:rsidRPr="00057B94">
        <w:t>Just transition of the workforce and the creation of decent work and quality jobs;</w:t>
      </w:r>
    </w:p>
    <w:p w14:paraId="2FB142E2" w14:textId="7940441E" w:rsidR="00D46F90" w:rsidRPr="00057B94" w:rsidRDefault="00360174" w:rsidP="00360174">
      <w:pPr>
        <w:pStyle w:val="RegSingleTxtG2"/>
        <w:tabs>
          <w:tab w:val="clear" w:pos="360"/>
        </w:tabs>
      </w:pPr>
      <w:r w:rsidRPr="00057B94">
        <w:rPr>
          <w:szCs w:val="28"/>
        </w:rPr>
        <w:t>(c)</w:t>
      </w:r>
      <w:r w:rsidRPr="00057B94">
        <w:rPr>
          <w:szCs w:val="28"/>
        </w:rPr>
        <w:tab/>
      </w:r>
      <w:r w:rsidR="00D46F90" w:rsidRPr="00057B94">
        <w:t>Assessing and analysing the impacts of the implementation of response measures;</w:t>
      </w:r>
    </w:p>
    <w:p w14:paraId="3E5F9D56" w14:textId="552EA36C" w:rsidR="00D46F90" w:rsidRPr="00057B94" w:rsidRDefault="00360174" w:rsidP="00360174">
      <w:pPr>
        <w:pStyle w:val="RegSingleTxtG2"/>
        <w:tabs>
          <w:tab w:val="clear" w:pos="360"/>
        </w:tabs>
      </w:pPr>
      <w:r w:rsidRPr="00057B94">
        <w:rPr>
          <w:szCs w:val="28"/>
        </w:rPr>
        <w:t>(d)</w:t>
      </w:r>
      <w:r w:rsidRPr="00057B94">
        <w:rPr>
          <w:szCs w:val="28"/>
        </w:rPr>
        <w:tab/>
      </w:r>
      <w:r w:rsidR="00D46F90" w:rsidRPr="00057B94">
        <w:t>Facilitating the development of tools and methodologies to assess the impacts of the implementation of response measures.</w:t>
      </w:r>
    </w:p>
    <w:p w14:paraId="7523BFC9" w14:textId="2C04F4C3" w:rsidR="00D46F90" w:rsidRPr="00057B94" w:rsidRDefault="00360174" w:rsidP="00360174">
      <w:pPr>
        <w:keepNext/>
        <w:keepLines/>
        <w:tabs>
          <w:tab w:val="left" w:pos="1135"/>
        </w:tabs>
        <w:spacing w:before="360" w:after="240" w:line="300" w:lineRule="exact"/>
        <w:ind w:left="1135" w:right="1134" w:hanging="284"/>
        <w:rPr>
          <w:b/>
          <w:sz w:val="28"/>
        </w:rPr>
      </w:pPr>
      <w:r w:rsidRPr="00057B94">
        <w:rPr>
          <w:b/>
          <w:sz w:val="28"/>
        </w:rPr>
        <w:lastRenderedPageBreak/>
        <w:t>III.</w:t>
      </w:r>
      <w:r w:rsidRPr="00057B94">
        <w:rPr>
          <w:b/>
          <w:sz w:val="28"/>
        </w:rPr>
        <w:tab/>
      </w:r>
      <w:r w:rsidR="00D46F90" w:rsidRPr="00057B94">
        <w:rPr>
          <w:b/>
          <w:sz w:val="28"/>
        </w:rPr>
        <w:t>Modalities</w:t>
      </w:r>
    </w:p>
    <w:p w14:paraId="77817029" w14:textId="45DC35B3" w:rsidR="00D46F90" w:rsidRPr="00057B94" w:rsidRDefault="00360174" w:rsidP="00360174">
      <w:pPr>
        <w:pStyle w:val="RegSingleTxtG"/>
        <w:numPr>
          <w:ilvl w:val="0"/>
          <w:numId w:val="0"/>
        </w:numPr>
        <w:tabs>
          <w:tab w:val="left" w:pos="2269"/>
        </w:tabs>
        <w:ind w:left="1134"/>
      </w:pPr>
      <w:r w:rsidRPr="00057B94">
        <w:t>3.</w:t>
      </w:r>
      <w:r w:rsidRPr="00057B94">
        <w:tab/>
      </w:r>
      <w:r w:rsidR="00D46F90" w:rsidRPr="00057B94">
        <w:t xml:space="preserve">The forum shall meet twice a year in conjunction with the sessions of the subsidiary bodies and will be convened under a joint agenda item of the subsidiary bodies and operate in accordance with the procedures applicable to contact groups. </w:t>
      </w:r>
    </w:p>
    <w:p w14:paraId="3BB8D5B2" w14:textId="270A012F" w:rsidR="00D46F90" w:rsidRPr="00057B94" w:rsidRDefault="00360174" w:rsidP="00360174">
      <w:pPr>
        <w:pStyle w:val="RegSingleTxtG"/>
        <w:numPr>
          <w:ilvl w:val="0"/>
          <w:numId w:val="0"/>
        </w:numPr>
        <w:ind w:left="1134"/>
      </w:pPr>
      <w:r w:rsidRPr="00057B94">
        <w:t>4.</w:t>
      </w:r>
      <w:r w:rsidRPr="00057B94">
        <w:tab/>
      </w:r>
      <w:r w:rsidR="00D46F90" w:rsidRPr="00057B94">
        <w:t xml:space="preserve">The Katowice Committee of Experts on the Impacts of the Implementation of Response Measures (KCI) shall support the forum on the impact of the implementation of response measures to implement its work programme and shall operate in accordance with </w:t>
      </w:r>
      <w:r w:rsidR="0088629B" w:rsidRPr="00057B94">
        <w:t xml:space="preserve">the </w:t>
      </w:r>
      <w:r w:rsidR="00D46F90" w:rsidRPr="00057B94">
        <w:t>following terms of reference:</w:t>
      </w:r>
    </w:p>
    <w:p w14:paraId="3CEAF0CB" w14:textId="35BCCCCF" w:rsidR="00D46F90" w:rsidRPr="00057B94" w:rsidRDefault="00360174" w:rsidP="00360174">
      <w:pPr>
        <w:tabs>
          <w:tab w:val="left" w:pos="1702"/>
        </w:tabs>
        <w:spacing w:after="120"/>
        <w:ind w:left="1134" w:right="1134" w:firstLine="567"/>
        <w:jc w:val="both"/>
      </w:pPr>
      <w:r w:rsidRPr="00057B94">
        <w:rPr>
          <w:szCs w:val="28"/>
        </w:rPr>
        <w:t>(a)</w:t>
      </w:r>
      <w:r w:rsidRPr="00057B94">
        <w:rPr>
          <w:szCs w:val="28"/>
        </w:rPr>
        <w:tab/>
      </w:r>
      <w:r w:rsidR="00D46F90" w:rsidRPr="00057B94">
        <w:t xml:space="preserve">The KCI shall meet twice a year, for two days per meeting, in conjunction with the meetings of the subsidiary bodies; </w:t>
      </w:r>
    </w:p>
    <w:p w14:paraId="1C248180" w14:textId="1F6661A5" w:rsidR="00D46F90" w:rsidRPr="00057B94" w:rsidRDefault="00360174" w:rsidP="00360174">
      <w:pPr>
        <w:tabs>
          <w:tab w:val="left" w:pos="1702"/>
        </w:tabs>
        <w:spacing w:after="120"/>
        <w:ind w:left="1134" w:right="1134" w:firstLine="567"/>
        <w:jc w:val="both"/>
      </w:pPr>
      <w:r w:rsidRPr="00057B94">
        <w:rPr>
          <w:szCs w:val="28"/>
        </w:rPr>
        <w:t>(b)</w:t>
      </w:r>
      <w:r w:rsidRPr="00057B94">
        <w:rPr>
          <w:szCs w:val="28"/>
        </w:rPr>
        <w:tab/>
      </w:r>
      <w:r w:rsidR="00D46F90" w:rsidRPr="00057B94">
        <w:t xml:space="preserve">The KCI shall be composed of 14 members, with two members from each of the five United Nations regional groups, one member from the least developed countries, one member from the small island developing States and two members from relevant intergovernmental organizations; </w:t>
      </w:r>
    </w:p>
    <w:p w14:paraId="3F88D89A" w14:textId="4B26826D" w:rsidR="00D46F90" w:rsidRPr="00057B94" w:rsidRDefault="00360174" w:rsidP="00360174">
      <w:pPr>
        <w:tabs>
          <w:tab w:val="left" w:pos="1702"/>
        </w:tabs>
        <w:spacing w:after="120"/>
        <w:ind w:left="1134" w:right="1134" w:firstLine="567"/>
        <w:jc w:val="both"/>
      </w:pPr>
      <w:r w:rsidRPr="00057B94">
        <w:rPr>
          <w:szCs w:val="28"/>
        </w:rPr>
        <w:t>(c)</w:t>
      </w:r>
      <w:r w:rsidRPr="00057B94">
        <w:rPr>
          <w:szCs w:val="28"/>
        </w:rPr>
        <w:tab/>
      </w:r>
      <w:r w:rsidR="00D46F90" w:rsidRPr="00057B94">
        <w:t xml:space="preserve">Members shall serve in their expert capacity and should have relevant qualifications and expertise in the technical and socioeconomic fields related to the areas of the work programme of the forum; </w:t>
      </w:r>
    </w:p>
    <w:p w14:paraId="7FEA6242" w14:textId="2CBF8A39" w:rsidR="00D46F90" w:rsidRPr="00057B94" w:rsidRDefault="00360174" w:rsidP="00360174">
      <w:pPr>
        <w:pStyle w:val="RegSingleTxtG2"/>
        <w:tabs>
          <w:tab w:val="clear" w:pos="360"/>
        </w:tabs>
      </w:pPr>
      <w:r w:rsidRPr="00057B94">
        <w:rPr>
          <w:szCs w:val="28"/>
        </w:rPr>
        <w:t>(d)</w:t>
      </w:r>
      <w:r w:rsidRPr="00057B94">
        <w:rPr>
          <w:szCs w:val="28"/>
        </w:rPr>
        <w:tab/>
      </w:r>
      <w:r w:rsidR="00D46F90" w:rsidRPr="00057B94">
        <w:t>Members identified in paragraph 4(b) above shall be nominated by their respective groups. The Chairs of the Subsidiary Body for Implementation</w:t>
      </w:r>
      <w:r w:rsidR="00D46F90" w:rsidRPr="00057B94" w:rsidDel="009E6850">
        <w:t xml:space="preserve"> </w:t>
      </w:r>
      <w:r w:rsidR="00D46F90" w:rsidRPr="00057B94">
        <w:t>and the Subsidiary Body for Scientific and Technological Advice</w:t>
      </w:r>
      <w:r w:rsidR="00D46F90" w:rsidRPr="00057B94" w:rsidDel="009E6850">
        <w:t xml:space="preserve"> </w:t>
      </w:r>
      <w:r w:rsidR="00D46F90" w:rsidRPr="00057B94">
        <w:t xml:space="preserve">shall be notified of these appointments; </w:t>
      </w:r>
    </w:p>
    <w:p w14:paraId="5DC887C5" w14:textId="69423A32" w:rsidR="00D46F90" w:rsidRPr="00057B94" w:rsidRDefault="00360174" w:rsidP="00360174">
      <w:pPr>
        <w:tabs>
          <w:tab w:val="left" w:pos="1702"/>
        </w:tabs>
        <w:spacing w:after="120"/>
        <w:ind w:left="1134" w:right="1134" w:firstLine="567"/>
        <w:jc w:val="both"/>
      </w:pPr>
      <w:r w:rsidRPr="00057B94">
        <w:rPr>
          <w:szCs w:val="28"/>
        </w:rPr>
        <w:t>(e)</w:t>
      </w:r>
      <w:r w:rsidRPr="00057B94">
        <w:rPr>
          <w:szCs w:val="28"/>
        </w:rPr>
        <w:tab/>
      </w:r>
      <w:r w:rsidR="00D46F90" w:rsidRPr="00057B94">
        <w:t xml:space="preserve">Members identified in paragraph 4(b) </w:t>
      </w:r>
      <w:r w:rsidR="001D7E86" w:rsidRPr="00057B94">
        <w:t xml:space="preserve">above </w:t>
      </w:r>
      <w:r w:rsidR="00D46F90" w:rsidRPr="00057B94">
        <w:t>shall serve a term of two years and shall be eligible to serve a maximum of two consecutive terms in office;</w:t>
      </w:r>
    </w:p>
    <w:p w14:paraId="710D6BE7" w14:textId="278D0D41" w:rsidR="00D46F90" w:rsidRPr="00057B94" w:rsidRDefault="00360174" w:rsidP="00360174">
      <w:pPr>
        <w:tabs>
          <w:tab w:val="left" w:pos="1702"/>
        </w:tabs>
        <w:spacing w:after="120"/>
        <w:ind w:left="1134" w:right="1134" w:firstLine="567"/>
        <w:jc w:val="both"/>
      </w:pPr>
      <w:r w:rsidRPr="00057B94">
        <w:rPr>
          <w:szCs w:val="28"/>
        </w:rPr>
        <w:t>(f)</w:t>
      </w:r>
      <w:r w:rsidRPr="00057B94">
        <w:rPr>
          <w:szCs w:val="28"/>
        </w:rPr>
        <w:tab/>
      </w:r>
      <w:r w:rsidR="00D46F90" w:rsidRPr="00057B94">
        <w:t>The KCI shall elect, on a consensus basis, two members from among its members identified in paragraph 4(b) above to serve as Co-</w:t>
      </w:r>
      <w:r w:rsidR="001D7E86" w:rsidRPr="00057B94">
        <w:t>C</w:t>
      </w:r>
      <w:r w:rsidR="00D46F90" w:rsidRPr="00057B94">
        <w:t xml:space="preserve">hairs for a term of two years each, taking into account the need to ensure equitable geographical representation; </w:t>
      </w:r>
    </w:p>
    <w:p w14:paraId="2AF166DE" w14:textId="5E70C6F2" w:rsidR="00D46F90" w:rsidRPr="00057B94" w:rsidRDefault="00360174" w:rsidP="00360174">
      <w:pPr>
        <w:tabs>
          <w:tab w:val="left" w:pos="1702"/>
        </w:tabs>
        <w:spacing w:after="120"/>
        <w:ind w:left="1134" w:right="1134" w:firstLine="567"/>
        <w:jc w:val="both"/>
      </w:pPr>
      <w:r w:rsidRPr="00057B94">
        <w:rPr>
          <w:szCs w:val="28"/>
        </w:rPr>
        <w:t>(g)</w:t>
      </w:r>
      <w:r w:rsidRPr="00057B94">
        <w:rPr>
          <w:szCs w:val="28"/>
        </w:rPr>
        <w:tab/>
      </w:r>
      <w:r w:rsidR="00D46F90" w:rsidRPr="00057B94">
        <w:t>If one of the Co-</w:t>
      </w:r>
      <w:r w:rsidR="004B5735" w:rsidRPr="00057B94">
        <w:t>C</w:t>
      </w:r>
      <w:r w:rsidR="00D46F90" w:rsidRPr="00057B94">
        <w:t>hair</w:t>
      </w:r>
      <w:r w:rsidR="000E0EAC" w:rsidRPr="00057B94">
        <w:t>s</w:t>
      </w:r>
      <w:r w:rsidR="00D46F90" w:rsidRPr="00057B94">
        <w:t xml:space="preserve"> is temporarily unable to fulfil the obligations of the office, any other member designated by the KCI shall serve as Co-Chair; </w:t>
      </w:r>
    </w:p>
    <w:p w14:paraId="0A04267F" w14:textId="7D05B153" w:rsidR="00D46F90" w:rsidRPr="00057B94" w:rsidRDefault="00360174" w:rsidP="00360174">
      <w:pPr>
        <w:tabs>
          <w:tab w:val="left" w:pos="1702"/>
        </w:tabs>
        <w:spacing w:after="120"/>
        <w:ind w:left="1134" w:right="1134" w:firstLine="567"/>
        <w:jc w:val="both"/>
      </w:pPr>
      <w:r w:rsidRPr="00057B94">
        <w:rPr>
          <w:szCs w:val="28"/>
        </w:rPr>
        <w:t>(h)</w:t>
      </w:r>
      <w:r w:rsidRPr="00057B94">
        <w:rPr>
          <w:szCs w:val="28"/>
        </w:rPr>
        <w:tab/>
      </w:r>
      <w:r w:rsidR="00D46F90" w:rsidRPr="00057B94">
        <w:t>Meetings of the KCI shall be open to attendance</w:t>
      </w:r>
      <w:r w:rsidR="004B5735" w:rsidRPr="00057B94">
        <w:t>,</w:t>
      </w:r>
      <w:r w:rsidR="00D46F90" w:rsidRPr="00057B94">
        <w:t xml:space="preserve"> as observers, by all Parties and accredited observer organizations unless otherwise decided by the KCI;</w:t>
      </w:r>
    </w:p>
    <w:p w14:paraId="5C45936D" w14:textId="6BB43FEF" w:rsidR="00D46F90" w:rsidRPr="00057B94" w:rsidRDefault="00360174" w:rsidP="00360174">
      <w:pPr>
        <w:tabs>
          <w:tab w:val="left" w:pos="1702"/>
        </w:tabs>
        <w:spacing w:after="120"/>
        <w:ind w:left="1134" w:right="1134" w:firstLine="567"/>
        <w:jc w:val="both"/>
      </w:pPr>
      <w:r w:rsidRPr="00057B94">
        <w:rPr>
          <w:szCs w:val="28"/>
        </w:rPr>
        <w:t>(i)</w:t>
      </w:r>
      <w:r w:rsidRPr="00057B94">
        <w:rPr>
          <w:szCs w:val="28"/>
        </w:rPr>
        <w:tab/>
      </w:r>
      <w:r w:rsidR="00D46F90" w:rsidRPr="00057B94">
        <w:t xml:space="preserve">The KCI shall operate on the basis of consensus of its members; </w:t>
      </w:r>
    </w:p>
    <w:p w14:paraId="7435ACC3" w14:textId="6E1D0E23" w:rsidR="00D46F90" w:rsidRPr="00057B94" w:rsidRDefault="00360174" w:rsidP="00360174">
      <w:pPr>
        <w:pStyle w:val="RegSingleTxtG2"/>
        <w:tabs>
          <w:tab w:val="clear" w:pos="360"/>
        </w:tabs>
      </w:pPr>
      <w:r w:rsidRPr="00057B94">
        <w:rPr>
          <w:szCs w:val="28"/>
        </w:rPr>
        <w:t>(j)</w:t>
      </w:r>
      <w:r w:rsidRPr="00057B94">
        <w:rPr>
          <w:szCs w:val="28"/>
        </w:rPr>
        <w:tab/>
      </w:r>
      <w:r w:rsidR="00D46F90" w:rsidRPr="00057B94">
        <w:t xml:space="preserve">Members of the KCI shall prepare an annual report for the forum to consider with </w:t>
      </w:r>
      <w:r w:rsidR="008E4B2E" w:rsidRPr="00057B94">
        <w:t>a</w:t>
      </w:r>
      <w:r w:rsidR="00D46F90" w:rsidRPr="00057B94">
        <w:t xml:space="preserve"> view to making recommendations to the Conference of the Parties, the Conference of the Parties serving as the meeting of the Parties to the Kyoto Protocol and the Conference of the Parties serving as the meeting of the Parties to the Paris Agreement. </w:t>
      </w:r>
    </w:p>
    <w:p w14:paraId="4A31B1D2" w14:textId="6D51970F" w:rsidR="00D46F90" w:rsidRPr="00057B94" w:rsidRDefault="00360174" w:rsidP="00360174">
      <w:pPr>
        <w:tabs>
          <w:tab w:val="left" w:pos="1701"/>
        </w:tabs>
        <w:spacing w:after="120"/>
        <w:ind w:left="1134" w:right="1134"/>
        <w:jc w:val="both"/>
      </w:pPr>
      <w:r w:rsidRPr="00057B94">
        <w:t>5.</w:t>
      </w:r>
      <w:r w:rsidRPr="00057B94">
        <w:tab/>
      </w:r>
      <w:r w:rsidR="00D46F90" w:rsidRPr="00057B94">
        <w:t xml:space="preserve">The forum and </w:t>
      </w:r>
      <w:r w:rsidR="004B5735" w:rsidRPr="00057B94">
        <w:t xml:space="preserve">the </w:t>
      </w:r>
      <w:r w:rsidR="00D46F90" w:rsidRPr="00057B94">
        <w:t>KCI may use the following modalities, as appropriate and as decided on a case-by-case basis, in order to carry out the work programme of the forum:</w:t>
      </w:r>
    </w:p>
    <w:p w14:paraId="6F7F9E3A" w14:textId="65BBB668" w:rsidR="00D46F90" w:rsidRPr="00057B94" w:rsidRDefault="00360174" w:rsidP="00360174">
      <w:pPr>
        <w:tabs>
          <w:tab w:val="left" w:pos="1702"/>
        </w:tabs>
        <w:spacing w:after="120"/>
        <w:ind w:left="1134" w:right="1134" w:firstLine="567"/>
        <w:jc w:val="both"/>
      </w:pPr>
      <w:r w:rsidRPr="00057B94">
        <w:rPr>
          <w:szCs w:val="28"/>
        </w:rPr>
        <w:t>(a)</w:t>
      </w:r>
      <w:r w:rsidRPr="00057B94">
        <w:rPr>
          <w:szCs w:val="28"/>
        </w:rPr>
        <w:tab/>
      </w:r>
      <w:r w:rsidR="00D46F90" w:rsidRPr="00057B94">
        <w:t>Building awareness and enhancing information-sharing through the exchange and sharing of experience and best practices;</w:t>
      </w:r>
    </w:p>
    <w:p w14:paraId="0DE60837" w14:textId="13B36F26" w:rsidR="00D46F90" w:rsidRPr="00057B94" w:rsidRDefault="00360174" w:rsidP="00360174">
      <w:pPr>
        <w:tabs>
          <w:tab w:val="left" w:pos="1702"/>
        </w:tabs>
        <w:spacing w:after="120"/>
        <w:ind w:left="1134" w:right="1134" w:firstLine="567"/>
        <w:jc w:val="both"/>
      </w:pPr>
      <w:r w:rsidRPr="00057B94">
        <w:rPr>
          <w:szCs w:val="28"/>
        </w:rPr>
        <w:t>(b)</w:t>
      </w:r>
      <w:r w:rsidRPr="00057B94">
        <w:rPr>
          <w:szCs w:val="28"/>
        </w:rPr>
        <w:tab/>
      </w:r>
      <w:r w:rsidR="00D46F90" w:rsidRPr="00057B94">
        <w:t>Preparing technical papers, case studies, concrete examples and guidelines;</w:t>
      </w:r>
    </w:p>
    <w:p w14:paraId="2878D63B" w14:textId="53A24810" w:rsidR="00024713" w:rsidRPr="00057B94" w:rsidRDefault="00360174" w:rsidP="00360174">
      <w:pPr>
        <w:tabs>
          <w:tab w:val="left" w:pos="1702"/>
        </w:tabs>
        <w:spacing w:after="120"/>
        <w:ind w:left="1134" w:right="1134" w:firstLine="567"/>
        <w:jc w:val="both"/>
      </w:pPr>
      <w:r w:rsidRPr="00057B94">
        <w:rPr>
          <w:szCs w:val="28"/>
        </w:rPr>
        <w:t>(c)</w:t>
      </w:r>
      <w:r w:rsidRPr="00057B94">
        <w:rPr>
          <w:szCs w:val="28"/>
        </w:rPr>
        <w:tab/>
      </w:r>
      <w:r w:rsidR="00D46F90" w:rsidRPr="00057B94">
        <w:t>Receiving input from experts, practitioners and relevant organizations;</w:t>
      </w:r>
    </w:p>
    <w:p w14:paraId="71223700" w14:textId="378064A8" w:rsidR="00D46F90" w:rsidRPr="00057B94" w:rsidRDefault="00360174" w:rsidP="00360174">
      <w:pPr>
        <w:tabs>
          <w:tab w:val="left" w:pos="1702"/>
        </w:tabs>
        <w:spacing w:after="120"/>
        <w:ind w:left="1134" w:right="1134" w:firstLine="567"/>
        <w:jc w:val="both"/>
      </w:pPr>
      <w:r w:rsidRPr="00057B94">
        <w:rPr>
          <w:szCs w:val="28"/>
        </w:rPr>
        <w:t>(d)</w:t>
      </w:r>
      <w:r w:rsidRPr="00057B94">
        <w:rPr>
          <w:szCs w:val="28"/>
        </w:rPr>
        <w:tab/>
      </w:r>
      <w:r w:rsidR="00D46F90" w:rsidRPr="00057B94">
        <w:t>Organizing workshops.</w:t>
      </w:r>
    </w:p>
    <w:p w14:paraId="2846A266" w14:textId="51923456" w:rsidR="001D1A4C" w:rsidRPr="00057B94" w:rsidRDefault="001D1A4C" w:rsidP="001D1A4C">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00924076" w:rsidRPr="00057B94">
        <w:rPr>
          <w:i/>
          <w:lang w:eastAsia="en-US"/>
        </w:rPr>
        <w:t xml:space="preserve"> </w:t>
      </w:r>
      <w:r w:rsidRPr="00057B94">
        <w:rPr>
          <w:i/>
          <w:lang w:eastAsia="en-US"/>
        </w:rPr>
        <w:t>plenary meeting</w:t>
      </w:r>
    </w:p>
    <w:p w14:paraId="0E3A4572" w14:textId="38D0FE8B" w:rsidR="001D1A4C" w:rsidRPr="00057B94" w:rsidRDefault="001D1A4C" w:rsidP="001D1A4C">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 2018</w:t>
      </w:r>
    </w:p>
    <w:p w14:paraId="2B95AE26" w14:textId="77777777" w:rsidR="001D1A4C" w:rsidRPr="00057B94" w:rsidRDefault="001D1A4C" w:rsidP="001D1A4C">
      <w:pPr>
        <w:pStyle w:val="RegSingleTxtG"/>
        <w:numPr>
          <w:ilvl w:val="0"/>
          <w:numId w:val="0"/>
        </w:numPr>
        <w:ind w:left="1135"/>
      </w:pPr>
    </w:p>
    <w:p w14:paraId="358D8EBF" w14:textId="68985561" w:rsidR="001D1A4C" w:rsidRPr="00057B94" w:rsidRDefault="001D1A4C" w:rsidP="00FB634B">
      <w:pPr>
        <w:sectPr w:rsidR="001D1A4C" w:rsidRPr="00057B94" w:rsidSect="003B6D2B">
          <w:footnotePr>
            <w:numRestart w:val="eachSect"/>
          </w:footnotePr>
          <w:pgSz w:w="11906" w:h="16838" w:code="9"/>
          <w:pgMar w:top="1418" w:right="1134" w:bottom="1134" w:left="1134" w:header="851" w:footer="567" w:gutter="0"/>
          <w:cols w:space="708"/>
          <w:docGrid w:linePitch="360"/>
        </w:sectPr>
      </w:pPr>
    </w:p>
    <w:p w14:paraId="5BC98FD7" w14:textId="23EEC02E" w:rsidR="00FB634B" w:rsidRPr="00057B94" w:rsidRDefault="00FB634B" w:rsidP="00034A83">
      <w:pPr>
        <w:pStyle w:val="HChG"/>
        <w:keepNext w:val="0"/>
        <w:keepLines w:val="0"/>
        <w:pageBreakBefore/>
        <w:widowControl w:val="0"/>
        <w:spacing w:before="120"/>
        <w:ind w:firstLine="0"/>
        <w:rPr>
          <w:bCs/>
        </w:rPr>
      </w:pPr>
      <w:bookmarkStart w:id="11" w:name="D8"/>
      <w:r w:rsidRPr="00057B94">
        <w:rPr>
          <w:bCs/>
        </w:rPr>
        <w:lastRenderedPageBreak/>
        <w:t xml:space="preserve">Decision </w:t>
      </w:r>
      <w:r w:rsidR="00AB1981" w:rsidRPr="00057B94">
        <w:rPr>
          <w:bCs/>
        </w:rPr>
        <w:t>8</w:t>
      </w:r>
      <w:r w:rsidRPr="00057B94">
        <w:rPr>
          <w:bCs/>
        </w:rPr>
        <w:t>/CMA.1</w:t>
      </w:r>
      <w:bookmarkEnd w:id="11"/>
    </w:p>
    <w:p w14:paraId="0D604E9A" w14:textId="7DFA9049" w:rsidR="00FB634B" w:rsidRPr="00057B94" w:rsidRDefault="00FB634B" w:rsidP="00FB634B">
      <w:pPr>
        <w:pStyle w:val="HChG"/>
      </w:pPr>
      <w:r w:rsidRPr="00057B94">
        <w:tab/>
      </w:r>
      <w:r w:rsidRPr="00057B94">
        <w:tab/>
        <w:t>Matters relating to Article 6 of the Paris Agreement and paragraphs 36–40 of decision 1/CP.21</w:t>
      </w:r>
    </w:p>
    <w:p w14:paraId="2BC61A15" w14:textId="77777777" w:rsidR="001D1A4C" w:rsidRPr="00057B94" w:rsidRDefault="001D1A4C" w:rsidP="001D1A4C">
      <w:pPr>
        <w:ind w:left="1134" w:right="1133" w:firstLine="567"/>
        <w:rPr>
          <w:i/>
        </w:rPr>
      </w:pPr>
      <w:r w:rsidRPr="00057B94">
        <w:rPr>
          <w:i/>
        </w:rPr>
        <w:t>The Conference of the Parties serving as the meeting of the Parties to the Paris Agreement</w:t>
      </w:r>
      <w:r w:rsidRPr="00057B94">
        <w:t>,</w:t>
      </w:r>
    </w:p>
    <w:p w14:paraId="69E359DD" w14:textId="77777777" w:rsidR="001D1A4C" w:rsidRPr="00057B94" w:rsidRDefault="001D1A4C" w:rsidP="001D1A4C">
      <w:pPr>
        <w:spacing w:before="120"/>
        <w:ind w:left="1134" w:right="1174" w:firstLine="567"/>
      </w:pPr>
      <w:r w:rsidRPr="00057B94">
        <w:rPr>
          <w:i/>
        </w:rPr>
        <w:t>Recalling</w:t>
      </w:r>
      <w:r w:rsidRPr="00057B94">
        <w:t xml:space="preserve"> Article 6, paragraphs 2, 4 and 8, of the Paris Agreement,</w:t>
      </w:r>
    </w:p>
    <w:p w14:paraId="51FB6301" w14:textId="77777777" w:rsidR="001D1A4C" w:rsidRPr="00057B94" w:rsidRDefault="001D1A4C" w:rsidP="001D1A4C">
      <w:pPr>
        <w:spacing w:before="120" w:after="120"/>
        <w:ind w:left="1134" w:right="1174" w:firstLine="567"/>
      </w:pPr>
      <w:r w:rsidRPr="00057B94">
        <w:rPr>
          <w:i/>
        </w:rPr>
        <w:t xml:space="preserve">Also recalling </w:t>
      </w:r>
      <w:r w:rsidRPr="00057B94">
        <w:t>decision</w:t>
      </w:r>
      <w:r w:rsidRPr="00057B94">
        <w:rPr>
          <w:i/>
        </w:rPr>
        <w:t xml:space="preserve"> </w:t>
      </w:r>
      <w:r w:rsidRPr="00057B94">
        <w:t>1/CP.21, paragraphs 36–40,</w:t>
      </w:r>
    </w:p>
    <w:p w14:paraId="3411F089" w14:textId="3CD7A276" w:rsidR="001D1A4C" w:rsidRPr="00057B94" w:rsidRDefault="00360174" w:rsidP="00360174">
      <w:pPr>
        <w:pStyle w:val="RegSingleTxtG"/>
        <w:numPr>
          <w:ilvl w:val="0"/>
          <w:numId w:val="0"/>
        </w:numPr>
        <w:tabs>
          <w:tab w:val="left" w:pos="2269"/>
        </w:tabs>
        <w:ind w:left="1134"/>
      </w:pPr>
      <w:r w:rsidRPr="00057B94">
        <w:t>1.</w:t>
      </w:r>
      <w:r w:rsidRPr="00057B94">
        <w:tab/>
      </w:r>
      <w:r w:rsidR="001D1A4C" w:rsidRPr="00057B94">
        <w:rPr>
          <w:i/>
        </w:rPr>
        <w:t>Notes</w:t>
      </w:r>
      <w:r w:rsidR="001D1A4C" w:rsidRPr="00057B94">
        <w:t xml:space="preserve"> the consideration by the Subsidiary Body for Scientific and Technological Advice and the Conference of the Parties of the mandates contained in decision 1/CP.21, paragraphs 36–40;</w:t>
      </w:r>
      <w:r w:rsidR="001D1A4C" w:rsidRPr="00057B94">
        <w:rPr>
          <w:rStyle w:val="FootnoteReference"/>
        </w:rPr>
        <w:footnoteReference w:id="6"/>
      </w:r>
    </w:p>
    <w:p w14:paraId="2F458313" w14:textId="52205131" w:rsidR="001D1A4C" w:rsidRPr="00057B94" w:rsidRDefault="00360174" w:rsidP="00360174">
      <w:pPr>
        <w:pStyle w:val="RegSingleTxtG"/>
        <w:numPr>
          <w:ilvl w:val="0"/>
          <w:numId w:val="0"/>
        </w:numPr>
        <w:ind w:left="1134"/>
      </w:pPr>
      <w:r w:rsidRPr="00057B94">
        <w:t>2.</w:t>
      </w:r>
      <w:r w:rsidRPr="00057B94">
        <w:tab/>
      </w:r>
      <w:r w:rsidR="001D1A4C" w:rsidRPr="00057B94">
        <w:rPr>
          <w:i/>
        </w:rPr>
        <w:t>Also notes</w:t>
      </w:r>
      <w:r w:rsidR="001D1A4C" w:rsidRPr="00057B94">
        <w:t xml:space="preserve"> that draft decision texts on these matters</w:t>
      </w:r>
      <w:r w:rsidR="001D1A4C" w:rsidRPr="00057B94" w:rsidDel="00635171">
        <w:t xml:space="preserve"> </w:t>
      </w:r>
      <w:r w:rsidR="001D1A4C" w:rsidRPr="00057B94">
        <w:t>in the proposal by the President</w:t>
      </w:r>
      <w:r w:rsidR="001D1A4C" w:rsidRPr="00057B94">
        <w:rPr>
          <w:rStyle w:val="FootnoteReference"/>
        </w:rPr>
        <w:footnoteReference w:id="7"/>
      </w:r>
      <w:r w:rsidR="001D1A4C" w:rsidRPr="00057B94">
        <w:t xml:space="preserve"> were considered, but that Parties could not reach consensus thereon;</w:t>
      </w:r>
    </w:p>
    <w:p w14:paraId="18C23870" w14:textId="11FA807F" w:rsidR="001D1A4C" w:rsidRPr="00057B94" w:rsidRDefault="00360174" w:rsidP="00360174">
      <w:pPr>
        <w:pStyle w:val="RegSingleTxtG"/>
        <w:numPr>
          <w:ilvl w:val="0"/>
          <w:numId w:val="0"/>
        </w:numPr>
        <w:ind w:left="1134"/>
      </w:pPr>
      <w:r w:rsidRPr="00057B94">
        <w:t>3.</w:t>
      </w:r>
      <w:r w:rsidRPr="00057B94">
        <w:tab/>
      </w:r>
      <w:r w:rsidR="001D1A4C" w:rsidRPr="00057B94">
        <w:rPr>
          <w:i/>
        </w:rPr>
        <w:t>Requests</w:t>
      </w:r>
      <w:r w:rsidR="001D1A4C" w:rsidRPr="00057B94">
        <w:t xml:space="preserve"> the Subsidiary Body for Scientific and Technological Advice to continue consideration of the mandates referred to in paragraph 1 above, taking into consideration the draft decision texts referred to in paragraphs 1 and 2 above, with a view to forwarding a draft decision for consideration and adoption by the Conference of the Parties serving as the meeting of the Parties to the Paris Agreement at its second session (</w:t>
      </w:r>
      <w:r w:rsidR="000812CD">
        <w:t>December</w:t>
      </w:r>
      <w:r w:rsidR="001D1A4C" w:rsidRPr="00057B94">
        <w:t xml:space="preserve"> 2019); </w:t>
      </w:r>
    </w:p>
    <w:p w14:paraId="1356C387" w14:textId="20204B6E" w:rsidR="00FB634B" w:rsidRPr="00057B94" w:rsidRDefault="00360174" w:rsidP="00360174">
      <w:pPr>
        <w:pStyle w:val="RegSingleTxtG"/>
        <w:numPr>
          <w:ilvl w:val="0"/>
          <w:numId w:val="0"/>
        </w:numPr>
        <w:ind w:left="1134"/>
      </w:pPr>
      <w:r w:rsidRPr="00057B94">
        <w:t>4.</w:t>
      </w:r>
      <w:r w:rsidRPr="00057B94">
        <w:tab/>
      </w:r>
      <w:r w:rsidR="001D1A4C" w:rsidRPr="00057B94">
        <w:rPr>
          <w:i/>
        </w:rPr>
        <w:t>Notes</w:t>
      </w:r>
      <w:r w:rsidR="001D1A4C" w:rsidRPr="00057B94">
        <w:t xml:space="preserve"> that information provided in a structured summary referred to in decision </w:t>
      </w:r>
      <w:r w:rsidR="00645EB2" w:rsidRPr="00057B94">
        <w:t>18</w:t>
      </w:r>
      <w:r w:rsidR="001D1A4C" w:rsidRPr="00057B94">
        <w:t>/CMA.1</w:t>
      </w:r>
      <w:r w:rsidR="001D1A4C" w:rsidRPr="00057B94">
        <w:rPr>
          <w:shd w:val="clear" w:color="auto" w:fill="FFFFFF"/>
        </w:rPr>
        <w:t>,</w:t>
      </w:r>
      <w:r w:rsidR="001D1A4C" w:rsidRPr="00057B94">
        <w:t xml:space="preserve"> paragraph 77(d), is without prejudice to the outcomes on these matters.</w:t>
      </w:r>
    </w:p>
    <w:p w14:paraId="19E92DD8" w14:textId="70EEB2C3" w:rsidR="00D63483" w:rsidRPr="00057B94" w:rsidRDefault="00D63483" w:rsidP="00D63483">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00924076" w:rsidRPr="00057B94">
        <w:rPr>
          <w:i/>
          <w:lang w:eastAsia="en-US"/>
        </w:rPr>
        <w:t xml:space="preserve"> </w:t>
      </w:r>
      <w:r w:rsidRPr="00057B94">
        <w:rPr>
          <w:i/>
          <w:lang w:eastAsia="en-US"/>
        </w:rPr>
        <w:t>plenary meeting</w:t>
      </w:r>
    </w:p>
    <w:p w14:paraId="122B4062" w14:textId="21906E8B" w:rsidR="001D1A4C" w:rsidRPr="00057B94" w:rsidRDefault="00D63483" w:rsidP="00D63483">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 2018</w:t>
      </w:r>
    </w:p>
    <w:p w14:paraId="723FD024" w14:textId="77777777" w:rsidR="001D1A4C" w:rsidRPr="00057B94" w:rsidRDefault="001D1A4C" w:rsidP="00FB634B"/>
    <w:p w14:paraId="0492B1A1" w14:textId="0297BC9B" w:rsidR="001D1A4C" w:rsidRPr="00057B94" w:rsidRDefault="001D1A4C" w:rsidP="00FB634B">
      <w:pPr>
        <w:sectPr w:rsidR="001D1A4C" w:rsidRPr="00057B94" w:rsidSect="003B6D2B">
          <w:footnotePr>
            <w:numRestart w:val="eachPage"/>
          </w:footnotePr>
          <w:pgSz w:w="11906" w:h="16838" w:code="9"/>
          <w:pgMar w:top="1418" w:right="1134" w:bottom="1134" w:left="1134" w:header="851" w:footer="567" w:gutter="0"/>
          <w:cols w:space="708"/>
          <w:docGrid w:linePitch="360"/>
        </w:sectPr>
      </w:pPr>
    </w:p>
    <w:p w14:paraId="7196690E" w14:textId="184B1942" w:rsidR="00FB634B" w:rsidRPr="00057B94" w:rsidRDefault="00FB634B" w:rsidP="00034A83">
      <w:pPr>
        <w:pStyle w:val="HChG"/>
        <w:keepNext w:val="0"/>
        <w:keepLines w:val="0"/>
        <w:pageBreakBefore/>
        <w:widowControl w:val="0"/>
        <w:spacing w:before="120"/>
        <w:ind w:firstLine="0"/>
        <w:rPr>
          <w:bCs/>
        </w:rPr>
      </w:pPr>
      <w:bookmarkStart w:id="12" w:name="D9"/>
      <w:r w:rsidRPr="00057B94">
        <w:rPr>
          <w:bCs/>
        </w:rPr>
        <w:lastRenderedPageBreak/>
        <w:t xml:space="preserve">Decision </w:t>
      </w:r>
      <w:r w:rsidR="00AB1981" w:rsidRPr="00057B94">
        <w:rPr>
          <w:bCs/>
        </w:rPr>
        <w:t>9</w:t>
      </w:r>
      <w:r w:rsidRPr="00057B94">
        <w:rPr>
          <w:bCs/>
        </w:rPr>
        <w:t>/CMA.1</w:t>
      </w:r>
      <w:bookmarkEnd w:id="12"/>
    </w:p>
    <w:p w14:paraId="3CDC462B" w14:textId="16450DA9" w:rsidR="00FB634B" w:rsidRPr="00057B94" w:rsidRDefault="00FB634B" w:rsidP="00FB634B">
      <w:pPr>
        <w:pStyle w:val="HChG"/>
      </w:pPr>
      <w:r w:rsidRPr="00057B94">
        <w:tab/>
      </w:r>
      <w:r w:rsidRPr="00057B94">
        <w:tab/>
        <w:t xml:space="preserve">Further guidance in relation to the adaptation communication, including, inter alia, as a component of nationally determined contributions, referred to in Article 7, paragraphs 10 and </w:t>
      </w:r>
      <w:proofErr w:type="gramStart"/>
      <w:r w:rsidRPr="00057B94">
        <w:t>11,</w:t>
      </w:r>
      <w:proofErr w:type="gramEnd"/>
      <w:r w:rsidRPr="00057B94">
        <w:t xml:space="preserve"> of the Paris Agreement</w:t>
      </w:r>
    </w:p>
    <w:p w14:paraId="4A8F2BDD" w14:textId="77777777" w:rsidR="0088358F" w:rsidRPr="00057B94" w:rsidRDefault="0088358F" w:rsidP="0088358F">
      <w:pPr>
        <w:spacing w:before="120"/>
        <w:ind w:left="1134" w:right="1174" w:firstLine="567"/>
        <w:rPr>
          <w:i/>
        </w:rPr>
      </w:pPr>
      <w:r w:rsidRPr="00057B94">
        <w:rPr>
          <w:i/>
        </w:rPr>
        <w:t>The Conference of the Parties serving as the meeting of the Parties to the Paris Agreement</w:t>
      </w:r>
      <w:r w:rsidRPr="00057B94">
        <w:t>,</w:t>
      </w:r>
    </w:p>
    <w:p w14:paraId="7192A5E2" w14:textId="77777777" w:rsidR="0088358F" w:rsidRPr="00057B94" w:rsidRDefault="0088358F" w:rsidP="0088358F">
      <w:pPr>
        <w:spacing w:before="120"/>
        <w:ind w:left="1134" w:right="1174" w:firstLine="567"/>
      </w:pPr>
      <w:r w:rsidRPr="00057B94">
        <w:rPr>
          <w:i/>
        </w:rPr>
        <w:tab/>
        <w:t xml:space="preserve">Recalling </w:t>
      </w:r>
      <w:r w:rsidRPr="00057B94">
        <w:t>relevant provisions of the Convention and the Paris Agreement, in particular Article 7,</w:t>
      </w:r>
    </w:p>
    <w:p w14:paraId="21F2BED2" w14:textId="77777777" w:rsidR="0088358F" w:rsidRPr="00057B94" w:rsidRDefault="0088358F" w:rsidP="0088358F">
      <w:pPr>
        <w:spacing w:before="120"/>
        <w:ind w:left="1134" w:right="1174" w:firstLine="567"/>
      </w:pPr>
      <w:r w:rsidRPr="00057B94">
        <w:rPr>
          <w:i/>
        </w:rPr>
        <w:tab/>
        <w:t xml:space="preserve">Recognizing </w:t>
      </w:r>
      <w:r w:rsidRPr="00057B94">
        <w:t xml:space="preserve">the importance of flexibility provided to Parties by Article 7, paragraphs 10 and </w:t>
      </w:r>
      <w:proofErr w:type="gramStart"/>
      <w:r w:rsidRPr="00057B94">
        <w:t>11,</w:t>
      </w:r>
      <w:proofErr w:type="gramEnd"/>
      <w:r w:rsidRPr="00057B94">
        <w:t xml:space="preserve"> of the Paris Agreement for submitting and updating the adaptation communication,</w:t>
      </w:r>
    </w:p>
    <w:p w14:paraId="788F5188" w14:textId="77777777" w:rsidR="0088358F" w:rsidRPr="00057B94" w:rsidRDefault="0088358F" w:rsidP="0088358F">
      <w:pPr>
        <w:spacing w:before="120"/>
        <w:ind w:left="1134" w:right="1174" w:firstLine="567"/>
        <w:rPr>
          <w:i/>
        </w:rPr>
      </w:pPr>
      <w:r w:rsidRPr="00057B94">
        <w:rPr>
          <w:i/>
        </w:rPr>
        <w:tab/>
        <w:t xml:space="preserve">Recalling </w:t>
      </w:r>
      <w:r w:rsidRPr="00057B94">
        <w:t>decisions 4/CP.5, 17/CP.8 and 5/CP.17,</w:t>
      </w:r>
    </w:p>
    <w:p w14:paraId="2D37C70B" w14:textId="77777777" w:rsidR="0088358F" w:rsidRPr="00057B94" w:rsidRDefault="0088358F" w:rsidP="0088358F">
      <w:pPr>
        <w:spacing w:before="120"/>
        <w:ind w:left="1134" w:right="1174" w:firstLine="567"/>
        <w:rPr>
          <w:i/>
        </w:rPr>
      </w:pPr>
      <w:r w:rsidRPr="00057B94">
        <w:rPr>
          <w:i/>
        </w:rPr>
        <w:tab/>
        <w:t xml:space="preserve">Recognizing </w:t>
      </w:r>
      <w:r w:rsidRPr="00057B94">
        <w:t>the links between adaptation and sustainable development, including the Sustainable Development Goals and the Sendai Framework for Disaster Risk Reduction 2015–2030,</w:t>
      </w:r>
      <w:r w:rsidRPr="00057B94">
        <w:rPr>
          <w:i/>
        </w:rPr>
        <w:t xml:space="preserve"> </w:t>
      </w:r>
    </w:p>
    <w:p w14:paraId="4FDBB58E" w14:textId="77777777" w:rsidR="0088358F" w:rsidRPr="00057B94" w:rsidRDefault="0088358F" w:rsidP="0088358F">
      <w:pPr>
        <w:spacing w:before="120"/>
        <w:ind w:left="1134" w:right="1174" w:firstLine="567"/>
        <w:rPr>
          <w:i/>
        </w:rPr>
      </w:pPr>
      <w:r w:rsidRPr="00057B94">
        <w:rPr>
          <w:i/>
        </w:rPr>
        <w:tab/>
        <w:t xml:space="preserve">Emphasizing </w:t>
      </w:r>
      <w:r w:rsidRPr="00057B94">
        <w:t>the intrinsic relationship that climate change actions, responses and impacts have with equitable access to sustainable development and eradication of poverty,</w:t>
      </w:r>
    </w:p>
    <w:p w14:paraId="3AD0EA25" w14:textId="77777777" w:rsidR="0088358F" w:rsidRPr="00057B94" w:rsidRDefault="0088358F" w:rsidP="0088358F">
      <w:pPr>
        <w:spacing w:before="120"/>
        <w:ind w:left="1134" w:right="1174" w:firstLine="567"/>
        <w:rPr>
          <w:i/>
        </w:rPr>
      </w:pPr>
      <w:r w:rsidRPr="00057B94">
        <w:rPr>
          <w:i/>
        </w:rPr>
        <w:tab/>
        <w:t xml:space="preserve">Recalling </w:t>
      </w:r>
      <w:r w:rsidRPr="00057B94">
        <w:t>that continuous and enhanced international support shall be provided to developing country Parties for the implementation of Article 7, paragraphs 7, 9, 10 and 11, of the Paris Agreement, in accordance with the provisions of Articles 9, 10 and 11 of the Paris Agreement,</w:t>
      </w:r>
    </w:p>
    <w:p w14:paraId="7BB353F2" w14:textId="2ED79949" w:rsidR="0088358F" w:rsidRPr="00057B94" w:rsidRDefault="00360174" w:rsidP="00360174">
      <w:pPr>
        <w:pStyle w:val="RegSingleTxtG"/>
        <w:numPr>
          <w:ilvl w:val="0"/>
          <w:numId w:val="0"/>
        </w:numPr>
        <w:spacing w:before="120"/>
        <w:ind w:left="1134"/>
      </w:pPr>
      <w:r w:rsidRPr="00057B94">
        <w:t>1.</w:t>
      </w:r>
      <w:r w:rsidRPr="00057B94">
        <w:tab/>
      </w:r>
      <w:r w:rsidR="0088358F" w:rsidRPr="00057B94">
        <w:rPr>
          <w:i/>
        </w:rPr>
        <w:t>Notes</w:t>
      </w:r>
      <w:r w:rsidR="0088358F" w:rsidRPr="00057B94">
        <w:t xml:space="preserve"> that the purpose of the adaptation communication is to:</w:t>
      </w:r>
    </w:p>
    <w:p w14:paraId="29A86832" w14:textId="20C7DF8B" w:rsidR="0088358F" w:rsidRPr="00057B94" w:rsidRDefault="00360174" w:rsidP="00360174">
      <w:pPr>
        <w:pStyle w:val="RegSingleTxtG"/>
        <w:numPr>
          <w:ilvl w:val="0"/>
          <w:numId w:val="0"/>
        </w:numPr>
        <w:ind w:left="1134" w:firstLine="567"/>
      </w:pPr>
      <w:r w:rsidRPr="00057B94">
        <w:rPr>
          <w:szCs w:val="28"/>
        </w:rPr>
        <w:t>(a)</w:t>
      </w:r>
      <w:r w:rsidRPr="00057B94">
        <w:rPr>
          <w:szCs w:val="28"/>
        </w:rPr>
        <w:tab/>
      </w:r>
      <w:r w:rsidR="0088358F" w:rsidRPr="00057B94">
        <w:t>Increase the visibility and profile of adaptation and its balance with mitigation;</w:t>
      </w:r>
    </w:p>
    <w:p w14:paraId="3CB2149D" w14:textId="3061535D" w:rsidR="0088358F" w:rsidRPr="00057B94" w:rsidRDefault="00360174" w:rsidP="00360174">
      <w:pPr>
        <w:pStyle w:val="RegSingleTxtG"/>
        <w:numPr>
          <w:ilvl w:val="0"/>
          <w:numId w:val="0"/>
        </w:numPr>
        <w:ind w:left="1134" w:firstLine="567"/>
      </w:pPr>
      <w:r w:rsidRPr="00057B94">
        <w:rPr>
          <w:szCs w:val="28"/>
        </w:rPr>
        <w:t>(b)</w:t>
      </w:r>
      <w:r w:rsidRPr="00057B94">
        <w:rPr>
          <w:szCs w:val="28"/>
        </w:rPr>
        <w:tab/>
      </w:r>
      <w:r w:rsidR="0088358F" w:rsidRPr="00057B94">
        <w:t>Strengthen adaptation action and support for developing countries;</w:t>
      </w:r>
    </w:p>
    <w:p w14:paraId="16CDABB2" w14:textId="78B41A49" w:rsidR="0088358F" w:rsidRPr="00057B94" w:rsidRDefault="00360174" w:rsidP="00360174">
      <w:pPr>
        <w:pStyle w:val="RegSingleTxtG"/>
        <w:numPr>
          <w:ilvl w:val="0"/>
          <w:numId w:val="0"/>
        </w:numPr>
        <w:ind w:left="1134" w:firstLine="567"/>
      </w:pPr>
      <w:r w:rsidRPr="00057B94">
        <w:rPr>
          <w:szCs w:val="28"/>
        </w:rPr>
        <w:t>(c)</w:t>
      </w:r>
      <w:r w:rsidRPr="00057B94">
        <w:rPr>
          <w:szCs w:val="28"/>
        </w:rPr>
        <w:tab/>
      </w:r>
      <w:r w:rsidR="0088358F" w:rsidRPr="00057B94">
        <w:t>Provide input to the global stocktake;</w:t>
      </w:r>
    </w:p>
    <w:p w14:paraId="6B408B47" w14:textId="420C9B71" w:rsidR="0088358F" w:rsidRPr="00057B94" w:rsidRDefault="00360174" w:rsidP="00360174">
      <w:pPr>
        <w:pStyle w:val="RegSingleTxtG"/>
        <w:numPr>
          <w:ilvl w:val="0"/>
          <w:numId w:val="0"/>
        </w:numPr>
        <w:ind w:left="1134" w:firstLine="567"/>
      </w:pPr>
      <w:r w:rsidRPr="00057B94">
        <w:rPr>
          <w:szCs w:val="28"/>
        </w:rPr>
        <w:t>(d)</w:t>
      </w:r>
      <w:r w:rsidRPr="00057B94">
        <w:rPr>
          <w:szCs w:val="28"/>
        </w:rPr>
        <w:tab/>
      </w:r>
      <w:r w:rsidR="0088358F" w:rsidRPr="00057B94">
        <w:t>Enhance learning and understanding of adaptation needs and actions;</w:t>
      </w:r>
    </w:p>
    <w:p w14:paraId="262C04CD" w14:textId="1159EE03" w:rsidR="0088358F" w:rsidRPr="00057B94" w:rsidRDefault="00360174" w:rsidP="00360174">
      <w:pPr>
        <w:pStyle w:val="RegSingleTxtG"/>
        <w:numPr>
          <w:ilvl w:val="0"/>
          <w:numId w:val="0"/>
        </w:numPr>
        <w:ind w:left="1134"/>
      </w:pPr>
      <w:r w:rsidRPr="00057B94">
        <w:t>2.</w:t>
      </w:r>
      <w:r w:rsidRPr="00057B94">
        <w:tab/>
      </w:r>
      <w:r w:rsidR="0088358F" w:rsidRPr="00057B94">
        <w:rPr>
          <w:i/>
        </w:rPr>
        <w:t xml:space="preserve">Decides </w:t>
      </w:r>
      <w:r w:rsidR="0088358F" w:rsidRPr="00057B94">
        <w:t xml:space="preserve">that the adaptation communication: </w:t>
      </w:r>
    </w:p>
    <w:p w14:paraId="01C0F66E" w14:textId="565EE3E7" w:rsidR="0088358F" w:rsidRPr="00057B94" w:rsidRDefault="00360174" w:rsidP="00360174">
      <w:pPr>
        <w:pStyle w:val="RegSingleTxtG2"/>
        <w:tabs>
          <w:tab w:val="clear" w:pos="360"/>
          <w:tab w:val="left" w:pos="1702"/>
        </w:tabs>
      </w:pPr>
      <w:r w:rsidRPr="00057B94">
        <w:rPr>
          <w:szCs w:val="28"/>
        </w:rPr>
        <w:t>(a)</w:t>
      </w:r>
      <w:r w:rsidRPr="00057B94">
        <w:rPr>
          <w:szCs w:val="28"/>
        </w:rPr>
        <w:tab/>
      </w:r>
      <w:r w:rsidR="0088358F" w:rsidRPr="00057B94">
        <w:t xml:space="preserve">Is country-driven and flexible, including in the choice of communication or document, as provided in Article 7, paragraphs 10 and </w:t>
      </w:r>
      <w:proofErr w:type="gramStart"/>
      <w:r w:rsidR="0088358F" w:rsidRPr="00057B94">
        <w:t>11,</w:t>
      </w:r>
      <w:proofErr w:type="gramEnd"/>
      <w:r w:rsidR="0088358F" w:rsidRPr="00057B94">
        <w:t xml:space="preserve"> of the Paris Agreement;</w:t>
      </w:r>
    </w:p>
    <w:p w14:paraId="62BA9826" w14:textId="397B9DBB" w:rsidR="0088358F" w:rsidRPr="00057B94" w:rsidRDefault="00360174" w:rsidP="00360174">
      <w:pPr>
        <w:pStyle w:val="RegSingleTxtG2"/>
        <w:tabs>
          <w:tab w:val="clear" w:pos="360"/>
          <w:tab w:val="left" w:pos="1702"/>
        </w:tabs>
      </w:pPr>
      <w:r w:rsidRPr="00057B94">
        <w:rPr>
          <w:szCs w:val="28"/>
        </w:rPr>
        <w:t>(b)</w:t>
      </w:r>
      <w:r w:rsidRPr="00057B94">
        <w:rPr>
          <w:szCs w:val="28"/>
        </w:rPr>
        <w:tab/>
      </w:r>
      <w:r w:rsidR="0088358F" w:rsidRPr="00057B94">
        <w:t xml:space="preserve">Shall not pose any additional burden on developing country Parties, is not a basis for comparison between Parties and is not subject to review; </w:t>
      </w:r>
    </w:p>
    <w:p w14:paraId="2B6BE0DF" w14:textId="61B6B647" w:rsidR="0088358F" w:rsidRPr="00057B94" w:rsidRDefault="00360174" w:rsidP="00360174">
      <w:pPr>
        <w:pStyle w:val="RegSingleTxtG"/>
        <w:numPr>
          <w:ilvl w:val="0"/>
          <w:numId w:val="0"/>
        </w:numPr>
        <w:ind w:left="1134"/>
      </w:pPr>
      <w:r w:rsidRPr="00057B94">
        <w:t>3.</w:t>
      </w:r>
      <w:r w:rsidRPr="00057B94">
        <w:tab/>
      </w:r>
      <w:r w:rsidR="0088358F" w:rsidRPr="00057B94">
        <w:rPr>
          <w:i/>
        </w:rPr>
        <w:t xml:space="preserve">Recalls </w:t>
      </w:r>
      <w:r w:rsidR="0088358F" w:rsidRPr="00057B94">
        <w:t>that, as provided in Article 7, paragraphs 10 and 11, of the Paris Agreement, each Party should, as appropriate, submit and update an adaptation communication, and that the adaptation communication shall be, as appropriate, submitted and updated periodically, as a component of or in conjunction with other communications or documents, including a national adaptation plan, a nationally determined contribution as referred to in Article 4, paragraph 2, of the Paris Agreement and/or a national communication;</w:t>
      </w:r>
    </w:p>
    <w:p w14:paraId="649E872D" w14:textId="23BE9715" w:rsidR="0088358F" w:rsidRPr="00057B94" w:rsidRDefault="00360174" w:rsidP="00360174">
      <w:pPr>
        <w:pStyle w:val="RegSingleTxtG"/>
        <w:numPr>
          <w:ilvl w:val="0"/>
          <w:numId w:val="0"/>
        </w:numPr>
        <w:ind w:left="1134"/>
      </w:pPr>
      <w:r w:rsidRPr="00057B94">
        <w:t>4.</w:t>
      </w:r>
      <w:r w:rsidRPr="00057B94">
        <w:tab/>
      </w:r>
      <w:r w:rsidR="0088358F" w:rsidRPr="00057B94">
        <w:rPr>
          <w:i/>
        </w:rPr>
        <w:t>Decides</w:t>
      </w:r>
      <w:r w:rsidR="0088358F" w:rsidRPr="00057B94">
        <w:t xml:space="preserve"> that Parties may, as appropriate, also submit and update their adaptation communication as a component of or in conjunction with the reports on impacts and adaptation as stipulated in Article 13, paragraph 8, of the Paris Agreement;</w:t>
      </w:r>
    </w:p>
    <w:p w14:paraId="30B4C415" w14:textId="50B0A534" w:rsidR="0088358F" w:rsidRPr="00057B94" w:rsidRDefault="00360174" w:rsidP="00360174">
      <w:pPr>
        <w:pStyle w:val="RegSingleTxtG"/>
        <w:numPr>
          <w:ilvl w:val="0"/>
          <w:numId w:val="0"/>
        </w:numPr>
        <w:ind w:left="1134"/>
      </w:pPr>
      <w:r w:rsidRPr="00057B94">
        <w:t>5.</w:t>
      </w:r>
      <w:r w:rsidRPr="00057B94">
        <w:tab/>
      </w:r>
      <w:r w:rsidR="0088358F" w:rsidRPr="00057B94">
        <w:rPr>
          <w:i/>
        </w:rPr>
        <w:t>Recalls</w:t>
      </w:r>
      <w:r w:rsidR="0088358F" w:rsidRPr="00057B94">
        <w:t xml:space="preserve"> that the adaptation communications shall be recorded in a public registry maintained by the secretariat in accordance with the modalities and procedures contained in decision </w:t>
      </w:r>
      <w:r w:rsidR="00645EB2" w:rsidRPr="00057B94">
        <w:t>10</w:t>
      </w:r>
      <w:r w:rsidR="0088358F" w:rsidRPr="00057B94">
        <w:t>/CMA.1;</w:t>
      </w:r>
    </w:p>
    <w:p w14:paraId="21D32156" w14:textId="11DC6F90" w:rsidR="0088358F" w:rsidRPr="00057B94" w:rsidRDefault="00360174" w:rsidP="00360174">
      <w:pPr>
        <w:pStyle w:val="RegSingleTxtG"/>
        <w:numPr>
          <w:ilvl w:val="0"/>
          <w:numId w:val="0"/>
        </w:numPr>
        <w:ind w:left="1134"/>
      </w:pPr>
      <w:r w:rsidRPr="00057B94">
        <w:t>6.</w:t>
      </w:r>
      <w:r w:rsidRPr="00057B94">
        <w:tab/>
      </w:r>
      <w:r w:rsidR="0088358F" w:rsidRPr="00057B94">
        <w:rPr>
          <w:i/>
        </w:rPr>
        <w:t>Invites</w:t>
      </w:r>
      <w:r w:rsidR="0088358F" w:rsidRPr="00057B94">
        <w:t xml:space="preserve"> Parties that choose to submit an adaptation communication to do so in time to inform each global stocktake; </w:t>
      </w:r>
    </w:p>
    <w:p w14:paraId="3BB2B390" w14:textId="3843889B" w:rsidR="0088358F" w:rsidRPr="00057B94" w:rsidRDefault="00360174" w:rsidP="00360174">
      <w:pPr>
        <w:pStyle w:val="RegSingleTxtG"/>
        <w:numPr>
          <w:ilvl w:val="0"/>
          <w:numId w:val="0"/>
        </w:numPr>
        <w:ind w:left="1134"/>
      </w:pPr>
      <w:r w:rsidRPr="00057B94">
        <w:lastRenderedPageBreak/>
        <w:t>7.</w:t>
      </w:r>
      <w:r w:rsidRPr="00057B94">
        <w:tab/>
      </w:r>
      <w:r w:rsidR="0088358F" w:rsidRPr="00057B94">
        <w:rPr>
          <w:i/>
        </w:rPr>
        <w:t>Also invites</w:t>
      </w:r>
      <w:r w:rsidR="0088358F" w:rsidRPr="00057B94">
        <w:t xml:space="preserve"> Parties, according to their national circumstances and capacities, to provide in their adaptation communication information on the elements referred to in paragraph (a</w:t>
      </w:r>
      <w:r w:rsidR="000C4CA7" w:rsidRPr="00057B94">
        <w:t>–</w:t>
      </w:r>
      <w:r w:rsidR="0088358F" w:rsidRPr="00057B94">
        <w:t>d) of the annex and to provide, as appropriate, additional information on the elements referred to in paragraph (e</w:t>
      </w:r>
      <w:r w:rsidR="000C4CA7" w:rsidRPr="00057B94">
        <w:t>–</w:t>
      </w:r>
      <w:r w:rsidR="0088358F" w:rsidRPr="00057B94">
        <w:t xml:space="preserve">i) of the annex;  </w:t>
      </w:r>
    </w:p>
    <w:p w14:paraId="519F748D" w14:textId="6F7A0CA2" w:rsidR="0088358F" w:rsidRPr="00057B94" w:rsidRDefault="00360174" w:rsidP="00360174">
      <w:pPr>
        <w:pStyle w:val="RegSingleTxtG"/>
        <w:numPr>
          <w:ilvl w:val="0"/>
          <w:numId w:val="0"/>
        </w:numPr>
        <w:ind w:left="1134"/>
      </w:pPr>
      <w:r w:rsidRPr="00057B94">
        <w:t>8.</w:t>
      </w:r>
      <w:r w:rsidRPr="00057B94">
        <w:tab/>
      </w:r>
      <w:r w:rsidR="0088358F" w:rsidRPr="00057B94">
        <w:rPr>
          <w:i/>
        </w:rPr>
        <w:t>Further invites</w:t>
      </w:r>
      <w:r w:rsidR="0088358F" w:rsidRPr="00057B94">
        <w:t xml:space="preserve"> Parties to include, as appropriate, ex ante information in their adaptation communication based on the elements identified in the annex;</w:t>
      </w:r>
    </w:p>
    <w:p w14:paraId="6D472BDF" w14:textId="56AE1575" w:rsidR="0088358F" w:rsidRPr="00057B94" w:rsidRDefault="00360174" w:rsidP="00360174">
      <w:pPr>
        <w:pStyle w:val="RegSingleTxtG"/>
        <w:numPr>
          <w:ilvl w:val="0"/>
          <w:numId w:val="0"/>
        </w:numPr>
        <w:ind w:left="1134"/>
      </w:pPr>
      <w:r w:rsidRPr="00057B94">
        <w:t>9.</w:t>
      </w:r>
      <w:r w:rsidRPr="00057B94">
        <w:tab/>
      </w:r>
      <w:r w:rsidR="0088358F" w:rsidRPr="00057B94">
        <w:rPr>
          <w:i/>
        </w:rPr>
        <w:t>Acknowledges</w:t>
      </w:r>
      <w:r w:rsidR="0088358F" w:rsidRPr="00057B94">
        <w:t xml:space="preserve"> that Parties may, when submitting an adaptation communication, tailor the information provided, taking into account the specific communications or documents used;</w:t>
      </w:r>
    </w:p>
    <w:p w14:paraId="5E6B045E" w14:textId="62CFBDB8" w:rsidR="0088358F" w:rsidRPr="00057B94" w:rsidRDefault="00360174" w:rsidP="00360174">
      <w:pPr>
        <w:pStyle w:val="RegSingleTxtG"/>
        <w:numPr>
          <w:ilvl w:val="0"/>
          <w:numId w:val="0"/>
        </w:numPr>
        <w:ind w:left="1134"/>
      </w:pPr>
      <w:r w:rsidRPr="00057B94">
        <w:t>10.</w:t>
      </w:r>
      <w:r w:rsidRPr="00057B94">
        <w:tab/>
      </w:r>
      <w:r w:rsidR="0088358F" w:rsidRPr="00057B94">
        <w:rPr>
          <w:i/>
        </w:rPr>
        <w:t>Encourages</w:t>
      </w:r>
      <w:r w:rsidR="0088358F" w:rsidRPr="00057B94">
        <w:t xml:space="preserve"> Parties to clearly identify the part of the communication or document chosen, in accordance with Article 7, paragraph 11, that constitutes their adaptation communication, and to number their adaptation communications sequentially;</w:t>
      </w:r>
    </w:p>
    <w:p w14:paraId="4A937BD0" w14:textId="375C1649" w:rsidR="0088358F" w:rsidRPr="00057B94" w:rsidRDefault="00360174" w:rsidP="00360174">
      <w:pPr>
        <w:pStyle w:val="RegSingleTxtG"/>
        <w:numPr>
          <w:ilvl w:val="0"/>
          <w:numId w:val="0"/>
        </w:numPr>
        <w:ind w:left="1134"/>
      </w:pPr>
      <w:r w:rsidRPr="00057B94">
        <w:t>11.</w:t>
      </w:r>
      <w:r w:rsidRPr="00057B94">
        <w:tab/>
      </w:r>
      <w:r w:rsidR="0088358F" w:rsidRPr="00057B94">
        <w:rPr>
          <w:i/>
        </w:rPr>
        <w:t>Also encourages</w:t>
      </w:r>
      <w:r w:rsidR="0088358F" w:rsidRPr="00057B94">
        <w:t xml:space="preserve"> Parties that choose to submit an adaptation communication as a component of or in conjunction with a nationally determined contribution to use the guidance included in this decision, as appropriate; </w:t>
      </w:r>
    </w:p>
    <w:p w14:paraId="1701C976" w14:textId="0CCD344D" w:rsidR="0088358F" w:rsidRPr="00057B94" w:rsidRDefault="00360174" w:rsidP="00360174">
      <w:pPr>
        <w:pStyle w:val="RegSingleTxtG"/>
        <w:numPr>
          <w:ilvl w:val="0"/>
          <w:numId w:val="0"/>
        </w:numPr>
        <w:ind w:left="1134"/>
      </w:pPr>
      <w:r w:rsidRPr="00057B94">
        <w:t>12.</w:t>
      </w:r>
      <w:r w:rsidRPr="00057B94">
        <w:tab/>
      </w:r>
      <w:r w:rsidR="0088358F" w:rsidRPr="00057B94">
        <w:rPr>
          <w:i/>
        </w:rPr>
        <w:t xml:space="preserve">Invites </w:t>
      </w:r>
      <w:r w:rsidR="0088358F" w:rsidRPr="00057B94">
        <w:t>Parties that opt to use a nationally determined contribution consistently with Article 4, paragraph 7, and in line with paragraph 11 above to provide information on the element referred to in paragraph (f) of the annex;</w:t>
      </w:r>
    </w:p>
    <w:p w14:paraId="3A9A60C0" w14:textId="5C74EDA2" w:rsidR="0088358F" w:rsidRPr="00057B94" w:rsidRDefault="00360174" w:rsidP="00360174">
      <w:pPr>
        <w:pStyle w:val="RegSingleTxtG"/>
        <w:numPr>
          <w:ilvl w:val="0"/>
          <w:numId w:val="0"/>
        </w:numPr>
        <w:ind w:left="1134"/>
      </w:pPr>
      <w:r w:rsidRPr="00057B94">
        <w:t>13.</w:t>
      </w:r>
      <w:r w:rsidRPr="00057B94">
        <w:tab/>
      </w:r>
      <w:r w:rsidR="0088358F" w:rsidRPr="00057B94">
        <w:tab/>
      </w:r>
      <w:r w:rsidR="0088358F" w:rsidRPr="00057B94">
        <w:rPr>
          <w:i/>
        </w:rPr>
        <w:t>Acknowledges</w:t>
      </w:r>
      <w:r w:rsidR="0088358F" w:rsidRPr="00057B94">
        <w:t xml:space="preserve"> that Parties that choose to submit their adaptation communication as part of a national communication or a national adaptation plan may provide information taking into consideration the guidelines contained in document FCCC/CP/1999/7 and decisions 17/CP.8 and 5/CP.17; </w:t>
      </w:r>
    </w:p>
    <w:p w14:paraId="4F7E7805" w14:textId="76D820F2" w:rsidR="0088358F" w:rsidRPr="00057B94" w:rsidRDefault="00360174" w:rsidP="00360174">
      <w:pPr>
        <w:pStyle w:val="RegSingleTxtG"/>
        <w:numPr>
          <w:ilvl w:val="0"/>
          <w:numId w:val="0"/>
        </w:numPr>
        <w:ind w:left="1134"/>
      </w:pPr>
      <w:r w:rsidRPr="00057B94">
        <w:t>14.</w:t>
      </w:r>
      <w:r w:rsidRPr="00057B94">
        <w:tab/>
      </w:r>
      <w:r w:rsidR="0088358F" w:rsidRPr="00057B94">
        <w:rPr>
          <w:i/>
        </w:rPr>
        <w:t>Also acknowledges</w:t>
      </w:r>
      <w:r w:rsidR="0088358F" w:rsidRPr="00057B94">
        <w:t xml:space="preserve"> that adaptation communications and other relevant information will be synthesized in line with paragraph </w:t>
      </w:r>
      <w:r w:rsidR="00645EB2" w:rsidRPr="00057B94">
        <w:t>23(b) of decision 19/</w:t>
      </w:r>
      <w:r w:rsidR="0088358F" w:rsidRPr="00057B94">
        <w:t>CMA.1 and will contribute to reviewing the overall progress in achieving the global goal on adaptation;</w:t>
      </w:r>
    </w:p>
    <w:p w14:paraId="41CF4297" w14:textId="5434561B" w:rsidR="0088358F" w:rsidRPr="00057B94" w:rsidRDefault="00360174" w:rsidP="00360174">
      <w:pPr>
        <w:pStyle w:val="RegSingleTxtG"/>
        <w:numPr>
          <w:ilvl w:val="0"/>
          <w:numId w:val="0"/>
        </w:numPr>
        <w:ind w:left="1134"/>
      </w:pPr>
      <w:r w:rsidRPr="00057B94">
        <w:t>15.</w:t>
      </w:r>
      <w:r w:rsidRPr="00057B94">
        <w:tab/>
      </w:r>
      <w:r w:rsidR="0088358F" w:rsidRPr="00057B94">
        <w:rPr>
          <w:i/>
        </w:rPr>
        <w:t>Requests</w:t>
      </w:r>
      <w:r w:rsidR="0088358F" w:rsidRPr="00057B94">
        <w:t xml:space="preserve"> the Adaptation Committee to develop, with the engagement of the Intergovernmental Panel on Climate Change Working Group II, using relevant existing guidance as a starting point, as appropriate, by June 2022, draft supplementary guidance for voluntary use by Parties in communicating information in accordance with the elements contained in the annex, for consideration by the subsidiary bodies at their fifty-seventh sessions (November 2022) in the context of their consideration of the report of the Adaptation Committee;</w:t>
      </w:r>
    </w:p>
    <w:p w14:paraId="473A6E7A" w14:textId="70A0644A" w:rsidR="0088358F" w:rsidRPr="00057B94" w:rsidRDefault="00360174" w:rsidP="00360174">
      <w:pPr>
        <w:pStyle w:val="RegSingleTxtG"/>
        <w:numPr>
          <w:ilvl w:val="0"/>
          <w:numId w:val="0"/>
        </w:numPr>
        <w:ind w:left="1134"/>
      </w:pPr>
      <w:r w:rsidRPr="00057B94">
        <w:t>16.</w:t>
      </w:r>
      <w:r w:rsidRPr="00057B94">
        <w:tab/>
      </w:r>
      <w:r w:rsidR="0088358F" w:rsidRPr="00057B94">
        <w:rPr>
          <w:i/>
        </w:rPr>
        <w:t>Decides</w:t>
      </w:r>
      <w:r w:rsidR="0088358F" w:rsidRPr="00057B94">
        <w:t xml:space="preserve"> to take stock of, and if necessary revise, the guidance contained in this decision, taking into account the submissions referred to in paragraph 17 below and the synthesis report referred to in paragraph 18 below, at its eighth session (2025);</w:t>
      </w:r>
    </w:p>
    <w:p w14:paraId="27AD0D12" w14:textId="13A9B563" w:rsidR="0088358F" w:rsidRPr="00057B94" w:rsidRDefault="00360174" w:rsidP="00360174">
      <w:pPr>
        <w:pStyle w:val="RegSingleTxtG"/>
        <w:numPr>
          <w:ilvl w:val="0"/>
          <w:numId w:val="0"/>
        </w:numPr>
        <w:ind w:left="1134"/>
      </w:pPr>
      <w:r w:rsidRPr="00057B94">
        <w:t>17.</w:t>
      </w:r>
      <w:r w:rsidRPr="00057B94">
        <w:tab/>
      </w:r>
      <w:r w:rsidR="0088358F" w:rsidRPr="00057B94">
        <w:rPr>
          <w:i/>
        </w:rPr>
        <w:t>Invites</w:t>
      </w:r>
      <w:r w:rsidR="0088358F" w:rsidRPr="00057B94">
        <w:t xml:space="preserve"> Parties to submit via the submission portal</w:t>
      </w:r>
      <w:r w:rsidR="0088358F" w:rsidRPr="00057B94">
        <w:rPr>
          <w:rStyle w:val="FootnoteReference"/>
        </w:rPr>
        <w:footnoteReference w:id="8"/>
      </w:r>
      <w:r w:rsidR="0088358F" w:rsidRPr="00057B94">
        <w:t xml:space="preserve"> </w:t>
      </w:r>
      <w:r w:rsidR="0088358F" w:rsidRPr="00057B94">
        <w:rPr>
          <w:rFonts w:eastAsia="Times New Roman"/>
          <w:szCs w:val="22"/>
          <w:lang w:eastAsia="en-US"/>
        </w:rPr>
        <w:t xml:space="preserve">by February 2025 information on </w:t>
      </w:r>
      <w:r w:rsidR="0088358F" w:rsidRPr="00057B94">
        <w:t xml:space="preserve">their experience with the application of the guidance contained in this decision; </w:t>
      </w:r>
    </w:p>
    <w:p w14:paraId="34DB41B5" w14:textId="3A3162D7" w:rsidR="0088358F" w:rsidRPr="00057B94" w:rsidRDefault="00360174" w:rsidP="00360174">
      <w:pPr>
        <w:pStyle w:val="RegSingleTxtG"/>
        <w:numPr>
          <w:ilvl w:val="0"/>
          <w:numId w:val="0"/>
        </w:numPr>
        <w:ind w:left="1134"/>
      </w:pPr>
      <w:r w:rsidRPr="00057B94">
        <w:t>18.</w:t>
      </w:r>
      <w:r w:rsidRPr="00057B94">
        <w:tab/>
      </w:r>
      <w:r w:rsidR="0088358F" w:rsidRPr="00057B94">
        <w:rPr>
          <w:i/>
        </w:rPr>
        <w:t>Requests</w:t>
      </w:r>
      <w:r w:rsidR="0088358F" w:rsidRPr="00057B94">
        <w:t xml:space="preserve"> the secretariat to prepare a synthesis report on the submissions referred to in paragraph 17 above for consideration by the Subsidiary Body for Implementation at its sixty-second session (2025);  </w:t>
      </w:r>
    </w:p>
    <w:p w14:paraId="5A74923F" w14:textId="08BC4861" w:rsidR="0088358F" w:rsidRPr="00057B94" w:rsidRDefault="00360174" w:rsidP="00360174">
      <w:pPr>
        <w:pStyle w:val="RegSingleTxtG"/>
        <w:numPr>
          <w:ilvl w:val="0"/>
          <w:numId w:val="0"/>
        </w:numPr>
        <w:ind w:left="1134"/>
      </w:pPr>
      <w:r w:rsidRPr="00057B94">
        <w:t>19.</w:t>
      </w:r>
      <w:r w:rsidRPr="00057B94">
        <w:tab/>
      </w:r>
      <w:r w:rsidR="0088358F" w:rsidRPr="00057B94">
        <w:rPr>
          <w:i/>
        </w:rPr>
        <w:t xml:space="preserve">Urges </w:t>
      </w:r>
      <w:r w:rsidR="0088358F" w:rsidRPr="00057B94">
        <w:t xml:space="preserve">developed country Parties and </w:t>
      </w:r>
      <w:r w:rsidR="0088358F" w:rsidRPr="00057B94">
        <w:rPr>
          <w:i/>
        </w:rPr>
        <w:t xml:space="preserve">invites </w:t>
      </w:r>
      <w:r w:rsidR="0088358F" w:rsidRPr="00057B94">
        <w:t>other Parties that provide resources on a voluntary basis, United Nations organizations, specialized agencies and other relevant organizations as well as bilateral and multilateral agencies to continue to mobilize support for adaptation activities in developing country Parties;</w:t>
      </w:r>
    </w:p>
    <w:p w14:paraId="451B5E64" w14:textId="067D1C88" w:rsidR="0088358F" w:rsidRPr="00057B94" w:rsidRDefault="00360174" w:rsidP="00360174">
      <w:pPr>
        <w:pStyle w:val="RegSingleTxtG"/>
        <w:numPr>
          <w:ilvl w:val="0"/>
          <w:numId w:val="0"/>
        </w:numPr>
        <w:ind w:left="1134"/>
      </w:pPr>
      <w:r w:rsidRPr="00057B94">
        <w:t>20.</w:t>
      </w:r>
      <w:r w:rsidRPr="00057B94">
        <w:tab/>
      </w:r>
      <w:r w:rsidR="0088358F" w:rsidRPr="00057B94">
        <w:rPr>
          <w:i/>
          <w:iCs/>
        </w:rPr>
        <w:t xml:space="preserve">Invites </w:t>
      </w:r>
      <w:r w:rsidR="0088358F" w:rsidRPr="00057B94">
        <w:t xml:space="preserve">the Global Environment Facility, in line with its existing mandate, to consider channelling support to developing country Parties for the preparation and submission of their adaptation communications, as a component of or in conjunction with other communications or documents, including a national adaptation plan, a nationally determined contribution as referred to in Article 4, paragraph 2, of the Paris Agreement, and/or a national communication; </w:t>
      </w:r>
    </w:p>
    <w:p w14:paraId="4601048F" w14:textId="7AC5849B" w:rsidR="0088358F" w:rsidRPr="00057B94" w:rsidRDefault="00360174" w:rsidP="00360174">
      <w:pPr>
        <w:pStyle w:val="RegSingleTxtG"/>
        <w:numPr>
          <w:ilvl w:val="0"/>
          <w:numId w:val="0"/>
        </w:numPr>
        <w:ind w:left="1134"/>
      </w:pPr>
      <w:r w:rsidRPr="00057B94">
        <w:lastRenderedPageBreak/>
        <w:t>21.</w:t>
      </w:r>
      <w:r w:rsidRPr="00057B94">
        <w:tab/>
      </w:r>
      <w:r w:rsidR="0088358F" w:rsidRPr="00057B94">
        <w:rPr>
          <w:i/>
        </w:rPr>
        <w:t xml:space="preserve">Encourages </w:t>
      </w:r>
      <w:r w:rsidR="0088358F" w:rsidRPr="00057B94">
        <w:t>the Green Climate Fund, the Global Environment Facility, the Adaptation Fund, the Climate Technology Centre and Network and the Paris Committee on Capacity-building, in line with their existing mandates and governing instruments, to continue channelling support to developing country Parties for the implementation of their adaptation plans and actions in accordance with the priorities and needs outlined in their adaptation communication;</w:t>
      </w:r>
    </w:p>
    <w:p w14:paraId="3018C0CF" w14:textId="7ED6353E" w:rsidR="0088358F" w:rsidRPr="00057B94" w:rsidRDefault="00360174" w:rsidP="00360174">
      <w:pPr>
        <w:pStyle w:val="RegSingleTxtG"/>
        <w:numPr>
          <w:ilvl w:val="0"/>
          <w:numId w:val="0"/>
        </w:numPr>
        <w:ind w:left="1134"/>
      </w:pPr>
      <w:r w:rsidRPr="00057B94">
        <w:t>22.</w:t>
      </w:r>
      <w:r w:rsidRPr="00057B94">
        <w:tab/>
      </w:r>
      <w:r w:rsidR="0088358F" w:rsidRPr="00057B94">
        <w:rPr>
          <w:i/>
        </w:rPr>
        <w:t>Takes note</w:t>
      </w:r>
      <w:r w:rsidR="0088358F" w:rsidRPr="00057B94">
        <w:t xml:space="preserve"> of the estimated budgetary implications of the activities to be undertaken by the secretariat referred to in paragraph 18 above;</w:t>
      </w:r>
    </w:p>
    <w:p w14:paraId="2D6B88F4" w14:textId="4E506F9A" w:rsidR="00FB634B" w:rsidRPr="00057B94" w:rsidRDefault="00360174" w:rsidP="00360174">
      <w:pPr>
        <w:pStyle w:val="RegSingleTxtG"/>
        <w:numPr>
          <w:ilvl w:val="0"/>
          <w:numId w:val="0"/>
        </w:numPr>
        <w:ind w:left="1134"/>
      </w:pPr>
      <w:r w:rsidRPr="00057B94">
        <w:t>23.</w:t>
      </w:r>
      <w:r w:rsidRPr="00057B94">
        <w:tab/>
      </w:r>
      <w:r w:rsidR="0088358F" w:rsidRPr="00057B94">
        <w:rPr>
          <w:i/>
        </w:rPr>
        <w:t>Requests</w:t>
      </w:r>
      <w:r w:rsidR="0088358F" w:rsidRPr="00057B94">
        <w:t xml:space="preserve"> that the actions of the secretariat called for in this decision be undertaken subject to the availability of financial resources.</w:t>
      </w:r>
    </w:p>
    <w:p w14:paraId="30D40562" w14:textId="77777777" w:rsidR="0088358F" w:rsidRPr="00057B94" w:rsidRDefault="0088358F" w:rsidP="0088358F"/>
    <w:p w14:paraId="3CEF6E0F" w14:textId="36852865" w:rsidR="00FB634B" w:rsidRPr="00057B94" w:rsidRDefault="00FB634B" w:rsidP="00FB634B">
      <w:pPr>
        <w:sectPr w:rsidR="00FB634B" w:rsidRPr="00057B94" w:rsidSect="003B6D2B">
          <w:footnotePr>
            <w:numRestart w:val="eachSect"/>
          </w:footnotePr>
          <w:pgSz w:w="11906" w:h="16838" w:code="9"/>
          <w:pgMar w:top="1418" w:right="1134" w:bottom="1134" w:left="1134" w:header="851" w:footer="567" w:gutter="0"/>
          <w:cols w:space="708"/>
          <w:docGrid w:linePitch="360"/>
        </w:sectPr>
      </w:pPr>
    </w:p>
    <w:p w14:paraId="677F9FD0" w14:textId="54448F7E" w:rsidR="00D4202B" w:rsidRPr="00057B94" w:rsidRDefault="00D4202B" w:rsidP="00D4202B">
      <w:pPr>
        <w:pStyle w:val="HChG"/>
        <w:spacing w:before="0"/>
      </w:pPr>
      <w:bookmarkStart w:id="13" w:name="D10"/>
      <w:r w:rsidRPr="00057B94">
        <w:lastRenderedPageBreak/>
        <w:t>Annex</w:t>
      </w:r>
    </w:p>
    <w:p w14:paraId="2622E5ED" w14:textId="2B8DB732" w:rsidR="00D4202B" w:rsidRPr="00057B94" w:rsidRDefault="00D4202B" w:rsidP="00D4202B">
      <w:pPr>
        <w:pStyle w:val="HChG"/>
      </w:pPr>
      <w:r w:rsidRPr="00057B94">
        <w:tab/>
      </w:r>
      <w:r w:rsidRPr="00057B94">
        <w:tab/>
        <w:t>Elements of an adaptation communication</w:t>
      </w:r>
    </w:p>
    <w:p w14:paraId="641BD893" w14:textId="46D9041A" w:rsidR="00D4202B" w:rsidRPr="00057B94" w:rsidRDefault="002E7334" w:rsidP="002E7334">
      <w:pPr>
        <w:pStyle w:val="RegSingleTxtG"/>
        <w:numPr>
          <w:ilvl w:val="0"/>
          <w:numId w:val="0"/>
        </w:numPr>
        <w:ind w:left="1135"/>
      </w:pPr>
      <w:r w:rsidRPr="00057B94">
        <w:tab/>
      </w:r>
      <w:r w:rsidR="00D4202B" w:rsidRPr="00057B94">
        <w:t>An adaptation communication may include information on the following elements:</w:t>
      </w:r>
    </w:p>
    <w:p w14:paraId="1B50714C" w14:textId="26799F17" w:rsidR="00D4202B" w:rsidRPr="00057B94" w:rsidRDefault="00360174" w:rsidP="00360174">
      <w:pPr>
        <w:pStyle w:val="RegSingleTxtG"/>
        <w:numPr>
          <w:ilvl w:val="0"/>
          <w:numId w:val="0"/>
        </w:numPr>
        <w:ind w:left="1134" w:firstLine="567"/>
      </w:pPr>
      <w:r w:rsidRPr="00057B94">
        <w:rPr>
          <w:szCs w:val="28"/>
        </w:rPr>
        <w:t>(a)</w:t>
      </w:r>
      <w:r w:rsidRPr="00057B94">
        <w:rPr>
          <w:szCs w:val="28"/>
        </w:rPr>
        <w:tab/>
      </w:r>
      <w:r w:rsidR="00D4202B" w:rsidRPr="00057B94">
        <w:t>National circumstances, institutional arrangements and legal frameworks;</w:t>
      </w:r>
    </w:p>
    <w:p w14:paraId="781727AE" w14:textId="56B2DA9D" w:rsidR="00D4202B" w:rsidRPr="00057B94" w:rsidRDefault="00360174" w:rsidP="00360174">
      <w:pPr>
        <w:pStyle w:val="RegSingleTxtG"/>
        <w:numPr>
          <w:ilvl w:val="0"/>
          <w:numId w:val="0"/>
        </w:numPr>
        <w:ind w:left="1134" w:firstLine="567"/>
      </w:pPr>
      <w:r w:rsidRPr="00057B94">
        <w:rPr>
          <w:szCs w:val="28"/>
        </w:rPr>
        <w:t>(b)</w:t>
      </w:r>
      <w:r w:rsidRPr="00057B94">
        <w:rPr>
          <w:szCs w:val="28"/>
        </w:rPr>
        <w:tab/>
      </w:r>
      <w:r w:rsidR="00D4202B" w:rsidRPr="00057B94">
        <w:t>Impacts, risks and vulnerabilities, as appropriate;</w:t>
      </w:r>
    </w:p>
    <w:p w14:paraId="2B5A2B75" w14:textId="211FA969" w:rsidR="00D4202B" w:rsidRPr="00057B94" w:rsidRDefault="00360174" w:rsidP="00360174">
      <w:pPr>
        <w:pStyle w:val="RegSingleTxtG"/>
        <w:numPr>
          <w:ilvl w:val="0"/>
          <w:numId w:val="0"/>
        </w:numPr>
        <w:ind w:left="1134" w:firstLine="567"/>
      </w:pPr>
      <w:r w:rsidRPr="00057B94">
        <w:rPr>
          <w:szCs w:val="28"/>
        </w:rPr>
        <w:t>(c)</w:t>
      </w:r>
      <w:r w:rsidRPr="00057B94">
        <w:rPr>
          <w:szCs w:val="28"/>
        </w:rPr>
        <w:tab/>
      </w:r>
      <w:r w:rsidR="00D4202B" w:rsidRPr="00057B94">
        <w:t>National adaptation priorities, strategies, policies, plans, goals and actions;</w:t>
      </w:r>
    </w:p>
    <w:p w14:paraId="2748E981" w14:textId="7498B333" w:rsidR="00D4202B" w:rsidRPr="00057B94" w:rsidRDefault="00360174" w:rsidP="00360174">
      <w:pPr>
        <w:pStyle w:val="RegSingleTxtG"/>
        <w:numPr>
          <w:ilvl w:val="0"/>
          <w:numId w:val="0"/>
        </w:numPr>
        <w:ind w:left="1134" w:firstLine="567"/>
      </w:pPr>
      <w:r w:rsidRPr="00057B94">
        <w:rPr>
          <w:szCs w:val="28"/>
        </w:rPr>
        <w:t>(d)</w:t>
      </w:r>
      <w:r w:rsidRPr="00057B94">
        <w:rPr>
          <w:szCs w:val="28"/>
        </w:rPr>
        <w:tab/>
      </w:r>
      <w:r w:rsidR="00D4202B" w:rsidRPr="00057B94">
        <w:t>Implementation and support needs of, and provision of support to, developing country Parties;</w:t>
      </w:r>
    </w:p>
    <w:p w14:paraId="3332D427" w14:textId="5600B7D1" w:rsidR="00D4202B" w:rsidRPr="00057B94" w:rsidRDefault="00360174" w:rsidP="00360174">
      <w:pPr>
        <w:pStyle w:val="RegSingleTxtG"/>
        <w:numPr>
          <w:ilvl w:val="0"/>
          <w:numId w:val="0"/>
        </w:numPr>
        <w:ind w:left="1134" w:firstLine="567"/>
      </w:pPr>
      <w:r w:rsidRPr="00057B94">
        <w:rPr>
          <w:szCs w:val="28"/>
        </w:rPr>
        <w:t>(e)</w:t>
      </w:r>
      <w:r w:rsidRPr="00057B94">
        <w:rPr>
          <w:szCs w:val="28"/>
        </w:rPr>
        <w:tab/>
      </w:r>
      <w:r w:rsidR="00D4202B" w:rsidRPr="00057B94">
        <w:t>Implementation of adaptation actions and plans, including:</w:t>
      </w:r>
    </w:p>
    <w:p w14:paraId="4001B149" w14:textId="5ECC12F9" w:rsidR="00D4202B" w:rsidRPr="00057B94" w:rsidRDefault="00360174" w:rsidP="00360174">
      <w:pPr>
        <w:pStyle w:val="RegSingleTxtG3"/>
        <w:tabs>
          <w:tab w:val="clear" w:pos="360"/>
        </w:tabs>
      </w:pPr>
      <w:r w:rsidRPr="00057B94">
        <w:t>(i)</w:t>
      </w:r>
      <w:r w:rsidRPr="00057B94">
        <w:tab/>
      </w:r>
      <w:r w:rsidR="00D4202B" w:rsidRPr="00057B94">
        <w:t>Progress and results achieved;</w:t>
      </w:r>
    </w:p>
    <w:p w14:paraId="1BFB248C" w14:textId="14C4D92B" w:rsidR="00D4202B" w:rsidRPr="00057B94" w:rsidRDefault="00360174" w:rsidP="00360174">
      <w:pPr>
        <w:pStyle w:val="RegSingleTxtG3"/>
        <w:tabs>
          <w:tab w:val="clear" w:pos="360"/>
        </w:tabs>
      </w:pPr>
      <w:r w:rsidRPr="00057B94">
        <w:t>(ii)</w:t>
      </w:r>
      <w:r w:rsidRPr="00057B94">
        <w:tab/>
      </w:r>
      <w:r w:rsidR="00D4202B" w:rsidRPr="00057B94">
        <w:t>Adaptation efforts of developing countries for recognition;</w:t>
      </w:r>
    </w:p>
    <w:p w14:paraId="38459CDE" w14:textId="38B50D1D" w:rsidR="00D4202B" w:rsidRPr="00057B94" w:rsidRDefault="00360174" w:rsidP="00360174">
      <w:pPr>
        <w:pStyle w:val="RegSingleTxtG3"/>
        <w:tabs>
          <w:tab w:val="clear" w:pos="360"/>
        </w:tabs>
      </w:pPr>
      <w:r w:rsidRPr="00057B94">
        <w:t>(iii)</w:t>
      </w:r>
      <w:r w:rsidRPr="00057B94">
        <w:tab/>
      </w:r>
      <w:r w:rsidR="00D4202B" w:rsidRPr="00057B94">
        <w:t>Cooperation on enhancing adaptation at the national, regional and international</w:t>
      </w:r>
      <w:r w:rsidR="002E7334" w:rsidRPr="00057B94">
        <w:t xml:space="preserve"> </w:t>
      </w:r>
      <w:r w:rsidR="00D4202B" w:rsidRPr="00057B94">
        <w:t>level, as appropriate;</w:t>
      </w:r>
    </w:p>
    <w:p w14:paraId="619FB415" w14:textId="45827450" w:rsidR="00D4202B" w:rsidRPr="00057B94" w:rsidRDefault="00360174" w:rsidP="00360174">
      <w:pPr>
        <w:pStyle w:val="RegSingleTxtG3"/>
        <w:tabs>
          <w:tab w:val="clear" w:pos="360"/>
        </w:tabs>
      </w:pPr>
      <w:r w:rsidRPr="00057B94">
        <w:t>(iv)</w:t>
      </w:r>
      <w:r w:rsidRPr="00057B94">
        <w:tab/>
      </w:r>
      <w:r w:rsidR="00D4202B" w:rsidRPr="00057B94">
        <w:t>Barriers, challenges and gaps related to the implementation of adaptation;</w:t>
      </w:r>
    </w:p>
    <w:p w14:paraId="46CC75C0" w14:textId="01EB9366" w:rsidR="00D4202B" w:rsidRPr="00057B94" w:rsidRDefault="00360174" w:rsidP="00360174">
      <w:pPr>
        <w:pStyle w:val="RegSingleTxtG3"/>
        <w:tabs>
          <w:tab w:val="clear" w:pos="360"/>
        </w:tabs>
      </w:pPr>
      <w:r w:rsidRPr="00057B94">
        <w:t>(v)</w:t>
      </w:r>
      <w:r w:rsidRPr="00057B94">
        <w:tab/>
      </w:r>
      <w:r w:rsidR="00D4202B" w:rsidRPr="00057B94">
        <w:t>Good practices, lessons learned and information-sharing;</w:t>
      </w:r>
    </w:p>
    <w:p w14:paraId="2CCE24B6" w14:textId="7389A0D2" w:rsidR="00D4202B" w:rsidRPr="00057B94" w:rsidRDefault="00360174" w:rsidP="00360174">
      <w:pPr>
        <w:pStyle w:val="RegSingleTxtG3"/>
        <w:tabs>
          <w:tab w:val="clear" w:pos="360"/>
        </w:tabs>
      </w:pPr>
      <w:r w:rsidRPr="00057B94">
        <w:t>(vi)</w:t>
      </w:r>
      <w:r w:rsidRPr="00057B94">
        <w:tab/>
      </w:r>
      <w:r w:rsidR="00D4202B" w:rsidRPr="00057B94">
        <w:t>Monitoring and evaluation;</w:t>
      </w:r>
    </w:p>
    <w:p w14:paraId="26855E6C" w14:textId="7D3BA082" w:rsidR="00D4202B" w:rsidRPr="00057B94" w:rsidRDefault="00360174" w:rsidP="00360174">
      <w:pPr>
        <w:pStyle w:val="RegSingleTxtG"/>
        <w:numPr>
          <w:ilvl w:val="0"/>
          <w:numId w:val="0"/>
        </w:numPr>
        <w:ind w:left="1134" w:firstLine="567"/>
      </w:pPr>
      <w:r w:rsidRPr="00057B94">
        <w:rPr>
          <w:szCs w:val="28"/>
        </w:rPr>
        <w:t>(f)</w:t>
      </w:r>
      <w:r w:rsidRPr="00057B94">
        <w:rPr>
          <w:szCs w:val="28"/>
        </w:rPr>
        <w:tab/>
      </w:r>
      <w:r w:rsidR="00D4202B" w:rsidRPr="00057B94">
        <w:t>Adaptation actions and/or economic diversification plans, including those that result</w:t>
      </w:r>
      <w:r w:rsidR="002E7334" w:rsidRPr="00057B94">
        <w:t xml:space="preserve"> </w:t>
      </w:r>
      <w:r w:rsidR="00D4202B" w:rsidRPr="00057B94">
        <w:t>in mitigation co-benefits;</w:t>
      </w:r>
    </w:p>
    <w:p w14:paraId="16A7F046" w14:textId="72F006A3" w:rsidR="00D4202B" w:rsidRPr="00057B94" w:rsidRDefault="00360174" w:rsidP="00360174">
      <w:pPr>
        <w:pStyle w:val="RegSingleTxtG"/>
        <w:numPr>
          <w:ilvl w:val="0"/>
          <w:numId w:val="0"/>
        </w:numPr>
        <w:ind w:left="1134" w:firstLine="567"/>
      </w:pPr>
      <w:r w:rsidRPr="00057B94">
        <w:rPr>
          <w:szCs w:val="28"/>
        </w:rPr>
        <w:t>(g)</w:t>
      </w:r>
      <w:r w:rsidRPr="00057B94">
        <w:rPr>
          <w:szCs w:val="28"/>
        </w:rPr>
        <w:tab/>
      </w:r>
      <w:r w:rsidR="00D4202B" w:rsidRPr="00057B94">
        <w:t>How adaptation actions contribute to other international frameworks and/or</w:t>
      </w:r>
      <w:r w:rsidR="002E7334" w:rsidRPr="00057B94">
        <w:t xml:space="preserve"> </w:t>
      </w:r>
      <w:r w:rsidR="00D4202B" w:rsidRPr="00057B94">
        <w:t>conventions;</w:t>
      </w:r>
    </w:p>
    <w:p w14:paraId="3A572F7D" w14:textId="61436E6C" w:rsidR="00D4202B" w:rsidRPr="00057B94" w:rsidRDefault="00360174" w:rsidP="00360174">
      <w:pPr>
        <w:pStyle w:val="RegSingleTxtG"/>
        <w:numPr>
          <w:ilvl w:val="0"/>
          <w:numId w:val="0"/>
        </w:numPr>
        <w:ind w:left="1134" w:firstLine="567"/>
      </w:pPr>
      <w:r w:rsidRPr="00057B94">
        <w:rPr>
          <w:szCs w:val="28"/>
        </w:rPr>
        <w:t>(h)</w:t>
      </w:r>
      <w:r w:rsidRPr="00057B94">
        <w:rPr>
          <w:szCs w:val="28"/>
        </w:rPr>
        <w:tab/>
      </w:r>
      <w:r w:rsidR="00D4202B" w:rsidRPr="00057B94">
        <w:t>Gender-responsive adaptation action and traditional knowledge, knowledge of</w:t>
      </w:r>
      <w:r w:rsidR="002E7334" w:rsidRPr="00057B94">
        <w:t xml:space="preserve"> </w:t>
      </w:r>
      <w:r w:rsidR="00D4202B" w:rsidRPr="00057B94">
        <w:t>indigenous peoples and local knowledge systems related to adaptation, where appropriate;</w:t>
      </w:r>
    </w:p>
    <w:p w14:paraId="2272FE9E" w14:textId="0EDD77A3" w:rsidR="00D4202B" w:rsidRPr="00057B94" w:rsidRDefault="00360174" w:rsidP="00360174">
      <w:pPr>
        <w:pStyle w:val="RegSingleTxtG"/>
        <w:numPr>
          <w:ilvl w:val="0"/>
          <w:numId w:val="0"/>
        </w:numPr>
        <w:ind w:left="1134" w:firstLine="567"/>
      </w:pPr>
      <w:r w:rsidRPr="00057B94">
        <w:rPr>
          <w:szCs w:val="28"/>
        </w:rPr>
        <w:t>(i)</w:t>
      </w:r>
      <w:r w:rsidRPr="00057B94">
        <w:rPr>
          <w:szCs w:val="28"/>
        </w:rPr>
        <w:tab/>
      </w:r>
      <w:r w:rsidR="00D4202B" w:rsidRPr="00057B94">
        <w:t>Any other information related to adaptation.</w:t>
      </w:r>
    </w:p>
    <w:p w14:paraId="596DA732" w14:textId="234F8981" w:rsidR="00667ED0" w:rsidRPr="00057B94" w:rsidRDefault="00667ED0" w:rsidP="00667ED0">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Pr="00057B94">
        <w:rPr>
          <w:i/>
          <w:lang w:eastAsia="en-US"/>
        </w:rPr>
        <w:t xml:space="preserve"> plenary meeting</w:t>
      </w:r>
    </w:p>
    <w:p w14:paraId="5EB4033A" w14:textId="77777777" w:rsidR="00667ED0" w:rsidRPr="00057B94" w:rsidRDefault="00667ED0" w:rsidP="00667ED0">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 2018</w:t>
      </w:r>
    </w:p>
    <w:p w14:paraId="48F22FA2" w14:textId="4855B1B4" w:rsidR="002E7334" w:rsidRPr="00057B94" w:rsidRDefault="002E7334" w:rsidP="00AC172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ab/>
      </w:r>
      <w:r w:rsidR="00526278" w:rsidRPr="00057B94">
        <w:rPr>
          <w:i/>
          <w:lang w:eastAsia="en-US"/>
        </w:rPr>
        <w:tab/>
      </w:r>
      <w:r w:rsidRPr="00057B94">
        <w:rPr>
          <w:i/>
          <w:lang w:eastAsia="en-US"/>
        </w:rPr>
        <w:tab/>
      </w:r>
      <w:r w:rsidRPr="00057B94">
        <w:rPr>
          <w:i/>
          <w:lang w:eastAsia="en-US"/>
        </w:rPr>
        <w:tab/>
      </w:r>
    </w:p>
    <w:p w14:paraId="23DB7623" w14:textId="5168FFBB" w:rsidR="00D4202B" w:rsidRPr="00057B94" w:rsidRDefault="00D4202B" w:rsidP="00D4202B">
      <w:pPr>
        <w:jc w:val="right"/>
      </w:pPr>
    </w:p>
    <w:p w14:paraId="5B7A4CF3" w14:textId="77777777" w:rsidR="00D4202B" w:rsidRPr="00057B94" w:rsidRDefault="00D4202B" w:rsidP="00D4202B"/>
    <w:p w14:paraId="7DE6F5EB" w14:textId="77777777" w:rsidR="00D4202B" w:rsidRPr="00057B94" w:rsidRDefault="00D4202B" w:rsidP="00D4202B">
      <w:pPr>
        <w:sectPr w:rsidR="00D4202B" w:rsidRPr="00057B94" w:rsidSect="003B6D2B">
          <w:footnotePr>
            <w:numRestart w:val="eachSect"/>
          </w:footnotePr>
          <w:pgSz w:w="11906" w:h="16838" w:code="9"/>
          <w:pgMar w:top="1418" w:right="1134" w:bottom="1134" w:left="1134" w:header="851" w:footer="567" w:gutter="0"/>
          <w:cols w:space="708"/>
          <w:docGrid w:linePitch="360"/>
        </w:sectPr>
      </w:pPr>
    </w:p>
    <w:p w14:paraId="18C1C875" w14:textId="528F5055" w:rsidR="00FB634B" w:rsidRPr="00057B94" w:rsidRDefault="00FB634B" w:rsidP="00034A83">
      <w:pPr>
        <w:pStyle w:val="HChG"/>
        <w:keepNext w:val="0"/>
        <w:keepLines w:val="0"/>
        <w:pageBreakBefore/>
        <w:widowControl w:val="0"/>
        <w:spacing w:before="120"/>
        <w:ind w:firstLine="0"/>
        <w:rPr>
          <w:bCs/>
        </w:rPr>
      </w:pPr>
      <w:r w:rsidRPr="00057B94">
        <w:rPr>
          <w:bCs/>
        </w:rPr>
        <w:lastRenderedPageBreak/>
        <w:t xml:space="preserve">Decision </w:t>
      </w:r>
      <w:r w:rsidR="00AB1981" w:rsidRPr="00057B94">
        <w:rPr>
          <w:bCs/>
        </w:rPr>
        <w:t>10</w:t>
      </w:r>
      <w:r w:rsidRPr="00057B94">
        <w:rPr>
          <w:bCs/>
        </w:rPr>
        <w:t>/CMA.1</w:t>
      </w:r>
      <w:bookmarkEnd w:id="13"/>
    </w:p>
    <w:p w14:paraId="2D72A6B0" w14:textId="6BC483AF" w:rsidR="00FB634B" w:rsidRPr="00057B94" w:rsidRDefault="007C167B" w:rsidP="007C167B">
      <w:pPr>
        <w:pStyle w:val="HChG"/>
      </w:pPr>
      <w:r w:rsidRPr="00057B94">
        <w:tab/>
      </w:r>
      <w:r w:rsidRPr="00057B94">
        <w:tab/>
        <w:t>Modalities and procedures for the operation and use of a public registry referred to in Article 7, paragraph 12, of the Paris Agreement</w:t>
      </w:r>
    </w:p>
    <w:p w14:paraId="7AEE8FA3" w14:textId="5546DA89" w:rsidR="006720F6" w:rsidRPr="00057B94" w:rsidRDefault="006720F6" w:rsidP="006720F6">
      <w:pPr>
        <w:pStyle w:val="SingleTxtG"/>
        <w:ind w:firstLine="567"/>
      </w:pPr>
      <w:r w:rsidRPr="00057B94">
        <w:rPr>
          <w:i/>
        </w:rPr>
        <w:t>The Conference of the Parties serving as the meeting of the Parties to the Paris Agreement</w:t>
      </w:r>
      <w:r w:rsidR="00760CEE" w:rsidRPr="00057B94">
        <w:t>,</w:t>
      </w:r>
      <w:r w:rsidRPr="00057B94">
        <w:tab/>
      </w:r>
    </w:p>
    <w:p w14:paraId="2D094C7D" w14:textId="77777777" w:rsidR="006720F6" w:rsidRPr="00057B94" w:rsidRDefault="006720F6" w:rsidP="006720F6">
      <w:pPr>
        <w:pStyle w:val="SingleTxtG"/>
        <w:ind w:firstLine="567"/>
      </w:pPr>
      <w:r w:rsidRPr="00057B94">
        <w:rPr>
          <w:i/>
        </w:rPr>
        <w:t>Recalling</w:t>
      </w:r>
      <w:r w:rsidRPr="00057B94">
        <w:t xml:space="preserve"> Article 7, paragraphs 11 and </w:t>
      </w:r>
      <w:proofErr w:type="gramStart"/>
      <w:r w:rsidRPr="00057B94">
        <w:t>12,</w:t>
      </w:r>
      <w:proofErr w:type="gramEnd"/>
      <w:r w:rsidRPr="00057B94">
        <w:t xml:space="preserve"> of the Paris Agreement,</w:t>
      </w:r>
    </w:p>
    <w:p w14:paraId="58C81D04" w14:textId="3F1B2168" w:rsidR="006720F6" w:rsidRPr="00057B94" w:rsidRDefault="00360174" w:rsidP="00360174">
      <w:pPr>
        <w:pStyle w:val="RegSingleTxtG"/>
        <w:numPr>
          <w:ilvl w:val="0"/>
          <w:numId w:val="0"/>
        </w:numPr>
        <w:tabs>
          <w:tab w:val="left" w:pos="568"/>
        </w:tabs>
        <w:ind w:left="1135"/>
      </w:pPr>
      <w:r w:rsidRPr="00057B94">
        <w:t>1.</w:t>
      </w:r>
      <w:r w:rsidRPr="00057B94">
        <w:tab/>
      </w:r>
      <w:r w:rsidR="006720F6" w:rsidRPr="00057B94">
        <w:rPr>
          <w:i/>
        </w:rPr>
        <w:t xml:space="preserve">Decides </w:t>
      </w:r>
      <w:r w:rsidR="006720F6" w:rsidRPr="00057B94">
        <w:t>to establish the public registry for adaptation communications referred to in Article 7, paragraph 12, of the Paris Agreement to contain adaptation communications submitted by Parties in accordance with Article 7, paragraph 11, of the Paris Agreement</w:t>
      </w:r>
      <w:r w:rsidR="006720F6" w:rsidRPr="00057B94">
        <w:rPr>
          <w:szCs w:val="22"/>
        </w:rPr>
        <w:t>;</w:t>
      </w:r>
      <w:r w:rsidR="006720F6" w:rsidRPr="00057B94">
        <w:t xml:space="preserve"> </w:t>
      </w:r>
    </w:p>
    <w:p w14:paraId="100E18D8" w14:textId="68D499BF" w:rsidR="006720F6" w:rsidRPr="00057B94" w:rsidRDefault="00360174" w:rsidP="00360174">
      <w:pPr>
        <w:pStyle w:val="RegSingleTxtG"/>
        <w:numPr>
          <w:ilvl w:val="0"/>
          <w:numId w:val="0"/>
        </w:numPr>
        <w:tabs>
          <w:tab w:val="left" w:pos="568"/>
        </w:tabs>
        <w:ind w:left="1135"/>
      </w:pPr>
      <w:r w:rsidRPr="00057B94">
        <w:t>2.</w:t>
      </w:r>
      <w:r w:rsidRPr="00057B94">
        <w:tab/>
      </w:r>
      <w:r w:rsidR="006720F6" w:rsidRPr="00057B94">
        <w:rPr>
          <w:i/>
        </w:rPr>
        <w:t>Also decides</w:t>
      </w:r>
      <w:r w:rsidR="006720F6" w:rsidRPr="00057B94">
        <w:t xml:space="preserve"> to adopt the modalities and procedures for the operation and use of the public registry referred to in paragraph 1 above as contained in the annex;</w:t>
      </w:r>
    </w:p>
    <w:p w14:paraId="07DBC9A6" w14:textId="668A75C3" w:rsidR="006720F6" w:rsidRPr="00057B94" w:rsidRDefault="00360174" w:rsidP="00360174">
      <w:pPr>
        <w:pStyle w:val="RegSingleTxtG"/>
        <w:numPr>
          <w:ilvl w:val="0"/>
          <w:numId w:val="0"/>
        </w:numPr>
        <w:tabs>
          <w:tab w:val="left" w:pos="568"/>
        </w:tabs>
        <w:ind w:left="1135"/>
      </w:pPr>
      <w:r w:rsidRPr="00057B94">
        <w:t>3.</w:t>
      </w:r>
      <w:r w:rsidRPr="00057B94">
        <w:tab/>
      </w:r>
      <w:r w:rsidR="006720F6" w:rsidRPr="00057B94">
        <w:rPr>
          <w:i/>
        </w:rPr>
        <w:t>Further decides</w:t>
      </w:r>
      <w:r w:rsidR="006720F6" w:rsidRPr="00057B94">
        <w:t xml:space="preserve"> that the public registry referred to in paragraph 1 above shall be made available by the secretariat, together with the public registry referred to in Article 4, paragraph 12, of the Paris Agreement, through a registry portal with two parts, comprising adaptation communications and nationally determined contributions, respectively;</w:t>
      </w:r>
    </w:p>
    <w:p w14:paraId="15D39B1B" w14:textId="565DC63A" w:rsidR="006720F6" w:rsidRPr="00057B94" w:rsidRDefault="00360174" w:rsidP="00360174">
      <w:pPr>
        <w:pStyle w:val="RegSingleTxtG"/>
        <w:numPr>
          <w:ilvl w:val="0"/>
          <w:numId w:val="0"/>
        </w:numPr>
        <w:tabs>
          <w:tab w:val="left" w:pos="568"/>
        </w:tabs>
        <w:ind w:left="1135"/>
      </w:pPr>
      <w:r w:rsidRPr="00057B94">
        <w:t>4.</w:t>
      </w:r>
      <w:r w:rsidRPr="00057B94">
        <w:tab/>
      </w:r>
      <w:r w:rsidR="006720F6" w:rsidRPr="00057B94">
        <w:rPr>
          <w:i/>
        </w:rPr>
        <w:t>Requests</w:t>
      </w:r>
      <w:r w:rsidR="006720F6" w:rsidRPr="00057B94">
        <w:t xml:space="preserve"> the secretariat:</w:t>
      </w:r>
    </w:p>
    <w:p w14:paraId="71F21E51" w14:textId="77777777" w:rsidR="006720F6" w:rsidRPr="00057B94" w:rsidRDefault="006720F6" w:rsidP="006720F6">
      <w:pPr>
        <w:pStyle w:val="RegSingleTxtG"/>
        <w:numPr>
          <w:ilvl w:val="0"/>
          <w:numId w:val="0"/>
        </w:numPr>
        <w:ind w:left="1135"/>
      </w:pPr>
      <w:r w:rsidRPr="00057B94">
        <w:tab/>
        <w:t>(a)</w:t>
      </w:r>
      <w:r w:rsidRPr="00057B94">
        <w:tab/>
        <w:t xml:space="preserve">To develop a prototype of the public registry referred to in paragraph 1 above by June 2019, in accordance with the modalities and procedures referred to in paragraph 2 above, and present it to Parties at an event to be held in conjunction with the fiftieth sessions of the subsidiary bodies (June 2019); </w:t>
      </w:r>
    </w:p>
    <w:p w14:paraId="7081FC83" w14:textId="77777777" w:rsidR="006720F6" w:rsidRPr="00057B94" w:rsidRDefault="006720F6" w:rsidP="006720F6">
      <w:pPr>
        <w:pStyle w:val="RegSingleTxtG"/>
        <w:numPr>
          <w:ilvl w:val="0"/>
          <w:numId w:val="0"/>
        </w:numPr>
        <w:ind w:left="1135"/>
      </w:pPr>
      <w:r w:rsidRPr="00057B94">
        <w:tab/>
        <w:t>(b)</w:t>
      </w:r>
      <w:r w:rsidRPr="00057B94">
        <w:tab/>
        <w:t>To operate the public registry referred to in paragraph 1 above and to provide assistance on its use to Parties, other stakeholders and the public;</w:t>
      </w:r>
    </w:p>
    <w:p w14:paraId="45C12DCB" w14:textId="3080C04B" w:rsidR="006720F6" w:rsidRPr="00057B94" w:rsidRDefault="00360174" w:rsidP="00360174">
      <w:pPr>
        <w:pStyle w:val="RegSingleTxtG"/>
        <w:numPr>
          <w:ilvl w:val="0"/>
          <w:numId w:val="0"/>
        </w:numPr>
        <w:tabs>
          <w:tab w:val="left" w:pos="568"/>
        </w:tabs>
        <w:ind w:left="1135"/>
      </w:pPr>
      <w:r w:rsidRPr="00057B94">
        <w:t>5.</w:t>
      </w:r>
      <w:r w:rsidRPr="00057B94">
        <w:tab/>
      </w:r>
      <w:r w:rsidR="006720F6" w:rsidRPr="00057B94">
        <w:rPr>
          <w:i/>
        </w:rPr>
        <w:t>Decides</w:t>
      </w:r>
      <w:r w:rsidR="006720F6" w:rsidRPr="00057B94">
        <w:t xml:space="preserve"> to consider and conclude at its second session (</w:t>
      </w:r>
      <w:r w:rsidR="000812CD">
        <w:t>December</w:t>
      </w:r>
      <w:r w:rsidR="006720F6" w:rsidRPr="00057B94">
        <w:t xml:space="preserve"> 2019) whether the prototype referred to in paragraph 4(a) above shall serve as the public registry referred to in Article 7, paragraph 12, of the Paris Agreement;</w:t>
      </w:r>
    </w:p>
    <w:p w14:paraId="6CFCC04A" w14:textId="4ED084BA" w:rsidR="00CC30EF" w:rsidRPr="00057B94" w:rsidRDefault="00360174" w:rsidP="00360174">
      <w:pPr>
        <w:pStyle w:val="RegSingleTxtG"/>
        <w:numPr>
          <w:ilvl w:val="0"/>
          <w:numId w:val="0"/>
        </w:numPr>
        <w:tabs>
          <w:tab w:val="left" w:pos="568"/>
        </w:tabs>
        <w:ind w:left="1135"/>
      </w:pPr>
      <w:r w:rsidRPr="00057B94">
        <w:t>6.</w:t>
      </w:r>
      <w:r w:rsidRPr="00057B94">
        <w:tab/>
      </w:r>
      <w:r w:rsidR="006720F6" w:rsidRPr="00057B94">
        <w:rPr>
          <w:i/>
        </w:rPr>
        <w:t>Takes note</w:t>
      </w:r>
      <w:r w:rsidR="006720F6" w:rsidRPr="00057B94">
        <w:t xml:space="preserve"> of the estimated budgetary implications of the activities to be undertaken by the secretariat referred to in paragraph 4 above.</w:t>
      </w:r>
    </w:p>
    <w:p w14:paraId="531BD1D9" w14:textId="77777777" w:rsidR="00024713" w:rsidRPr="00057B94" w:rsidRDefault="00024713" w:rsidP="00024713">
      <w:pPr>
        <w:sectPr w:rsidR="00024713" w:rsidRPr="00057B94" w:rsidSect="003B6D2B">
          <w:pgSz w:w="11906" w:h="16838" w:code="9"/>
          <w:pgMar w:top="1418" w:right="1134" w:bottom="1134" w:left="1134" w:header="851" w:footer="567" w:gutter="0"/>
          <w:cols w:space="708"/>
          <w:docGrid w:linePitch="360"/>
        </w:sectPr>
      </w:pPr>
    </w:p>
    <w:p w14:paraId="6D4E502A" w14:textId="77777777" w:rsidR="00024713" w:rsidRPr="00057B94" w:rsidRDefault="00024713" w:rsidP="00024713">
      <w:pPr>
        <w:pStyle w:val="HChG"/>
        <w:spacing w:before="0"/>
      </w:pPr>
      <w:r w:rsidRPr="00057B94">
        <w:lastRenderedPageBreak/>
        <w:t>Annex</w:t>
      </w:r>
    </w:p>
    <w:p w14:paraId="70664F65" w14:textId="77777777" w:rsidR="00024713" w:rsidRPr="00057B94" w:rsidRDefault="00024713" w:rsidP="00024713">
      <w:pPr>
        <w:pStyle w:val="HChG"/>
      </w:pPr>
      <w:r w:rsidRPr="00057B94">
        <w:tab/>
      </w:r>
      <w:r w:rsidRPr="00057B94">
        <w:tab/>
      </w:r>
      <w:r w:rsidRPr="00057B94">
        <w:tab/>
        <w:t>Modalities and procedures for the operation and use of a public registry referred to in Article 7, paragraph 12, of the Paris Agreement</w:t>
      </w:r>
    </w:p>
    <w:p w14:paraId="2000C483" w14:textId="5570433E" w:rsidR="00024713" w:rsidRPr="00057B94" w:rsidRDefault="00360174" w:rsidP="00733FEB">
      <w:pPr>
        <w:pStyle w:val="RegHChG"/>
        <w:numPr>
          <w:ilvl w:val="0"/>
          <w:numId w:val="0"/>
        </w:numPr>
        <w:tabs>
          <w:tab w:val="left" w:pos="1135"/>
        </w:tabs>
        <w:ind w:left="1135" w:hanging="454"/>
      </w:pPr>
      <w:r w:rsidRPr="00057B94">
        <w:t>I.</w:t>
      </w:r>
      <w:r w:rsidRPr="00057B94">
        <w:tab/>
      </w:r>
      <w:r w:rsidR="00024713" w:rsidRPr="00057B94">
        <w:t xml:space="preserve">Modalities for the operation of the public registry </w:t>
      </w:r>
    </w:p>
    <w:p w14:paraId="587FA1F1" w14:textId="5FFF0504" w:rsidR="00024713" w:rsidRPr="00057B94" w:rsidRDefault="00360174" w:rsidP="00360174">
      <w:pPr>
        <w:pStyle w:val="RegSingleTxtG"/>
        <w:numPr>
          <w:ilvl w:val="0"/>
          <w:numId w:val="0"/>
        </w:numPr>
        <w:ind w:left="1134"/>
        <w:rPr>
          <w:rFonts w:eastAsiaTheme="minorEastAsia"/>
          <w:b/>
        </w:rPr>
      </w:pPr>
      <w:r w:rsidRPr="00057B94">
        <w:t>1.</w:t>
      </w:r>
      <w:r w:rsidRPr="00057B94">
        <w:tab/>
      </w:r>
      <w:r w:rsidR="00024713" w:rsidRPr="00057B94">
        <w:t>The public registry referred to in Article 7, paragraph 12, of the Paris Agreement:</w:t>
      </w:r>
    </w:p>
    <w:p w14:paraId="337477EA" w14:textId="212693C1" w:rsidR="00024713" w:rsidRPr="00057B94" w:rsidRDefault="00360174" w:rsidP="00360174">
      <w:pPr>
        <w:pStyle w:val="RegSingleTxtG"/>
        <w:numPr>
          <w:ilvl w:val="0"/>
          <w:numId w:val="0"/>
        </w:numPr>
        <w:tabs>
          <w:tab w:val="clear" w:pos="1701"/>
        </w:tabs>
        <w:ind w:left="1134" w:firstLine="567"/>
        <w:rPr>
          <w:rFonts w:eastAsiaTheme="minorEastAsia"/>
          <w:b/>
        </w:rPr>
      </w:pPr>
      <w:r w:rsidRPr="00057B94">
        <w:t>(a)</w:t>
      </w:r>
      <w:r w:rsidRPr="00057B94">
        <w:tab/>
      </w:r>
      <w:r w:rsidR="00024713" w:rsidRPr="00057B94">
        <w:t>Presents the recorded adaptation communications on a separate page for each Party in tabular format, with one row for each adaptation communication and columns displaying, as appropriate: name of Party; document title; document type; hyperlinks to corresponding documents containing the adaptation communications, as appropriate, submitted as a component of or in conjunction with other communications or documents, including a national adaptation plan, a nationally determined contribution and/or a national communication, as referred to in Article 7, paragraph 11, of the Paris Agreement; and version number, status, language and date of submission;</w:t>
      </w:r>
    </w:p>
    <w:p w14:paraId="16290BED" w14:textId="1350E324" w:rsidR="00024713" w:rsidRPr="00057B94" w:rsidRDefault="00360174" w:rsidP="00360174">
      <w:pPr>
        <w:pStyle w:val="RegSingleTxtG"/>
        <w:numPr>
          <w:ilvl w:val="0"/>
          <w:numId w:val="0"/>
        </w:numPr>
        <w:tabs>
          <w:tab w:val="clear" w:pos="1701"/>
        </w:tabs>
        <w:ind w:left="1134" w:firstLine="567"/>
        <w:rPr>
          <w:rFonts w:eastAsiaTheme="minorEastAsia"/>
          <w:b/>
        </w:rPr>
      </w:pPr>
      <w:r w:rsidRPr="00057B94">
        <w:t>(b)</w:t>
      </w:r>
      <w:r w:rsidRPr="00057B94">
        <w:tab/>
      </w:r>
      <w:r w:rsidR="00024713" w:rsidRPr="00057B94">
        <w:t xml:space="preserve">Provides the flexibility for each Party to submit its adaptation communication in the way it wishes; </w:t>
      </w:r>
    </w:p>
    <w:p w14:paraId="3FBB3440" w14:textId="4EF7CBC3" w:rsidR="00024713" w:rsidRPr="00057B94" w:rsidRDefault="00360174" w:rsidP="00360174">
      <w:pPr>
        <w:pStyle w:val="RegSingleTxtG"/>
        <w:numPr>
          <w:ilvl w:val="0"/>
          <w:numId w:val="0"/>
        </w:numPr>
        <w:tabs>
          <w:tab w:val="clear" w:pos="1701"/>
        </w:tabs>
        <w:ind w:left="1134" w:firstLine="567"/>
      </w:pPr>
      <w:r w:rsidRPr="00057B94">
        <w:t>(c)</w:t>
      </w:r>
      <w:r w:rsidRPr="00057B94">
        <w:tab/>
      </w:r>
      <w:r w:rsidR="00024713" w:rsidRPr="00057B94">
        <w:t>Has the capability of sorting, recording and displaying adaptation communications;</w:t>
      </w:r>
    </w:p>
    <w:p w14:paraId="0BD05B16" w14:textId="2126221F" w:rsidR="00024713" w:rsidRPr="00057B94" w:rsidRDefault="00360174" w:rsidP="00360174">
      <w:pPr>
        <w:pStyle w:val="RegSingleTxtG"/>
        <w:numPr>
          <w:ilvl w:val="0"/>
          <w:numId w:val="0"/>
        </w:numPr>
        <w:tabs>
          <w:tab w:val="clear" w:pos="1701"/>
        </w:tabs>
        <w:ind w:left="1134" w:firstLine="567"/>
      </w:pPr>
      <w:r w:rsidRPr="00057B94">
        <w:t>(d)</w:t>
      </w:r>
      <w:r w:rsidRPr="00057B94">
        <w:tab/>
      </w:r>
      <w:r w:rsidR="00024713" w:rsidRPr="00057B94">
        <w:t xml:space="preserve">Preserves the integrity of the adaptation communications in accordance with their country-driven nature; </w:t>
      </w:r>
    </w:p>
    <w:p w14:paraId="53431AAE" w14:textId="6B68738F" w:rsidR="00024713" w:rsidRPr="00057B94" w:rsidRDefault="00360174" w:rsidP="00360174">
      <w:pPr>
        <w:pStyle w:val="RegSingleTxtG"/>
        <w:numPr>
          <w:ilvl w:val="0"/>
          <w:numId w:val="0"/>
        </w:numPr>
        <w:tabs>
          <w:tab w:val="clear" w:pos="1701"/>
        </w:tabs>
        <w:ind w:left="1134" w:firstLine="567"/>
      </w:pPr>
      <w:r w:rsidRPr="00057B94">
        <w:t>(e)</w:t>
      </w:r>
      <w:r w:rsidRPr="00057B94">
        <w:tab/>
      </w:r>
      <w:r w:rsidR="00024713" w:rsidRPr="00057B94">
        <w:t>Avoids unauthorized access to or alteration of its content;</w:t>
      </w:r>
    </w:p>
    <w:p w14:paraId="50636E2F" w14:textId="27365BB2" w:rsidR="00024713" w:rsidRPr="00057B94" w:rsidRDefault="00360174" w:rsidP="00360174">
      <w:pPr>
        <w:pStyle w:val="RegSingleTxtG"/>
        <w:numPr>
          <w:ilvl w:val="0"/>
          <w:numId w:val="0"/>
        </w:numPr>
        <w:tabs>
          <w:tab w:val="clear" w:pos="1701"/>
        </w:tabs>
        <w:ind w:left="1134" w:firstLine="567"/>
      </w:pPr>
      <w:r w:rsidRPr="00057B94">
        <w:t>(f)</w:t>
      </w:r>
      <w:r w:rsidRPr="00057B94">
        <w:tab/>
      </w:r>
      <w:r w:rsidR="00024713" w:rsidRPr="00057B94">
        <w:t>Ensures user-friendly navigation to and between relevant registries and other web resources;</w:t>
      </w:r>
    </w:p>
    <w:p w14:paraId="1186ED46" w14:textId="5AF29476" w:rsidR="00024713" w:rsidRPr="00057B94" w:rsidRDefault="00360174" w:rsidP="00360174">
      <w:pPr>
        <w:pStyle w:val="RegSingleTxtG"/>
        <w:numPr>
          <w:ilvl w:val="0"/>
          <w:numId w:val="0"/>
        </w:numPr>
        <w:tabs>
          <w:tab w:val="clear" w:pos="1701"/>
        </w:tabs>
        <w:ind w:left="1134" w:firstLine="567"/>
      </w:pPr>
      <w:r w:rsidRPr="00057B94">
        <w:t>(g)</w:t>
      </w:r>
      <w:r w:rsidRPr="00057B94">
        <w:tab/>
      </w:r>
      <w:r w:rsidR="00024713" w:rsidRPr="00057B94">
        <w:t>Utilizes relevant web tools to notify users, upon request, of new and modified registry content;</w:t>
      </w:r>
    </w:p>
    <w:p w14:paraId="00495500" w14:textId="7D55AD9E" w:rsidR="00024713" w:rsidRPr="00057B94" w:rsidRDefault="00360174" w:rsidP="00360174">
      <w:pPr>
        <w:pStyle w:val="RegSingleTxtG"/>
        <w:numPr>
          <w:ilvl w:val="0"/>
          <w:numId w:val="0"/>
        </w:numPr>
        <w:tabs>
          <w:tab w:val="clear" w:pos="1701"/>
        </w:tabs>
        <w:ind w:left="1134" w:firstLine="567"/>
      </w:pPr>
      <w:r w:rsidRPr="00057B94">
        <w:t>(h)</w:t>
      </w:r>
      <w:r w:rsidRPr="00057B94">
        <w:tab/>
      </w:r>
      <w:r w:rsidR="00024713" w:rsidRPr="00057B94">
        <w:t>Constitutes an intuitive, easy-to-use web-based platform;</w:t>
      </w:r>
    </w:p>
    <w:p w14:paraId="184E87D1" w14:textId="4B7908DC" w:rsidR="00024713" w:rsidRPr="00057B94" w:rsidRDefault="00360174" w:rsidP="00360174">
      <w:pPr>
        <w:pStyle w:val="RegSingleTxtG"/>
        <w:numPr>
          <w:ilvl w:val="0"/>
          <w:numId w:val="0"/>
        </w:numPr>
        <w:tabs>
          <w:tab w:val="clear" w:pos="1701"/>
        </w:tabs>
        <w:ind w:left="1134" w:firstLine="567"/>
      </w:pPr>
      <w:r w:rsidRPr="00057B94">
        <w:t>(i)</w:t>
      </w:r>
      <w:r w:rsidRPr="00057B94">
        <w:tab/>
      </w:r>
      <w:r w:rsidR="00024713" w:rsidRPr="00057B94">
        <w:t>Provides a user-friendly interface in all six official languages of the United Nations.</w:t>
      </w:r>
    </w:p>
    <w:p w14:paraId="17BD13DA" w14:textId="66D66F4F" w:rsidR="00024713" w:rsidRPr="00057B94" w:rsidRDefault="00360174" w:rsidP="00733FEB">
      <w:pPr>
        <w:pStyle w:val="RegHChG"/>
        <w:numPr>
          <w:ilvl w:val="0"/>
          <w:numId w:val="0"/>
        </w:numPr>
        <w:tabs>
          <w:tab w:val="left" w:pos="1135"/>
        </w:tabs>
        <w:ind w:left="1135" w:hanging="454"/>
        <w:rPr>
          <w:rFonts w:eastAsiaTheme="minorEastAsia"/>
          <w:b w:val="0"/>
        </w:rPr>
      </w:pPr>
      <w:r w:rsidRPr="00057B94">
        <w:rPr>
          <w:rFonts w:eastAsiaTheme="minorEastAsia"/>
        </w:rPr>
        <w:t>II.</w:t>
      </w:r>
      <w:r w:rsidRPr="00057B94">
        <w:rPr>
          <w:rFonts w:eastAsiaTheme="minorEastAsia"/>
        </w:rPr>
        <w:tab/>
      </w:r>
      <w:r w:rsidR="00024713" w:rsidRPr="00057B94">
        <w:rPr>
          <w:rFonts w:eastAsiaTheme="minorEastAsia"/>
        </w:rPr>
        <w:t>Procedures for the use of the public registry</w:t>
      </w:r>
    </w:p>
    <w:p w14:paraId="4BAF5982" w14:textId="0DEA0BE1" w:rsidR="00024713" w:rsidRPr="00057B94" w:rsidRDefault="00360174" w:rsidP="00733FEB">
      <w:pPr>
        <w:pStyle w:val="RegH1G"/>
        <w:numPr>
          <w:ilvl w:val="0"/>
          <w:numId w:val="0"/>
        </w:numPr>
        <w:tabs>
          <w:tab w:val="left" w:pos="1135"/>
        </w:tabs>
        <w:ind w:left="1135" w:hanging="454"/>
      </w:pPr>
      <w:r w:rsidRPr="00057B94">
        <w:t>A.</w:t>
      </w:r>
      <w:r w:rsidRPr="00057B94">
        <w:tab/>
      </w:r>
      <w:r w:rsidR="00024713" w:rsidRPr="00057B94">
        <w:t xml:space="preserve">Submission of adaptation communications </w:t>
      </w:r>
    </w:p>
    <w:p w14:paraId="2109AEEB" w14:textId="73A14BE8" w:rsidR="00024713" w:rsidRPr="00057B94" w:rsidRDefault="00360174" w:rsidP="00360174">
      <w:pPr>
        <w:pStyle w:val="RegSingleTxtG"/>
        <w:numPr>
          <w:ilvl w:val="0"/>
          <w:numId w:val="0"/>
        </w:numPr>
        <w:tabs>
          <w:tab w:val="left" w:pos="2269"/>
        </w:tabs>
        <w:ind w:left="1702" w:hanging="568"/>
        <w:rPr>
          <w:rFonts w:eastAsiaTheme="minorEastAsia"/>
          <w:color w:val="000000" w:themeColor="text1"/>
        </w:rPr>
      </w:pPr>
      <w:r w:rsidRPr="00057B94">
        <w:rPr>
          <w:color w:val="000000" w:themeColor="text1"/>
        </w:rPr>
        <w:t>2.</w:t>
      </w:r>
      <w:r w:rsidRPr="00057B94">
        <w:rPr>
          <w:color w:val="000000" w:themeColor="text1"/>
        </w:rPr>
        <w:tab/>
      </w:r>
      <w:r w:rsidR="00024713" w:rsidRPr="00057B94">
        <w:rPr>
          <w:rFonts w:eastAsiaTheme="minorEastAsia"/>
          <w:color w:val="000000" w:themeColor="text1"/>
        </w:rPr>
        <w:t xml:space="preserve">The secretariat: </w:t>
      </w:r>
    </w:p>
    <w:p w14:paraId="0B883F7F" w14:textId="5F91B388" w:rsidR="00024713" w:rsidRPr="00057B94" w:rsidRDefault="00360174" w:rsidP="00360174">
      <w:pPr>
        <w:pStyle w:val="RegSingleTxtG"/>
        <w:numPr>
          <w:ilvl w:val="0"/>
          <w:numId w:val="0"/>
        </w:numPr>
        <w:tabs>
          <w:tab w:val="clear" w:pos="1701"/>
        </w:tabs>
        <w:ind w:left="1134" w:firstLine="567"/>
      </w:pPr>
      <w:r w:rsidRPr="00057B94">
        <w:t>(a)</w:t>
      </w:r>
      <w:r w:rsidRPr="00057B94">
        <w:tab/>
      </w:r>
      <w:r w:rsidR="00024713" w:rsidRPr="00057B94">
        <w:t>Provides each Party with a unique user account for the public registry;</w:t>
      </w:r>
    </w:p>
    <w:p w14:paraId="04F8A19D" w14:textId="2BA12192" w:rsidR="00024713" w:rsidRPr="00057B94" w:rsidRDefault="00360174" w:rsidP="00360174">
      <w:pPr>
        <w:pStyle w:val="RegSingleTxtG"/>
        <w:numPr>
          <w:ilvl w:val="0"/>
          <w:numId w:val="0"/>
        </w:numPr>
        <w:tabs>
          <w:tab w:val="clear" w:pos="1701"/>
        </w:tabs>
        <w:ind w:left="1134" w:firstLine="567"/>
      </w:pPr>
      <w:r w:rsidRPr="00057B94">
        <w:t>(b)</w:t>
      </w:r>
      <w:r w:rsidRPr="00057B94">
        <w:tab/>
      </w:r>
      <w:r w:rsidR="00024713" w:rsidRPr="00057B94">
        <w:t>Provides technical assistance to Parties for uploading adaptation communications to the public registry, as required.</w:t>
      </w:r>
    </w:p>
    <w:p w14:paraId="515CB989" w14:textId="0D8B1494" w:rsidR="00024713" w:rsidRPr="00057B94" w:rsidRDefault="00360174" w:rsidP="00360174">
      <w:pPr>
        <w:pStyle w:val="RegSingleTxtG"/>
        <w:numPr>
          <w:ilvl w:val="0"/>
          <w:numId w:val="0"/>
        </w:numPr>
        <w:ind w:left="1134"/>
      </w:pPr>
      <w:r w:rsidRPr="00057B94">
        <w:t>3.</w:t>
      </w:r>
      <w:r w:rsidRPr="00057B94">
        <w:tab/>
      </w:r>
      <w:r w:rsidR="00024713" w:rsidRPr="00057B94">
        <w:rPr>
          <w:rFonts w:eastAsiaTheme="minorEastAsia"/>
          <w:color w:val="000000" w:themeColor="text1"/>
        </w:rPr>
        <w:t>The</w:t>
      </w:r>
      <w:r w:rsidR="00024713" w:rsidRPr="00057B94">
        <w:t xml:space="preserve"> national focal point of each Party submits the Party’s adaptation communication by uploading it to the registry, or informs the secretariat of the vehicle used as the adaptation communication.</w:t>
      </w:r>
    </w:p>
    <w:p w14:paraId="6D468AC4" w14:textId="5C92F9EE" w:rsidR="00024713" w:rsidRPr="00057B94" w:rsidRDefault="00360174" w:rsidP="00733FEB">
      <w:pPr>
        <w:pStyle w:val="RegH1G"/>
        <w:numPr>
          <w:ilvl w:val="0"/>
          <w:numId w:val="0"/>
        </w:numPr>
        <w:tabs>
          <w:tab w:val="left" w:pos="1135"/>
        </w:tabs>
        <w:ind w:left="1135" w:hanging="454"/>
      </w:pPr>
      <w:r w:rsidRPr="00057B94">
        <w:t>B.</w:t>
      </w:r>
      <w:r w:rsidRPr="00057B94">
        <w:tab/>
      </w:r>
      <w:r w:rsidR="00024713" w:rsidRPr="00057B94">
        <w:t>Maintaining a record of adaptation communications</w:t>
      </w:r>
    </w:p>
    <w:p w14:paraId="464684C7" w14:textId="7D9BC9A0" w:rsidR="00024713" w:rsidRPr="00057B94" w:rsidRDefault="00360174" w:rsidP="00360174">
      <w:pPr>
        <w:pStyle w:val="RegSingleTxtG"/>
        <w:numPr>
          <w:ilvl w:val="0"/>
          <w:numId w:val="0"/>
        </w:numPr>
        <w:tabs>
          <w:tab w:val="left" w:pos="568"/>
        </w:tabs>
        <w:ind w:left="1135"/>
      </w:pPr>
      <w:r w:rsidRPr="00057B94">
        <w:t>4.</w:t>
      </w:r>
      <w:r w:rsidRPr="00057B94">
        <w:tab/>
      </w:r>
      <w:r w:rsidR="00024713" w:rsidRPr="00057B94">
        <w:t>The public registry constitutes an archive and maintains the hyperlinks of all previously submitted adaptation communications referred to in Article 7, paragraph 11, of the Paris Agreement as a matter of public record.</w:t>
      </w:r>
    </w:p>
    <w:p w14:paraId="1A609EA3" w14:textId="0B66B0DD" w:rsidR="00024713" w:rsidRPr="00057B94" w:rsidRDefault="00360174" w:rsidP="00733FEB">
      <w:pPr>
        <w:pStyle w:val="RegH1G"/>
        <w:numPr>
          <w:ilvl w:val="0"/>
          <w:numId w:val="0"/>
        </w:numPr>
        <w:tabs>
          <w:tab w:val="left" w:pos="1135"/>
        </w:tabs>
        <w:ind w:left="1135" w:hanging="454"/>
      </w:pPr>
      <w:r w:rsidRPr="00057B94">
        <w:lastRenderedPageBreak/>
        <w:t>C.</w:t>
      </w:r>
      <w:r w:rsidRPr="00057B94">
        <w:tab/>
      </w:r>
      <w:r w:rsidR="00024713" w:rsidRPr="00057B94">
        <w:t>Access to adaptation communications</w:t>
      </w:r>
    </w:p>
    <w:p w14:paraId="07B28C9D" w14:textId="140E808F" w:rsidR="00024713" w:rsidRPr="00057B94" w:rsidRDefault="00360174" w:rsidP="00360174">
      <w:pPr>
        <w:pStyle w:val="RegSingleTxtG"/>
        <w:numPr>
          <w:ilvl w:val="0"/>
          <w:numId w:val="0"/>
        </w:numPr>
        <w:tabs>
          <w:tab w:val="left" w:pos="2269"/>
        </w:tabs>
        <w:ind w:left="1134"/>
      </w:pPr>
      <w:r w:rsidRPr="00057B94">
        <w:t>5.</w:t>
      </w:r>
      <w:r w:rsidRPr="00057B94">
        <w:tab/>
      </w:r>
      <w:r w:rsidR="00024713" w:rsidRPr="00057B94">
        <w:rPr>
          <w:color w:val="000000" w:themeColor="text1"/>
        </w:rPr>
        <w:t>Parties</w:t>
      </w:r>
      <w:r w:rsidR="00024713" w:rsidRPr="00057B94">
        <w:t>, non-State actors, other stakeholders and the public can view, read and download the adaptation communications from the public registry.</w:t>
      </w:r>
    </w:p>
    <w:p w14:paraId="67C91BC1" w14:textId="5BF2FE31" w:rsidR="00024713" w:rsidRPr="00057B94" w:rsidRDefault="00360174" w:rsidP="00360174">
      <w:pPr>
        <w:pStyle w:val="RegSingleTxtG"/>
        <w:numPr>
          <w:ilvl w:val="0"/>
          <w:numId w:val="0"/>
        </w:numPr>
        <w:ind w:left="1134"/>
        <w:rPr>
          <w:rFonts w:eastAsiaTheme="minorEastAsia"/>
        </w:rPr>
      </w:pPr>
      <w:r w:rsidRPr="00057B94">
        <w:t>6.</w:t>
      </w:r>
      <w:r w:rsidRPr="00057B94">
        <w:tab/>
      </w:r>
      <w:r w:rsidR="00024713" w:rsidRPr="00057B94">
        <w:rPr>
          <w:rFonts w:eastAsiaTheme="minorEastAsia"/>
        </w:rPr>
        <w:t xml:space="preserve">To the extent possible, the public registry should be easily accessible to users with slow Internet connections. </w:t>
      </w:r>
    </w:p>
    <w:p w14:paraId="293AA836" w14:textId="3C1710F9" w:rsidR="00024713" w:rsidRPr="00057B94" w:rsidRDefault="00360174" w:rsidP="00733FEB">
      <w:pPr>
        <w:pStyle w:val="RegHChG"/>
        <w:numPr>
          <w:ilvl w:val="0"/>
          <w:numId w:val="0"/>
        </w:numPr>
        <w:tabs>
          <w:tab w:val="left" w:pos="1135"/>
        </w:tabs>
        <w:ind w:left="1135" w:hanging="454"/>
        <w:rPr>
          <w:rFonts w:eastAsiaTheme="minorEastAsia"/>
          <w:b w:val="0"/>
        </w:rPr>
      </w:pPr>
      <w:r w:rsidRPr="00057B94">
        <w:rPr>
          <w:rFonts w:eastAsiaTheme="minorEastAsia"/>
        </w:rPr>
        <w:t>III.</w:t>
      </w:r>
      <w:r w:rsidRPr="00057B94">
        <w:rPr>
          <w:rFonts w:eastAsiaTheme="minorEastAsia"/>
        </w:rPr>
        <w:tab/>
      </w:r>
      <w:r w:rsidR="00024713" w:rsidRPr="00057B94">
        <w:rPr>
          <w:rFonts w:eastAsiaTheme="minorEastAsia"/>
        </w:rPr>
        <w:t>Roles</w:t>
      </w:r>
    </w:p>
    <w:p w14:paraId="4A53E513" w14:textId="08A1A3D6" w:rsidR="00024713" w:rsidRPr="00057B94" w:rsidRDefault="00360174" w:rsidP="00360174">
      <w:pPr>
        <w:pStyle w:val="RegSingleTxtG"/>
        <w:numPr>
          <w:ilvl w:val="0"/>
          <w:numId w:val="0"/>
        </w:numPr>
        <w:tabs>
          <w:tab w:val="left" w:pos="2269"/>
        </w:tabs>
        <w:ind w:left="1134"/>
      </w:pPr>
      <w:r w:rsidRPr="00057B94">
        <w:t>7.</w:t>
      </w:r>
      <w:r w:rsidRPr="00057B94">
        <w:tab/>
      </w:r>
      <w:r w:rsidR="00024713" w:rsidRPr="00057B94">
        <w:t>The national focal point of each Party manages the Party’s interaction with the secretariat regarding the adaptation communication in the public registry.</w:t>
      </w:r>
    </w:p>
    <w:p w14:paraId="0F87F25B" w14:textId="3940DE6C" w:rsidR="00024713" w:rsidRPr="00057B94" w:rsidRDefault="00360174" w:rsidP="00360174">
      <w:pPr>
        <w:pStyle w:val="RegSingleTxtG"/>
        <w:numPr>
          <w:ilvl w:val="0"/>
          <w:numId w:val="0"/>
        </w:numPr>
        <w:ind w:left="1134"/>
      </w:pPr>
      <w:r w:rsidRPr="00057B94">
        <w:t>8.</w:t>
      </w:r>
      <w:r w:rsidRPr="00057B94">
        <w:tab/>
      </w:r>
      <w:r w:rsidR="00024713" w:rsidRPr="00057B94">
        <w:t>The national focal point of each Party is assigned a unique user account to manage the Party’s content in the public registry.</w:t>
      </w:r>
    </w:p>
    <w:p w14:paraId="6495FB86" w14:textId="726574DB" w:rsidR="00024713" w:rsidRPr="00057B94" w:rsidRDefault="00360174" w:rsidP="00360174">
      <w:pPr>
        <w:pStyle w:val="RegSingleTxtG"/>
        <w:numPr>
          <w:ilvl w:val="0"/>
          <w:numId w:val="0"/>
        </w:numPr>
        <w:ind w:left="1134"/>
      </w:pPr>
      <w:r w:rsidRPr="00057B94">
        <w:t>9.</w:t>
      </w:r>
      <w:r w:rsidRPr="00057B94">
        <w:tab/>
      </w:r>
      <w:r w:rsidR="00024713" w:rsidRPr="00057B94">
        <w:t>The secretariat communicates with and provides assistance to Parties using the public registry, including through a user guide, training programmes and online support.</w:t>
      </w:r>
    </w:p>
    <w:p w14:paraId="256B65FA" w14:textId="235C19A6" w:rsidR="006720F6" w:rsidRPr="00057B94" w:rsidRDefault="006720F6" w:rsidP="006720F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00924076" w:rsidRPr="00057B94">
        <w:rPr>
          <w:i/>
          <w:lang w:eastAsia="en-US"/>
        </w:rPr>
        <w:t xml:space="preserve"> </w:t>
      </w:r>
      <w:r w:rsidRPr="00057B94">
        <w:rPr>
          <w:i/>
          <w:lang w:eastAsia="en-US"/>
        </w:rPr>
        <w:t>plenary meeting</w:t>
      </w:r>
    </w:p>
    <w:p w14:paraId="0403EB6D" w14:textId="2433F633" w:rsidR="006720F6" w:rsidRPr="00057B94" w:rsidRDefault="006720F6" w:rsidP="006720F6">
      <w:pPr>
        <w:pStyle w:val="RegSingleTxtG"/>
        <w:numPr>
          <w:ilvl w:val="0"/>
          <w:numId w:val="0"/>
        </w:numPr>
        <w:suppressAutoHyphens w:val="0"/>
        <w:autoSpaceDE w:val="0"/>
        <w:autoSpaceDN w:val="0"/>
        <w:adjustRightInd w:val="0"/>
        <w:spacing w:after="0" w:line="240" w:lineRule="auto"/>
        <w:ind w:left="1134" w:right="-1"/>
        <w:jc w:val="right"/>
      </w:pPr>
      <w:r w:rsidRPr="00057B94">
        <w:rPr>
          <w:i/>
          <w:lang w:eastAsia="en-US"/>
        </w:rPr>
        <w:t>15 December 2018</w:t>
      </w:r>
    </w:p>
    <w:p w14:paraId="0FEE2C81" w14:textId="77777777" w:rsidR="00FB634B" w:rsidRPr="00057B94" w:rsidRDefault="00FB634B" w:rsidP="00FB634B"/>
    <w:p w14:paraId="6F48A808" w14:textId="4FE7EFFA" w:rsidR="006720F6" w:rsidRPr="00057B94" w:rsidRDefault="006720F6" w:rsidP="00FB634B">
      <w:pPr>
        <w:sectPr w:rsidR="006720F6" w:rsidRPr="00057B94" w:rsidSect="003B6D2B">
          <w:pgSz w:w="11906" w:h="16838" w:code="9"/>
          <w:pgMar w:top="1418" w:right="1134" w:bottom="1134" w:left="1134" w:header="851" w:footer="567" w:gutter="0"/>
          <w:cols w:space="708"/>
          <w:docGrid w:linePitch="360"/>
        </w:sectPr>
      </w:pPr>
    </w:p>
    <w:p w14:paraId="75875E55" w14:textId="1F2DBE0A" w:rsidR="00FB634B" w:rsidRPr="00057B94" w:rsidRDefault="00FB634B" w:rsidP="00034A83">
      <w:pPr>
        <w:pStyle w:val="HChG"/>
        <w:keepNext w:val="0"/>
        <w:keepLines w:val="0"/>
        <w:pageBreakBefore/>
        <w:widowControl w:val="0"/>
        <w:spacing w:before="120"/>
        <w:ind w:firstLine="0"/>
        <w:rPr>
          <w:bCs/>
        </w:rPr>
      </w:pPr>
      <w:bookmarkStart w:id="14" w:name="D11"/>
      <w:r w:rsidRPr="00057B94">
        <w:rPr>
          <w:bCs/>
        </w:rPr>
        <w:lastRenderedPageBreak/>
        <w:t xml:space="preserve">Decision </w:t>
      </w:r>
      <w:r w:rsidR="00AB1981" w:rsidRPr="00057B94">
        <w:rPr>
          <w:bCs/>
        </w:rPr>
        <w:t>11</w:t>
      </w:r>
      <w:r w:rsidRPr="00057B94">
        <w:rPr>
          <w:bCs/>
        </w:rPr>
        <w:t>/CMA.1</w:t>
      </w:r>
      <w:bookmarkEnd w:id="14"/>
    </w:p>
    <w:p w14:paraId="202EE27B" w14:textId="487C2901" w:rsidR="00FB634B" w:rsidRPr="00057B94" w:rsidRDefault="00CC30EF" w:rsidP="00CC30EF">
      <w:pPr>
        <w:pStyle w:val="HChG"/>
      </w:pPr>
      <w:r w:rsidRPr="00057B94">
        <w:tab/>
      </w:r>
      <w:r w:rsidRPr="00057B94">
        <w:tab/>
        <w:t>Matters referred to in paragraphs 41, 42 and 45 of decision 1/CP.21</w:t>
      </w:r>
    </w:p>
    <w:p w14:paraId="60BA7DBC" w14:textId="77777777" w:rsidR="006720F6" w:rsidRPr="00057B94" w:rsidRDefault="006720F6" w:rsidP="006720F6">
      <w:pPr>
        <w:tabs>
          <w:tab w:val="left" w:pos="1701"/>
        </w:tabs>
        <w:spacing w:after="120"/>
        <w:ind w:left="1135" w:right="1134" w:firstLine="566"/>
        <w:jc w:val="both"/>
        <w:rPr>
          <w:i/>
        </w:rPr>
      </w:pPr>
      <w:r w:rsidRPr="00057B94">
        <w:rPr>
          <w:i/>
        </w:rPr>
        <w:t>The Conference of the Parties serving as the meeting of the Parties to the Paris Agreement</w:t>
      </w:r>
      <w:r w:rsidRPr="00057B94">
        <w:t>,</w:t>
      </w:r>
      <w:r w:rsidRPr="00057B94">
        <w:rPr>
          <w:i/>
        </w:rPr>
        <w:t xml:space="preserve"> </w:t>
      </w:r>
    </w:p>
    <w:p w14:paraId="6D76925A" w14:textId="77777777" w:rsidR="006720F6" w:rsidRPr="00057B94" w:rsidRDefault="006720F6" w:rsidP="006720F6">
      <w:pPr>
        <w:tabs>
          <w:tab w:val="left" w:pos="1701"/>
        </w:tabs>
        <w:spacing w:after="120"/>
        <w:ind w:left="1135" w:right="1134" w:firstLine="566"/>
        <w:jc w:val="both"/>
        <w:rPr>
          <w:i/>
        </w:rPr>
      </w:pPr>
      <w:r w:rsidRPr="00057B94">
        <w:rPr>
          <w:i/>
        </w:rPr>
        <w:t xml:space="preserve">Recalling </w:t>
      </w:r>
      <w:r w:rsidRPr="00057B94">
        <w:t>Article 7 of the Paris Agreement,</w:t>
      </w:r>
    </w:p>
    <w:p w14:paraId="78D9669A" w14:textId="77777777" w:rsidR="006720F6" w:rsidRPr="00057B94" w:rsidRDefault="006720F6" w:rsidP="006720F6">
      <w:pPr>
        <w:tabs>
          <w:tab w:val="left" w:pos="1701"/>
        </w:tabs>
        <w:spacing w:after="120"/>
        <w:ind w:left="1135" w:right="1134" w:firstLine="566"/>
        <w:jc w:val="both"/>
      </w:pPr>
      <w:r w:rsidRPr="00057B94">
        <w:rPr>
          <w:i/>
        </w:rPr>
        <w:t xml:space="preserve">Also recalling </w:t>
      </w:r>
      <w:r w:rsidRPr="00057B94">
        <w:t>decision 1/CP.21, paragraphs 41, 42 and 45,</w:t>
      </w:r>
    </w:p>
    <w:p w14:paraId="47420EF7" w14:textId="77777777" w:rsidR="006720F6" w:rsidRPr="00057B94" w:rsidRDefault="006720F6" w:rsidP="006720F6">
      <w:pPr>
        <w:tabs>
          <w:tab w:val="left" w:pos="1701"/>
        </w:tabs>
        <w:spacing w:after="120"/>
        <w:ind w:left="1135" w:right="1134" w:firstLine="566"/>
        <w:jc w:val="both"/>
      </w:pPr>
      <w:r w:rsidRPr="00057B94">
        <w:rPr>
          <w:i/>
        </w:rPr>
        <w:tab/>
        <w:t xml:space="preserve">Noting with appreciation </w:t>
      </w:r>
      <w:r w:rsidRPr="00057B94">
        <w:t>the technical work undertaken by the Adaptation Committee and the Least Developed Countries Expert Group, in collaboration with the Standing Committee on Finance,</w:t>
      </w:r>
      <w:r w:rsidRPr="00057B94">
        <w:rPr>
          <w:rStyle w:val="FootnoteReference"/>
        </w:rPr>
        <w:footnoteReference w:id="9"/>
      </w:r>
      <w:r w:rsidRPr="00057B94">
        <w:t xml:space="preserve"> in relation to decision 1/CP.21, paragraphs 41, 42 and 45,</w:t>
      </w:r>
    </w:p>
    <w:p w14:paraId="4C44FEA9" w14:textId="0DB1A076" w:rsidR="006720F6" w:rsidRPr="00057B94" w:rsidRDefault="00360174" w:rsidP="00733FEB">
      <w:pPr>
        <w:pStyle w:val="RegHChG"/>
        <w:numPr>
          <w:ilvl w:val="0"/>
          <w:numId w:val="0"/>
        </w:numPr>
        <w:tabs>
          <w:tab w:val="left" w:pos="1135"/>
        </w:tabs>
        <w:ind w:left="1135" w:hanging="454"/>
      </w:pPr>
      <w:r w:rsidRPr="00057B94">
        <w:t>I.</w:t>
      </w:r>
      <w:r w:rsidRPr="00057B94">
        <w:tab/>
      </w:r>
      <w:r w:rsidR="006720F6" w:rsidRPr="00057B94">
        <w:t>Ways to enhance the coherence of the work of adaptation-related institutional arrangements</w:t>
      </w:r>
    </w:p>
    <w:p w14:paraId="0DEA6693" w14:textId="0164A8F0" w:rsidR="006720F6" w:rsidRPr="00057B94" w:rsidRDefault="00360174" w:rsidP="00360174">
      <w:pPr>
        <w:tabs>
          <w:tab w:val="left" w:pos="568"/>
          <w:tab w:val="left" w:pos="1701"/>
        </w:tabs>
        <w:spacing w:after="120"/>
        <w:ind w:left="1135" w:right="1134"/>
        <w:jc w:val="both"/>
      </w:pPr>
      <w:r w:rsidRPr="00057B94">
        <w:t>1.</w:t>
      </w:r>
      <w:r w:rsidRPr="00057B94">
        <w:tab/>
      </w:r>
      <w:r w:rsidR="006720F6" w:rsidRPr="00057B94">
        <w:rPr>
          <w:i/>
        </w:rPr>
        <w:t>Decides</w:t>
      </w:r>
      <w:r w:rsidR="006720F6" w:rsidRPr="00057B94">
        <w:t xml:space="preserve"> that the Adaptation Committee and the Least Developed Countries Expert Group shall serve the Paris Agreement;</w:t>
      </w:r>
    </w:p>
    <w:p w14:paraId="746DCC52" w14:textId="23F4CCE1" w:rsidR="006720F6" w:rsidRPr="00057B94" w:rsidRDefault="00360174" w:rsidP="00360174">
      <w:pPr>
        <w:tabs>
          <w:tab w:val="left" w:pos="568"/>
          <w:tab w:val="left" w:pos="1701"/>
        </w:tabs>
        <w:spacing w:after="120"/>
        <w:ind w:left="1135" w:right="1134"/>
        <w:jc w:val="both"/>
      </w:pPr>
      <w:r w:rsidRPr="00057B94">
        <w:t>2.</w:t>
      </w:r>
      <w:r w:rsidRPr="00057B94">
        <w:tab/>
      </w:r>
      <w:r w:rsidR="006720F6" w:rsidRPr="00057B94">
        <w:rPr>
          <w:i/>
        </w:rPr>
        <w:t>Assigns</w:t>
      </w:r>
      <w:r w:rsidR="006720F6" w:rsidRPr="00057B94">
        <w:t xml:space="preserve"> any future and emerging adaptation-related work necessary for the effective implementation of the Paris Agreement to existing institutions;</w:t>
      </w:r>
    </w:p>
    <w:p w14:paraId="33446B76" w14:textId="11487673" w:rsidR="006720F6" w:rsidRPr="00057B94" w:rsidRDefault="00360174" w:rsidP="00360174">
      <w:pPr>
        <w:tabs>
          <w:tab w:val="left" w:pos="568"/>
          <w:tab w:val="left" w:pos="1701"/>
        </w:tabs>
        <w:spacing w:after="120"/>
        <w:ind w:left="1135" w:right="1134"/>
        <w:jc w:val="both"/>
      </w:pPr>
      <w:r w:rsidRPr="00057B94">
        <w:t>3.</w:t>
      </w:r>
      <w:r w:rsidRPr="00057B94">
        <w:tab/>
      </w:r>
      <w:r w:rsidR="006720F6" w:rsidRPr="00057B94">
        <w:rPr>
          <w:i/>
        </w:rPr>
        <w:t>Encourages</w:t>
      </w:r>
      <w:r w:rsidR="006720F6" w:rsidRPr="00057B94">
        <w:t xml:space="preserve"> institutional arrangements related to finance, technology development and transfer and capacity-building,</w:t>
      </w:r>
      <w:r w:rsidR="006720F6" w:rsidRPr="00057B94">
        <w:rPr>
          <w:rStyle w:val="FootnoteReference"/>
        </w:rPr>
        <w:footnoteReference w:id="10"/>
      </w:r>
      <w:r w:rsidR="006720F6" w:rsidRPr="00057B94">
        <w:t xml:space="preserve"> in line with their mandates, to strive for a balance between adaptation and mitigation while respecting a country-driven approach;</w:t>
      </w:r>
    </w:p>
    <w:p w14:paraId="62DB6981" w14:textId="4B83906D" w:rsidR="006720F6" w:rsidRPr="00057B94" w:rsidRDefault="00360174" w:rsidP="00360174">
      <w:pPr>
        <w:tabs>
          <w:tab w:val="left" w:pos="568"/>
          <w:tab w:val="left" w:pos="1701"/>
        </w:tabs>
        <w:spacing w:after="120"/>
        <w:ind w:left="1135" w:right="1134"/>
        <w:jc w:val="both"/>
      </w:pPr>
      <w:r w:rsidRPr="00057B94">
        <w:t>4.</w:t>
      </w:r>
      <w:r w:rsidRPr="00057B94">
        <w:tab/>
      </w:r>
      <w:r w:rsidR="006720F6" w:rsidRPr="00057B94">
        <w:rPr>
          <w:i/>
        </w:rPr>
        <w:t>Invites</w:t>
      </w:r>
      <w:r w:rsidR="006720F6" w:rsidRPr="00057B94">
        <w:t xml:space="preserve"> partner organizations of the Nairobi work programme on impacts, vulnerability and adaptation to climate change, in collaboration with the Adaptation Committee, to support the work of other adaptation-related institutional arrangements, in particular by providing relevant scientific and technical information and sharing knowledge;</w:t>
      </w:r>
    </w:p>
    <w:p w14:paraId="166B5953" w14:textId="7644E148" w:rsidR="006720F6" w:rsidRPr="00057B94" w:rsidRDefault="00360174" w:rsidP="00360174">
      <w:pPr>
        <w:tabs>
          <w:tab w:val="left" w:pos="568"/>
          <w:tab w:val="left" w:pos="1701"/>
        </w:tabs>
        <w:spacing w:after="120"/>
        <w:ind w:left="1135" w:right="1134"/>
        <w:jc w:val="both"/>
      </w:pPr>
      <w:r w:rsidRPr="00057B94">
        <w:t>5.</w:t>
      </w:r>
      <w:r w:rsidRPr="00057B94">
        <w:tab/>
      </w:r>
      <w:r w:rsidR="006720F6" w:rsidRPr="00057B94">
        <w:rPr>
          <w:i/>
        </w:rPr>
        <w:t xml:space="preserve">Also invites </w:t>
      </w:r>
      <w:r w:rsidR="006720F6" w:rsidRPr="00057B94">
        <w:t>the Consultative Group of Experts and the Least Developed Countries Expert Group, in line with their mandates, as appropriate, ensuring efficiency and consistency, to work together on training for assessing vulnerability and other aspects of adaptation;</w:t>
      </w:r>
    </w:p>
    <w:p w14:paraId="2F4E885D" w14:textId="43ED00CF" w:rsidR="006720F6" w:rsidRPr="00057B94" w:rsidRDefault="00360174" w:rsidP="00360174">
      <w:pPr>
        <w:tabs>
          <w:tab w:val="left" w:pos="568"/>
          <w:tab w:val="left" w:pos="1701"/>
        </w:tabs>
        <w:spacing w:after="120"/>
        <w:ind w:left="1135" w:right="1134"/>
        <w:jc w:val="both"/>
      </w:pPr>
      <w:r w:rsidRPr="00057B94">
        <w:t>6.</w:t>
      </w:r>
      <w:r w:rsidRPr="00057B94">
        <w:tab/>
      </w:r>
      <w:r w:rsidR="006720F6" w:rsidRPr="00057B94">
        <w:rPr>
          <w:i/>
        </w:rPr>
        <w:t>Requests</w:t>
      </w:r>
      <w:r w:rsidR="006720F6" w:rsidRPr="00057B94">
        <w:t xml:space="preserve"> the Adaptation Committee, as necessary and in consultation with relevant adaptation-related institutions, to continue to make recommendations in its annual report on enhancing collaboration and promoting coherence and synergies with a view to addressing Parties’ evolving adaptation-related needs;</w:t>
      </w:r>
    </w:p>
    <w:p w14:paraId="72D22F00" w14:textId="68032BC8" w:rsidR="006720F6" w:rsidRPr="00057B94" w:rsidRDefault="00360174" w:rsidP="00360174">
      <w:pPr>
        <w:tabs>
          <w:tab w:val="left" w:pos="568"/>
          <w:tab w:val="left" w:pos="1701"/>
        </w:tabs>
        <w:spacing w:after="120"/>
        <w:ind w:left="1135" w:right="1134"/>
        <w:jc w:val="both"/>
      </w:pPr>
      <w:bookmarkStart w:id="15" w:name="_Hlk532493552"/>
      <w:r w:rsidRPr="00057B94">
        <w:t>7.</w:t>
      </w:r>
      <w:r w:rsidRPr="00057B94">
        <w:tab/>
      </w:r>
      <w:r w:rsidR="006720F6" w:rsidRPr="00057B94">
        <w:rPr>
          <w:i/>
        </w:rPr>
        <w:t xml:space="preserve">Urges </w:t>
      </w:r>
      <w:r w:rsidR="006720F6" w:rsidRPr="00057B94">
        <w:t xml:space="preserve">developed country Parties and </w:t>
      </w:r>
      <w:r w:rsidR="006720F6" w:rsidRPr="00057B94">
        <w:rPr>
          <w:i/>
        </w:rPr>
        <w:t xml:space="preserve">invites </w:t>
      </w:r>
      <w:r w:rsidR="006720F6" w:rsidRPr="00057B94">
        <w:t>other Parties that provide resources on a voluntary basis to make available sufficient resources for the successful and timely implementation of the work of adaptation-related institutions under the Convention and the Paris Agreement;</w:t>
      </w:r>
    </w:p>
    <w:bookmarkEnd w:id="15"/>
    <w:p w14:paraId="0461FD54" w14:textId="62EE38BA" w:rsidR="006720F6" w:rsidRPr="00057B94" w:rsidRDefault="00360174" w:rsidP="00733FEB">
      <w:pPr>
        <w:pStyle w:val="RegHChG"/>
        <w:numPr>
          <w:ilvl w:val="0"/>
          <w:numId w:val="0"/>
        </w:numPr>
        <w:tabs>
          <w:tab w:val="left" w:pos="1135"/>
        </w:tabs>
        <w:ind w:left="1135" w:hanging="454"/>
      </w:pPr>
      <w:r w:rsidRPr="00057B94">
        <w:t>II.</w:t>
      </w:r>
      <w:r w:rsidRPr="00057B94">
        <w:tab/>
      </w:r>
      <w:r w:rsidR="006720F6" w:rsidRPr="00057B94">
        <w:t>Modalities for recognizing the adaptation efforts of developing country Parties</w:t>
      </w:r>
    </w:p>
    <w:p w14:paraId="3E402967" w14:textId="2AA3A499" w:rsidR="006720F6" w:rsidRPr="00057B94" w:rsidRDefault="00360174" w:rsidP="00360174">
      <w:pPr>
        <w:tabs>
          <w:tab w:val="left" w:pos="568"/>
          <w:tab w:val="left" w:pos="1701"/>
        </w:tabs>
        <w:spacing w:after="120"/>
        <w:ind w:left="1135" w:right="1134"/>
        <w:jc w:val="both"/>
      </w:pPr>
      <w:r w:rsidRPr="00057B94">
        <w:t>8.</w:t>
      </w:r>
      <w:r w:rsidRPr="00057B94">
        <w:tab/>
      </w:r>
      <w:r w:rsidR="006720F6" w:rsidRPr="00057B94">
        <w:rPr>
          <w:i/>
        </w:rPr>
        <w:t>Notes</w:t>
      </w:r>
      <w:r w:rsidR="006720F6" w:rsidRPr="00057B94">
        <w:t xml:space="preserve"> the existing work of the Adaptation Committee and the Least Developed Countries Expert Group related to synthesizing information on specific adaptation themes and on relevant lessons learned and good practices;</w:t>
      </w:r>
    </w:p>
    <w:p w14:paraId="3E811C80" w14:textId="7E8F9BE3" w:rsidR="006720F6" w:rsidRPr="00057B94" w:rsidRDefault="00360174" w:rsidP="00360174">
      <w:pPr>
        <w:tabs>
          <w:tab w:val="left" w:pos="568"/>
          <w:tab w:val="left" w:pos="1701"/>
        </w:tabs>
        <w:spacing w:after="120"/>
        <w:ind w:left="1135" w:right="1134"/>
        <w:jc w:val="both"/>
      </w:pPr>
      <w:bookmarkStart w:id="16" w:name="_Hlk532596347"/>
      <w:r w:rsidRPr="00057B94">
        <w:lastRenderedPageBreak/>
        <w:t>9.</w:t>
      </w:r>
      <w:r w:rsidRPr="00057B94">
        <w:tab/>
      </w:r>
      <w:r w:rsidR="006720F6" w:rsidRPr="00057B94">
        <w:rPr>
          <w:i/>
        </w:rPr>
        <w:t>Requests</w:t>
      </w:r>
      <w:r w:rsidR="006720F6" w:rsidRPr="00057B94">
        <w:t xml:space="preserve"> the secretariat to include in the synthesis report prepared for the global stocktake called for </w:t>
      </w:r>
      <w:r w:rsidR="00645EB2" w:rsidRPr="00057B94">
        <w:t>in paragraph 23(b) of decision 19</w:t>
      </w:r>
      <w:r w:rsidR="006720F6" w:rsidRPr="00057B94">
        <w:t xml:space="preserve">/CMA.1 information on the adaptation efforts of developing country Parties, in order to facilitate recognition of such efforts in the global stocktake, drawing on, inter alia, the most recent documents that may contain adaptation information, which may include adaptation communications, national adaptation plans, national communications, nationally determined contributions, other relevant reports prepared under the transparency framework and reports of the Intergovernmental Panel on Climate Change and other relevant scientific bodies; </w:t>
      </w:r>
    </w:p>
    <w:bookmarkEnd w:id="16"/>
    <w:p w14:paraId="7A2F2A4C" w14:textId="28527642" w:rsidR="006720F6" w:rsidRPr="00057B94" w:rsidRDefault="00360174" w:rsidP="00360174">
      <w:pPr>
        <w:tabs>
          <w:tab w:val="left" w:pos="568"/>
          <w:tab w:val="left" w:pos="1701"/>
        </w:tabs>
        <w:spacing w:after="120"/>
        <w:ind w:left="1135" w:right="1134"/>
        <w:jc w:val="both"/>
      </w:pPr>
      <w:r w:rsidRPr="00057B94">
        <w:t>10.</w:t>
      </w:r>
      <w:r w:rsidRPr="00057B94">
        <w:tab/>
      </w:r>
      <w:r w:rsidR="006720F6" w:rsidRPr="00057B94">
        <w:rPr>
          <w:i/>
        </w:rPr>
        <w:t>Decides</w:t>
      </w:r>
      <w:r w:rsidR="006720F6" w:rsidRPr="00057B94">
        <w:t xml:space="preserve"> to</w:t>
      </w:r>
      <w:r w:rsidR="006720F6" w:rsidRPr="00057B94">
        <w:rPr>
          <w:i/>
        </w:rPr>
        <w:t xml:space="preserve"> </w:t>
      </w:r>
      <w:r w:rsidR="006720F6" w:rsidRPr="00057B94">
        <w:t>recognize, guided by the high-level committee and taking into account a country-driven approach, the adaptation efforts of developing country Parties during the high-level events of the global stocktake referred to in paragraph 3</w:t>
      </w:r>
      <w:r w:rsidR="001D212F" w:rsidRPr="00057B94">
        <w:t>3</w:t>
      </w:r>
      <w:r w:rsidR="006720F6" w:rsidRPr="00057B94">
        <w:t xml:space="preserve"> of decision </w:t>
      </w:r>
      <w:r w:rsidR="00645EB2" w:rsidRPr="00057B94">
        <w:t>19</w:t>
      </w:r>
      <w:r w:rsidR="006720F6" w:rsidRPr="00057B94">
        <w:t>/CMA.1;</w:t>
      </w:r>
    </w:p>
    <w:p w14:paraId="7E76909A" w14:textId="12B79817" w:rsidR="006720F6" w:rsidRPr="00057B94" w:rsidRDefault="00360174" w:rsidP="00360174">
      <w:pPr>
        <w:tabs>
          <w:tab w:val="left" w:pos="568"/>
          <w:tab w:val="left" w:pos="1701"/>
        </w:tabs>
        <w:spacing w:after="120"/>
        <w:ind w:left="1135" w:right="1134"/>
        <w:jc w:val="both"/>
      </w:pPr>
      <w:r w:rsidRPr="00057B94">
        <w:t>11.</w:t>
      </w:r>
      <w:r w:rsidRPr="00057B94">
        <w:tab/>
      </w:r>
      <w:r w:rsidR="006720F6" w:rsidRPr="00057B94">
        <w:rPr>
          <w:i/>
        </w:rPr>
        <w:t>Requests</w:t>
      </w:r>
      <w:r w:rsidR="006720F6" w:rsidRPr="00057B94">
        <w:t xml:space="preserve"> the secretariat to prepare a report summarizing the recognition of adaptation efforts of developing country Parties referred to in paragraph 10 above drawing on, inter alia, the synthesis report referred to in paragraph 9 above and the outputs referred to in paragraph 34 of decision </w:t>
      </w:r>
      <w:r w:rsidR="00645EB2" w:rsidRPr="00057B94">
        <w:t>19</w:t>
      </w:r>
      <w:r w:rsidR="006720F6" w:rsidRPr="00057B94">
        <w:t>/CMA.1;</w:t>
      </w:r>
    </w:p>
    <w:p w14:paraId="259672D6" w14:textId="4F47DB5F" w:rsidR="006720F6" w:rsidRPr="00057B94" w:rsidRDefault="00360174" w:rsidP="00360174">
      <w:pPr>
        <w:tabs>
          <w:tab w:val="left" w:pos="568"/>
          <w:tab w:val="left" w:pos="1701"/>
        </w:tabs>
        <w:spacing w:after="120"/>
        <w:ind w:left="1135" w:right="1134"/>
        <w:jc w:val="both"/>
      </w:pPr>
      <w:r w:rsidRPr="00057B94">
        <w:t>12.</w:t>
      </w:r>
      <w:r w:rsidRPr="00057B94">
        <w:tab/>
      </w:r>
      <w:r w:rsidR="006720F6" w:rsidRPr="00057B94">
        <w:rPr>
          <w:i/>
        </w:rPr>
        <w:t>Decides</w:t>
      </w:r>
      <w:r w:rsidR="006720F6" w:rsidRPr="00057B94">
        <w:t xml:space="preserve"> to make use of existing national, regional and global events, including the NAP Expo and the Adaptation Forum of the Adaptation Committee, to showcase the adaptation efforts </w:t>
      </w:r>
      <w:bookmarkStart w:id="17" w:name="_Hlk531961007"/>
      <w:r w:rsidR="006720F6" w:rsidRPr="00057B94">
        <w:t>of developing country Parties</w:t>
      </w:r>
      <w:bookmarkEnd w:id="17"/>
      <w:r w:rsidR="006720F6" w:rsidRPr="00057B94">
        <w:t>;</w:t>
      </w:r>
    </w:p>
    <w:p w14:paraId="17C03E35" w14:textId="062EDFAE" w:rsidR="006720F6" w:rsidRPr="00057B94" w:rsidRDefault="00360174" w:rsidP="00360174">
      <w:pPr>
        <w:tabs>
          <w:tab w:val="left" w:pos="568"/>
          <w:tab w:val="left" w:pos="1701"/>
        </w:tabs>
        <w:spacing w:after="120"/>
        <w:ind w:left="1135" w:right="1134"/>
        <w:jc w:val="both"/>
      </w:pPr>
      <w:r w:rsidRPr="00057B94">
        <w:t>13.</w:t>
      </w:r>
      <w:r w:rsidRPr="00057B94">
        <w:tab/>
      </w:r>
      <w:r w:rsidR="006720F6" w:rsidRPr="00057B94">
        <w:rPr>
          <w:i/>
        </w:rPr>
        <w:t>Requests</w:t>
      </w:r>
      <w:r w:rsidR="006720F6" w:rsidRPr="00057B94">
        <w:t xml:space="preserve"> the secretariat, under the guidance of the Adaptation Committee and the Least Developed Countries Expert Group and in collaboration with relevant stakeholders, to prepare synthesis reports every two years starting in 2020 on specific adaptation themes, focusing on relevant lessons learned and good practices in developing country Parties;</w:t>
      </w:r>
    </w:p>
    <w:p w14:paraId="451F2F27" w14:textId="4D3505DD" w:rsidR="006720F6" w:rsidRPr="00057B94" w:rsidRDefault="00360174" w:rsidP="00360174">
      <w:pPr>
        <w:tabs>
          <w:tab w:val="left" w:pos="568"/>
          <w:tab w:val="left" w:pos="1701"/>
        </w:tabs>
        <w:spacing w:after="120"/>
        <w:ind w:left="1135" w:right="1134"/>
        <w:jc w:val="both"/>
      </w:pPr>
      <w:r w:rsidRPr="00057B94">
        <w:t>14.</w:t>
      </w:r>
      <w:r w:rsidRPr="00057B94">
        <w:tab/>
      </w:r>
      <w:r w:rsidR="006720F6" w:rsidRPr="00057B94">
        <w:tab/>
      </w:r>
      <w:r w:rsidR="006720F6" w:rsidRPr="00057B94">
        <w:rPr>
          <w:i/>
        </w:rPr>
        <w:t>Recalls</w:t>
      </w:r>
      <w:r w:rsidR="006720F6" w:rsidRPr="00057B94">
        <w:t xml:space="preserve"> that the global stocktake will review the overall progress made in achieving the global goal on adaptation and </w:t>
      </w:r>
      <w:r w:rsidR="006720F6" w:rsidRPr="00057B94">
        <w:rPr>
          <w:i/>
        </w:rPr>
        <w:t>acknowledges</w:t>
      </w:r>
      <w:r w:rsidR="006720F6" w:rsidRPr="00057B94">
        <w:t xml:space="preserve"> that adaptation efforts contribute to this objective;</w:t>
      </w:r>
    </w:p>
    <w:p w14:paraId="5860B1F9" w14:textId="22E52E7C" w:rsidR="006720F6" w:rsidRPr="00057B94" w:rsidRDefault="00360174" w:rsidP="00733FEB">
      <w:pPr>
        <w:pStyle w:val="RegHChG"/>
        <w:numPr>
          <w:ilvl w:val="0"/>
          <w:numId w:val="0"/>
        </w:numPr>
        <w:tabs>
          <w:tab w:val="left" w:pos="1135"/>
        </w:tabs>
        <w:ind w:left="1135" w:hanging="454"/>
      </w:pPr>
      <w:r w:rsidRPr="00057B94">
        <w:t>III.</w:t>
      </w:r>
      <w:r w:rsidRPr="00057B94">
        <w:tab/>
      </w:r>
      <w:r w:rsidR="006720F6" w:rsidRPr="00057B94">
        <w:t>Methodologies for assessing adaptation needs with a view to assisting developing countries without placing undue burden on them</w:t>
      </w:r>
    </w:p>
    <w:p w14:paraId="10989040" w14:textId="42286631" w:rsidR="006720F6" w:rsidRPr="00057B94" w:rsidRDefault="00360174" w:rsidP="00360174">
      <w:pPr>
        <w:tabs>
          <w:tab w:val="left" w:pos="568"/>
          <w:tab w:val="left" w:pos="1701"/>
        </w:tabs>
        <w:spacing w:after="120"/>
        <w:ind w:left="1135" w:right="1134"/>
        <w:jc w:val="both"/>
      </w:pPr>
      <w:r w:rsidRPr="00057B94">
        <w:t>15.</w:t>
      </w:r>
      <w:r w:rsidRPr="00057B94">
        <w:tab/>
      </w:r>
      <w:r w:rsidR="006720F6" w:rsidRPr="00057B94">
        <w:rPr>
          <w:i/>
        </w:rPr>
        <w:t>Requests</w:t>
      </w:r>
      <w:r w:rsidR="006720F6" w:rsidRPr="00057B94">
        <w:t xml:space="preserve"> the Adaptation Committee, in collaboration with the Least Developed Countries Expert Group, partner organizations of the Nairobi work programme</w:t>
      </w:r>
      <w:r w:rsidR="006720F6" w:rsidRPr="00057B94">
        <w:rPr>
          <w:rFonts w:eastAsia="Times New Roman"/>
          <w:szCs w:val="22"/>
          <w:lang w:eastAsia="en-US"/>
        </w:rPr>
        <w:t>, users and developers of relevant methodologies, including academia and the private sector</w:t>
      </w:r>
      <w:r w:rsidR="006720F6" w:rsidRPr="00057B94">
        <w:t>, to develop by June 2020 and to regularly update an inventory of relevant methodologies for assessing adaptation needs, including needs related to action, finance, capacity-building and technological support</w:t>
      </w:r>
      <w:r w:rsidR="006720F6" w:rsidRPr="00057B94">
        <w:rPr>
          <w:rFonts w:eastAsia="Times New Roman"/>
          <w:szCs w:val="22"/>
          <w:lang w:eastAsia="en-US"/>
        </w:rPr>
        <w:t xml:space="preserve"> in the context of national adaptation planning and implementation</w:t>
      </w:r>
      <w:r w:rsidR="006720F6" w:rsidRPr="00057B94">
        <w:t xml:space="preserve">, </w:t>
      </w:r>
      <w:r w:rsidR="006720F6" w:rsidRPr="00057B94">
        <w:rPr>
          <w:rFonts w:eastAsia="Times New Roman"/>
          <w:szCs w:val="22"/>
          <w:lang w:eastAsia="en-US"/>
        </w:rPr>
        <w:t>and to make the information available on the adaptation knowledge portal;</w:t>
      </w:r>
      <w:r w:rsidR="006720F6" w:rsidRPr="00057B94">
        <w:rPr>
          <w:rStyle w:val="FootnoteReference"/>
          <w:rFonts w:eastAsia="Times New Roman"/>
          <w:szCs w:val="22"/>
          <w:lang w:eastAsia="en-US"/>
        </w:rPr>
        <w:footnoteReference w:id="11"/>
      </w:r>
    </w:p>
    <w:p w14:paraId="47E2A537" w14:textId="42F8141D" w:rsidR="006720F6" w:rsidRPr="00057B94" w:rsidRDefault="00360174" w:rsidP="00360174">
      <w:pPr>
        <w:tabs>
          <w:tab w:val="left" w:pos="568"/>
          <w:tab w:val="left" w:pos="1701"/>
        </w:tabs>
        <w:spacing w:after="120"/>
        <w:ind w:left="1135" w:right="1134"/>
        <w:jc w:val="both"/>
      </w:pPr>
      <w:r w:rsidRPr="00057B94">
        <w:t>16.</w:t>
      </w:r>
      <w:r w:rsidRPr="00057B94">
        <w:tab/>
      </w:r>
      <w:r w:rsidR="006720F6" w:rsidRPr="00057B94">
        <w:rPr>
          <w:i/>
        </w:rPr>
        <w:t>Invites</w:t>
      </w:r>
      <w:r w:rsidR="006720F6" w:rsidRPr="00057B94">
        <w:t xml:space="preserve"> Parties and observer organizations to submit via the submission portal</w:t>
      </w:r>
      <w:r w:rsidR="006720F6" w:rsidRPr="00057B94">
        <w:rPr>
          <w:rStyle w:val="FootnoteReference"/>
        </w:rPr>
        <w:footnoteReference w:id="12"/>
      </w:r>
      <w:r w:rsidR="006720F6" w:rsidRPr="00057B94">
        <w:t xml:space="preserve"> </w:t>
      </w:r>
      <w:r w:rsidR="006720F6" w:rsidRPr="00057B94">
        <w:rPr>
          <w:rFonts w:eastAsia="Times New Roman"/>
          <w:szCs w:val="22"/>
          <w:lang w:eastAsia="en-US"/>
        </w:rPr>
        <w:t xml:space="preserve">by February 2021 their views and information on the development and application of methodologies for assessing adaptation needs, including </w:t>
      </w:r>
      <w:r w:rsidR="006720F6" w:rsidRPr="00057B94">
        <w:t>needs related to action, finance, capacity-building and technological support</w:t>
      </w:r>
      <w:r w:rsidR="006720F6" w:rsidRPr="00057B94">
        <w:rPr>
          <w:rFonts w:eastAsia="Times New Roman"/>
          <w:szCs w:val="22"/>
          <w:lang w:eastAsia="en-US"/>
        </w:rPr>
        <w:t>;</w:t>
      </w:r>
    </w:p>
    <w:p w14:paraId="5CE91123" w14:textId="7C6B7F1A" w:rsidR="006720F6" w:rsidRPr="00057B94" w:rsidRDefault="00360174" w:rsidP="00360174">
      <w:pPr>
        <w:tabs>
          <w:tab w:val="left" w:pos="568"/>
          <w:tab w:val="left" w:pos="1701"/>
        </w:tabs>
        <w:spacing w:after="120"/>
        <w:ind w:left="1135" w:right="1134"/>
        <w:jc w:val="both"/>
      </w:pPr>
      <w:r w:rsidRPr="00057B94">
        <w:t>17.</w:t>
      </w:r>
      <w:r w:rsidRPr="00057B94">
        <w:tab/>
      </w:r>
      <w:r w:rsidR="006720F6" w:rsidRPr="00057B94">
        <w:rPr>
          <w:i/>
        </w:rPr>
        <w:t>Requests</w:t>
      </w:r>
      <w:r w:rsidR="006720F6" w:rsidRPr="00057B94">
        <w:t xml:space="preserve"> the Adaptation Committee, with the engagement of the Intergovernmental Panel on Climate Change Working Group II, as appropriate, to prepare, drawing on the inventory referred to in paragraph 15 above and the submissions referred to in paragraph 16 above, a technical paper on methodologies for assessing adaptation needs and their application, as well as on the related gaps, good practices, lessons learned and guidelines, for consideration and further guidance by the Subsidiary Body for Scientific and Technological Advice at its fifty-seventh session (November 2022) in the context of its consideration of the report of the Adaptation Committee; </w:t>
      </w:r>
    </w:p>
    <w:p w14:paraId="7443439A" w14:textId="2DF072A9" w:rsidR="006720F6" w:rsidRPr="00057B94" w:rsidRDefault="00360174" w:rsidP="00360174">
      <w:pPr>
        <w:tabs>
          <w:tab w:val="left" w:pos="568"/>
          <w:tab w:val="left" w:pos="1701"/>
        </w:tabs>
        <w:spacing w:after="120"/>
        <w:ind w:left="1135" w:right="1134"/>
        <w:jc w:val="both"/>
      </w:pPr>
      <w:r w:rsidRPr="00057B94">
        <w:lastRenderedPageBreak/>
        <w:t>18.</w:t>
      </w:r>
      <w:r w:rsidRPr="00057B94">
        <w:tab/>
      </w:r>
      <w:r w:rsidR="006720F6" w:rsidRPr="00057B94">
        <w:rPr>
          <w:i/>
        </w:rPr>
        <w:t>Invites</w:t>
      </w:r>
      <w:r w:rsidR="006720F6" w:rsidRPr="00057B94">
        <w:t xml:space="preserve"> all relevant entities to further improve the applicability of existing methodologies and tools for assessing adaptation needs related to action, finance, capacity-building and technological support;</w:t>
      </w:r>
    </w:p>
    <w:p w14:paraId="53856D9F" w14:textId="336B1424" w:rsidR="006720F6" w:rsidRPr="00057B94" w:rsidRDefault="00360174" w:rsidP="00360174">
      <w:pPr>
        <w:tabs>
          <w:tab w:val="left" w:pos="568"/>
          <w:tab w:val="left" w:pos="1701"/>
        </w:tabs>
        <w:spacing w:after="120"/>
        <w:ind w:left="1135" w:right="1134"/>
        <w:jc w:val="both"/>
      </w:pPr>
      <w:r w:rsidRPr="00057B94">
        <w:t>19.</w:t>
      </w:r>
      <w:r w:rsidRPr="00057B94">
        <w:tab/>
      </w:r>
      <w:r w:rsidR="006720F6" w:rsidRPr="00057B94">
        <w:rPr>
          <w:i/>
        </w:rPr>
        <w:t>Also invites</w:t>
      </w:r>
      <w:r w:rsidR="006720F6" w:rsidRPr="00057B94">
        <w:t xml:space="preserve"> the World Meteorological Organization, through its Global Framework for Climate Services, with a view to facilitating the development and application of methodologies for assessing adaptation needs, to regularly inform the Subsidiary Body for Scientific and Technological Advice about its activities aimed at improving the availability and accessibility of comprehensive climate information, including observational data, and about how it facilitates the provision and dissemination of the most up-to-date climate model predictions and projections;</w:t>
      </w:r>
    </w:p>
    <w:p w14:paraId="40CB3E36" w14:textId="097D9FE0" w:rsidR="006720F6" w:rsidRPr="00057B94" w:rsidRDefault="00360174" w:rsidP="00360174">
      <w:pPr>
        <w:tabs>
          <w:tab w:val="left" w:pos="568"/>
          <w:tab w:val="left" w:pos="1701"/>
        </w:tabs>
        <w:spacing w:after="120"/>
        <w:ind w:left="1135" w:right="1134"/>
        <w:jc w:val="both"/>
      </w:pPr>
      <w:r w:rsidRPr="00057B94">
        <w:t>20.</w:t>
      </w:r>
      <w:r w:rsidRPr="00057B94">
        <w:tab/>
      </w:r>
      <w:r w:rsidR="006720F6" w:rsidRPr="00057B94">
        <w:rPr>
          <w:i/>
        </w:rPr>
        <w:t>Further invites</w:t>
      </w:r>
      <w:r w:rsidR="006720F6" w:rsidRPr="00057B94">
        <w:t xml:space="preserve"> the Paris Committee on Capacity-building and providers of capacity-building support, as appropriate and in accordance with their mandates, while further enhancing capacity-building efforts, to facilitate the access to and implementation of methodologies for assessing the adaptation needs of developing country Parties in the context of providing support for building adapt</w:t>
      </w:r>
      <w:r w:rsidR="00F8263E" w:rsidRPr="00057B94">
        <w:t xml:space="preserve">ive </w:t>
      </w:r>
      <w:r w:rsidR="006720F6" w:rsidRPr="00057B94">
        <w:t>capacity;</w:t>
      </w:r>
    </w:p>
    <w:p w14:paraId="501E621A" w14:textId="6B507AA3" w:rsidR="006720F6" w:rsidRPr="00057B94" w:rsidRDefault="00360174" w:rsidP="00733FEB">
      <w:pPr>
        <w:pStyle w:val="RegHChG"/>
        <w:numPr>
          <w:ilvl w:val="0"/>
          <w:numId w:val="0"/>
        </w:numPr>
        <w:tabs>
          <w:tab w:val="left" w:pos="1135"/>
        </w:tabs>
        <w:ind w:left="1135" w:hanging="454"/>
      </w:pPr>
      <w:r w:rsidRPr="00057B94">
        <w:t>IV.</w:t>
      </w:r>
      <w:r w:rsidRPr="00057B94">
        <w:tab/>
      </w:r>
      <w:r w:rsidR="006720F6" w:rsidRPr="00057B94">
        <w:t>Methodologies for taking the necessary steps to facilitate the mobilization of support for adaptation in developing countries</w:t>
      </w:r>
    </w:p>
    <w:p w14:paraId="38A65A09" w14:textId="229939F0" w:rsidR="006720F6" w:rsidRPr="00057B94" w:rsidRDefault="00360174" w:rsidP="00360174">
      <w:pPr>
        <w:tabs>
          <w:tab w:val="left" w:pos="568"/>
          <w:tab w:val="left" w:pos="1701"/>
        </w:tabs>
        <w:spacing w:after="120"/>
        <w:ind w:left="1135" w:right="1134"/>
        <w:jc w:val="both"/>
      </w:pPr>
      <w:r w:rsidRPr="00057B94">
        <w:t>21.</w:t>
      </w:r>
      <w:r w:rsidRPr="00057B94">
        <w:tab/>
      </w:r>
      <w:r w:rsidR="006720F6" w:rsidRPr="00057B94">
        <w:rPr>
          <w:i/>
        </w:rPr>
        <w:t>Invites</w:t>
      </w:r>
      <w:r w:rsidR="006720F6" w:rsidRPr="00057B94">
        <w:t xml:space="preserve"> the Standing Committee on Finance, in line with its mandate and in collaboration with the Technology Executive Committee and the Paris Committee on Capacity-building, to consider, taking into account the recommendations of the Adaptation Committee and the Least Developed Countries Expert Group,</w:t>
      </w:r>
      <w:r w:rsidR="006720F6" w:rsidRPr="00057B94">
        <w:rPr>
          <w:rStyle w:val="FootnoteReference"/>
        </w:rPr>
        <w:footnoteReference w:id="13"/>
      </w:r>
      <w:r w:rsidR="006720F6" w:rsidRPr="00057B94">
        <w:t xml:space="preserve"> as well as relevant submissions from Parties and observer organizations, ways to facilitate the mobilization of support for adaptation in developing countries, in the context of the limit to the increase in the global average temperature referred to in Article 2 of the Paris Agreement, and to include recommendations in its annual report;</w:t>
      </w:r>
    </w:p>
    <w:p w14:paraId="60D8D5E5" w14:textId="6E1123D9" w:rsidR="006720F6" w:rsidRPr="00057B94" w:rsidRDefault="00360174" w:rsidP="00360174">
      <w:pPr>
        <w:tabs>
          <w:tab w:val="left" w:pos="568"/>
          <w:tab w:val="left" w:pos="1701"/>
        </w:tabs>
        <w:spacing w:after="120"/>
        <w:ind w:left="1135" w:right="1134"/>
        <w:jc w:val="both"/>
      </w:pPr>
      <w:r w:rsidRPr="00057B94">
        <w:t>22.</w:t>
      </w:r>
      <w:r w:rsidRPr="00057B94">
        <w:tab/>
      </w:r>
      <w:r w:rsidR="006720F6" w:rsidRPr="00057B94">
        <w:rPr>
          <w:i/>
        </w:rPr>
        <w:t>Also invites</w:t>
      </w:r>
      <w:r w:rsidR="006720F6" w:rsidRPr="00057B94">
        <w:t xml:space="preserve"> Parties to further enhance their enabling environments, policy frameworks, institutions and national public financial management systems with a view to improving access to international public support, as appropriate, and to enhancing the involvement of the private sector;</w:t>
      </w:r>
    </w:p>
    <w:p w14:paraId="7992AF18" w14:textId="4CE7A77C" w:rsidR="006720F6" w:rsidRPr="00057B94" w:rsidRDefault="00360174" w:rsidP="00360174">
      <w:pPr>
        <w:tabs>
          <w:tab w:val="left" w:pos="568"/>
          <w:tab w:val="left" w:pos="1701"/>
        </w:tabs>
        <w:spacing w:after="120"/>
        <w:ind w:left="1135" w:right="1134"/>
        <w:jc w:val="both"/>
      </w:pPr>
      <w:r w:rsidRPr="00057B94">
        <w:t>23.</w:t>
      </w:r>
      <w:r w:rsidRPr="00057B94">
        <w:tab/>
      </w:r>
      <w:r w:rsidR="006720F6" w:rsidRPr="00057B94">
        <w:rPr>
          <w:i/>
        </w:rPr>
        <w:t xml:space="preserve">Urges </w:t>
      </w:r>
      <w:r w:rsidR="006720F6" w:rsidRPr="00057B94">
        <w:t xml:space="preserve">developed country Parties and </w:t>
      </w:r>
      <w:r w:rsidR="006720F6" w:rsidRPr="00057B94">
        <w:rPr>
          <w:i/>
        </w:rPr>
        <w:t xml:space="preserve">invites </w:t>
      </w:r>
      <w:r w:rsidR="006720F6" w:rsidRPr="00057B94">
        <w:t>other Parties that provide resources on a voluntary basis, United Nations entities and other relevant organizations, as well as bilateral and multilateral agencies, to assist the least developed country Parties and other developing country Parties, drawing on the work of the Adaptation Committee, the Least Developed Countries Expert Group and other relevant bodies, as appropriate, in building or strengthening their enabling environments, policy frameworks, institutions and national public financial management systems so as to mobilize support for adaptation, in particular capacity-building, including as part of the process to formulate and implement national adaptation plans;</w:t>
      </w:r>
    </w:p>
    <w:p w14:paraId="0B54240F" w14:textId="149901D3" w:rsidR="006720F6" w:rsidRPr="00057B94" w:rsidRDefault="00360174" w:rsidP="00360174">
      <w:pPr>
        <w:tabs>
          <w:tab w:val="left" w:pos="568"/>
          <w:tab w:val="left" w:pos="1701"/>
        </w:tabs>
        <w:spacing w:after="120"/>
        <w:ind w:left="1135" w:right="1134"/>
        <w:jc w:val="both"/>
      </w:pPr>
      <w:r w:rsidRPr="00057B94">
        <w:t>24.</w:t>
      </w:r>
      <w:r w:rsidRPr="00057B94">
        <w:tab/>
      </w:r>
      <w:r w:rsidR="006720F6" w:rsidRPr="00057B94">
        <w:rPr>
          <w:i/>
        </w:rPr>
        <w:t>Invites</w:t>
      </w:r>
      <w:r w:rsidR="006720F6" w:rsidRPr="00057B94">
        <w:t xml:space="preserve"> Parties to continue engaging in adaptation planning processes and the implementation of action, including the process to formulate and implement national adaptation plans;</w:t>
      </w:r>
    </w:p>
    <w:p w14:paraId="35F7FC23" w14:textId="4C6688C0" w:rsidR="006720F6" w:rsidRPr="00057B94" w:rsidRDefault="00360174" w:rsidP="00360174">
      <w:pPr>
        <w:tabs>
          <w:tab w:val="left" w:pos="568"/>
          <w:tab w:val="left" w:pos="1701"/>
        </w:tabs>
        <w:spacing w:after="120"/>
        <w:ind w:left="1135" w:right="1134"/>
        <w:jc w:val="both"/>
      </w:pPr>
      <w:r w:rsidRPr="00057B94">
        <w:t>25.</w:t>
      </w:r>
      <w:r w:rsidRPr="00057B94">
        <w:tab/>
      </w:r>
      <w:r w:rsidR="006720F6" w:rsidRPr="00057B94">
        <w:rPr>
          <w:i/>
        </w:rPr>
        <w:t>Takes note</w:t>
      </w:r>
      <w:r w:rsidR="006720F6" w:rsidRPr="00057B94">
        <w:t xml:space="preserve"> of the resources available through the operating entities of the Financial Mechanism for strengthening developing country Parties’ institutional capacity for programming their priority climate actions and for tracking and reporting climate finance;</w:t>
      </w:r>
    </w:p>
    <w:p w14:paraId="05909665" w14:textId="51DAA7DC" w:rsidR="006720F6" w:rsidRPr="00057B94" w:rsidRDefault="00360174" w:rsidP="00360174">
      <w:pPr>
        <w:tabs>
          <w:tab w:val="left" w:pos="568"/>
          <w:tab w:val="left" w:pos="1701"/>
        </w:tabs>
        <w:spacing w:after="120"/>
        <w:ind w:left="1135" w:right="1134"/>
        <w:jc w:val="both"/>
      </w:pPr>
      <w:r w:rsidRPr="00057B94">
        <w:t>26.</w:t>
      </w:r>
      <w:r w:rsidRPr="00057B94">
        <w:tab/>
      </w:r>
      <w:r w:rsidR="006720F6" w:rsidRPr="00057B94">
        <w:rPr>
          <w:i/>
        </w:rPr>
        <w:t>Invites</w:t>
      </w:r>
      <w:r w:rsidR="006720F6" w:rsidRPr="00057B94">
        <w:t xml:space="preserve"> Parties and relevant actors to ensure, as appropriate, that steps are taken to identify and subsequently remove perverse incentives that could result in non-resilient investments and planning decisions;</w:t>
      </w:r>
    </w:p>
    <w:p w14:paraId="16E665B4" w14:textId="7BF3C507" w:rsidR="006720F6" w:rsidRPr="00057B94" w:rsidRDefault="00360174" w:rsidP="00360174">
      <w:pPr>
        <w:tabs>
          <w:tab w:val="left" w:pos="568"/>
          <w:tab w:val="left" w:pos="1701"/>
        </w:tabs>
        <w:spacing w:after="120"/>
        <w:ind w:left="1135" w:right="1134"/>
        <w:jc w:val="both"/>
      </w:pPr>
      <w:r w:rsidRPr="00057B94">
        <w:t>27.</w:t>
      </w:r>
      <w:r w:rsidRPr="00057B94">
        <w:tab/>
      </w:r>
      <w:r w:rsidR="006720F6" w:rsidRPr="00057B94">
        <w:rPr>
          <w:i/>
        </w:rPr>
        <w:t>Requests</w:t>
      </w:r>
      <w:r w:rsidR="006720F6" w:rsidRPr="00057B94">
        <w:t xml:space="preserve"> Parties to report on support provided and received in line with the reporting instruments and modalities being developed under the Paris Agreement;</w:t>
      </w:r>
    </w:p>
    <w:p w14:paraId="1FD86908" w14:textId="331306AC" w:rsidR="006720F6" w:rsidRPr="00057B94" w:rsidRDefault="00360174" w:rsidP="00360174">
      <w:pPr>
        <w:tabs>
          <w:tab w:val="left" w:pos="568"/>
          <w:tab w:val="left" w:pos="1701"/>
        </w:tabs>
        <w:spacing w:after="120"/>
        <w:ind w:left="1135" w:right="1134"/>
        <w:jc w:val="both"/>
      </w:pPr>
      <w:r w:rsidRPr="00057B94">
        <w:lastRenderedPageBreak/>
        <w:t>28.</w:t>
      </w:r>
      <w:r w:rsidRPr="00057B94">
        <w:tab/>
      </w:r>
      <w:r w:rsidR="006720F6" w:rsidRPr="00057B94">
        <w:rPr>
          <w:i/>
        </w:rPr>
        <w:t xml:space="preserve">Invites </w:t>
      </w:r>
      <w:r w:rsidR="006720F6" w:rsidRPr="00057B94">
        <w:t>the operating entities of the Financial Mechanism, in line with their mandates, to seek to ensure that the provision of financial support to developing country Parties is balanced between adaptation and mitigation activities;</w:t>
      </w:r>
    </w:p>
    <w:p w14:paraId="4C422C0D" w14:textId="7308C8FA" w:rsidR="006720F6" w:rsidRPr="00057B94" w:rsidRDefault="00360174" w:rsidP="00360174">
      <w:pPr>
        <w:tabs>
          <w:tab w:val="left" w:pos="568"/>
          <w:tab w:val="left" w:pos="1701"/>
        </w:tabs>
        <w:spacing w:after="120"/>
        <w:ind w:left="1135" w:right="1134"/>
        <w:jc w:val="both"/>
      </w:pPr>
      <w:r w:rsidRPr="00057B94">
        <w:t>29.</w:t>
      </w:r>
      <w:r w:rsidRPr="00057B94">
        <w:tab/>
      </w:r>
      <w:r w:rsidR="006720F6" w:rsidRPr="00057B94">
        <w:rPr>
          <w:i/>
        </w:rPr>
        <w:t>Requests</w:t>
      </w:r>
      <w:r w:rsidR="006720F6" w:rsidRPr="00057B94">
        <w:t xml:space="preserve"> the Technology Executive Committee and the Climate Technology Centre and Network to facilitate, in line with their mandates, the provision of support for technology development and transfer for adaptation in developing country Parties, promoting a balance between adaptation and mitigation activities;</w:t>
      </w:r>
    </w:p>
    <w:p w14:paraId="21A0C7E4" w14:textId="60CEA7D0" w:rsidR="006720F6" w:rsidRPr="00057B94" w:rsidRDefault="00360174" w:rsidP="00360174">
      <w:pPr>
        <w:tabs>
          <w:tab w:val="left" w:pos="568"/>
          <w:tab w:val="left" w:pos="1701"/>
        </w:tabs>
        <w:spacing w:after="120"/>
        <w:ind w:left="1135" w:right="1134"/>
        <w:jc w:val="both"/>
      </w:pPr>
      <w:r w:rsidRPr="00057B94">
        <w:t>30.</w:t>
      </w:r>
      <w:r w:rsidRPr="00057B94">
        <w:tab/>
      </w:r>
      <w:r w:rsidR="006720F6" w:rsidRPr="00057B94">
        <w:rPr>
          <w:i/>
        </w:rPr>
        <w:t xml:space="preserve">Invites </w:t>
      </w:r>
      <w:r w:rsidR="006720F6" w:rsidRPr="00057B94">
        <w:t>the Paris Committee on Capacity-building to enhance and facilitate the provision of support for capacity-building for adaptation in developing country Parties, promoting a balance between adaptation and mitigation activities;</w:t>
      </w:r>
    </w:p>
    <w:p w14:paraId="30212F26" w14:textId="57145D23" w:rsidR="006720F6" w:rsidRPr="00057B94" w:rsidRDefault="00360174" w:rsidP="00360174">
      <w:pPr>
        <w:tabs>
          <w:tab w:val="left" w:pos="568"/>
          <w:tab w:val="left" w:pos="1701"/>
        </w:tabs>
        <w:spacing w:after="120"/>
        <w:ind w:left="1135" w:right="1134"/>
        <w:jc w:val="both"/>
      </w:pPr>
      <w:bookmarkStart w:id="19" w:name="_Hlk532596358"/>
      <w:r w:rsidRPr="00057B94">
        <w:t>31.</w:t>
      </w:r>
      <w:r w:rsidRPr="00057B94">
        <w:tab/>
      </w:r>
      <w:r w:rsidR="006720F6" w:rsidRPr="00057B94">
        <w:tab/>
      </w:r>
      <w:r w:rsidR="006720F6" w:rsidRPr="00057B94">
        <w:rPr>
          <w:i/>
        </w:rPr>
        <w:t>Requests</w:t>
      </w:r>
      <w:r w:rsidR="006720F6" w:rsidRPr="00057B94">
        <w:t xml:space="preserve"> the secretariat to include in the synthesis report prepared for the global stocktake called for </w:t>
      </w:r>
      <w:r w:rsidR="00645EB2" w:rsidRPr="00057B94">
        <w:t>in paragraph 23(b) of decision 19</w:t>
      </w:r>
      <w:r w:rsidR="006720F6" w:rsidRPr="00057B94">
        <w:t xml:space="preserve">/CMA.1 an assessment of the support needs for adaptation of developing country Parties drawing on, inter alia, the most recent documents that may contain adaptation information, which may include adaptation communications, national adaptation plans, national communications, nationally determined contributions, other relevant reports prepared under the transparency framework, reports of the Intergovernmental Panel on Climate Change and other relevant scientific bodies as well as the report referred </w:t>
      </w:r>
      <w:r w:rsidR="00645EB2" w:rsidRPr="00057B94">
        <w:t>to in paragraph 13 of decision 4</w:t>
      </w:r>
      <w:r w:rsidR="006720F6" w:rsidRPr="00057B94">
        <w:t>/CP.24;</w:t>
      </w:r>
    </w:p>
    <w:bookmarkEnd w:id="19"/>
    <w:p w14:paraId="041A9CED" w14:textId="5A8262C7" w:rsidR="006720F6" w:rsidRPr="00057B94" w:rsidRDefault="00360174" w:rsidP="00733FEB">
      <w:pPr>
        <w:pStyle w:val="RegHChG"/>
        <w:numPr>
          <w:ilvl w:val="0"/>
          <w:numId w:val="0"/>
        </w:numPr>
        <w:tabs>
          <w:tab w:val="left" w:pos="1135"/>
        </w:tabs>
        <w:ind w:left="1135" w:hanging="454"/>
      </w:pPr>
      <w:r w:rsidRPr="00057B94">
        <w:t>V.</w:t>
      </w:r>
      <w:r w:rsidRPr="00057B94">
        <w:tab/>
      </w:r>
      <w:r w:rsidR="006720F6" w:rsidRPr="00057B94">
        <w:t>Methodologies for reviewing the adequacy and effectiveness of adaptation and support</w:t>
      </w:r>
    </w:p>
    <w:p w14:paraId="0C02D497" w14:textId="01CAC208" w:rsidR="006720F6" w:rsidRPr="00057B94" w:rsidRDefault="00360174" w:rsidP="00360174">
      <w:pPr>
        <w:tabs>
          <w:tab w:val="left" w:pos="568"/>
          <w:tab w:val="left" w:pos="1701"/>
        </w:tabs>
        <w:spacing w:after="120"/>
        <w:ind w:left="1135" w:right="1134"/>
        <w:jc w:val="both"/>
      </w:pPr>
      <w:r w:rsidRPr="00057B94">
        <w:t>32.</w:t>
      </w:r>
      <w:r w:rsidRPr="00057B94">
        <w:tab/>
      </w:r>
      <w:r w:rsidR="006720F6" w:rsidRPr="00057B94">
        <w:rPr>
          <w:i/>
        </w:rPr>
        <w:t>Notes</w:t>
      </w:r>
      <w:r w:rsidR="006720F6" w:rsidRPr="00057B94">
        <w:t xml:space="preserve"> the constraints encountered by the Adaptation Committee and the Least Developed Countries Expert Group in developing methodologies, including the differences in national circumstances in relation to adaptation, the difficulty of setting adaptation baselines and targets and the lack of common metrics for measuring progress on adaptation;</w:t>
      </w:r>
    </w:p>
    <w:p w14:paraId="63A269F0" w14:textId="457A5990" w:rsidR="006720F6" w:rsidRPr="00057B94" w:rsidRDefault="00360174" w:rsidP="00360174">
      <w:pPr>
        <w:tabs>
          <w:tab w:val="left" w:pos="568"/>
          <w:tab w:val="left" w:pos="1701"/>
        </w:tabs>
        <w:spacing w:after="120"/>
        <w:ind w:left="1135" w:right="1134"/>
        <w:jc w:val="both"/>
      </w:pPr>
      <w:r w:rsidRPr="00057B94">
        <w:t>33.</w:t>
      </w:r>
      <w:r w:rsidRPr="00057B94">
        <w:tab/>
      </w:r>
      <w:r w:rsidR="006720F6" w:rsidRPr="00057B94">
        <w:rPr>
          <w:i/>
        </w:rPr>
        <w:t>Also notes</w:t>
      </w:r>
      <w:r w:rsidR="006720F6" w:rsidRPr="00057B94">
        <w:t xml:space="preserve"> that the current state of knowledge is not sufficient to address the mandate</w:t>
      </w:r>
      <w:r w:rsidR="006720F6" w:rsidRPr="00057B94">
        <w:rPr>
          <w:rStyle w:val="FootnoteReference"/>
        </w:rPr>
        <w:footnoteReference w:id="14"/>
      </w:r>
      <w:r w:rsidR="006720F6" w:rsidRPr="00057B94">
        <w:t xml:space="preserve"> and requires time and effort to advance;</w:t>
      </w:r>
    </w:p>
    <w:p w14:paraId="68C70828" w14:textId="68EE6B11" w:rsidR="006720F6" w:rsidRPr="00057B94" w:rsidRDefault="00360174" w:rsidP="00360174">
      <w:pPr>
        <w:tabs>
          <w:tab w:val="left" w:pos="568"/>
          <w:tab w:val="left" w:pos="1701"/>
        </w:tabs>
        <w:spacing w:after="120"/>
        <w:ind w:left="1135" w:right="1134"/>
        <w:jc w:val="both"/>
      </w:pPr>
      <w:r w:rsidRPr="00057B94">
        <w:t>34.</w:t>
      </w:r>
      <w:r w:rsidRPr="00057B94">
        <w:tab/>
      </w:r>
      <w:r w:rsidR="006720F6" w:rsidRPr="00057B94">
        <w:rPr>
          <w:i/>
        </w:rPr>
        <w:t>Invites</w:t>
      </w:r>
      <w:r w:rsidR="006720F6" w:rsidRPr="00057B94">
        <w:t xml:space="preserve"> Parties, academia and other relevant stakeholders to undertake further technical work, building on the existing work of the Adaptation Committee and the Least Developed Countries Expert Group, in collaboration with the Standing Committee on Finance, and taking into consideration ongoing relevant work under and outside the Convention, on developing methodologies for reviewing the adequacy and effectiveness of adaptation and support;</w:t>
      </w:r>
    </w:p>
    <w:p w14:paraId="3690DCEB" w14:textId="3D5B0C2A" w:rsidR="006720F6" w:rsidRPr="00057B94" w:rsidRDefault="00360174" w:rsidP="00360174">
      <w:pPr>
        <w:tabs>
          <w:tab w:val="left" w:pos="568"/>
          <w:tab w:val="left" w:pos="1701"/>
        </w:tabs>
        <w:spacing w:after="120"/>
        <w:ind w:left="1135" w:right="1134"/>
        <w:jc w:val="both"/>
      </w:pPr>
      <w:r w:rsidRPr="00057B94">
        <w:t>35.</w:t>
      </w:r>
      <w:r w:rsidRPr="00057B94">
        <w:tab/>
      </w:r>
      <w:r w:rsidR="006720F6" w:rsidRPr="00057B94">
        <w:rPr>
          <w:i/>
        </w:rPr>
        <w:t>Also invites</w:t>
      </w:r>
      <w:r w:rsidR="006720F6" w:rsidRPr="00057B94">
        <w:t xml:space="preserve"> the Adaptation Committee and the Least Developed Countries Expert Group, in collaboration with the Standing Committee on Finance, and relevant experts to contribute to the technical work referred to in paragraph 34 above by continuing to compile existing methodologies for reviewing the adequacy and effectiveness of adaptation and support;</w:t>
      </w:r>
    </w:p>
    <w:p w14:paraId="6E77FCE8" w14:textId="10EBB3BD" w:rsidR="006720F6" w:rsidRPr="00057B94" w:rsidRDefault="00360174" w:rsidP="00360174">
      <w:pPr>
        <w:tabs>
          <w:tab w:val="left" w:pos="568"/>
          <w:tab w:val="left" w:pos="1701"/>
        </w:tabs>
        <w:spacing w:after="120"/>
        <w:ind w:left="1135" w:right="1134"/>
        <w:jc w:val="both"/>
      </w:pPr>
      <w:r w:rsidRPr="00057B94">
        <w:t>36.</w:t>
      </w:r>
      <w:r w:rsidRPr="00057B94">
        <w:tab/>
      </w:r>
      <w:r w:rsidR="006720F6" w:rsidRPr="00057B94">
        <w:rPr>
          <w:i/>
        </w:rPr>
        <w:t>Further invites</w:t>
      </w:r>
      <w:r w:rsidR="006720F6" w:rsidRPr="00057B94">
        <w:t xml:space="preserve"> Parties, United Nations entities and other relevant organizations, as well as bilateral and multilateral agencies, to submit by April 2020 to the Adaptation Committee and the Least Developed Countries Expert Group information on gaps, challenges, opportunities and options associated with methodologies for reviewing the adequacy and effectiveness of adaptation and support, including in the areas of adaptation needs, plans and strategies; enabling environments and policy frameworks; frameworks used for assessing the effectiveness of adaptation efforts; efforts and systems to monitor and evaluate the effectiveness of adaptation efforts; support through all instruments and channels, including domestic, international, public and private sources and progress towards the implementation and achievement of adaptation goals, plans and strategies;</w:t>
      </w:r>
    </w:p>
    <w:p w14:paraId="0C2E52CF" w14:textId="216092C8" w:rsidR="006720F6" w:rsidRPr="00057B94" w:rsidRDefault="00360174" w:rsidP="00360174">
      <w:pPr>
        <w:tabs>
          <w:tab w:val="left" w:pos="568"/>
          <w:tab w:val="left" w:pos="1701"/>
        </w:tabs>
        <w:spacing w:after="120"/>
        <w:ind w:left="1135" w:right="1134"/>
        <w:jc w:val="both"/>
      </w:pPr>
      <w:r w:rsidRPr="00057B94">
        <w:t>37.</w:t>
      </w:r>
      <w:r w:rsidRPr="00057B94">
        <w:tab/>
      </w:r>
      <w:r w:rsidR="006720F6" w:rsidRPr="00057B94">
        <w:rPr>
          <w:i/>
        </w:rPr>
        <w:t>Takes note</w:t>
      </w:r>
      <w:r w:rsidR="006720F6" w:rsidRPr="00057B94">
        <w:t xml:space="preserve"> of the estimated budgetary implications of the activities to be undertaken by the secretariat referred to in paragraphs 9, 11, 13 and 31 above;</w:t>
      </w:r>
    </w:p>
    <w:p w14:paraId="33037D55" w14:textId="4354A591" w:rsidR="007350E0" w:rsidRPr="00057B94" w:rsidRDefault="00360174" w:rsidP="00360174">
      <w:pPr>
        <w:tabs>
          <w:tab w:val="left" w:pos="568"/>
          <w:tab w:val="left" w:pos="1701"/>
        </w:tabs>
        <w:spacing w:before="240" w:after="120"/>
        <w:ind w:left="1134" w:right="1134"/>
        <w:jc w:val="both"/>
      </w:pPr>
      <w:r w:rsidRPr="00057B94">
        <w:lastRenderedPageBreak/>
        <w:t>38.</w:t>
      </w:r>
      <w:r w:rsidRPr="00057B94">
        <w:tab/>
      </w:r>
      <w:r w:rsidR="006720F6" w:rsidRPr="00057B94">
        <w:rPr>
          <w:i/>
        </w:rPr>
        <w:t>Requests</w:t>
      </w:r>
      <w:r w:rsidR="006720F6" w:rsidRPr="00057B94">
        <w:t xml:space="preserve"> that the actions of the secretariat called for in this decision be undertaken subject to the availability of financial resources</w:t>
      </w:r>
      <w:r w:rsidR="007350E0" w:rsidRPr="00057B94">
        <w:t>.</w:t>
      </w:r>
    </w:p>
    <w:p w14:paraId="6B3258F7" w14:textId="24ED7A8D" w:rsidR="006720F6" w:rsidRPr="00057B94" w:rsidRDefault="006720F6" w:rsidP="006720F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00924076" w:rsidRPr="00057B94">
        <w:rPr>
          <w:i/>
          <w:lang w:eastAsia="en-US"/>
        </w:rPr>
        <w:t xml:space="preserve"> </w:t>
      </w:r>
      <w:r w:rsidRPr="00057B94">
        <w:rPr>
          <w:i/>
          <w:lang w:eastAsia="en-US"/>
        </w:rPr>
        <w:t>plenary meeting</w:t>
      </w:r>
    </w:p>
    <w:p w14:paraId="7C40F4D7" w14:textId="058BDE44" w:rsidR="00CC30EF" w:rsidRPr="00057B94" w:rsidRDefault="006720F6" w:rsidP="006720F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15 December 2018</w:t>
      </w:r>
    </w:p>
    <w:p w14:paraId="40279261" w14:textId="77777777" w:rsidR="006720F6" w:rsidRPr="00057B94" w:rsidRDefault="006720F6" w:rsidP="00FB634B"/>
    <w:p w14:paraId="7905485E" w14:textId="62FDDD81" w:rsidR="006720F6" w:rsidRPr="00057B94" w:rsidRDefault="006720F6" w:rsidP="00FB634B">
      <w:pPr>
        <w:sectPr w:rsidR="006720F6" w:rsidRPr="00057B94" w:rsidSect="003B6D2B">
          <w:footnotePr>
            <w:numRestart w:val="eachSect"/>
          </w:footnotePr>
          <w:pgSz w:w="11906" w:h="16838" w:code="9"/>
          <w:pgMar w:top="1418" w:right="1134" w:bottom="1134" w:left="1134" w:header="851" w:footer="567" w:gutter="0"/>
          <w:cols w:space="708"/>
          <w:docGrid w:linePitch="360"/>
        </w:sectPr>
      </w:pPr>
    </w:p>
    <w:p w14:paraId="626240DF" w14:textId="0DB69071" w:rsidR="00FB634B" w:rsidRPr="00057B94" w:rsidRDefault="00FB634B" w:rsidP="00034A83">
      <w:pPr>
        <w:pStyle w:val="HChG"/>
        <w:keepNext w:val="0"/>
        <w:keepLines w:val="0"/>
        <w:pageBreakBefore/>
        <w:widowControl w:val="0"/>
        <w:spacing w:before="120"/>
        <w:ind w:firstLine="0"/>
        <w:rPr>
          <w:bCs/>
        </w:rPr>
      </w:pPr>
      <w:bookmarkStart w:id="20" w:name="D12"/>
      <w:r w:rsidRPr="00057B94">
        <w:rPr>
          <w:bCs/>
        </w:rPr>
        <w:lastRenderedPageBreak/>
        <w:t>Decision 1</w:t>
      </w:r>
      <w:r w:rsidR="00AB1981" w:rsidRPr="00057B94">
        <w:rPr>
          <w:bCs/>
        </w:rPr>
        <w:t>2</w:t>
      </w:r>
      <w:r w:rsidRPr="00057B94">
        <w:rPr>
          <w:bCs/>
        </w:rPr>
        <w:t>/CMA.1</w:t>
      </w:r>
      <w:bookmarkEnd w:id="20"/>
    </w:p>
    <w:p w14:paraId="62C0221F" w14:textId="3E08BD9F" w:rsidR="00FB634B" w:rsidRPr="00057B94" w:rsidRDefault="00CC30EF" w:rsidP="00CC30EF">
      <w:pPr>
        <w:pStyle w:val="HChG"/>
      </w:pPr>
      <w:r w:rsidRPr="00057B94">
        <w:tab/>
      </w:r>
      <w:r w:rsidRPr="00057B94">
        <w:tab/>
        <w:t>Identification of the information to be provided by Parties in accordance with Article 9, paragraph 5, of the Paris Agreement</w:t>
      </w:r>
    </w:p>
    <w:p w14:paraId="2AC04DD7" w14:textId="77777777" w:rsidR="00924076" w:rsidRPr="00057B94" w:rsidRDefault="00924076" w:rsidP="00924076">
      <w:pPr>
        <w:spacing w:before="120"/>
        <w:ind w:left="1134" w:right="1174" w:firstLine="567"/>
        <w:rPr>
          <w:lang w:eastAsia="en-US"/>
        </w:rPr>
      </w:pPr>
      <w:r w:rsidRPr="00057B94">
        <w:rPr>
          <w:i/>
          <w:lang w:eastAsia="en-US"/>
        </w:rPr>
        <w:t>The Conference of the Parties serving as the meeting of the Parties to the Paris Agreement</w:t>
      </w:r>
      <w:r w:rsidRPr="00057B94">
        <w:rPr>
          <w:lang w:eastAsia="en-US"/>
        </w:rPr>
        <w:t>,</w:t>
      </w:r>
    </w:p>
    <w:p w14:paraId="2E76FF8F" w14:textId="77777777" w:rsidR="00924076" w:rsidRPr="00057B94" w:rsidRDefault="00924076" w:rsidP="00924076">
      <w:pPr>
        <w:spacing w:before="120"/>
        <w:ind w:left="1134" w:right="1174" w:firstLine="567"/>
        <w:rPr>
          <w:lang w:eastAsia="en-US"/>
        </w:rPr>
      </w:pPr>
      <w:r w:rsidRPr="00057B94">
        <w:rPr>
          <w:i/>
          <w:lang w:eastAsia="en-US"/>
        </w:rPr>
        <w:t xml:space="preserve">Recalling </w:t>
      </w:r>
      <w:r w:rsidRPr="00057B94">
        <w:rPr>
          <w:lang w:eastAsia="en-US"/>
        </w:rPr>
        <w:t>Articles 4 and 11 of the Convention,</w:t>
      </w:r>
    </w:p>
    <w:p w14:paraId="2636CB3F" w14:textId="77777777" w:rsidR="00924076" w:rsidRPr="00057B94" w:rsidRDefault="00924076" w:rsidP="00924076">
      <w:pPr>
        <w:spacing w:before="120"/>
        <w:ind w:left="1134" w:right="1174" w:firstLine="567"/>
        <w:rPr>
          <w:lang w:eastAsia="en-US"/>
        </w:rPr>
      </w:pPr>
      <w:r w:rsidRPr="00057B94">
        <w:rPr>
          <w:i/>
          <w:lang w:eastAsia="en-US"/>
        </w:rPr>
        <w:t xml:space="preserve">Also recalling </w:t>
      </w:r>
      <w:r w:rsidRPr="00057B94">
        <w:rPr>
          <w:lang w:eastAsia="en-US"/>
        </w:rPr>
        <w:t>Article 9, paragraphs 1–5, of the Paris Agreement,</w:t>
      </w:r>
    </w:p>
    <w:p w14:paraId="1F1FEF81" w14:textId="77777777" w:rsidR="00924076" w:rsidRPr="00057B94" w:rsidRDefault="00924076" w:rsidP="00924076">
      <w:pPr>
        <w:spacing w:before="120"/>
        <w:ind w:left="1134" w:right="1174" w:firstLine="567"/>
        <w:rPr>
          <w:lang w:eastAsia="en-US"/>
        </w:rPr>
      </w:pPr>
      <w:r w:rsidRPr="00057B94">
        <w:rPr>
          <w:i/>
          <w:lang w:eastAsia="en-US"/>
        </w:rPr>
        <w:t>Further recalling</w:t>
      </w:r>
      <w:r w:rsidRPr="00057B94">
        <w:rPr>
          <w:lang w:eastAsia="en-US"/>
        </w:rPr>
        <w:t xml:space="preserve"> Articles 3, 4, 7, 10, 11 and 14 of the Paris Agreement,</w:t>
      </w:r>
    </w:p>
    <w:p w14:paraId="2733E382" w14:textId="77777777" w:rsidR="00924076" w:rsidRPr="00057B94" w:rsidRDefault="00924076" w:rsidP="00924076">
      <w:pPr>
        <w:spacing w:before="120"/>
        <w:ind w:left="1134" w:right="1174" w:firstLine="567"/>
        <w:rPr>
          <w:lang w:eastAsia="en-US"/>
        </w:rPr>
      </w:pPr>
      <w:r w:rsidRPr="00057B94">
        <w:rPr>
          <w:i/>
          <w:lang w:eastAsia="en-US"/>
        </w:rPr>
        <w:t xml:space="preserve">Recalling </w:t>
      </w:r>
      <w:r w:rsidRPr="00057B94">
        <w:rPr>
          <w:lang w:eastAsia="en-US"/>
        </w:rPr>
        <w:t xml:space="preserve">decisions 3/CP.19, 1/CP.21, 13/CP.22 and 12/CP.23, </w:t>
      </w:r>
    </w:p>
    <w:p w14:paraId="0CABBC2F" w14:textId="77777777" w:rsidR="00924076" w:rsidRPr="00057B94" w:rsidRDefault="00924076" w:rsidP="00924076">
      <w:pPr>
        <w:spacing w:before="120" w:after="120"/>
        <w:ind w:left="1134" w:right="1174" w:firstLine="567"/>
      </w:pPr>
      <w:r w:rsidRPr="00057B94">
        <w:rPr>
          <w:i/>
        </w:rPr>
        <w:t>Underscoring</w:t>
      </w:r>
      <w:r w:rsidRPr="00057B94">
        <w:t xml:space="preserve"> the need for continued and enhanced international support for the implementation of the Paris Agreement,</w:t>
      </w:r>
    </w:p>
    <w:p w14:paraId="61BFA266" w14:textId="2CEAB5FE" w:rsidR="00924076" w:rsidRPr="00057B94" w:rsidRDefault="00360174" w:rsidP="00360174">
      <w:pPr>
        <w:pStyle w:val="RegSingleTxtG"/>
        <w:numPr>
          <w:ilvl w:val="0"/>
          <w:numId w:val="0"/>
        </w:numPr>
        <w:tabs>
          <w:tab w:val="left" w:pos="568"/>
        </w:tabs>
        <w:ind w:left="1135"/>
      </w:pPr>
      <w:r w:rsidRPr="00057B94">
        <w:t>1.</w:t>
      </w:r>
      <w:r w:rsidRPr="00057B94">
        <w:tab/>
      </w:r>
      <w:r w:rsidR="00924076" w:rsidRPr="00057B94">
        <w:rPr>
          <w:i/>
          <w:lang w:eastAsia="en-US"/>
        </w:rPr>
        <w:t>Recognizes</w:t>
      </w:r>
      <w:r w:rsidR="00924076" w:rsidRPr="00057B94">
        <w:rPr>
          <w:lang w:eastAsia="en-US"/>
        </w:rPr>
        <w:t xml:space="preserve"> the importance of predictability and clarity of information on financial support for the implementation of the Paris Agreement</w:t>
      </w:r>
      <w:r w:rsidR="00924076" w:rsidRPr="00057B94">
        <w:t>;</w:t>
      </w:r>
    </w:p>
    <w:p w14:paraId="0FC614F3" w14:textId="6F3A5C10" w:rsidR="00924076" w:rsidRPr="00057B94" w:rsidRDefault="00360174" w:rsidP="00360174">
      <w:pPr>
        <w:pStyle w:val="RegSingleTxtG"/>
        <w:numPr>
          <w:ilvl w:val="0"/>
          <w:numId w:val="0"/>
        </w:numPr>
        <w:tabs>
          <w:tab w:val="left" w:pos="568"/>
        </w:tabs>
        <w:ind w:left="1135"/>
      </w:pPr>
      <w:r w:rsidRPr="00057B94">
        <w:t>2.</w:t>
      </w:r>
      <w:r w:rsidRPr="00057B94">
        <w:tab/>
      </w:r>
      <w:r w:rsidR="00924076" w:rsidRPr="00057B94">
        <w:rPr>
          <w:i/>
          <w:lang w:eastAsia="en-US"/>
        </w:rPr>
        <w:t xml:space="preserve">Reiterates </w:t>
      </w:r>
      <w:r w:rsidR="00924076" w:rsidRPr="00057B94">
        <w:rPr>
          <w:lang w:eastAsia="en-US"/>
        </w:rPr>
        <w:t xml:space="preserve">that developed country Parties shall biennially communicate indicative quantitative and qualitative information related to Article 9, paragraphs 1 and </w:t>
      </w:r>
      <w:proofErr w:type="gramStart"/>
      <w:r w:rsidR="00924076" w:rsidRPr="00057B94">
        <w:rPr>
          <w:lang w:eastAsia="en-US"/>
        </w:rPr>
        <w:t>3,</w:t>
      </w:r>
      <w:proofErr w:type="gramEnd"/>
      <w:r w:rsidR="00924076" w:rsidRPr="00057B94">
        <w:rPr>
          <w:lang w:eastAsia="en-US"/>
        </w:rPr>
        <w:t xml:space="preserve"> of the Paris Agreement, as applicable, including, as available, projected levels of public financial resources to be provided to developing country Parties</w:t>
      </w:r>
      <w:r w:rsidR="00343DC3" w:rsidRPr="00057B94">
        <w:rPr>
          <w:lang w:eastAsia="en-US"/>
        </w:rPr>
        <w:t>,</w:t>
      </w:r>
      <w:r w:rsidR="00BD10FE" w:rsidRPr="00057B94">
        <w:rPr>
          <w:lang w:eastAsia="en-US"/>
        </w:rPr>
        <w:t xml:space="preserve"> </w:t>
      </w:r>
      <w:r w:rsidR="00343DC3" w:rsidRPr="00057B94">
        <w:rPr>
          <w:lang w:eastAsia="en-US"/>
        </w:rPr>
        <w:t>and that o</w:t>
      </w:r>
      <w:r w:rsidR="00924076" w:rsidRPr="00057B94">
        <w:rPr>
          <w:lang w:eastAsia="en-US"/>
        </w:rPr>
        <w:t>ther Parties providing resources are encouraged to communicate biennially such information on a voluntary basis</w:t>
      </w:r>
      <w:r w:rsidR="00924076" w:rsidRPr="00057B94">
        <w:rPr>
          <w:szCs w:val="22"/>
        </w:rPr>
        <w:t>;</w:t>
      </w:r>
      <w:r w:rsidR="00924076" w:rsidRPr="00057B94">
        <w:t xml:space="preserve"> </w:t>
      </w:r>
    </w:p>
    <w:p w14:paraId="3D1E655A" w14:textId="35894C21" w:rsidR="00924076" w:rsidRPr="00057B94" w:rsidRDefault="00360174" w:rsidP="00360174">
      <w:pPr>
        <w:pStyle w:val="RegSingleTxtG"/>
        <w:numPr>
          <w:ilvl w:val="0"/>
          <w:numId w:val="0"/>
        </w:numPr>
        <w:tabs>
          <w:tab w:val="left" w:pos="568"/>
        </w:tabs>
        <w:ind w:left="1135"/>
      </w:pPr>
      <w:r w:rsidRPr="00057B94">
        <w:t>3.</w:t>
      </w:r>
      <w:r w:rsidRPr="00057B94">
        <w:tab/>
      </w:r>
      <w:r w:rsidR="00924076" w:rsidRPr="00057B94">
        <w:rPr>
          <w:i/>
          <w:lang w:eastAsia="en-US"/>
        </w:rPr>
        <w:t>Underlines</w:t>
      </w:r>
      <w:r w:rsidR="00924076" w:rsidRPr="00057B94">
        <w:rPr>
          <w:lang w:eastAsia="en-US"/>
        </w:rPr>
        <w:t xml:space="preserve"> the importance of Article 9, paragraphs 1 and </w:t>
      </w:r>
      <w:proofErr w:type="gramStart"/>
      <w:r w:rsidR="00924076" w:rsidRPr="00057B94">
        <w:rPr>
          <w:lang w:eastAsia="en-US"/>
        </w:rPr>
        <w:t>3,</w:t>
      </w:r>
      <w:proofErr w:type="gramEnd"/>
      <w:r w:rsidR="00924076" w:rsidRPr="00057B94">
        <w:rPr>
          <w:lang w:eastAsia="en-US"/>
        </w:rPr>
        <w:t xml:space="preserve"> of the Paris Agreement on this matter;</w:t>
      </w:r>
    </w:p>
    <w:p w14:paraId="5222F494" w14:textId="20F01604" w:rsidR="00924076" w:rsidRPr="00057B94" w:rsidRDefault="00360174" w:rsidP="00360174">
      <w:pPr>
        <w:pStyle w:val="RegSingleTxtG"/>
        <w:numPr>
          <w:ilvl w:val="0"/>
          <w:numId w:val="0"/>
        </w:numPr>
        <w:tabs>
          <w:tab w:val="left" w:pos="568"/>
        </w:tabs>
        <w:ind w:left="1135"/>
        <w:rPr>
          <w:szCs w:val="22"/>
        </w:rPr>
      </w:pPr>
      <w:r w:rsidRPr="00057B94">
        <w:rPr>
          <w:szCs w:val="22"/>
        </w:rPr>
        <w:t>4.</w:t>
      </w:r>
      <w:r w:rsidRPr="00057B94">
        <w:rPr>
          <w:szCs w:val="22"/>
        </w:rPr>
        <w:tab/>
      </w:r>
      <w:r w:rsidR="00924076" w:rsidRPr="00057B94">
        <w:rPr>
          <w:i/>
          <w:szCs w:val="22"/>
        </w:rPr>
        <w:t>Requests</w:t>
      </w:r>
      <w:r w:rsidR="00924076" w:rsidRPr="00057B94">
        <w:rPr>
          <w:szCs w:val="22"/>
        </w:rPr>
        <w:t xml:space="preserve"> developed country Parties to submit the biennial communications referred to in paragraph 2 above and as specified in the annex starting in 2020; </w:t>
      </w:r>
    </w:p>
    <w:p w14:paraId="220DA52A" w14:textId="1F9136CD" w:rsidR="00924076" w:rsidRPr="00057B94" w:rsidRDefault="00360174" w:rsidP="00360174">
      <w:pPr>
        <w:pStyle w:val="RegSingleTxtG"/>
        <w:numPr>
          <w:ilvl w:val="0"/>
          <w:numId w:val="0"/>
        </w:numPr>
        <w:tabs>
          <w:tab w:val="left" w:pos="568"/>
        </w:tabs>
        <w:ind w:left="1135"/>
        <w:rPr>
          <w:szCs w:val="22"/>
        </w:rPr>
      </w:pPr>
      <w:r w:rsidRPr="00057B94">
        <w:rPr>
          <w:szCs w:val="22"/>
        </w:rPr>
        <w:t>5.</w:t>
      </w:r>
      <w:r w:rsidRPr="00057B94">
        <w:rPr>
          <w:szCs w:val="22"/>
        </w:rPr>
        <w:tab/>
      </w:r>
      <w:r w:rsidR="00924076" w:rsidRPr="00057B94">
        <w:rPr>
          <w:i/>
          <w:szCs w:val="22"/>
        </w:rPr>
        <w:t>Encourages</w:t>
      </w:r>
      <w:r w:rsidR="00924076" w:rsidRPr="00057B94">
        <w:rPr>
          <w:szCs w:val="22"/>
        </w:rPr>
        <w:t xml:space="preserve"> other Parties providing resources to communicate biennially, as referred to in paragraph 2 above, on a voluntary basis;</w:t>
      </w:r>
    </w:p>
    <w:p w14:paraId="0085F61B" w14:textId="4F7D9385" w:rsidR="00924076" w:rsidRPr="00057B94" w:rsidRDefault="00360174" w:rsidP="00360174">
      <w:pPr>
        <w:pStyle w:val="RegSingleTxtG"/>
        <w:numPr>
          <w:ilvl w:val="0"/>
          <w:numId w:val="0"/>
        </w:numPr>
        <w:tabs>
          <w:tab w:val="left" w:pos="568"/>
        </w:tabs>
        <w:ind w:left="1135"/>
      </w:pPr>
      <w:r w:rsidRPr="00057B94">
        <w:t>6.</w:t>
      </w:r>
      <w:r w:rsidRPr="00057B94">
        <w:tab/>
      </w:r>
      <w:r w:rsidR="00924076" w:rsidRPr="00057B94">
        <w:rPr>
          <w:i/>
        </w:rPr>
        <w:t>Requests</w:t>
      </w:r>
      <w:r w:rsidR="00924076" w:rsidRPr="00057B94">
        <w:t xml:space="preserve"> the secretariat to establish a dedicated online portal for posting and recording the biennial communications; </w:t>
      </w:r>
    </w:p>
    <w:p w14:paraId="2E3F25FA" w14:textId="17AC7E7F" w:rsidR="00924076" w:rsidRPr="00057B94" w:rsidRDefault="00360174" w:rsidP="00360174">
      <w:pPr>
        <w:pStyle w:val="RegSingleTxtG"/>
        <w:numPr>
          <w:ilvl w:val="0"/>
          <w:numId w:val="0"/>
        </w:numPr>
        <w:tabs>
          <w:tab w:val="left" w:pos="568"/>
        </w:tabs>
        <w:ind w:left="1135"/>
      </w:pPr>
      <w:r w:rsidRPr="00057B94">
        <w:t>7.</w:t>
      </w:r>
      <w:r w:rsidRPr="00057B94">
        <w:tab/>
      </w:r>
      <w:r w:rsidR="00924076" w:rsidRPr="00057B94">
        <w:rPr>
          <w:i/>
        </w:rPr>
        <w:t>Also requests</w:t>
      </w:r>
      <w:r w:rsidR="00924076" w:rsidRPr="00057B94">
        <w:t xml:space="preserve"> the secretariat to prepare a compilation and synthesis of the information included in the biennial communications, referred to in paragraph 2 above, starting in 2021, and to inform the global stocktake;</w:t>
      </w:r>
    </w:p>
    <w:p w14:paraId="47A0BC31" w14:textId="3EB743B0" w:rsidR="00924076" w:rsidRPr="00057B94" w:rsidRDefault="00360174" w:rsidP="00360174">
      <w:pPr>
        <w:pStyle w:val="RegSingleTxtG"/>
        <w:numPr>
          <w:ilvl w:val="0"/>
          <w:numId w:val="0"/>
        </w:numPr>
        <w:tabs>
          <w:tab w:val="left" w:pos="568"/>
        </w:tabs>
        <w:ind w:left="1135"/>
      </w:pPr>
      <w:r w:rsidRPr="00057B94">
        <w:t>8.</w:t>
      </w:r>
      <w:r w:rsidRPr="00057B94">
        <w:tab/>
      </w:r>
      <w:r w:rsidR="00924076" w:rsidRPr="00057B94">
        <w:rPr>
          <w:i/>
        </w:rPr>
        <w:t>Further requests</w:t>
      </w:r>
      <w:r w:rsidR="00924076" w:rsidRPr="00057B94">
        <w:t xml:space="preserve"> the secretariat to organize biennial in-session workshops beginning the year after the submission of the first biennial communications referred to in paragraph 2 above, and to prepare a summary report on each workshop;</w:t>
      </w:r>
    </w:p>
    <w:p w14:paraId="7C607701" w14:textId="171293A8" w:rsidR="00924076" w:rsidRPr="00057B94" w:rsidRDefault="00360174" w:rsidP="00360174">
      <w:pPr>
        <w:pStyle w:val="RegSingleTxtG"/>
        <w:numPr>
          <w:ilvl w:val="0"/>
          <w:numId w:val="0"/>
        </w:numPr>
        <w:tabs>
          <w:tab w:val="left" w:pos="568"/>
        </w:tabs>
        <w:ind w:left="1135"/>
      </w:pPr>
      <w:r w:rsidRPr="00057B94">
        <w:t>9.</w:t>
      </w:r>
      <w:r w:rsidRPr="00057B94">
        <w:tab/>
      </w:r>
      <w:r w:rsidR="00924076" w:rsidRPr="00057B94">
        <w:rPr>
          <w:i/>
        </w:rPr>
        <w:t>Decides</w:t>
      </w:r>
      <w:r w:rsidR="00924076" w:rsidRPr="00057B94">
        <w:t xml:space="preserve"> to consider the compilations and syntheses referred to in paragraph 7 above and the summary report</w:t>
      </w:r>
      <w:r w:rsidR="006B6B15" w:rsidRPr="00057B94">
        <w:t>s</w:t>
      </w:r>
      <w:r w:rsidR="00924076" w:rsidRPr="00057B94">
        <w:t xml:space="preserve"> on the in-session workshops referred to in paragraph 8 above starting at its fourth session (November 2021); </w:t>
      </w:r>
    </w:p>
    <w:p w14:paraId="1BC269BC" w14:textId="5A33FA34" w:rsidR="00924076" w:rsidRPr="00057B94" w:rsidRDefault="00360174" w:rsidP="00360174">
      <w:pPr>
        <w:pStyle w:val="RegSingleTxtG"/>
        <w:numPr>
          <w:ilvl w:val="0"/>
          <w:numId w:val="0"/>
        </w:numPr>
        <w:tabs>
          <w:tab w:val="left" w:pos="568"/>
        </w:tabs>
        <w:ind w:left="1135"/>
      </w:pPr>
      <w:r w:rsidRPr="00057B94">
        <w:t>10.</w:t>
      </w:r>
      <w:r w:rsidRPr="00057B94">
        <w:tab/>
      </w:r>
      <w:r w:rsidR="00924076" w:rsidRPr="00057B94">
        <w:rPr>
          <w:i/>
        </w:rPr>
        <w:t>Also decides</w:t>
      </w:r>
      <w:r w:rsidR="00924076" w:rsidRPr="00057B94">
        <w:t xml:space="preserve"> to convene a biennial high-level ministerial dialogue on climate finance beginning in 2021, to be informed, inter alia, by the summary reports on the in-session workshops referred to in paragraph 8 above and the biennial communications referred to in paragraph 2 above; </w:t>
      </w:r>
    </w:p>
    <w:p w14:paraId="0C5F1B41" w14:textId="4E382017" w:rsidR="00924076" w:rsidRPr="00057B94" w:rsidRDefault="00360174" w:rsidP="00360174">
      <w:pPr>
        <w:pStyle w:val="RegSingleTxtG"/>
        <w:numPr>
          <w:ilvl w:val="0"/>
          <w:numId w:val="0"/>
        </w:numPr>
        <w:tabs>
          <w:tab w:val="left" w:pos="568"/>
        </w:tabs>
        <w:ind w:left="1135"/>
      </w:pPr>
      <w:r w:rsidRPr="00057B94">
        <w:t>11.</w:t>
      </w:r>
      <w:r w:rsidRPr="00057B94">
        <w:tab/>
      </w:r>
      <w:r w:rsidR="00924076" w:rsidRPr="00057B94">
        <w:rPr>
          <w:i/>
        </w:rPr>
        <w:t>Requests</w:t>
      </w:r>
      <w:r w:rsidR="00924076" w:rsidRPr="00057B94">
        <w:t xml:space="preserve"> the President of the Conference of the Parties serving as the meeting of the Parties to the Paris Agreement to summarize the deliberations of the dialogue referred to in paragraph 10 above for consideration by the Conference of the Parties serving as the meeting of the Parties to the Paris Agreement at its succeeding session;</w:t>
      </w:r>
    </w:p>
    <w:p w14:paraId="37A54ACE" w14:textId="6939171A" w:rsidR="00924076" w:rsidRPr="00057B94" w:rsidRDefault="00360174" w:rsidP="00360174">
      <w:pPr>
        <w:pStyle w:val="RegSingleTxtG"/>
        <w:numPr>
          <w:ilvl w:val="0"/>
          <w:numId w:val="0"/>
        </w:numPr>
        <w:tabs>
          <w:tab w:val="left" w:pos="568"/>
        </w:tabs>
        <w:ind w:left="1135"/>
      </w:pPr>
      <w:r w:rsidRPr="00057B94">
        <w:t>12.</w:t>
      </w:r>
      <w:r w:rsidRPr="00057B94">
        <w:tab/>
      </w:r>
      <w:r w:rsidR="00924076" w:rsidRPr="00057B94">
        <w:rPr>
          <w:i/>
        </w:rPr>
        <w:t>Invites</w:t>
      </w:r>
      <w:r w:rsidR="00924076" w:rsidRPr="00057B94">
        <w:t xml:space="preserve"> the Conference of the Parties to consider the compilation</w:t>
      </w:r>
      <w:r w:rsidR="006B6B15" w:rsidRPr="00057B94">
        <w:t>s</w:t>
      </w:r>
      <w:r w:rsidR="00924076" w:rsidRPr="00057B94">
        <w:t xml:space="preserve"> and syntheses and the summary reports on the in-session workshops referred to in paragraphs 7 and 8 above, respectively;</w:t>
      </w:r>
    </w:p>
    <w:p w14:paraId="5B339188" w14:textId="1A8486EE" w:rsidR="00924076" w:rsidRPr="00057B94" w:rsidRDefault="00360174" w:rsidP="00360174">
      <w:pPr>
        <w:pStyle w:val="RegSingleTxtG"/>
        <w:numPr>
          <w:ilvl w:val="0"/>
          <w:numId w:val="0"/>
        </w:numPr>
        <w:tabs>
          <w:tab w:val="left" w:pos="568"/>
        </w:tabs>
        <w:ind w:left="1135"/>
      </w:pPr>
      <w:r w:rsidRPr="00057B94">
        <w:lastRenderedPageBreak/>
        <w:t>13.</w:t>
      </w:r>
      <w:r w:rsidRPr="00057B94">
        <w:tab/>
      </w:r>
      <w:r w:rsidR="00924076" w:rsidRPr="00057B94">
        <w:rPr>
          <w:i/>
        </w:rPr>
        <w:t>Decides</w:t>
      </w:r>
      <w:r w:rsidR="00924076" w:rsidRPr="00057B94">
        <w:t xml:space="preserve"> to consider updating the types of information contained in the annex at its sixth session (2023) on the basis of </w:t>
      </w:r>
      <w:r w:rsidR="006B6B15" w:rsidRPr="00057B94">
        <w:t>Parties’</w:t>
      </w:r>
      <w:r w:rsidR="00924076" w:rsidRPr="00057B94">
        <w:t xml:space="preserve"> experience and lessons learned in the preparation of their biennial communications of indicative quantitative and qualitative information; </w:t>
      </w:r>
    </w:p>
    <w:p w14:paraId="6463004C" w14:textId="3BAD5E2D" w:rsidR="00924076" w:rsidRPr="00057B94" w:rsidRDefault="00360174" w:rsidP="00360174">
      <w:pPr>
        <w:pStyle w:val="RegSingleTxtG"/>
        <w:numPr>
          <w:ilvl w:val="0"/>
          <w:numId w:val="0"/>
        </w:numPr>
        <w:tabs>
          <w:tab w:val="left" w:pos="568"/>
        </w:tabs>
        <w:ind w:left="1135"/>
      </w:pPr>
      <w:r w:rsidRPr="00057B94">
        <w:t>14.</w:t>
      </w:r>
      <w:r w:rsidRPr="00057B94">
        <w:tab/>
      </w:r>
      <w:r w:rsidR="00924076" w:rsidRPr="00057B94">
        <w:rPr>
          <w:i/>
        </w:rPr>
        <w:t>Takes note</w:t>
      </w:r>
      <w:r w:rsidR="00924076" w:rsidRPr="00057B94">
        <w:t xml:space="preserve"> of the estimated budgetary implications of the activities to be undertaken by the secretariat pursuant to the provisions contained in paragraphs 6–8 and 10 above;</w:t>
      </w:r>
    </w:p>
    <w:p w14:paraId="450F410C" w14:textId="283B288D" w:rsidR="00924076" w:rsidRPr="00057B94" w:rsidRDefault="00360174" w:rsidP="00360174">
      <w:pPr>
        <w:pStyle w:val="RegSingleTxtG"/>
        <w:numPr>
          <w:ilvl w:val="0"/>
          <w:numId w:val="0"/>
        </w:numPr>
        <w:tabs>
          <w:tab w:val="left" w:pos="568"/>
        </w:tabs>
        <w:ind w:left="1135"/>
      </w:pPr>
      <w:r w:rsidRPr="00057B94">
        <w:t>15.</w:t>
      </w:r>
      <w:r w:rsidRPr="00057B94">
        <w:tab/>
      </w:r>
      <w:r w:rsidR="00924076" w:rsidRPr="00057B94">
        <w:rPr>
          <w:i/>
        </w:rPr>
        <w:t>Requests</w:t>
      </w:r>
      <w:r w:rsidR="00924076" w:rsidRPr="00057B94">
        <w:t xml:space="preserve"> that the actions of the secretariat called for in this decision be undertaken subject to the availability of financial resources.</w:t>
      </w:r>
    </w:p>
    <w:p w14:paraId="753F303D" w14:textId="77777777" w:rsidR="00924076" w:rsidRPr="00057B94" w:rsidRDefault="00924076" w:rsidP="00924076">
      <w:pPr>
        <w:pStyle w:val="RegSingleTxtG"/>
        <w:numPr>
          <w:ilvl w:val="0"/>
          <w:numId w:val="0"/>
        </w:numPr>
        <w:ind w:left="1135"/>
      </w:pPr>
    </w:p>
    <w:p w14:paraId="585848B3" w14:textId="77777777" w:rsidR="003B6D2B" w:rsidRPr="00057B94" w:rsidRDefault="003B6D2B" w:rsidP="00924076">
      <w:pPr>
        <w:pStyle w:val="HChG"/>
        <w:rPr>
          <w:szCs w:val="28"/>
        </w:rPr>
        <w:sectPr w:rsidR="003B6D2B" w:rsidRPr="00057B94" w:rsidSect="003B6D2B">
          <w:pgSz w:w="11906" w:h="16838" w:code="9"/>
          <w:pgMar w:top="1418" w:right="1134" w:bottom="1134" w:left="1134" w:header="851" w:footer="567" w:gutter="0"/>
          <w:cols w:space="708"/>
          <w:docGrid w:linePitch="360"/>
        </w:sectPr>
      </w:pPr>
    </w:p>
    <w:p w14:paraId="2734292B" w14:textId="17740108" w:rsidR="00924076" w:rsidRPr="00057B94" w:rsidRDefault="00924076" w:rsidP="004B016A">
      <w:pPr>
        <w:pStyle w:val="HChG"/>
        <w:spacing w:before="120" w:after="60"/>
        <w:rPr>
          <w:szCs w:val="28"/>
        </w:rPr>
      </w:pPr>
      <w:r w:rsidRPr="00057B94">
        <w:rPr>
          <w:szCs w:val="28"/>
        </w:rPr>
        <w:lastRenderedPageBreak/>
        <w:t xml:space="preserve">Annex </w:t>
      </w:r>
      <w:r w:rsidRPr="00057B94">
        <w:rPr>
          <w:szCs w:val="28"/>
        </w:rPr>
        <w:tab/>
      </w:r>
    </w:p>
    <w:p w14:paraId="171C1E41" w14:textId="77777777" w:rsidR="00924076" w:rsidRPr="00057B94" w:rsidRDefault="00924076" w:rsidP="004B016A">
      <w:pPr>
        <w:pStyle w:val="HChG"/>
        <w:spacing w:before="240" w:after="200"/>
        <w:rPr>
          <w:szCs w:val="28"/>
        </w:rPr>
      </w:pPr>
      <w:r w:rsidRPr="00057B94">
        <w:rPr>
          <w:sz w:val="24"/>
          <w:szCs w:val="24"/>
        </w:rPr>
        <w:tab/>
      </w:r>
      <w:r w:rsidRPr="00057B94">
        <w:rPr>
          <w:sz w:val="24"/>
          <w:szCs w:val="24"/>
        </w:rPr>
        <w:tab/>
      </w:r>
      <w:r w:rsidRPr="00057B94">
        <w:rPr>
          <w:szCs w:val="28"/>
        </w:rPr>
        <w:t>Types of information to be provided by Parties in accordance with Article 9, paragraph 5, of the Paris Agreement</w:t>
      </w:r>
    </w:p>
    <w:p w14:paraId="2CC16FF7" w14:textId="77777777" w:rsidR="00924076" w:rsidRPr="00057B94" w:rsidRDefault="00924076" w:rsidP="00924076">
      <w:pPr>
        <w:pStyle w:val="RegSingleTxtG"/>
        <w:numPr>
          <w:ilvl w:val="0"/>
          <w:numId w:val="0"/>
        </w:numPr>
        <w:ind w:left="1135"/>
      </w:pPr>
      <w:r w:rsidRPr="00057B94">
        <w:tab/>
        <w:t xml:space="preserve">Developed country Parties shall biennially communicate indicative quantitative and qualitative information related to Article 9, paragraphs 1 and </w:t>
      </w:r>
      <w:proofErr w:type="gramStart"/>
      <w:r w:rsidRPr="00057B94">
        <w:t>3,</w:t>
      </w:r>
      <w:proofErr w:type="gramEnd"/>
      <w:r w:rsidRPr="00057B94">
        <w:t xml:space="preserve"> of the Paris Agreement, as applicable, including, as available, projected levels of public financial resources to be provided to developing country Parties. Other Parties providing resources are encouraged to communicate biennially such information on a voluntary basis. This should include:</w:t>
      </w:r>
    </w:p>
    <w:p w14:paraId="13F13418" w14:textId="175C4711" w:rsidR="00924076" w:rsidRPr="00057B94" w:rsidRDefault="00360174" w:rsidP="00360174">
      <w:pPr>
        <w:pStyle w:val="RegSingleTxtG"/>
        <w:numPr>
          <w:ilvl w:val="0"/>
          <w:numId w:val="0"/>
        </w:numPr>
        <w:tabs>
          <w:tab w:val="left" w:pos="2269"/>
        </w:tabs>
        <w:ind w:left="1135" w:firstLine="567"/>
      </w:pPr>
      <w:r w:rsidRPr="00057B94">
        <w:t>(a)</w:t>
      </w:r>
      <w:r w:rsidRPr="00057B94">
        <w:tab/>
      </w:r>
      <w:r w:rsidR="00924076" w:rsidRPr="00057B94">
        <w:t>Enhanced information to increase clarity on the projected levels of public financial resources to be provided to developing countries, as available</w:t>
      </w:r>
      <w:r w:rsidR="00506516" w:rsidRPr="00057B94">
        <w:t>;</w:t>
      </w:r>
    </w:p>
    <w:p w14:paraId="27683CA2" w14:textId="5E55A9B4" w:rsidR="00924076" w:rsidRPr="00057B94" w:rsidRDefault="00360174" w:rsidP="00360174">
      <w:pPr>
        <w:pStyle w:val="RegSingleTxtG"/>
        <w:numPr>
          <w:ilvl w:val="0"/>
          <w:numId w:val="0"/>
        </w:numPr>
        <w:tabs>
          <w:tab w:val="left" w:pos="2269"/>
        </w:tabs>
        <w:ind w:left="1135" w:firstLine="567"/>
      </w:pPr>
      <w:r w:rsidRPr="00057B94">
        <w:t>(b)</w:t>
      </w:r>
      <w:r w:rsidRPr="00057B94">
        <w:tab/>
      </w:r>
      <w:r w:rsidR="00924076" w:rsidRPr="00057B94">
        <w:t>Indicative quantitative and qualitative information on programmes, including projected levels, channels and instruments, as available</w:t>
      </w:r>
      <w:r w:rsidR="00506516" w:rsidRPr="00057B94">
        <w:t>;</w:t>
      </w:r>
    </w:p>
    <w:p w14:paraId="64EAEA5E" w14:textId="43A9A617" w:rsidR="00924076" w:rsidRPr="00057B94" w:rsidRDefault="00360174" w:rsidP="00360174">
      <w:pPr>
        <w:pStyle w:val="RegSingleTxtG"/>
        <w:numPr>
          <w:ilvl w:val="0"/>
          <w:numId w:val="0"/>
        </w:numPr>
        <w:tabs>
          <w:tab w:val="left" w:pos="2269"/>
        </w:tabs>
        <w:ind w:left="1135" w:firstLine="567"/>
      </w:pPr>
      <w:r w:rsidRPr="00057B94">
        <w:t>(c)</w:t>
      </w:r>
      <w:r w:rsidRPr="00057B94">
        <w:tab/>
      </w:r>
      <w:r w:rsidR="00924076" w:rsidRPr="00057B94">
        <w:t>Information on policies and priorities, including regions and geography, recipient countries, beneficiaries, targeted groups, sectors and gender responsiveness</w:t>
      </w:r>
      <w:r w:rsidR="00506516" w:rsidRPr="00057B94">
        <w:t>;</w:t>
      </w:r>
    </w:p>
    <w:p w14:paraId="232DF7FC" w14:textId="6668203D" w:rsidR="00924076" w:rsidRPr="00057B94" w:rsidRDefault="00360174" w:rsidP="00360174">
      <w:pPr>
        <w:pStyle w:val="RegSingleTxtG"/>
        <w:numPr>
          <w:ilvl w:val="0"/>
          <w:numId w:val="0"/>
        </w:numPr>
        <w:tabs>
          <w:tab w:val="left" w:pos="2269"/>
        </w:tabs>
        <w:ind w:left="1135" w:firstLine="567"/>
      </w:pPr>
      <w:r w:rsidRPr="00057B94">
        <w:t>(d)</w:t>
      </w:r>
      <w:r w:rsidRPr="00057B94">
        <w:tab/>
      </w:r>
      <w:r w:rsidR="00924076" w:rsidRPr="00057B94">
        <w:t>Information on purposes and types of support: mitigation, adaptation, cross-cutting activities, technology transfer and capacity-building</w:t>
      </w:r>
      <w:r w:rsidR="00506516" w:rsidRPr="00057B94">
        <w:t>;</w:t>
      </w:r>
    </w:p>
    <w:p w14:paraId="358F3E3D" w14:textId="2A53A831" w:rsidR="00924076" w:rsidRPr="00057B94" w:rsidRDefault="00360174" w:rsidP="00360174">
      <w:pPr>
        <w:pStyle w:val="RegSingleTxtG"/>
        <w:numPr>
          <w:ilvl w:val="0"/>
          <w:numId w:val="0"/>
        </w:numPr>
        <w:tabs>
          <w:tab w:val="left" w:pos="2269"/>
        </w:tabs>
        <w:ind w:left="1135" w:firstLine="567"/>
      </w:pPr>
      <w:r w:rsidRPr="00057B94">
        <w:t>(e)</w:t>
      </w:r>
      <w:r w:rsidRPr="00057B94">
        <w:tab/>
      </w:r>
      <w:r w:rsidR="00924076" w:rsidRPr="00057B94">
        <w:t>Information on the factors that providers of climate finance look for in evaluating proposals, in order to help to inform developing countries</w:t>
      </w:r>
      <w:r w:rsidR="00506516" w:rsidRPr="00057B94">
        <w:t>;</w:t>
      </w:r>
    </w:p>
    <w:p w14:paraId="53536CC5" w14:textId="3252B76D" w:rsidR="00924076" w:rsidRPr="00057B94" w:rsidRDefault="00360174" w:rsidP="00360174">
      <w:pPr>
        <w:pStyle w:val="RegSingleTxtG"/>
        <w:numPr>
          <w:ilvl w:val="0"/>
          <w:numId w:val="0"/>
        </w:numPr>
        <w:tabs>
          <w:tab w:val="left" w:pos="2269"/>
        </w:tabs>
        <w:ind w:left="1135" w:firstLine="567"/>
      </w:pPr>
      <w:r w:rsidRPr="00057B94">
        <w:t>(f)</w:t>
      </w:r>
      <w:r w:rsidRPr="00057B94">
        <w:tab/>
      </w:r>
      <w:r w:rsidR="00924076" w:rsidRPr="00057B94">
        <w:t>An indication of new and additional resources to be provided, and how it determines such resources as</w:t>
      </w:r>
      <w:r w:rsidR="00B637BB" w:rsidRPr="00057B94">
        <w:t xml:space="preserve"> </w:t>
      </w:r>
      <w:r w:rsidR="00EE60AB" w:rsidRPr="00057B94">
        <w:t>being</w:t>
      </w:r>
      <w:r w:rsidR="00924076" w:rsidRPr="00057B94">
        <w:t xml:space="preserve"> new and additional</w:t>
      </w:r>
      <w:r w:rsidR="00506516" w:rsidRPr="00057B94">
        <w:t>;</w:t>
      </w:r>
    </w:p>
    <w:p w14:paraId="4280ADC3" w14:textId="52EEE84D" w:rsidR="00924076" w:rsidRPr="00057B94" w:rsidRDefault="00360174" w:rsidP="00360174">
      <w:pPr>
        <w:pStyle w:val="RegSingleTxtG"/>
        <w:numPr>
          <w:ilvl w:val="0"/>
          <w:numId w:val="0"/>
        </w:numPr>
        <w:tabs>
          <w:tab w:val="left" w:pos="2269"/>
        </w:tabs>
        <w:ind w:left="1135" w:firstLine="567"/>
      </w:pPr>
      <w:r w:rsidRPr="00057B94">
        <w:t>(g)</w:t>
      </w:r>
      <w:r w:rsidRPr="00057B94">
        <w:tab/>
      </w:r>
      <w:r w:rsidR="00924076" w:rsidRPr="00057B94">
        <w:t>Information on national circumstances and limitations relevant to the provision of ex ante information</w:t>
      </w:r>
      <w:r w:rsidR="00506516" w:rsidRPr="00057B94">
        <w:t>;</w:t>
      </w:r>
    </w:p>
    <w:p w14:paraId="5D96F6C4" w14:textId="5CCA2B60" w:rsidR="00924076" w:rsidRPr="00057B94" w:rsidRDefault="00360174" w:rsidP="00360174">
      <w:pPr>
        <w:pStyle w:val="RegSingleTxtG"/>
        <w:numPr>
          <w:ilvl w:val="0"/>
          <w:numId w:val="0"/>
        </w:numPr>
        <w:tabs>
          <w:tab w:val="left" w:pos="2269"/>
        </w:tabs>
        <w:ind w:left="1135" w:firstLine="567"/>
      </w:pPr>
      <w:r w:rsidRPr="00057B94">
        <w:t>(h)</w:t>
      </w:r>
      <w:r w:rsidRPr="00057B94">
        <w:tab/>
      </w:r>
      <w:r w:rsidR="00924076" w:rsidRPr="00057B94">
        <w:t>Information on relevant methodologies and assumptions used to project levels of climate finance</w:t>
      </w:r>
      <w:r w:rsidR="00506516" w:rsidRPr="00057B94">
        <w:t>;</w:t>
      </w:r>
    </w:p>
    <w:p w14:paraId="0385B0BF" w14:textId="7A5CFFB1" w:rsidR="00924076" w:rsidRPr="00057B94" w:rsidRDefault="00360174" w:rsidP="00360174">
      <w:pPr>
        <w:pStyle w:val="RegSingleTxtG"/>
        <w:numPr>
          <w:ilvl w:val="0"/>
          <w:numId w:val="0"/>
        </w:numPr>
        <w:tabs>
          <w:tab w:val="left" w:pos="2269"/>
        </w:tabs>
        <w:ind w:left="1135" w:firstLine="567"/>
      </w:pPr>
      <w:r w:rsidRPr="00057B94">
        <w:t>(i)</w:t>
      </w:r>
      <w:r w:rsidRPr="00057B94">
        <w:tab/>
      </w:r>
      <w:r w:rsidR="00924076" w:rsidRPr="00057B94">
        <w:t>Information on challenges and barriers encountered in the past, lessons learned and measures taken to overcome them</w:t>
      </w:r>
      <w:r w:rsidR="00506516" w:rsidRPr="00057B94">
        <w:t>;</w:t>
      </w:r>
    </w:p>
    <w:p w14:paraId="3ADA464F" w14:textId="6BE7FB2C" w:rsidR="00924076" w:rsidRPr="00057B94" w:rsidRDefault="00360174" w:rsidP="00360174">
      <w:pPr>
        <w:pStyle w:val="RegSingleTxtG"/>
        <w:numPr>
          <w:ilvl w:val="0"/>
          <w:numId w:val="0"/>
        </w:numPr>
        <w:tabs>
          <w:tab w:val="left" w:pos="2269"/>
        </w:tabs>
        <w:ind w:left="1135" w:firstLine="567"/>
      </w:pPr>
      <w:r w:rsidRPr="00057B94">
        <w:t>(j)</w:t>
      </w:r>
      <w:r w:rsidRPr="00057B94">
        <w:tab/>
      </w:r>
      <w:r w:rsidR="00924076" w:rsidRPr="00057B94">
        <w:t>Information on how Parties are aiming to ensure a balance between adaptation and mitigation, taking into account the country-driven strategies and the needs and priorities of developing country Parties, especially those that are particularly vulnerable to the adverse effects of climate change and have significant capacity constraints, such as the least developed countries and small island developing States, considering the need for public and grant-based resources for adaptation</w:t>
      </w:r>
      <w:r w:rsidR="00506516" w:rsidRPr="00057B94">
        <w:t>;</w:t>
      </w:r>
    </w:p>
    <w:p w14:paraId="62C82402" w14:textId="1D128E40" w:rsidR="00924076" w:rsidRPr="00057B94" w:rsidRDefault="00360174" w:rsidP="00360174">
      <w:pPr>
        <w:pStyle w:val="RegSingleTxtG"/>
        <w:numPr>
          <w:ilvl w:val="0"/>
          <w:numId w:val="0"/>
        </w:numPr>
        <w:tabs>
          <w:tab w:val="left" w:pos="2269"/>
        </w:tabs>
        <w:ind w:left="1135" w:firstLine="567"/>
      </w:pPr>
      <w:r w:rsidRPr="00057B94">
        <w:t>(k)</w:t>
      </w:r>
      <w:r w:rsidRPr="00057B94">
        <w:tab/>
      </w:r>
      <w:r w:rsidR="00924076" w:rsidRPr="00057B94">
        <w:t>Information on action and plans to mobilize additional climate finance as part of the global effort to mobilize climate finance from a wide variety of sources, including on the relationship between the public interventions to be used and the private finance mobilized</w:t>
      </w:r>
      <w:r w:rsidR="00506516" w:rsidRPr="00057B94">
        <w:t>;</w:t>
      </w:r>
    </w:p>
    <w:p w14:paraId="331A3C5D" w14:textId="194C3ED1" w:rsidR="00924076" w:rsidRPr="00057B94" w:rsidRDefault="00360174" w:rsidP="00360174">
      <w:pPr>
        <w:pStyle w:val="RegSingleTxtG"/>
        <w:numPr>
          <w:ilvl w:val="0"/>
          <w:numId w:val="0"/>
        </w:numPr>
        <w:tabs>
          <w:tab w:val="left" w:pos="2269"/>
        </w:tabs>
        <w:ind w:left="1135" w:firstLine="567"/>
      </w:pPr>
      <w:r w:rsidRPr="00057B94">
        <w:t>(l)</w:t>
      </w:r>
      <w:r w:rsidRPr="00057B94">
        <w:tab/>
      </w:r>
      <w:r w:rsidR="00924076" w:rsidRPr="00057B94">
        <w:t>Information on how financial support effectively addresses the needs and priorities of developing country Parties and supports country-driven strategies</w:t>
      </w:r>
      <w:r w:rsidR="00506516" w:rsidRPr="00057B94">
        <w:t>;</w:t>
      </w:r>
    </w:p>
    <w:p w14:paraId="108A9B3F" w14:textId="37C4F087" w:rsidR="00924076" w:rsidRPr="00057B94" w:rsidRDefault="00360174" w:rsidP="00360174">
      <w:pPr>
        <w:pStyle w:val="RegSingleTxtG"/>
        <w:numPr>
          <w:ilvl w:val="0"/>
          <w:numId w:val="0"/>
        </w:numPr>
        <w:tabs>
          <w:tab w:val="left" w:pos="2269"/>
        </w:tabs>
        <w:ind w:left="1135" w:firstLine="567"/>
      </w:pPr>
      <w:r w:rsidRPr="00057B94">
        <w:t>(m)</w:t>
      </w:r>
      <w:r w:rsidRPr="00057B94">
        <w:tab/>
      </w:r>
      <w:r w:rsidR="00924076" w:rsidRPr="00057B94">
        <w:t>Information on how support provided and mobilized is targeted at helping developing countries in their efforts to meet the long-term goals of the Paris Agreement, including by assisting them in efforts to make finance flows consistent with a pathway towards low greenhouse gas emissions and climate-resilient development</w:t>
      </w:r>
      <w:r w:rsidR="00506516" w:rsidRPr="00057B94">
        <w:t>;</w:t>
      </w:r>
    </w:p>
    <w:p w14:paraId="30728319" w14:textId="410A0093" w:rsidR="00924076" w:rsidRPr="00057B94" w:rsidRDefault="00360174" w:rsidP="00360174">
      <w:pPr>
        <w:pStyle w:val="RegSingleTxtG"/>
        <w:numPr>
          <w:ilvl w:val="0"/>
          <w:numId w:val="0"/>
        </w:numPr>
        <w:tabs>
          <w:tab w:val="left" w:pos="2269"/>
        </w:tabs>
        <w:ind w:left="1135" w:firstLine="567"/>
      </w:pPr>
      <w:r w:rsidRPr="00057B94">
        <w:t>(n)</w:t>
      </w:r>
      <w:r w:rsidRPr="00057B94">
        <w:tab/>
      </w:r>
      <w:r w:rsidR="00924076" w:rsidRPr="00057B94">
        <w:t>Information on efforts to integrate climate change considerations, including resilience, into their development support</w:t>
      </w:r>
      <w:r w:rsidR="00506516" w:rsidRPr="00057B94">
        <w:t>;</w:t>
      </w:r>
    </w:p>
    <w:p w14:paraId="705F4CDC" w14:textId="6339F21C" w:rsidR="00CC30EF" w:rsidRPr="00057B94" w:rsidRDefault="00360174" w:rsidP="00360174">
      <w:pPr>
        <w:pStyle w:val="RegSingleTxtG"/>
        <w:numPr>
          <w:ilvl w:val="0"/>
          <w:numId w:val="0"/>
        </w:numPr>
        <w:tabs>
          <w:tab w:val="left" w:pos="2269"/>
        </w:tabs>
        <w:ind w:left="1135" w:firstLine="567"/>
      </w:pPr>
      <w:r w:rsidRPr="00057B94">
        <w:t>(o)</w:t>
      </w:r>
      <w:r w:rsidRPr="00057B94">
        <w:tab/>
      </w:r>
      <w:r w:rsidR="00924076" w:rsidRPr="00057B94">
        <w:t>Information on how support to be provided to developing country Parties enhances their capacities.</w:t>
      </w:r>
    </w:p>
    <w:p w14:paraId="524C3425" w14:textId="45833084" w:rsidR="00924076" w:rsidRPr="00057B94" w:rsidRDefault="00924076" w:rsidP="0092407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057B94">
        <w:rPr>
          <w:i/>
          <w:lang w:eastAsia="en-US"/>
        </w:rPr>
        <w:t>2</w:t>
      </w:r>
      <w:r w:rsidR="00EA6BC6" w:rsidRPr="00057B94">
        <w:rPr>
          <w:i/>
          <w:lang w:eastAsia="en-US"/>
        </w:rPr>
        <w:t>6</w:t>
      </w:r>
      <w:r w:rsidRPr="00057B94">
        <w:rPr>
          <w:i/>
          <w:vertAlign w:val="superscript"/>
          <w:lang w:eastAsia="en-US"/>
        </w:rPr>
        <w:t>th</w:t>
      </w:r>
      <w:r w:rsidRPr="00057B94">
        <w:rPr>
          <w:i/>
          <w:lang w:eastAsia="en-US"/>
        </w:rPr>
        <w:t xml:space="preserve"> plenary meeting</w:t>
      </w:r>
    </w:p>
    <w:p w14:paraId="0E10ADC1" w14:textId="7C84A2F9" w:rsidR="00251D78" w:rsidRPr="002E1D9C" w:rsidRDefault="00924076" w:rsidP="004B016A">
      <w:pPr>
        <w:pStyle w:val="RegSingleTxtG"/>
        <w:numPr>
          <w:ilvl w:val="0"/>
          <w:numId w:val="0"/>
        </w:numPr>
        <w:suppressAutoHyphens w:val="0"/>
        <w:autoSpaceDE w:val="0"/>
        <w:autoSpaceDN w:val="0"/>
        <w:adjustRightInd w:val="0"/>
        <w:spacing w:after="0" w:line="240" w:lineRule="auto"/>
        <w:ind w:left="1134" w:right="0"/>
        <w:jc w:val="right"/>
        <w:rPr>
          <w:i/>
          <w:lang w:eastAsia="en-US"/>
        </w:rPr>
      </w:pPr>
      <w:r w:rsidRPr="00057B94">
        <w:rPr>
          <w:i/>
          <w:lang w:eastAsia="en-US"/>
        </w:rPr>
        <w:t>15 December 2018</w:t>
      </w:r>
    </w:p>
    <w:p w14:paraId="0E10ADC2" w14:textId="7C145ED0" w:rsidR="00251D78" w:rsidRPr="002E1D9C" w:rsidRDefault="00CF2CE8" w:rsidP="004B016A">
      <w:pPr>
        <w:spacing w:line="240" w:lineRule="exact"/>
        <w:ind w:left="1134" w:right="1134"/>
        <w:jc w:val="center"/>
        <w:rPr>
          <w:u w:val="single"/>
        </w:rPr>
      </w:pPr>
      <w:r w:rsidRPr="002E1D9C">
        <w:rPr>
          <w:u w:val="single"/>
        </w:rPr>
        <w:tab/>
      </w:r>
      <w:r w:rsidR="00115F65" w:rsidRPr="002E1D9C">
        <w:rPr>
          <w:u w:val="single"/>
        </w:rPr>
        <w:tab/>
      </w:r>
      <w:r w:rsidR="00115F65" w:rsidRPr="002E1D9C">
        <w:rPr>
          <w:u w:val="single"/>
        </w:rPr>
        <w:tab/>
      </w:r>
      <w:r w:rsidR="00115F65" w:rsidRPr="002E1D9C">
        <w:rPr>
          <w:u w:val="single"/>
        </w:rPr>
        <w:tab/>
      </w:r>
    </w:p>
    <w:sectPr w:rsidR="00251D78" w:rsidRPr="002E1D9C" w:rsidSect="003B6D2B">
      <w:pgSz w:w="11906" w:h="16838" w:code="9"/>
      <w:pgMar w:top="1418" w:right="1134"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9768" w14:textId="77777777" w:rsidR="00075705" w:rsidRDefault="00075705">
      <w:r>
        <w:separator/>
      </w:r>
    </w:p>
  </w:endnote>
  <w:endnote w:type="continuationSeparator" w:id="0">
    <w:p w14:paraId="3E5F8DA4" w14:textId="77777777" w:rsidR="00075705" w:rsidRDefault="0007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F" w14:textId="09156DD5" w:rsidR="007F1FB0" w:rsidRPr="005B36AA" w:rsidRDefault="007F1FB0"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4C1696">
      <w:rPr>
        <w:b/>
        <w:noProof/>
        <w:sz w:val="18"/>
      </w:rPr>
      <w:t>2</w:t>
    </w:r>
    <w:r w:rsidRPr="005B36AA">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C" w14:textId="0CE158C7" w:rsidR="007F1FB0" w:rsidRPr="005B36AA" w:rsidRDefault="007F1FB0"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00412102">
      <w:rPr>
        <w:b/>
        <w:noProof/>
        <w:sz w:val="18"/>
      </w:rPr>
      <w:t>21</w:t>
    </w:r>
    <w:r w:rsidRPr="005B36A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0" w14:textId="77777777" w:rsidR="007F1FB0" w:rsidRPr="005B36AA" w:rsidRDefault="007F1FB0"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Pr="005B36AA">
      <w:rPr>
        <w:b/>
        <w:noProof/>
        <w:sz w:val="18"/>
      </w:rPr>
      <w:t>4</w:t>
    </w:r>
    <w:r w:rsidRPr="005B36AA">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3" w14:textId="6912164E" w:rsidR="007F1FB0" w:rsidRPr="005B36AA" w:rsidRDefault="007F1FB0"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1A22C3">
      <w:rPr>
        <w:b/>
        <w:noProof/>
        <w:sz w:val="18"/>
      </w:rPr>
      <w:t>4</w:t>
    </w:r>
    <w:r w:rsidRPr="005B36AA">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4" w14:textId="5DB69333" w:rsidR="007F1FB0" w:rsidRPr="005B36AA" w:rsidRDefault="007F1FB0"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004C1696">
      <w:rPr>
        <w:b/>
        <w:noProof/>
        <w:sz w:val="18"/>
      </w:rPr>
      <w:t>3</w:t>
    </w:r>
    <w:r w:rsidRPr="005B36AA">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3F4C" w14:textId="756FADC5" w:rsidR="007F1FB0" w:rsidRPr="00C76135" w:rsidRDefault="007F1FB0" w:rsidP="0088358F">
    <w:pPr>
      <w:pStyle w:val="Footer"/>
      <w:tabs>
        <w:tab w:val="right" w:pos="9638"/>
      </w:tabs>
    </w:pPr>
    <w:r w:rsidRPr="00C76135">
      <w:rPr>
        <w:b/>
        <w:sz w:val="18"/>
      </w:rPr>
      <w:fldChar w:fldCharType="begin"/>
    </w:r>
    <w:r w:rsidRPr="00C76135">
      <w:rPr>
        <w:b/>
        <w:sz w:val="18"/>
      </w:rPr>
      <w:instrText xml:space="preserve"> PAGE  \* MERGEFORMAT </w:instrText>
    </w:r>
    <w:r w:rsidRPr="00C76135">
      <w:rPr>
        <w:b/>
        <w:sz w:val="18"/>
      </w:rPr>
      <w:fldChar w:fldCharType="separate"/>
    </w:r>
    <w:r w:rsidR="00412102">
      <w:rPr>
        <w:b/>
        <w:noProof/>
        <w:sz w:val="18"/>
      </w:rPr>
      <w:t>10</w:t>
    </w:r>
    <w:r w:rsidRPr="00C76135">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142E" w14:textId="7F9DCD1B" w:rsidR="007F1FB0" w:rsidRPr="00C76135" w:rsidRDefault="007F1FB0" w:rsidP="0088358F">
    <w:pPr>
      <w:pStyle w:val="Footer"/>
      <w:tabs>
        <w:tab w:val="right" w:pos="9638"/>
      </w:tabs>
      <w:rPr>
        <w:b/>
        <w:sz w:val="18"/>
      </w:rPr>
    </w:pPr>
    <w:r>
      <w:tab/>
    </w:r>
    <w:r w:rsidRPr="00C76135">
      <w:rPr>
        <w:b/>
        <w:sz w:val="18"/>
      </w:rPr>
      <w:fldChar w:fldCharType="begin"/>
    </w:r>
    <w:r w:rsidRPr="00C76135">
      <w:rPr>
        <w:b/>
        <w:sz w:val="18"/>
      </w:rPr>
      <w:instrText xml:space="preserve"> PAGE  \* MERGEFORMAT </w:instrText>
    </w:r>
    <w:r w:rsidRPr="00C76135">
      <w:rPr>
        <w:b/>
        <w:sz w:val="18"/>
      </w:rPr>
      <w:fldChar w:fldCharType="separate"/>
    </w:r>
    <w:r w:rsidR="00412102">
      <w:rPr>
        <w:b/>
        <w:noProof/>
        <w:sz w:val="18"/>
      </w:rPr>
      <w:t>11</w:t>
    </w:r>
    <w:r w:rsidRPr="00C76135">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7" w14:textId="2759E08F" w:rsidR="007F1FB0" w:rsidRPr="005B36AA" w:rsidRDefault="007F1FB0"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412102">
      <w:rPr>
        <w:b/>
        <w:noProof/>
        <w:sz w:val="18"/>
      </w:rPr>
      <w:t>12</w:t>
    </w:r>
    <w:r w:rsidRPr="005B36AA">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8" w14:textId="7545A62F" w:rsidR="007F1FB0" w:rsidRPr="005B36AA" w:rsidRDefault="007F1FB0"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00412102">
      <w:rPr>
        <w:b/>
        <w:noProof/>
        <w:sz w:val="18"/>
      </w:rPr>
      <w:t>13</w:t>
    </w:r>
    <w:r w:rsidRPr="005B36AA">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B" w14:textId="7DF00C75" w:rsidR="007F1FB0" w:rsidRPr="005B36AA" w:rsidRDefault="007F1FB0" w:rsidP="005B36AA">
    <w:pPr>
      <w:pStyle w:val="Footer"/>
      <w:tabs>
        <w:tab w:val="right" w:pos="9638"/>
      </w:tabs>
    </w:pPr>
    <w:r w:rsidRPr="005B36AA">
      <w:rPr>
        <w:b/>
        <w:sz w:val="18"/>
      </w:rPr>
      <w:fldChar w:fldCharType="begin"/>
    </w:r>
    <w:r w:rsidRPr="005B36AA">
      <w:rPr>
        <w:b/>
        <w:sz w:val="18"/>
      </w:rPr>
      <w:instrText xml:space="preserve"> PAGE  \* MERGEFORMAT </w:instrText>
    </w:r>
    <w:r w:rsidRPr="005B36AA">
      <w:rPr>
        <w:b/>
        <w:sz w:val="18"/>
      </w:rPr>
      <w:fldChar w:fldCharType="separate"/>
    </w:r>
    <w:r w:rsidR="00412102">
      <w:rPr>
        <w:b/>
        <w:noProof/>
        <w:sz w:val="18"/>
      </w:rPr>
      <w:t>20</w:t>
    </w:r>
    <w:r w:rsidRPr="005B36AA">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C92DF" w14:textId="77777777" w:rsidR="00075705" w:rsidRDefault="00075705">
      <w:r>
        <w:separator/>
      </w:r>
    </w:p>
  </w:footnote>
  <w:footnote w:type="continuationSeparator" w:id="0">
    <w:p w14:paraId="42E77AB3" w14:textId="77777777" w:rsidR="00075705" w:rsidRDefault="00075705">
      <w:r>
        <w:continuationSeparator/>
      </w:r>
    </w:p>
  </w:footnote>
  <w:footnote w:id="1">
    <w:p w14:paraId="0D985E07" w14:textId="77777777" w:rsidR="00EB5740" w:rsidRPr="00B94B51" w:rsidRDefault="00EB5740" w:rsidP="002A55AA">
      <w:pPr>
        <w:pStyle w:val="FootnoteText"/>
      </w:pPr>
      <w:r w:rsidRPr="00CD6F4C">
        <w:tab/>
      </w:r>
      <w:r w:rsidRPr="00B94B51">
        <w:rPr>
          <w:rStyle w:val="FootnoteReference"/>
        </w:rPr>
        <w:footnoteRef/>
      </w:r>
      <w:r w:rsidRPr="00B94B51">
        <w:t xml:space="preserve"> </w:t>
      </w:r>
      <w:r w:rsidRPr="00B94B51">
        <w:tab/>
        <w:t xml:space="preserve">The outcome on modalities for the accounting of financial resources provided and mobilized through public interventions in accordance with Article 9, paragraph 7, of the Paris Agreement is incorporated in section V of decision 18/CMA.1. </w:t>
      </w:r>
    </w:p>
  </w:footnote>
  <w:footnote w:id="2">
    <w:p w14:paraId="295BE39F" w14:textId="77777777" w:rsidR="00EB5740" w:rsidRPr="00B94B51" w:rsidRDefault="00EB5740" w:rsidP="002A55AA">
      <w:pPr>
        <w:pStyle w:val="FootnoteText"/>
      </w:pPr>
      <w:r w:rsidRPr="00B94B51">
        <w:tab/>
      </w:r>
      <w:r w:rsidRPr="00B94B51">
        <w:rPr>
          <w:rStyle w:val="FootnoteReference"/>
        </w:rPr>
        <w:footnoteRef/>
      </w:r>
      <w:r w:rsidRPr="00B94B51">
        <w:tab/>
        <w:t xml:space="preserve">As footnote 1 above. </w:t>
      </w:r>
    </w:p>
  </w:footnote>
  <w:footnote w:id="3">
    <w:p w14:paraId="58AA5E81" w14:textId="77777777" w:rsidR="007F1FB0" w:rsidRPr="00B94B51" w:rsidRDefault="007F1FB0" w:rsidP="001D1A4C">
      <w:pPr>
        <w:pStyle w:val="FootnoteText"/>
        <w:rPr>
          <w:lang w:val="en-US"/>
        </w:rPr>
      </w:pPr>
      <w:r w:rsidRPr="00B94B51">
        <w:tab/>
      </w:r>
      <w:r w:rsidRPr="00B94B51">
        <w:rPr>
          <w:rStyle w:val="FootnoteReference"/>
        </w:rPr>
        <w:footnoteRef/>
      </w:r>
      <w:r w:rsidRPr="00B94B51">
        <w:tab/>
        <w:t xml:space="preserve">The most recent informal document on deliberations on this issue is available at </w:t>
      </w:r>
      <w:hyperlink r:id="rId1" w:history="1">
        <w:r w:rsidRPr="00B94B51">
          <w:rPr>
            <w:rStyle w:val="Hyperlink"/>
          </w:rPr>
          <w:t>https://unfccc.int/documents/186278</w:t>
        </w:r>
      </w:hyperlink>
      <w:r w:rsidRPr="00B94B51">
        <w:t>. The ideas expressed in that document are not exhaustive, do not reflect consensus or all views, and are without prejudice to the views of Parties.</w:t>
      </w:r>
    </w:p>
  </w:footnote>
  <w:footnote w:id="4">
    <w:p w14:paraId="1AF85C33" w14:textId="77777777" w:rsidR="007F1FB0" w:rsidRPr="00B94B51" w:rsidRDefault="007F1FB0" w:rsidP="001D1A4C">
      <w:pPr>
        <w:pStyle w:val="FootnoteText"/>
        <w:rPr>
          <w:lang w:val="en-US"/>
        </w:rPr>
      </w:pPr>
      <w:r w:rsidRPr="00B94B51">
        <w:tab/>
      </w:r>
      <w:r w:rsidRPr="00B94B51">
        <w:rPr>
          <w:rStyle w:val="FootnoteReference"/>
        </w:rPr>
        <w:footnoteRef/>
      </w:r>
      <w:r w:rsidRPr="00B94B51">
        <w:rPr>
          <w:lang w:val="en-US"/>
        </w:rPr>
        <w:tab/>
      </w:r>
      <w:r w:rsidRPr="00B94B51">
        <w:t xml:space="preserve">See document APA-SBSTA-SBI.2018.Informal.2.Add.1 (part 2), chapter 1.3.B, paragraph 1, options 1–3. The in-session submissions are available at </w:t>
      </w:r>
      <w:hyperlink r:id="rId2" w:anchor="eq-16" w:history="1">
        <w:r w:rsidRPr="00B94B51">
          <w:rPr>
            <w:rStyle w:val="Hyperlink"/>
          </w:rPr>
          <w:t>https://unfccc.int/process/conferences/bonn-climate-change-conference-april-2018/sessions/sbi-48#eq-16</w:t>
        </w:r>
      </w:hyperlink>
      <w:r w:rsidRPr="00B94B51">
        <w:t xml:space="preserve"> (first part of the forty-eighth session of the Subsidiary Body for Implementation), </w:t>
      </w:r>
      <w:hyperlink r:id="rId3" w:anchor="eq-4" w:history="1">
        <w:r w:rsidRPr="00B94B51">
          <w:rPr>
            <w:rStyle w:val="Hyperlink"/>
          </w:rPr>
          <w:t>https://unfccc.int/event/sbi-48-2#eq-4</w:t>
        </w:r>
      </w:hyperlink>
      <w:r w:rsidRPr="00B94B51">
        <w:t xml:space="preserve"> (</w:t>
      </w:r>
      <w:r w:rsidRPr="00B94B51">
        <w:rPr>
          <w:lang w:val="en-US"/>
        </w:rPr>
        <w:t>second part of the forty-eighth session</w:t>
      </w:r>
      <w:r w:rsidRPr="00B94B51">
        <w:t xml:space="preserve"> of the Subsidiary Body for Implementation) and </w:t>
      </w:r>
      <w:hyperlink r:id="rId4" w:anchor="eq-19" w:history="1">
        <w:r w:rsidRPr="00B94B51">
          <w:rPr>
            <w:rStyle w:val="Hyperlink"/>
          </w:rPr>
          <w:t>https://unfccc.int/event/sbi-49#eq-19</w:t>
        </w:r>
      </w:hyperlink>
      <w:r w:rsidRPr="00B94B51">
        <w:t xml:space="preserve"> (forty-ninth session of the Subsidiary Body for Implementation) and the pre-session submissions at </w:t>
      </w:r>
      <w:hyperlink r:id="rId5" w:history="1">
        <w:r w:rsidRPr="00B94B51">
          <w:rPr>
            <w:rStyle w:val="Hyperlink"/>
          </w:rPr>
          <w:t>https://www4.unfccc.int/sites/submissionsstaging/Pages/Home.aspx</w:t>
        </w:r>
      </w:hyperlink>
      <w:r w:rsidRPr="00B94B51">
        <w:t>.</w:t>
      </w:r>
    </w:p>
  </w:footnote>
  <w:footnote w:id="5">
    <w:p w14:paraId="1FB18147" w14:textId="5BA8F834" w:rsidR="007F1FB0" w:rsidRPr="00B94B51" w:rsidRDefault="007F1FB0" w:rsidP="001D1A4C">
      <w:pPr>
        <w:pStyle w:val="FootnoteText"/>
        <w:rPr>
          <w:lang w:val="en-US"/>
        </w:rPr>
      </w:pPr>
      <w:r w:rsidRPr="00B94B51">
        <w:tab/>
      </w:r>
      <w:r w:rsidRPr="00B94B51">
        <w:rPr>
          <w:rStyle w:val="FootnoteReference"/>
        </w:rPr>
        <w:footnoteRef/>
      </w:r>
      <w:r w:rsidRPr="00B94B51">
        <w:rPr>
          <w:lang w:val="en-US"/>
        </w:rPr>
        <w:tab/>
      </w:r>
      <w:hyperlink r:id="rId6" w:history="1">
        <w:r w:rsidRPr="00B94B51">
          <w:rPr>
            <w:rStyle w:val="Hyperlink"/>
            <w:lang w:val="en-US"/>
          </w:rPr>
          <w:t>https://unfccc.int/submissions_and_statements</w:t>
        </w:r>
      </w:hyperlink>
      <w:r w:rsidRPr="00B94B51">
        <w:rPr>
          <w:lang w:val="en-US"/>
        </w:rPr>
        <w:t>.</w:t>
      </w:r>
    </w:p>
  </w:footnote>
  <w:footnote w:id="6">
    <w:p w14:paraId="700A2C4F" w14:textId="77777777" w:rsidR="007F1FB0" w:rsidRPr="00B94B51" w:rsidRDefault="007F1FB0" w:rsidP="001D1A4C">
      <w:pPr>
        <w:pStyle w:val="FootnoteText"/>
        <w:rPr>
          <w:lang w:val="en-US"/>
        </w:rPr>
      </w:pPr>
      <w:r w:rsidRPr="00B94B51">
        <w:tab/>
      </w:r>
      <w:r w:rsidRPr="00B94B51">
        <w:rPr>
          <w:rStyle w:val="FootnoteReference"/>
        </w:rPr>
        <w:footnoteRef/>
      </w:r>
      <w:r w:rsidRPr="00B94B51">
        <w:tab/>
        <w:t xml:space="preserve">See the draft texts at </w:t>
      </w:r>
      <w:hyperlink r:id="rId7" w:history="1">
        <w:r w:rsidRPr="00B94B51">
          <w:rPr>
            <w:rStyle w:val="Hyperlink"/>
          </w:rPr>
          <w:t>https://unfccc.int/documents/186331</w:t>
        </w:r>
      </w:hyperlink>
      <w:r w:rsidRPr="00B94B51">
        <w:t xml:space="preserve">, </w:t>
      </w:r>
      <w:hyperlink r:id="rId8" w:history="1">
        <w:r w:rsidRPr="00B94B51">
          <w:rPr>
            <w:rStyle w:val="Hyperlink"/>
          </w:rPr>
          <w:t>https://unfccc.int/documents/186333</w:t>
        </w:r>
      </w:hyperlink>
      <w:r w:rsidRPr="00B94B51">
        <w:t xml:space="preserve"> and </w:t>
      </w:r>
      <w:hyperlink r:id="rId9" w:history="1">
        <w:r w:rsidRPr="00B94B51">
          <w:rPr>
            <w:rStyle w:val="Hyperlink"/>
          </w:rPr>
          <w:t>https://unfccc.int/documents/186334</w:t>
        </w:r>
      </w:hyperlink>
      <w:r w:rsidRPr="00B94B51">
        <w:t xml:space="preserve">. </w:t>
      </w:r>
    </w:p>
  </w:footnote>
  <w:footnote w:id="7">
    <w:p w14:paraId="5152BD9F" w14:textId="77777777" w:rsidR="007F1FB0" w:rsidRPr="00B94B51" w:rsidRDefault="007F1FB0" w:rsidP="001D1A4C">
      <w:pPr>
        <w:pStyle w:val="FootnoteText"/>
        <w:widowControl w:val="0"/>
        <w:rPr>
          <w:lang w:val="en-US"/>
        </w:rPr>
      </w:pPr>
      <w:r w:rsidRPr="00B94B51">
        <w:tab/>
      </w:r>
      <w:r w:rsidRPr="00B94B51">
        <w:rPr>
          <w:rStyle w:val="FootnoteReference"/>
        </w:rPr>
        <w:footnoteRef/>
      </w:r>
      <w:r w:rsidRPr="00B94B51">
        <w:tab/>
        <w:t xml:space="preserve">Available at </w:t>
      </w:r>
      <w:hyperlink r:id="rId10" w:history="1">
        <w:r w:rsidRPr="00B94B51">
          <w:rPr>
            <w:rStyle w:val="Hyperlink"/>
            <w:spacing w:val="-2"/>
          </w:rPr>
          <w:t>https://unfccc.int/sites/default/files/resource/Katowice%20text%2C%2014%20Dec2018_1015AM.pdf</w:t>
        </w:r>
      </w:hyperlink>
      <w:r w:rsidRPr="00B94B51">
        <w:rPr>
          <w:rStyle w:val="Hyperlink"/>
          <w:color w:val="auto"/>
          <w:spacing w:val="-2"/>
          <w:u w:val="none"/>
        </w:rPr>
        <w:t>.</w:t>
      </w:r>
      <w:r w:rsidRPr="00B94B51">
        <w:rPr>
          <w:spacing w:val="-2"/>
        </w:rPr>
        <w:t xml:space="preserve"> Sections </w:t>
      </w:r>
      <w:r w:rsidRPr="00B94B51">
        <w:rPr>
          <w:spacing w:val="-2"/>
        </w:rPr>
        <w:t xml:space="preserve">III.A, III.B and III.C </w:t>
      </w:r>
      <w:r w:rsidRPr="00B94B51">
        <w:rPr>
          <w:lang w:val="en-US"/>
        </w:rPr>
        <w:t>do not reflect consensus on these matters and are without prejudice to the views of Parties or the consideration of the matter by the Conference of the Parties serving as the meeting of the Parties to the Paris Agreement.</w:t>
      </w:r>
    </w:p>
  </w:footnote>
  <w:footnote w:id="8">
    <w:p w14:paraId="626C4255" w14:textId="77777777" w:rsidR="007F1FB0" w:rsidRPr="00B94B51" w:rsidRDefault="007F1FB0" w:rsidP="0088358F">
      <w:pPr>
        <w:pStyle w:val="FootnoteText"/>
        <w:rPr>
          <w:lang w:val="en-US"/>
        </w:rPr>
      </w:pPr>
      <w:r w:rsidRPr="00B94B51">
        <w:tab/>
      </w:r>
      <w:r w:rsidRPr="00B94B51">
        <w:rPr>
          <w:rStyle w:val="FootnoteReference"/>
        </w:rPr>
        <w:footnoteRef/>
      </w:r>
      <w:r w:rsidRPr="00B94B51">
        <w:tab/>
      </w:r>
      <w:r w:rsidRPr="00B94B51">
        <w:tab/>
      </w:r>
      <w:hyperlink r:id="rId11" w:history="1">
        <w:r w:rsidRPr="00B94B51">
          <w:rPr>
            <w:rStyle w:val="Hyperlink"/>
          </w:rPr>
          <w:t>https://unfccc.int/submissions_and_statements</w:t>
        </w:r>
      </w:hyperlink>
      <w:r w:rsidRPr="00B94B51">
        <w:t xml:space="preserve">. </w:t>
      </w:r>
    </w:p>
  </w:footnote>
  <w:footnote w:id="9">
    <w:p w14:paraId="6AADDC95" w14:textId="77777777" w:rsidR="007F1FB0" w:rsidRPr="00B94B51" w:rsidRDefault="007F1FB0" w:rsidP="006720F6">
      <w:pPr>
        <w:pStyle w:val="FootnoteText"/>
        <w:widowControl w:val="0"/>
        <w:tabs>
          <w:tab w:val="clear" w:pos="1021"/>
          <w:tab w:val="right" w:pos="1020"/>
        </w:tabs>
        <w:rPr>
          <w:lang w:val="en-US"/>
        </w:rPr>
      </w:pPr>
      <w:r w:rsidRPr="00B94B51">
        <w:tab/>
      </w:r>
      <w:r w:rsidRPr="00B94B51">
        <w:rPr>
          <w:rStyle w:val="FootnoteReference"/>
        </w:rPr>
        <w:footnoteRef/>
      </w:r>
      <w:r w:rsidRPr="00B94B51">
        <w:tab/>
        <w:t>See documents FCCC/SB/2017/2, FCCC/SBI/2017/14 and FCCC/SB/2017/2/Add.1–FCCC/SBI/2017/14/Add.1.</w:t>
      </w:r>
    </w:p>
  </w:footnote>
  <w:footnote w:id="10">
    <w:p w14:paraId="2AF43817" w14:textId="77777777" w:rsidR="007F1FB0" w:rsidRPr="00B94B51" w:rsidRDefault="007F1FB0" w:rsidP="006720F6">
      <w:pPr>
        <w:pStyle w:val="FootnoteText"/>
        <w:widowControl w:val="0"/>
        <w:tabs>
          <w:tab w:val="clear" w:pos="1021"/>
          <w:tab w:val="right" w:pos="1020"/>
        </w:tabs>
        <w:rPr>
          <w:lang w:val="en-US"/>
        </w:rPr>
      </w:pPr>
      <w:r w:rsidRPr="00B94B51">
        <w:tab/>
      </w:r>
      <w:r w:rsidRPr="00B94B51">
        <w:rPr>
          <w:rStyle w:val="FootnoteReference"/>
        </w:rPr>
        <w:footnoteRef/>
      </w:r>
      <w:r w:rsidRPr="00B94B51">
        <w:tab/>
        <w:t xml:space="preserve">The institutional arrangements on finance include the operating entities of the Financial Mechanism of the Convention and the Paris Agreement. </w:t>
      </w:r>
    </w:p>
  </w:footnote>
  <w:footnote w:id="11">
    <w:p w14:paraId="4BA55C60" w14:textId="77777777" w:rsidR="007F1FB0" w:rsidRPr="00B94B51" w:rsidRDefault="007F1FB0" w:rsidP="006720F6">
      <w:pPr>
        <w:pStyle w:val="FootnoteText"/>
        <w:widowControl w:val="0"/>
        <w:tabs>
          <w:tab w:val="clear" w:pos="1021"/>
          <w:tab w:val="right" w:pos="1020"/>
        </w:tabs>
        <w:rPr>
          <w:lang w:val="en-US"/>
        </w:rPr>
      </w:pPr>
      <w:r w:rsidRPr="00B94B51">
        <w:tab/>
      </w:r>
      <w:r w:rsidRPr="00B94B51">
        <w:rPr>
          <w:rStyle w:val="FootnoteReference"/>
        </w:rPr>
        <w:footnoteRef/>
      </w:r>
      <w:r w:rsidRPr="00B94B51">
        <w:tab/>
      </w:r>
      <w:hyperlink r:id="rId12" w:history="1">
        <w:r w:rsidRPr="00B94B51">
          <w:rPr>
            <w:rStyle w:val="Hyperlink"/>
          </w:rPr>
          <w:t>https://www4.unfccc.int/sites/NWPStaging/Pages/Home.aspx</w:t>
        </w:r>
      </w:hyperlink>
      <w:r w:rsidRPr="00B94B51">
        <w:t>.</w:t>
      </w:r>
    </w:p>
  </w:footnote>
  <w:footnote w:id="12">
    <w:p w14:paraId="21D599E1" w14:textId="77777777" w:rsidR="007F1FB0" w:rsidRPr="00B94B51" w:rsidRDefault="007F1FB0" w:rsidP="006720F6">
      <w:pPr>
        <w:pStyle w:val="FootnoteText"/>
        <w:rPr>
          <w:lang w:val="en-US"/>
        </w:rPr>
      </w:pPr>
      <w:r w:rsidRPr="00B94B51">
        <w:tab/>
      </w:r>
      <w:r w:rsidRPr="00B94B51">
        <w:rPr>
          <w:rStyle w:val="FootnoteReference"/>
        </w:rPr>
        <w:footnoteRef/>
      </w:r>
      <w:r w:rsidRPr="00B94B51">
        <w:tab/>
      </w:r>
      <w:r w:rsidRPr="00B94B51">
        <w:tab/>
      </w:r>
      <w:hyperlink r:id="rId13" w:history="1">
        <w:r w:rsidRPr="00B94B51">
          <w:rPr>
            <w:rStyle w:val="Hyperlink"/>
          </w:rPr>
          <w:t>https://unfccc.int/submissions_and_statements</w:t>
        </w:r>
      </w:hyperlink>
      <w:r w:rsidRPr="00B94B51">
        <w:t xml:space="preserve">. </w:t>
      </w:r>
    </w:p>
  </w:footnote>
  <w:footnote w:id="13">
    <w:p w14:paraId="1A7D1FC3" w14:textId="77777777" w:rsidR="007F1FB0" w:rsidRPr="00B94B51" w:rsidRDefault="007F1FB0" w:rsidP="006720F6">
      <w:pPr>
        <w:pStyle w:val="FootnoteText"/>
        <w:widowControl w:val="0"/>
        <w:tabs>
          <w:tab w:val="clear" w:pos="1021"/>
          <w:tab w:val="right" w:pos="1020"/>
        </w:tabs>
        <w:rPr>
          <w:lang w:val="en-US"/>
        </w:rPr>
      </w:pPr>
      <w:r w:rsidRPr="00B94B51">
        <w:tab/>
      </w:r>
      <w:r w:rsidRPr="00B94B51">
        <w:rPr>
          <w:rStyle w:val="FootnoteReference"/>
        </w:rPr>
        <w:footnoteRef/>
      </w:r>
      <w:r w:rsidRPr="00B94B51">
        <w:tab/>
      </w:r>
      <w:bookmarkStart w:id="18" w:name="_Hlk531796326"/>
      <w:r w:rsidRPr="00B94B51">
        <w:t xml:space="preserve">As footnote 1 above. </w:t>
      </w:r>
      <w:bookmarkEnd w:id="18"/>
    </w:p>
  </w:footnote>
  <w:footnote w:id="14">
    <w:p w14:paraId="309E1A0A" w14:textId="77777777" w:rsidR="007F1FB0" w:rsidRPr="00204C7C" w:rsidRDefault="007F1FB0" w:rsidP="006720F6">
      <w:pPr>
        <w:pStyle w:val="FootnoteText"/>
        <w:widowControl w:val="0"/>
        <w:tabs>
          <w:tab w:val="clear" w:pos="1021"/>
          <w:tab w:val="right" w:pos="1020"/>
        </w:tabs>
        <w:rPr>
          <w:lang w:val="en-US"/>
        </w:rPr>
      </w:pPr>
      <w:r w:rsidRPr="00B94B51">
        <w:tab/>
      </w:r>
      <w:r w:rsidRPr="00B94B51">
        <w:rPr>
          <w:rStyle w:val="FootnoteReference"/>
        </w:rPr>
        <w:footnoteRef/>
      </w:r>
      <w:r w:rsidRPr="00B94B51">
        <w:tab/>
        <w:t>Decision 1/CP.21, paragraph 45(b).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D" w14:textId="4D6DC6EC" w:rsidR="007F1FB0" w:rsidRPr="005B36AA" w:rsidRDefault="007F1FB0" w:rsidP="005B36AA">
    <w:pPr>
      <w:pStyle w:val="Header"/>
    </w:pPr>
    <w:r>
      <w:t>FCCC/PA/CMA/2018/3/Add.1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A" w14:textId="6424ADB0" w:rsidR="007F1FB0" w:rsidRPr="005B36AA" w:rsidRDefault="007F1FB0" w:rsidP="005B36AA">
    <w:pPr>
      <w:pStyle w:val="Header"/>
      <w:jc w:val="right"/>
    </w:pPr>
    <w:r>
      <w:t>FCCC/PA/CMA/2018/3/Add.1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CE" w14:textId="77777777" w:rsidR="007F1FB0" w:rsidRPr="00A3615E" w:rsidRDefault="007F1FB0" w:rsidP="00A3615E">
    <w:pPr>
      <w:pStyle w:val="Header"/>
      <w:jc w:val="right"/>
    </w:pPr>
    <w:r>
      <w:t>FCCC/CMP/2016/X/Add.1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1FD1" w14:textId="77777777" w:rsidR="007F1FB0" w:rsidRDefault="007F1FB0" w:rsidP="00CD254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1" w14:textId="2AF2CB48" w:rsidR="007F1FB0" w:rsidRPr="005B36AA" w:rsidRDefault="007F1FB0" w:rsidP="005B36AA">
    <w:pPr>
      <w:pStyle w:val="Header"/>
    </w:pPr>
    <w:r>
      <w:t>FCCC/PA/CMA/2018/3/Add.1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2" w14:textId="30F7CF6D" w:rsidR="007F1FB0" w:rsidRPr="005B36AA" w:rsidRDefault="007F1FB0" w:rsidP="005B36AA">
    <w:pPr>
      <w:pStyle w:val="Header"/>
      <w:jc w:val="right"/>
    </w:pPr>
    <w:r>
      <w:t>FCCC/PA/CMA/2018/3/Add.1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F7B5" w14:textId="4D14E74B" w:rsidR="007F1FB0" w:rsidRPr="003B0302" w:rsidRDefault="007F1FB0" w:rsidP="003B0302">
    <w:pPr>
      <w:pStyle w:val="Header"/>
      <w:jc w:val="right"/>
    </w:pPr>
    <w:r>
      <w:t>FCCC/PA/CMA/2018/3/Add.1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5" w14:textId="0D78371B" w:rsidR="007F1FB0" w:rsidRPr="005B36AA" w:rsidRDefault="007F1FB0" w:rsidP="005B36AA">
    <w:pPr>
      <w:pStyle w:val="Header"/>
    </w:pPr>
    <w:r>
      <w:t>FCCC/PA/CMA/2018/3/Add.1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6" w14:textId="403F09F2" w:rsidR="007F1FB0" w:rsidRPr="005B36AA" w:rsidRDefault="007F1FB0" w:rsidP="005B36AA">
    <w:pPr>
      <w:pStyle w:val="Header"/>
      <w:jc w:val="right"/>
    </w:pPr>
    <w:r>
      <w:t>FCCC/PA/CMA/2018/3/Add.1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DD9" w14:textId="7F691AC4" w:rsidR="007F1FB0" w:rsidRPr="005B36AA" w:rsidRDefault="007F1FB0" w:rsidP="005B36AA">
    <w:pPr>
      <w:pStyle w:val="Header"/>
    </w:pPr>
    <w:r>
      <w:t>FCCC/PA/CMA/2018/3/Add.1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2861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56AC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56A1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866B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BE89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124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4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8C6D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6816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3AF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200A6EF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23354E"/>
    <w:multiLevelType w:val="multilevel"/>
    <w:tmpl w:val="519C541C"/>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tabs>
          <w:tab w:val="num" w:pos="2269"/>
        </w:tabs>
        <w:ind w:left="1702" w:firstLine="0"/>
      </w:pPr>
      <w:rPr>
        <w:rFonts w:ascii="Times New Roman" w:eastAsia="SimSun" w:hAnsi="Times New Roman" w:cs="Times New Roman" w:hint="default"/>
        <w:b w:val="0"/>
        <w:i w:val="0"/>
      </w:rPr>
    </w:lvl>
    <w:lvl w:ilvl="6">
      <w:start w:val="1"/>
      <w:numFmt w:val="lowerLetter"/>
      <w:lvlText w:val="(%7)"/>
      <w:lvlJc w:val="left"/>
      <w:pPr>
        <w:tabs>
          <w:tab w:val="num" w:pos="1702"/>
        </w:tabs>
        <w:ind w:left="1702" w:hanging="170"/>
      </w:pPr>
      <w:rPr>
        <w:rFonts w:ascii="Times New Roman" w:eastAsia="SimSun" w:hAnsi="Times New Roman" w:cs="Times New Roman" w:hint="default"/>
        <w:b w:val="0"/>
        <w:i w:val="0"/>
        <w:color w:val="auto"/>
        <w:sz w:val="20"/>
        <w:szCs w:val="28"/>
      </w:rPr>
    </w:lvl>
    <w:lvl w:ilvl="7">
      <w:start w:val="1"/>
      <w:numFmt w:val="lowerRoman"/>
      <w:lvlText w:val="(%8)"/>
      <w:lvlJc w:val="left"/>
      <w:pPr>
        <w:tabs>
          <w:tab w:val="num" w:pos="568"/>
        </w:tabs>
        <w:ind w:left="1135" w:firstLine="0"/>
      </w:pPr>
      <w:rPr>
        <w:rFonts w:ascii="Times New Roman" w:eastAsia="SimSun" w:hAnsi="Times New Roman" w:cs="Times New Roman" w:hint="default"/>
      </w:rPr>
    </w:lvl>
    <w:lvl w:ilvl="8">
      <w:start w:val="1"/>
      <w:numFmt w:val="lowerLetter"/>
      <w:lvlText w:val="%9."/>
      <w:lvlJc w:val="left"/>
      <w:pPr>
        <w:tabs>
          <w:tab w:val="num" w:pos="4094"/>
        </w:tabs>
        <w:ind w:left="4094" w:hanging="363"/>
      </w:pPr>
      <w:rPr>
        <w:rFonts w:ascii="Times New Roman" w:eastAsia="SimSun" w:hAnsi="Times New Roman" w:cs="Times New Roman" w:hint="default"/>
      </w:rPr>
    </w:lvl>
  </w:abstractNum>
  <w:abstractNum w:abstractNumId="12"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4" w15:restartNumberingAfterBreak="0">
    <w:nsid w:val="35A117A8"/>
    <w:multiLevelType w:val="hybridMultilevel"/>
    <w:tmpl w:val="2A905276"/>
    <w:lvl w:ilvl="0" w:tplc="0ECAAD4C">
      <w:start w:val="1"/>
      <w:numFmt w:val="decimal"/>
      <w:lvlText w:val="%1."/>
      <w:lvlJc w:val="left"/>
      <w:pPr>
        <w:ind w:left="1494" w:hanging="360"/>
      </w:pPr>
      <w:rPr>
        <w:b w:val="0"/>
      </w:rPr>
    </w:lvl>
    <w:lvl w:ilvl="1" w:tplc="AAF28CA6">
      <w:start w:val="1"/>
      <w:numFmt w:val="lowerLetter"/>
      <w:lvlText w:val="(%2)"/>
      <w:lvlJc w:val="left"/>
      <w:pPr>
        <w:ind w:left="2214" w:hanging="360"/>
      </w:pPr>
      <w:rPr>
        <w:rFonts w:ascii="Times New Roman" w:eastAsia="SimSun" w:hAnsi="Times New Roman" w:cs="Times New Roman"/>
        <w:b w:val="0"/>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380258CA"/>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44F52325"/>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5AC74F50"/>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4E42DD"/>
    <w:multiLevelType w:val="hybridMultilevel"/>
    <w:tmpl w:val="6DA0F5E2"/>
    <w:lvl w:ilvl="0" w:tplc="0409000F">
      <w:start w:val="1"/>
      <w:numFmt w:val="decimal"/>
      <w:lvlText w:val="%1."/>
      <w:lvlJc w:val="left"/>
      <w:pPr>
        <w:ind w:left="1494" w:hanging="360"/>
      </w:pPr>
      <w:rPr>
        <w:b w:val="0"/>
      </w:rPr>
    </w:lvl>
    <w:lvl w:ilvl="1" w:tplc="AAF28CA6">
      <w:start w:val="1"/>
      <w:numFmt w:val="lowerLetter"/>
      <w:lvlText w:val="(%2)"/>
      <w:lvlJc w:val="left"/>
      <w:pPr>
        <w:ind w:left="2214" w:hanging="360"/>
      </w:pPr>
      <w:rPr>
        <w:rFonts w:ascii="Times New Roman" w:eastAsia="SimSun" w:hAnsi="Times New Roman" w:cs="Times New Roman"/>
        <w:b w:val="0"/>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848522285">
    <w:abstractNumId w:val="10"/>
  </w:num>
  <w:num w:numId="2" w16cid:durableId="1455519394">
    <w:abstractNumId w:val="19"/>
  </w:num>
  <w:num w:numId="3" w16cid:durableId="584270058">
    <w:abstractNumId w:val="13"/>
  </w:num>
  <w:num w:numId="4" w16cid:durableId="1555236512">
    <w:abstractNumId w:val="11"/>
  </w:num>
  <w:num w:numId="5" w16cid:durableId="1431317588">
    <w:abstractNumId w:val="11"/>
  </w:num>
  <w:num w:numId="6" w16cid:durableId="1133602632">
    <w:abstractNumId w:val="11"/>
  </w:num>
  <w:num w:numId="7" w16cid:durableId="8970100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74265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472327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5124243">
    <w:abstractNumId w:val="12"/>
  </w:num>
  <w:num w:numId="11" w16cid:durableId="1130324796">
    <w:abstractNumId w:val="1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0565533">
    <w:abstractNumId w:val="16"/>
  </w:num>
  <w:num w:numId="13" w16cid:durableId="160312183">
    <w:abstractNumId w:val="11"/>
  </w:num>
  <w:num w:numId="14" w16cid:durableId="761410324">
    <w:abstractNumId w:val="11"/>
  </w:num>
  <w:num w:numId="15" w16cid:durableId="8281343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7949352">
    <w:abstractNumId w:val="11"/>
  </w:num>
  <w:num w:numId="17" w16cid:durableId="378479183">
    <w:abstractNumId w:val="11"/>
  </w:num>
  <w:num w:numId="18" w16cid:durableId="1777869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886282">
    <w:abstractNumId w:val="17"/>
  </w:num>
  <w:num w:numId="20" w16cid:durableId="536966740">
    <w:abstractNumId w:val="11"/>
  </w:num>
  <w:num w:numId="21" w16cid:durableId="292368051">
    <w:abstractNumId w:val="18"/>
  </w:num>
  <w:num w:numId="22" w16cid:durableId="4682829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0080297">
    <w:abstractNumId w:val="11"/>
  </w:num>
  <w:num w:numId="24" w16cid:durableId="199051248">
    <w:abstractNumId w:val="15"/>
  </w:num>
  <w:num w:numId="25" w16cid:durableId="98256411">
    <w:abstractNumId w:val="11"/>
  </w:num>
  <w:num w:numId="26" w16cid:durableId="9747925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68139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11046834">
    <w:abstractNumId w:val="11"/>
  </w:num>
  <w:num w:numId="29" w16cid:durableId="734936805">
    <w:abstractNumId w:val="11"/>
  </w:num>
  <w:num w:numId="30" w16cid:durableId="513570160">
    <w:abstractNumId w:val="11"/>
  </w:num>
  <w:num w:numId="31" w16cid:durableId="1414938687">
    <w:abstractNumId w:val="11"/>
  </w:num>
  <w:num w:numId="32" w16cid:durableId="2056390333">
    <w:abstractNumId w:val="11"/>
  </w:num>
  <w:num w:numId="33" w16cid:durableId="121922707">
    <w:abstractNumId w:val="14"/>
  </w:num>
  <w:num w:numId="34" w16cid:durableId="1690064527">
    <w:abstractNumId w:val="20"/>
  </w:num>
  <w:num w:numId="35" w16cid:durableId="184150761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81318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078124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61827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6975887">
    <w:abstractNumId w:val="11"/>
  </w:num>
  <w:num w:numId="40" w16cid:durableId="1270115780">
    <w:abstractNumId w:val="9"/>
  </w:num>
  <w:num w:numId="41" w16cid:durableId="184829560">
    <w:abstractNumId w:val="7"/>
  </w:num>
  <w:num w:numId="42" w16cid:durableId="2131971243">
    <w:abstractNumId w:val="6"/>
  </w:num>
  <w:num w:numId="43" w16cid:durableId="1580403751">
    <w:abstractNumId w:val="5"/>
  </w:num>
  <w:num w:numId="44" w16cid:durableId="532811531">
    <w:abstractNumId w:val="4"/>
  </w:num>
  <w:num w:numId="45" w16cid:durableId="806043538">
    <w:abstractNumId w:val="8"/>
  </w:num>
  <w:num w:numId="46" w16cid:durableId="1565524978">
    <w:abstractNumId w:val="3"/>
  </w:num>
  <w:num w:numId="47" w16cid:durableId="1598829657">
    <w:abstractNumId w:val="2"/>
  </w:num>
  <w:num w:numId="48" w16cid:durableId="1178958553">
    <w:abstractNumId w:val="1"/>
  </w:num>
  <w:num w:numId="49" w16cid:durableId="918101441">
    <w:abstractNumId w:val="0"/>
  </w:num>
  <w:num w:numId="50" w16cid:durableId="943344805">
    <w:abstractNumId w:val="11"/>
    <w:lvlOverride w:ilvl="0">
      <w:startOverride w:val="2"/>
    </w:lvlOverride>
    <w:lvlOverride w:ilvl="1">
      <w:startOverride w:val="1"/>
    </w:lvlOverride>
    <w:lvlOverride w:ilvl="2">
      <w:startOverride w:val="1"/>
    </w:lvlOverride>
    <w:lvlOverride w:ilvl="3">
      <w:startOverride w:val="9"/>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1" w16cid:durableId="99030208">
    <w:abstractNumId w:val="11"/>
    <w:lvlOverride w:ilvl="0">
      <w:startOverride w:val="3"/>
    </w:lvlOverride>
    <w:lvlOverride w:ilvl="1">
      <w:startOverride w:val="1"/>
    </w:lvlOverride>
    <w:lvlOverride w:ilvl="2">
      <w:startOverride w:val="1"/>
    </w:lvlOverride>
    <w:lvlOverride w:ilvl="3">
      <w:startOverride w:val="9"/>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52" w16cid:durableId="1041244746">
    <w:abstractNumId w:val="11"/>
  </w:num>
  <w:num w:numId="53" w16cid:durableId="1698771352">
    <w:abstractNumId w:val="11"/>
    <w:lvlOverride w:ilvl="0">
      <w:startOverride w:val="2"/>
    </w:lvlOverride>
    <w:lvlOverride w:ilvl="1">
      <w:startOverride w:val="1"/>
    </w:lvlOverride>
    <w:lvlOverride w:ilvl="2">
      <w:startOverride w:val="1"/>
    </w:lvlOverride>
    <w:lvlOverride w:ilvl="3">
      <w:startOverride w:val="9"/>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4" w16cid:durableId="1883862059">
    <w:abstractNumId w:val="11"/>
  </w:num>
  <w:num w:numId="55" w16cid:durableId="1630358949">
    <w:abstractNumId w:val="11"/>
    <w:lvlOverride w:ilvl="0">
      <w:startOverride w:val="2"/>
    </w:lvlOverride>
    <w:lvlOverride w:ilvl="1">
      <w:startOverride w:val="2"/>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73328113">
    <w:abstractNumId w:val="11"/>
    <w:lvlOverride w:ilvl="0">
      <w:startOverride w:val="2"/>
    </w:lvlOverride>
    <w:lvlOverride w:ilvl="1">
      <w:startOverride w:val="3"/>
    </w:lvlOverride>
    <w:lvlOverride w:ilvl="2">
      <w:startOverride w:val="1"/>
    </w:lvlOverride>
    <w:lvlOverride w:ilvl="3">
      <w:startOverride w:val="5"/>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57" w16cid:durableId="215165911">
    <w:abstractNumId w:val="11"/>
    <w:lvlOverride w:ilvl="0">
      <w:startOverride w:val="3"/>
    </w:lvlOverride>
    <w:lvlOverride w:ilvl="1">
      <w:startOverride w:val="1"/>
    </w:lvlOverride>
    <w:lvlOverride w:ilvl="2">
      <w:startOverride w:val="1"/>
    </w:lvlOverride>
    <w:lvlOverride w:ilvl="3">
      <w:startOverride w:val="5"/>
    </w:lvlOverride>
    <w:lvlOverride w:ilvl="4">
      <w:startOverride w:val="1"/>
    </w:lvlOverride>
    <w:lvlOverride w:ilvl="5">
      <w:startOverride w:val="7"/>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5E"/>
    <w:rsid w:val="00004A30"/>
    <w:rsid w:val="00007089"/>
    <w:rsid w:val="00021BB6"/>
    <w:rsid w:val="0002382B"/>
    <w:rsid w:val="00024713"/>
    <w:rsid w:val="00032DDE"/>
    <w:rsid w:val="00034A83"/>
    <w:rsid w:val="000423A6"/>
    <w:rsid w:val="000459C3"/>
    <w:rsid w:val="00046338"/>
    <w:rsid w:val="00052323"/>
    <w:rsid w:val="000555B3"/>
    <w:rsid w:val="000561BD"/>
    <w:rsid w:val="00057B94"/>
    <w:rsid w:val="00061EA5"/>
    <w:rsid w:val="00061EAA"/>
    <w:rsid w:val="00062505"/>
    <w:rsid w:val="00063E69"/>
    <w:rsid w:val="00065D9C"/>
    <w:rsid w:val="00074855"/>
    <w:rsid w:val="00074EC5"/>
    <w:rsid w:val="00074FC8"/>
    <w:rsid w:val="00075705"/>
    <w:rsid w:val="00076113"/>
    <w:rsid w:val="000812CD"/>
    <w:rsid w:val="00081C44"/>
    <w:rsid w:val="00085A58"/>
    <w:rsid w:val="0008756E"/>
    <w:rsid w:val="00090016"/>
    <w:rsid w:val="000913E6"/>
    <w:rsid w:val="00093044"/>
    <w:rsid w:val="000A399F"/>
    <w:rsid w:val="000A566F"/>
    <w:rsid w:val="000B1AC4"/>
    <w:rsid w:val="000B1FD0"/>
    <w:rsid w:val="000B3AA9"/>
    <w:rsid w:val="000C0E05"/>
    <w:rsid w:val="000C24E3"/>
    <w:rsid w:val="000C4CA7"/>
    <w:rsid w:val="000C5173"/>
    <w:rsid w:val="000C7FAF"/>
    <w:rsid w:val="000D1AB9"/>
    <w:rsid w:val="000D5DED"/>
    <w:rsid w:val="000D6D4A"/>
    <w:rsid w:val="000E0EAC"/>
    <w:rsid w:val="000E343D"/>
    <w:rsid w:val="000E5A58"/>
    <w:rsid w:val="000E5E4C"/>
    <w:rsid w:val="000E6E68"/>
    <w:rsid w:val="000F379C"/>
    <w:rsid w:val="000F4528"/>
    <w:rsid w:val="001007C9"/>
    <w:rsid w:val="00101D66"/>
    <w:rsid w:val="00102F44"/>
    <w:rsid w:val="001050C8"/>
    <w:rsid w:val="00106384"/>
    <w:rsid w:val="001129BF"/>
    <w:rsid w:val="00115F65"/>
    <w:rsid w:val="001161E5"/>
    <w:rsid w:val="0011781E"/>
    <w:rsid w:val="00120901"/>
    <w:rsid w:val="001209A8"/>
    <w:rsid w:val="00120E84"/>
    <w:rsid w:val="00123C52"/>
    <w:rsid w:val="00127311"/>
    <w:rsid w:val="001328F9"/>
    <w:rsid w:val="00134F15"/>
    <w:rsid w:val="00136D61"/>
    <w:rsid w:val="00141710"/>
    <w:rsid w:val="00142A35"/>
    <w:rsid w:val="00144761"/>
    <w:rsid w:val="001469BB"/>
    <w:rsid w:val="00152A6E"/>
    <w:rsid w:val="001600D9"/>
    <w:rsid w:val="00172CF0"/>
    <w:rsid w:val="001738F1"/>
    <w:rsid w:val="00174A05"/>
    <w:rsid w:val="0017655A"/>
    <w:rsid w:val="00177074"/>
    <w:rsid w:val="00184C03"/>
    <w:rsid w:val="00186A4F"/>
    <w:rsid w:val="001906D0"/>
    <w:rsid w:val="0019430F"/>
    <w:rsid w:val="00194333"/>
    <w:rsid w:val="001945C7"/>
    <w:rsid w:val="00194E11"/>
    <w:rsid w:val="00195018"/>
    <w:rsid w:val="00196E77"/>
    <w:rsid w:val="001A1FC1"/>
    <w:rsid w:val="001A22C3"/>
    <w:rsid w:val="001A3E9A"/>
    <w:rsid w:val="001A594B"/>
    <w:rsid w:val="001B085A"/>
    <w:rsid w:val="001B1483"/>
    <w:rsid w:val="001B1CAB"/>
    <w:rsid w:val="001C3DE7"/>
    <w:rsid w:val="001C7B87"/>
    <w:rsid w:val="001D006D"/>
    <w:rsid w:val="001D012A"/>
    <w:rsid w:val="001D0F0F"/>
    <w:rsid w:val="001D1A4C"/>
    <w:rsid w:val="001D212F"/>
    <w:rsid w:val="001D2FD8"/>
    <w:rsid w:val="001D790D"/>
    <w:rsid w:val="001D7E86"/>
    <w:rsid w:val="001E5431"/>
    <w:rsid w:val="001E7D13"/>
    <w:rsid w:val="001F0C87"/>
    <w:rsid w:val="001F2BBF"/>
    <w:rsid w:val="002008AA"/>
    <w:rsid w:val="002025E1"/>
    <w:rsid w:val="00202C1D"/>
    <w:rsid w:val="0020473D"/>
    <w:rsid w:val="00206450"/>
    <w:rsid w:val="00207E47"/>
    <w:rsid w:val="0021446A"/>
    <w:rsid w:val="00220326"/>
    <w:rsid w:val="00223453"/>
    <w:rsid w:val="00230643"/>
    <w:rsid w:val="00230D0F"/>
    <w:rsid w:val="00231FB5"/>
    <w:rsid w:val="00232479"/>
    <w:rsid w:val="00232EAA"/>
    <w:rsid w:val="0024447B"/>
    <w:rsid w:val="00244B17"/>
    <w:rsid w:val="00246888"/>
    <w:rsid w:val="00247BF6"/>
    <w:rsid w:val="00250037"/>
    <w:rsid w:val="00251D78"/>
    <w:rsid w:val="00251FF9"/>
    <w:rsid w:val="00256CFB"/>
    <w:rsid w:val="00257AA3"/>
    <w:rsid w:val="00261A44"/>
    <w:rsid w:val="00264F17"/>
    <w:rsid w:val="00267AAC"/>
    <w:rsid w:val="00267B98"/>
    <w:rsid w:val="00273E8E"/>
    <w:rsid w:val="0027419E"/>
    <w:rsid w:val="00276A17"/>
    <w:rsid w:val="002779EB"/>
    <w:rsid w:val="002823A1"/>
    <w:rsid w:val="00282ADB"/>
    <w:rsid w:val="002859C9"/>
    <w:rsid w:val="00287216"/>
    <w:rsid w:val="0029007C"/>
    <w:rsid w:val="00290409"/>
    <w:rsid w:val="00292DC3"/>
    <w:rsid w:val="00295866"/>
    <w:rsid w:val="0029733B"/>
    <w:rsid w:val="00297C1E"/>
    <w:rsid w:val="002A30A2"/>
    <w:rsid w:val="002A33E2"/>
    <w:rsid w:val="002A55AA"/>
    <w:rsid w:val="002B0283"/>
    <w:rsid w:val="002B0F05"/>
    <w:rsid w:val="002B446B"/>
    <w:rsid w:val="002B72CE"/>
    <w:rsid w:val="002B7532"/>
    <w:rsid w:val="002C051E"/>
    <w:rsid w:val="002C11F7"/>
    <w:rsid w:val="002C2863"/>
    <w:rsid w:val="002C52A6"/>
    <w:rsid w:val="002C5BEB"/>
    <w:rsid w:val="002D737B"/>
    <w:rsid w:val="002E1D9C"/>
    <w:rsid w:val="002E7334"/>
    <w:rsid w:val="002F304A"/>
    <w:rsid w:val="002F4C2A"/>
    <w:rsid w:val="002F60E8"/>
    <w:rsid w:val="002F7706"/>
    <w:rsid w:val="003012AF"/>
    <w:rsid w:val="00304BA1"/>
    <w:rsid w:val="00306423"/>
    <w:rsid w:val="003114BE"/>
    <w:rsid w:val="003147E4"/>
    <w:rsid w:val="00317B8C"/>
    <w:rsid w:val="003250E7"/>
    <w:rsid w:val="00326242"/>
    <w:rsid w:val="00327575"/>
    <w:rsid w:val="00327B89"/>
    <w:rsid w:val="00332592"/>
    <w:rsid w:val="00332F76"/>
    <w:rsid w:val="003354A0"/>
    <w:rsid w:val="00336DC3"/>
    <w:rsid w:val="00340881"/>
    <w:rsid w:val="003415A2"/>
    <w:rsid w:val="003417D8"/>
    <w:rsid w:val="00343DC3"/>
    <w:rsid w:val="00344AD3"/>
    <w:rsid w:val="00350710"/>
    <w:rsid w:val="0035434A"/>
    <w:rsid w:val="00356155"/>
    <w:rsid w:val="00360174"/>
    <w:rsid w:val="00361821"/>
    <w:rsid w:val="003643C9"/>
    <w:rsid w:val="00364B85"/>
    <w:rsid w:val="00374687"/>
    <w:rsid w:val="00375F53"/>
    <w:rsid w:val="003770CA"/>
    <w:rsid w:val="003814FF"/>
    <w:rsid w:val="00381632"/>
    <w:rsid w:val="00382DF6"/>
    <w:rsid w:val="00383494"/>
    <w:rsid w:val="00390703"/>
    <w:rsid w:val="00393E70"/>
    <w:rsid w:val="003A04B4"/>
    <w:rsid w:val="003A2AC6"/>
    <w:rsid w:val="003A4936"/>
    <w:rsid w:val="003B0302"/>
    <w:rsid w:val="003B2C11"/>
    <w:rsid w:val="003B4C6A"/>
    <w:rsid w:val="003B6D2B"/>
    <w:rsid w:val="003C3854"/>
    <w:rsid w:val="003C75B9"/>
    <w:rsid w:val="003D1A53"/>
    <w:rsid w:val="003D4526"/>
    <w:rsid w:val="003D6B47"/>
    <w:rsid w:val="003E05CD"/>
    <w:rsid w:val="003E3A52"/>
    <w:rsid w:val="003E7CA8"/>
    <w:rsid w:val="003F0BC6"/>
    <w:rsid w:val="003F1C00"/>
    <w:rsid w:val="003F1E27"/>
    <w:rsid w:val="003F3102"/>
    <w:rsid w:val="003F5FEE"/>
    <w:rsid w:val="003F7301"/>
    <w:rsid w:val="00403E2E"/>
    <w:rsid w:val="004061BF"/>
    <w:rsid w:val="00410508"/>
    <w:rsid w:val="00412102"/>
    <w:rsid w:val="00413059"/>
    <w:rsid w:val="0041441C"/>
    <w:rsid w:val="00415EFB"/>
    <w:rsid w:val="00417292"/>
    <w:rsid w:val="0042159A"/>
    <w:rsid w:val="00422A55"/>
    <w:rsid w:val="00427DA2"/>
    <w:rsid w:val="0043729E"/>
    <w:rsid w:val="00442AFD"/>
    <w:rsid w:val="00443414"/>
    <w:rsid w:val="00445627"/>
    <w:rsid w:val="0044795D"/>
    <w:rsid w:val="00454F85"/>
    <w:rsid w:val="00455747"/>
    <w:rsid w:val="004578AD"/>
    <w:rsid w:val="004648F2"/>
    <w:rsid w:val="00464BE9"/>
    <w:rsid w:val="004812E6"/>
    <w:rsid w:val="00483363"/>
    <w:rsid w:val="00484B74"/>
    <w:rsid w:val="00484F42"/>
    <w:rsid w:val="0048523B"/>
    <w:rsid w:val="00485971"/>
    <w:rsid w:val="00487DED"/>
    <w:rsid w:val="004965EA"/>
    <w:rsid w:val="004977C3"/>
    <w:rsid w:val="004A4D68"/>
    <w:rsid w:val="004A67DD"/>
    <w:rsid w:val="004B016A"/>
    <w:rsid w:val="004B0654"/>
    <w:rsid w:val="004B2869"/>
    <w:rsid w:val="004B3868"/>
    <w:rsid w:val="004B43A7"/>
    <w:rsid w:val="004B501A"/>
    <w:rsid w:val="004B5735"/>
    <w:rsid w:val="004C1052"/>
    <w:rsid w:val="004C1696"/>
    <w:rsid w:val="004D26DD"/>
    <w:rsid w:val="004D72AF"/>
    <w:rsid w:val="004E2287"/>
    <w:rsid w:val="004E261F"/>
    <w:rsid w:val="004E5A04"/>
    <w:rsid w:val="004F0D45"/>
    <w:rsid w:val="004F484B"/>
    <w:rsid w:val="004F615A"/>
    <w:rsid w:val="005030B1"/>
    <w:rsid w:val="00503373"/>
    <w:rsid w:val="00506516"/>
    <w:rsid w:val="005069FA"/>
    <w:rsid w:val="00517559"/>
    <w:rsid w:val="005255F0"/>
    <w:rsid w:val="00526278"/>
    <w:rsid w:val="005279BE"/>
    <w:rsid w:val="005324FA"/>
    <w:rsid w:val="00533AB8"/>
    <w:rsid w:val="005416D2"/>
    <w:rsid w:val="00545616"/>
    <w:rsid w:val="005464AA"/>
    <w:rsid w:val="00546735"/>
    <w:rsid w:val="005474C8"/>
    <w:rsid w:val="005549B8"/>
    <w:rsid w:val="00556333"/>
    <w:rsid w:val="0055700C"/>
    <w:rsid w:val="0056250B"/>
    <w:rsid w:val="005627AB"/>
    <w:rsid w:val="005653A9"/>
    <w:rsid w:val="00565AF2"/>
    <w:rsid w:val="0057038E"/>
    <w:rsid w:val="00570F55"/>
    <w:rsid w:val="00572CB8"/>
    <w:rsid w:val="00573130"/>
    <w:rsid w:val="0057353D"/>
    <w:rsid w:val="00574768"/>
    <w:rsid w:val="00576132"/>
    <w:rsid w:val="00576F19"/>
    <w:rsid w:val="00577949"/>
    <w:rsid w:val="0058341F"/>
    <w:rsid w:val="00586FD5"/>
    <w:rsid w:val="00592405"/>
    <w:rsid w:val="00592B47"/>
    <w:rsid w:val="005A0171"/>
    <w:rsid w:val="005A1844"/>
    <w:rsid w:val="005A30EA"/>
    <w:rsid w:val="005A3ACD"/>
    <w:rsid w:val="005A3EA5"/>
    <w:rsid w:val="005A5370"/>
    <w:rsid w:val="005B1D36"/>
    <w:rsid w:val="005B36AA"/>
    <w:rsid w:val="005C08EC"/>
    <w:rsid w:val="005C6895"/>
    <w:rsid w:val="005D6953"/>
    <w:rsid w:val="005E4160"/>
    <w:rsid w:val="005E53DC"/>
    <w:rsid w:val="005F4B3A"/>
    <w:rsid w:val="005F5690"/>
    <w:rsid w:val="006002E5"/>
    <w:rsid w:val="00601526"/>
    <w:rsid w:val="00603D73"/>
    <w:rsid w:val="0060436D"/>
    <w:rsid w:val="0061151C"/>
    <w:rsid w:val="0061173F"/>
    <w:rsid w:val="00611E89"/>
    <w:rsid w:val="00617B57"/>
    <w:rsid w:val="00622643"/>
    <w:rsid w:val="00622B9F"/>
    <w:rsid w:val="00623843"/>
    <w:rsid w:val="006245DD"/>
    <w:rsid w:val="00624D03"/>
    <w:rsid w:val="00631EE2"/>
    <w:rsid w:val="00633B7B"/>
    <w:rsid w:val="00633BF3"/>
    <w:rsid w:val="00634DBB"/>
    <w:rsid w:val="0063667C"/>
    <w:rsid w:val="006379C7"/>
    <w:rsid w:val="00641F29"/>
    <w:rsid w:val="00645EB2"/>
    <w:rsid w:val="00651BDB"/>
    <w:rsid w:val="00655F79"/>
    <w:rsid w:val="0066159F"/>
    <w:rsid w:val="00663DF2"/>
    <w:rsid w:val="0066779B"/>
    <w:rsid w:val="00667ED0"/>
    <w:rsid w:val="006720F6"/>
    <w:rsid w:val="006771A4"/>
    <w:rsid w:val="006810D8"/>
    <w:rsid w:val="00681A37"/>
    <w:rsid w:val="0068552D"/>
    <w:rsid w:val="00687740"/>
    <w:rsid w:val="00693901"/>
    <w:rsid w:val="00693E1F"/>
    <w:rsid w:val="0069660C"/>
    <w:rsid w:val="006973FA"/>
    <w:rsid w:val="006A3385"/>
    <w:rsid w:val="006A56FD"/>
    <w:rsid w:val="006A5FF0"/>
    <w:rsid w:val="006A63F7"/>
    <w:rsid w:val="006A6EBA"/>
    <w:rsid w:val="006B06DB"/>
    <w:rsid w:val="006B125E"/>
    <w:rsid w:val="006B13CC"/>
    <w:rsid w:val="006B271E"/>
    <w:rsid w:val="006B2FFC"/>
    <w:rsid w:val="006B62F2"/>
    <w:rsid w:val="006B6B15"/>
    <w:rsid w:val="006B6D3A"/>
    <w:rsid w:val="006C02EA"/>
    <w:rsid w:val="006C590B"/>
    <w:rsid w:val="006D0BDC"/>
    <w:rsid w:val="006E0E81"/>
    <w:rsid w:val="006E2336"/>
    <w:rsid w:val="006E3EB7"/>
    <w:rsid w:val="006E62D7"/>
    <w:rsid w:val="006E6852"/>
    <w:rsid w:val="006F1BFA"/>
    <w:rsid w:val="006F2373"/>
    <w:rsid w:val="00700EEF"/>
    <w:rsid w:val="00706ACC"/>
    <w:rsid w:val="0070760A"/>
    <w:rsid w:val="007112BE"/>
    <w:rsid w:val="0071424E"/>
    <w:rsid w:val="0071428F"/>
    <w:rsid w:val="007156C8"/>
    <w:rsid w:val="00717BC5"/>
    <w:rsid w:val="007241A5"/>
    <w:rsid w:val="00724D7D"/>
    <w:rsid w:val="00726562"/>
    <w:rsid w:val="00732CC6"/>
    <w:rsid w:val="007334B2"/>
    <w:rsid w:val="007334C8"/>
    <w:rsid w:val="00733560"/>
    <w:rsid w:val="00733FEB"/>
    <w:rsid w:val="007350E0"/>
    <w:rsid w:val="00741FEC"/>
    <w:rsid w:val="00742F78"/>
    <w:rsid w:val="00746018"/>
    <w:rsid w:val="00746B19"/>
    <w:rsid w:val="007503FA"/>
    <w:rsid w:val="00750AE3"/>
    <w:rsid w:val="00752275"/>
    <w:rsid w:val="00752FEF"/>
    <w:rsid w:val="00754027"/>
    <w:rsid w:val="00754145"/>
    <w:rsid w:val="00760CEE"/>
    <w:rsid w:val="007626E6"/>
    <w:rsid w:val="007658FD"/>
    <w:rsid w:val="007662FB"/>
    <w:rsid w:val="007712B0"/>
    <w:rsid w:val="007719B7"/>
    <w:rsid w:val="007760E2"/>
    <w:rsid w:val="00783616"/>
    <w:rsid w:val="00786357"/>
    <w:rsid w:val="0079394C"/>
    <w:rsid w:val="007965C4"/>
    <w:rsid w:val="007A692D"/>
    <w:rsid w:val="007B0DFC"/>
    <w:rsid w:val="007B282F"/>
    <w:rsid w:val="007B7EA3"/>
    <w:rsid w:val="007C0A8B"/>
    <w:rsid w:val="007C167B"/>
    <w:rsid w:val="007C186F"/>
    <w:rsid w:val="007C4046"/>
    <w:rsid w:val="007C4282"/>
    <w:rsid w:val="007C43B0"/>
    <w:rsid w:val="007C60C6"/>
    <w:rsid w:val="007D0DEF"/>
    <w:rsid w:val="007D25D1"/>
    <w:rsid w:val="007D2FA6"/>
    <w:rsid w:val="007D3A77"/>
    <w:rsid w:val="007D3B00"/>
    <w:rsid w:val="007D46D9"/>
    <w:rsid w:val="007D513A"/>
    <w:rsid w:val="007E2A04"/>
    <w:rsid w:val="007E466F"/>
    <w:rsid w:val="007E5A0D"/>
    <w:rsid w:val="007E5C76"/>
    <w:rsid w:val="007F11A7"/>
    <w:rsid w:val="007F1FB0"/>
    <w:rsid w:val="007F5855"/>
    <w:rsid w:val="007F6C8A"/>
    <w:rsid w:val="00802646"/>
    <w:rsid w:val="00805529"/>
    <w:rsid w:val="008071D5"/>
    <w:rsid w:val="00810726"/>
    <w:rsid w:val="00812422"/>
    <w:rsid w:val="0081743A"/>
    <w:rsid w:val="00820954"/>
    <w:rsid w:val="00821927"/>
    <w:rsid w:val="00822406"/>
    <w:rsid w:val="00824785"/>
    <w:rsid w:val="00824D92"/>
    <w:rsid w:val="008263F2"/>
    <w:rsid w:val="00827816"/>
    <w:rsid w:val="0083172F"/>
    <w:rsid w:val="008370E0"/>
    <w:rsid w:val="0084026C"/>
    <w:rsid w:val="00840B77"/>
    <w:rsid w:val="008419FD"/>
    <w:rsid w:val="00841F6A"/>
    <w:rsid w:val="008421F3"/>
    <w:rsid w:val="00842245"/>
    <w:rsid w:val="0084341D"/>
    <w:rsid w:val="00845317"/>
    <w:rsid w:val="00847A56"/>
    <w:rsid w:val="00850BA0"/>
    <w:rsid w:val="00854822"/>
    <w:rsid w:val="00854F81"/>
    <w:rsid w:val="00857A55"/>
    <w:rsid w:val="0086015C"/>
    <w:rsid w:val="00865AC9"/>
    <w:rsid w:val="00865B12"/>
    <w:rsid w:val="00866FA0"/>
    <w:rsid w:val="00873FF2"/>
    <w:rsid w:val="008756C8"/>
    <w:rsid w:val="00876FDD"/>
    <w:rsid w:val="0088358F"/>
    <w:rsid w:val="00885EE0"/>
    <w:rsid w:val="0088629B"/>
    <w:rsid w:val="008869A8"/>
    <w:rsid w:val="008947F8"/>
    <w:rsid w:val="00895E37"/>
    <w:rsid w:val="008A6509"/>
    <w:rsid w:val="008A7864"/>
    <w:rsid w:val="008B0BDE"/>
    <w:rsid w:val="008B17FB"/>
    <w:rsid w:val="008B2230"/>
    <w:rsid w:val="008B4372"/>
    <w:rsid w:val="008C3312"/>
    <w:rsid w:val="008C42B4"/>
    <w:rsid w:val="008C6881"/>
    <w:rsid w:val="008D1D78"/>
    <w:rsid w:val="008D2770"/>
    <w:rsid w:val="008D2969"/>
    <w:rsid w:val="008D3EE8"/>
    <w:rsid w:val="008D49EA"/>
    <w:rsid w:val="008D7CC1"/>
    <w:rsid w:val="008E2B17"/>
    <w:rsid w:val="008E4889"/>
    <w:rsid w:val="008E4AAA"/>
    <w:rsid w:val="008E4B2E"/>
    <w:rsid w:val="008E64F0"/>
    <w:rsid w:val="008F4C57"/>
    <w:rsid w:val="008F6651"/>
    <w:rsid w:val="008F7B36"/>
    <w:rsid w:val="009026CB"/>
    <w:rsid w:val="009034BB"/>
    <w:rsid w:val="00905DAC"/>
    <w:rsid w:val="0091113E"/>
    <w:rsid w:val="0091119B"/>
    <w:rsid w:val="009137D2"/>
    <w:rsid w:val="00917213"/>
    <w:rsid w:val="00921DB5"/>
    <w:rsid w:val="009230A8"/>
    <w:rsid w:val="009233AE"/>
    <w:rsid w:val="00924076"/>
    <w:rsid w:val="009252FD"/>
    <w:rsid w:val="00932E48"/>
    <w:rsid w:val="00933228"/>
    <w:rsid w:val="00940117"/>
    <w:rsid w:val="0094334C"/>
    <w:rsid w:val="0094453B"/>
    <w:rsid w:val="0094674B"/>
    <w:rsid w:val="00950AC7"/>
    <w:rsid w:val="00955DEF"/>
    <w:rsid w:val="00956039"/>
    <w:rsid w:val="00957A10"/>
    <w:rsid w:val="00960298"/>
    <w:rsid w:val="009617EB"/>
    <w:rsid w:val="00962218"/>
    <w:rsid w:val="00963690"/>
    <w:rsid w:val="00964FFB"/>
    <w:rsid w:val="00965737"/>
    <w:rsid w:val="00970F53"/>
    <w:rsid w:val="009710BD"/>
    <w:rsid w:val="00977653"/>
    <w:rsid w:val="00980E44"/>
    <w:rsid w:val="0098401A"/>
    <w:rsid w:val="009849A9"/>
    <w:rsid w:val="009929D4"/>
    <w:rsid w:val="00993D87"/>
    <w:rsid w:val="00996312"/>
    <w:rsid w:val="009979A7"/>
    <w:rsid w:val="009A180C"/>
    <w:rsid w:val="009A1EFD"/>
    <w:rsid w:val="009A2813"/>
    <w:rsid w:val="009A38FD"/>
    <w:rsid w:val="009A71AA"/>
    <w:rsid w:val="009A729D"/>
    <w:rsid w:val="009B064C"/>
    <w:rsid w:val="009B1CB9"/>
    <w:rsid w:val="009B6667"/>
    <w:rsid w:val="009D186B"/>
    <w:rsid w:val="009D55FF"/>
    <w:rsid w:val="009D7644"/>
    <w:rsid w:val="009D7985"/>
    <w:rsid w:val="009E3764"/>
    <w:rsid w:val="009E4451"/>
    <w:rsid w:val="009F01EF"/>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24371"/>
    <w:rsid w:val="00A30DE3"/>
    <w:rsid w:val="00A31DAA"/>
    <w:rsid w:val="00A32408"/>
    <w:rsid w:val="00A35282"/>
    <w:rsid w:val="00A35DA3"/>
    <w:rsid w:val="00A3615E"/>
    <w:rsid w:val="00A46476"/>
    <w:rsid w:val="00A47AB3"/>
    <w:rsid w:val="00A51559"/>
    <w:rsid w:val="00A55AAA"/>
    <w:rsid w:val="00A60427"/>
    <w:rsid w:val="00A63C00"/>
    <w:rsid w:val="00A66451"/>
    <w:rsid w:val="00A71AF4"/>
    <w:rsid w:val="00A72AC5"/>
    <w:rsid w:val="00A72B5C"/>
    <w:rsid w:val="00A739B1"/>
    <w:rsid w:val="00A76791"/>
    <w:rsid w:val="00A77684"/>
    <w:rsid w:val="00A7768C"/>
    <w:rsid w:val="00A77BFF"/>
    <w:rsid w:val="00A85038"/>
    <w:rsid w:val="00A866D7"/>
    <w:rsid w:val="00A86746"/>
    <w:rsid w:val="00A9001C"/>
    <w:rsid w:val="00A9402E"/>
    <w:rsid w:val="00AA74F6"/>
    <w:rsid w:val="00AA79D8"/>
    <w:rsid w:val="00AB1658"/>
    <w:rsid w:val="00AB1981"/>
    <w:rsid w:val="00AB2E3D"/>
    <w:rsid w:val="00AC172A"/>
    <w:rsid w:val="00AC1F08"/>
    <w:rsid w:val="00AD40C4"/>
    <w:rsid w:val="00AD4D69"/>
    <w:rsid w:val="00AE03E0"/>
    <w:rsid w:val="00AE2044"/>
    <w:rsid w:val="00AE550C"/>
    <w:rsid w:val="00AE73B8"/>
    <w:rsid w:val="00AF45B0"/>
    <w:rsid w:val="00AF4A16"/>
    <w:rsid w:val="00B03244"/>
    <w:rsid w:val="00B129F2"/>
    <w:rsid w:val="00B13218"/>
    <w:rsid w:val="00B15320"/>
    <w:rsid w:val="00B217B4"/>
    <w:rsid w:val="00B23BE6"/>
    <w:rsid w:val="00B24666"/>
    <w:rsid w:val="00B2560F"/>
    <w:rsid w:val="00B27F33"/>
    <w:rsid w:val="00B30815"/>
    <w:rsid w:val="00B33E91"/>
    <w:rsid w:val="00B3411F"/>
    <w:rsid w:val="00B3606B"/>
    <w:rsid w:val="00B36C7C"/>
    <w:rsid w:val="00B37C98"/>
    <w:rsid w:val="00B40093"/>
    <w:rsid w:val="00B434EB"/>
    <w:rsid w:val="00B43CCA"/>
    <w:rsid w:val="00B44597"/>
    <w:rsid w:val="00B465AB"/>
    <w:rsid w:val="00B52E86"/>
    <w:rsid w:val="00B62A21"/>
    <w:rsid w:val="00B637BB"/>
    <w:rsid w:val="00B64660"/>
    <w:rsid w:val="00B64FBF"/>
    <w:rsid w:val="00B65B76"/>
    <w:rsid w:val="00B70AC9"/>
    <w:rsid w:val="00B73ACE"/>
    <w:rsid w:val="00B7627E"/>
    <w:rsid w:val="00B771ED"/>
    <w:rsid w:val="00B8039E"/>
    <w:rsid w:val="00B82BB6"/>
    <w:rsid w:val="00B82F22"/>
    <w:rsid w:val="00B91CC2"/>
    <w:rsid w:val="00B946F3"/>
    <w:rsid w:val="00B94B51"/>
    <w:rsid w:val="00B961E8"/>
    <w:rsid w:val="00BA0BF9"/>
    <w:rsid w:val="00BA151F"/>
    <w:rsid w:val="00BA494F"/>
    <w:rsid w:val="00BA5F8A"/>
    <w:rsid w:val="00BA707B"/>
    <w:rsid w:val="00BB0700"/>
    <w:rsid w:val="00BB4988"/>
    <w:rsid w:val="00BB7CEE"/>
    <w:rsid w:val="00BC0D83"/>
    <w:rsid w:val="00BC43C0"/>
    <w:rsid w:val="00BD10FE"/>
    <w:rsid w:val="00BD4436"/>
    <w:rsid w:val="00BD7715"/>
    <w:rsid w:val="00BE0B41"/>
    <w:rsid w:val="00BE0EAC"/>
    <w:rsid w:val="00BE6757"/>
    <w:rsid w:val="00BF0EE6"/>
    <w:rsid w:val="00BF58FC"/>
    <w:rsid w:val="00C0105B"/>
    <w:rsid w:val="00C054E4"/>
    <w:rsid w:val="00C120C7"/>
    <w:rsid w:val="00C12D57"/>
    <w:rsid w:val="00C15432"/>
    <w:rsid w:val="00C200A6"/>
    <w:rsid w:val="00C20DA0"/>
    <w:rsid w:val="00C238D6"/>
    <w:rsid w:val="00C24427"/>
    <w:rsid w:val="00C248D8"/>
    <w:rsid w:val="00C251F3"/>
    <w:rsid w:val="00C27B1F"/>
    <w:rsid w:val="00C3075C"/>
    <w:rsid w:val="00C33E96"/>
    <w:rsid w:val="00C34D9C"/>
    <w:rsid w:val="00C3697F"/>
    <w:rsid w:val="00C44782"/>
    <w:rsid w:val="00C524E9"/>
    <w:rsid w:val="00C54200"/>
    <w:rsid w:val="00C631AC"/>
    <w:rsid w:val="00C67050"/>
    <w:rsid w:val="00C72C22"/>
    <w:rsid w:val="00C737CA"/>
    <w:rsid w:val="00C77A2E"/>
    <w:rsid w:val="00C77D90"/>
    <w:rsid w:val="00C80E9D"/>
    <w:rsid w:val="00C83DFC"/>
    <w:rsid w:val="00CA009F"/>
    <w:rsid w:val="00CA22E2"/>
    <w:rsid w:val="00CA64BF"/>
    <w:rsid w:val="00CA7E68"/>
    <w:rsid w:val="00CA7E96"/>
    <w:rsid w:val="00CB0F75"/>
    <w:rsid w:val="00CB3FFE"/>
    <w:rsid w:val="00CB5ECE"/>
    <w:rsid w:val="00CB69DD"/>
    <w:rsid w:val="00CB6A6E"/>
    <w:rsid w:val="00CC30EF"/>
    <w:rsid w:val="00CC7616"/>
    <w:rsid w:val="00CC7923"/>
    <w:rsid w:val="00CD2376"/>
    <w:rsid w:val="00CD2549"/>
    <w:rsid w:val="00CD310E"/>
    <w:rsid w:val="00CD41F3"/>
    <w:rsid w:val="00CD5538"/>
    <w:rsid w:val="00CE3E5B"/>
    <w:rsid w:val="00CE5CD1"/>
    <w:rsid w:val="00CF07DD"/>
    <w:rsid w:val="00CF0A1D"/>
    <w:rsid w:val="00CF170E"/>
    <w:rsid w:val="00CF2CE8"/>
    <w:rsid w:val="00CF31BB"/>
    <w:rsid w:val="00CF3297"/>
    <w:rsid w:val="00CF3733"/>
    <w:rsid w:val="00CF5E23"/>
    <w:rsid w:val="00CF60F1"/>
    <w:rsid w:val="00CF77C5"/>
    <w:rsid w:val="00D01EC6"/>
    <w:rsid w:val="00D02E98"/>
    <w:rsid w:val="00D04626"/>
    <w:rsid w:val="00D07E3E"/>
    <w:rsid w:val="00D10569"/>
    <w:rsid w:val="00D11FDC"/>
    <w:rsid w:val="00D136DA"/>
    <w:rsid w:val="00D21910"/>
    <w:rsid w:val="00D33395"/>
    <w:rsid w:val="00D3426A"/>
    <w:rsid w:val="00D35384"/>
    <w:rsid w:val="00D35EB7"/>
    <w:rsid w:val="00D41489"/>
    <w:rsid w:val="00D4202B"/>
    <w:rsid w:val="00D44A37"/>
    <w:rsid w:val="00D463CF"/>
    <w:rsid w:val="00D46F90"/>
    <w:rsid w:val="00D50E2F"/>
    <w:rsid w:val="00D54D60"/>
    <w:rsid w:val="00D56153"/>
    <w:rsid w:val="00D61765"/>
    <w:rsid w:val="00D63483"/>
    <w:rsid w:val="00D6462F"/>
    <w:rsid w:val="00D64F64"/>
    <w:rsid w:val="00D66BCA"/>
    <w:rsid w:val="00D756F9"/>
    <w:rsid w:val="00D7598E"/>
    <w:rsid w:val="00D80EB8"/>
    <w:rsid w:val="00D85EA8"/>
    <w:rsid w:val="00D87C8B"/>
    <w:rsid w:val="00D94CD8"/>
    <w:rsid w:val="00D94FDF"/>
    <w:rsid w:val="00D96472"/>
    <w:rsid w:val="00D97990"/>
    <w:rsid w:val="00DA0633"/>
    <w:rsid w:val="00DA0998"/>
    <w:rsid w:val="00DA0F30"/>
    <w:rsid w:val="00DA31E9"/>
    <w:rsid w:val="00DA5A75"/>
    <w:rsid w:val="00DA6A25"/>
    <w:rsid w:val="00DA7F38"/>
    <w:rsid w:val="00DB2054"/>
    <w:rsid w:val="00DB3143"/>
    <w:rsid w:val="00DB41D1"/>
    <w:rsid w:val="00DB6BC6"/>
    <w:rsid w:val="00DB7EA6"/>
    <w:rsid w:val="00DC7259"/>
    <w:rsid w:val="00DD1C2B"/>
    <w:rsid w:val="00DE0F91"/>
    <w:rsid w:val="00DE2BF4"/>
    <w:rsid w:val="00DE329C"/>
    <w:rsid w:val="00DE5474"/>
    <w:rsid w:val="00DF5999"/>
    <w:rsid w:val="00DF6816"/>
    <w:rsid w:val="00E03ED0"/>
    <w:rsid w:val="00E05BE2"/>
    <w:rsid w:val="00E10A1A"/>
    <w:rsid w:val="00E16358"/>
    <w:rsid w:val="00E21A8F"/>
    <w:rsid w:val="00E21DBF"/>
    <w:rsid w:val="00E26BE6"/>
    <w:rsid w:val="00E33BDC"/>
    <w:rsid w:val="00E34EE4"/>
    <w:rsid w:val="00E37CB8"/>
    <w:rsid w:val="00E40508"/>
    <w:rsid w:val="00E411DE"/>
    <w:rsid w:val="00E42EA9"/>
    <w:rsid w:val="00E43076"/>
    <w:rsid w:val="00E466BB"/>
    <w:rsid w:val="00E524CC"/>
    <w:rsid w:val="00E569BC"/>
    <w:rsid w:val="00E57B62"/>
    <w:rsid w:val="00E613A3"/>
    <w:rsid w:val="00E61FD7"/>
    <w:rsid w:val="00E6392A"/>
    <w:rsid w:val="00E65BBA"/>
    <w:rsid w:val="00E6745D"/>
    <w:rsid w:val="00E7000B"/>
    <w:rsid w:val="00E702C1"/>
    <w:rsid w:val="00E731A7"/>
    <w:rsid w:val="00E75D67"/>
    <w:rsid w:val="00E8410C"/>
    <w:rsid w:val="00E847EA"/>
    <w:rsid w:val="00E85D4E"/>
    <w:rsid w:val="00E86C47"/>
    <w:rsid w:val="00E87FC3"/>
    <w:rsid w:val="00E91EDB"/>
    <w:rsid w:val="00E9301D"/>
    <w:rsid w:val="00E967CB"/>
    <w:rsid w:val="00EA1029"/>
    <w:rsid w:val="00EA2634"/>
    <w:rsid w:val="00EA3D09"/>
    <w:rsid w:val="00EA6BC6"/>
    <w:rsid w:val="00EB1254"/>
    <w:rsid w:val="00EB5740"/>
    <w:rsid w:val="00EB5BB3"/>
    <w:rsid w:val="00EB6526"/>
    <w:rsid w:val="00EC1E2B"/>
    <w:rsid w:val="00EC3A3D"/>
    <w:rsid w:val="00EC3BBD"/>
    <w:rsid w:val="00EC4E2E"/>
    <w:rsid w:val="00EC69FD"/>
    <w:rsid w:val="00ED2F8E"/>
    <w:rsid w:val="00EE244A"/>
    <w:rsid w:val="00EE2DC5"/>
    <w:rsid w:val="00EE379D"/>
    <w:rsid w:val="00EE60AB"/>
    <w:rsid w:val="00EE7958"/>
    <w:rsid w:val="00EF28C1"/>
    <w:rsid w:val="00EF3D5F"/>
    <w:rsid w:val="00EF4682"/>
    <w:rsid w:val="00EF6F93"/>
    <w:rsid w:val="00F00A83"/>
    <w:rsid w:val="00F00AF6"/>
    <w:rsid w:val="00F03595"/>
    <w:rsid w:val="00F20ADF"/>
    <w:rsid w:val="00F3393A"/>
    <w:rsid w:val="00F341C0"/>
    <w:rsid w:val="00F44C6A"/>
    <w:rsid w:val="00F516A8"/>
    <w:rsid w:val="00F51990"/>
    <w:rsid w:val="00F54973"/>
    <w:rsid w:val="00F5595C"/>
    <w:rsid w:val="00F62419"/>
    <w:rsid w:val="00F650DD"/>
    <w:rsid w:val="00F6546F"/>
    <w:rsid w:val="00F71266"/>
    <w:rsid w:val="00F71D7E"/>
    <w:rsid w:val="00F71FB8"/>
    <w:rsid w:val="00F73B1E"/>
    <w:rsid w:val="00F74E04"/>
    <w:rsid w:val="00F77AEA"/>
    <w:rsid w:val="00F819FA"/>
    <w:rsid w:val="00F82445"/>
    <w:rsid w:val="00F8263E"/>
    <w:rsid w:val="00F87228"/>
    <w:rsid w:val="00F87B82"/>
    <w:rsid w:val="00F93E30"/>
    <w:rsid w:val="00F9629C"/>
    <w:rsid w:val="00F96525"/>
    <w:rsid w:val="00FA116F"/>
    <w:rsid w:val="00FA272D"/>
    <w:rsid w:val="00FA3CE0"/>
    <w:rsid w:val="00FA4306"/>
    <w:rsid w:val="00FB2180"/>
    <w:rsid w:val="00FB3FA3"/>
    <w:rsid w:val="00FB487D"/>
    <w:rsid w:val="00FB634B"/>
    <w:rsid w:val="00FC024D"/>
    <w:rsid w:val="00FC4147"/>
    <w:rsid w:val="00FC7B0B"/>
    <w:rsid w:val="00FD1D7B"/>
    <w:rsid w:val="00FD3B5A"/>
    <w:rsid w:val="00FD4BA4"/>
    <w:rsid w:val="00FE11D1"/>
    <w:rsid w:val="00FE1356"/>
    <w:rsid w:val="00FE447E"/>
    <w:rsid w:val="00FE5236"/>
    <w:rsid w:val="00FE5B75"/>
    <w:rsid w:val="00FE7456"/>
    <w:rsid w:val="00FE746E"/>
    <w:rsid w:val="00FF194A"/>
    <w:rsid w:val="00FF21B8"/>
    <w:rsid w:val="00FF2D2B"/>
    <w:rsid w:val="00FF3395"/>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0AD77"/>
  <w15:docId w15:val="{8F2351FF-D39F-41C5-B027-649A101C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52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C0E0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C0E0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0C0E05"/>
    <w:pPr>
      <w:spacing w:after="120"/>
      <w:ind w:left="1134" w:right="1134"/>
      <w:jc w:val="both"/>
    </w:pPr>
    <w:rPr>
      <w:rFonts w:eastAsia="Times New Roman"/>
      <w:lang w:eastAsia="en-US"/>
    </w:rPr>
  </w:style>
  <w:style w:type="paragraph" w:customStyle="1" w:styleId="SLG">
    <w:name w:val="__S_L_G"/>
    <w:basedOn w:val="Normal"/>
    <w:next w:val="Normal"/>
    <w:rsid w:val="000C0E05"/>
    <w:pPr>
      <w:keepNext/>
      <w:keepLines/>
      <w:spacing w:before="240" w:after="240" w:line="580" w:lineRule="exact"/>
      <w:ind w:left="1134" w:right="1134"/>
    </w:pPr>
    <w:rPr>
      <w:b/>
      <w:sz w:val="56"/>
    </w:rPr>
  </w:style>
  <w:style w:type="paragraph" w:customStyle="1" w:styleId="SMG">
    <w:name w:val="__S_M_G"/>
    <w:basedOn w:val="Normal"/>
    <w:next w:val="Normal"/>
    <w:rsid w:val="000C0E05"/>
    <w:pPr>
      <w:keepNext/>
      <w:keepLines/>
      <w:spacing w:before="240" w:after="240" w:line="420" w:lineRule="exact"/>
      <w:ind w:left="1134" w:right="1134"/>
    </w:pPr>
    <w:rPr>
      <w:b/>
      <w:sz w:val="40"/>
    </w:rPr>
  </w:style>
  <w:style w:type="paragraph" w:customStyle="1" w:styleId="SSG">
    <w:name w:val="__S_S_G"/>
    <w:basedOn w:val="Normal"/>
    <w:next w:val="Normal"/>
    <w:rsid w:val="000C0E05"/>
    <w:pPr>
      <w:keepNext/>
      <w:keepLines/>
      <w:spacing w:before="240" w:after="240" w:line="300" w:lineRule="exact"/>
      <w:ind w:left="1134" w:right="1134"/>
    </w:pPr>
    <w:rPr>
      <w:b/>
      <w:sz w:val="28"/>
    </w:rPr>
  </w:style>
  <w:style w:type="paragraph" w:customStyle="1" w:styleId="XLargeG">
    <w:name w:val="__XLarge_G"/>
    <w:basedOn w:val="Normal"/>
    <w:next w:val="Normal"/>
    <w:rsid w:val="000C0E05"/>
    <w:pPr>
      <w:keepNext/>
      <w:keepLines/>
      <w:spacing w:before="240" w:after="240" w:line="420" w:lineRule="exact"/>
      <w:ind w:left="1134" w:right="1134"/>
    </w:pPr>
    <w:rPr>
      <w:b/>
      <w:sz w:val="40"/>
    </w:rPr>
  </w:style>
  <w:style w:type="paragraph" w:customStyle="1" w:styleId="Bullet1G">
    <w:name w:val="_Bullet 1_G"/>
    <w:basedOn w:val="Normal"/>
    <w:rsid w:val="000C0E05"/>
    <w:pPr>
      <w:numPr>
        <w:numId w:val="1"/>
      </w:numPr>
      <w:spacing w:after="120"/>
      <w:ind w:right="1134"/>
      <w:jc w:val="both"/>
    </w:pPr>
  </w:style>
  <w:style w:type="paragraph" w:customStyle="1" w:styleId="Bullet2G">
    <w:name w:val="_Bullet 2_G"/>
    <w:basedOn w:val="Normal"/>
    <w:rsid w:val="000C0E05"/>
    <w:pPr>
      <w:numPr>
        <w:numId w:val="2"/>
      </w:numPr>
      <w:spacing w:after="120"/>
      <w:ind w:right="1134"/>
      <w:jc w:val="both"/>
    </w:pPr>
  </w:style>
  <w:style w:type="paragraph" w:customStyle="1" w:styleId="AnnoHCHG">
    <w:name w:val="Anno _ H_CH_G"/>
    <w:basedOn w:val="Normal"/>
    <w:next w:val="AnnoH1G"/>
    <w:rsid w:val="000C0E0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r"/>
    <w:link w:val="BVIfnrChar"/>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Normal"/>
    <w:rsid w:val="00FB2180"/>
    <w:pPr>
      <w:keepNext/>
      <w:keepLines/>
      <w:numPr>
        <w:numId w:val="4"/>
      </w:numPr>
      <w:spacing w:before="360" w:after="240" w:line="300" w:lineRule="exact"/>
      <w:ind w:right="1134"/>
    </w:pPr>
    <w:rPr>
      <w:b/>
      <w:sz w:val="28"/>
    </w:rPr>
  </w:style>
  <w:style w:type="paragraph" w:customStyle="1" w:styleId="RegH1G">
    <w:name w:val="Reg_H_1_G"/>
    <w:basedOn w:val="Normal"/>
    <w:next w:val="Normal"/>
    <w:rsid w:val="00FB2180"/>
    <w:pPr>
      <w:keepNext/>
      <w:keepLines/>
      <w:numPr>
        <w:ilvl w:val="1"/>
        <w:numId w:val="4"/>
      </w:numPr>
      <w:spacing w:before="360" w:after="240" w:line="270" w:lineRule="exact"/>
      <w:ind w:right="1134"/>
    </w:pPr>
    <w:rPr>
      <w:b/>
      <w:sz w:val="24"/>
    </w:rPr>
  </w:style>
  <w:style w:type="paragraph" w:customStyle="1" w:styleId="RegH23G">
    <w:name w:val="Reg_H_2/3_G"/>
    <w:basedOn w:val="Normal"/>
    <w:next w:val="Normal"/>
    <w:rsid w:val="00FB218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FB2180"/>
    <w:pPr>
      <w:numPr>
        <w:ilvl w:val="3"/>
        <w:numId w:val="4"/>
      </w:numPr>
      <w:tabs>
        <w:tab w:val="left" w:pos="1701"/>
      </w:tabs>
      <w:spacing w:after="120"/>
      <w:ind w:right="1134"/>
      <w:jc w:val="both"/>
    </w:pPr>
  </w:style>
  <w:style w:type="paragraph" w:styleId="TOC1">
    <w:name w:val="toc 1"/>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TableFootnote">
    <w:name w:val="TableFootnote"/>
    <w:basedOn w:val="FootnoteTable"/>
    <w:qFormat/>
    <w:rsid w:val="003354A0"/>
    <w:pPr>
      <w:ind w:left="1134"/>
    </w:pPr>
  </w:style>
  <w:style w:type="character" w:customStyle="1" w:styleId="HChGChar">
    <w:name w:val="_ H _Ch_G Char"/>
    <w:link w:val="HChG"/>
    <w:rsid w:val="00A3615E"/>
    <w:rPr>
      <w:rFonts w:eastAsia="SimSun"/>
      <w:b/>
      <w:sz w:val="28"/>
      <w:lang w:val="en-GB" w:eastAsia="zh-CN"/>
    </w:rPr>
  </w:style>
  <w:style w:type="character" w:customStyle="1" w:styleId="RegSingleTxtGChar">
    <w:name w:val="Reg_Single Txt_G Char"/>
    <w:link w:val="RegSingleTxtG"/>
    <w:rsid w:val="007503FA"/>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812422"/>
    <w:rPr>
      <w:rFonts w:eastAsia="SimSun"/>
      <w:sz w:val="18"/>
      <w:lang w:val="en-GB" w:eastAsia="zh-CN"/>
    </w:rPr>
  </w:style>
  <w:style w:type="character" w:customStyle="1" w:styleId="FooterChar">
    <w:name w:val="Footer Char"/>
    <w:aliases w:val="3_G Char"/>
    <w:basedOn w:val="DefaultParagraphFont"/>
    <w:link w:val="Footer"/>
    <w:uiPriority w:val="99"/>
    <w:rsid w:val="00812422"/>
    <w:rPr>
      <w:rFonts w:eastAsia="SimSun"/>
      <w:sz w:val="16"/>
      <w:lang w:val="en-GB" w:eastAsia="zh-CN"/>
    </w:rPr>
  </w:style>
  <w:style w:type="table" w:styleId="TableGrid">
    <w:name w:val="Table Grid"/>
    <w:basedOn w:val="TableNormal"/>
    <w:rsid w:val="00DF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able_G Char"/>
    <w:basedOn w:val="DefaultParagraphFont"/>
    <w:link w:val="Heading1"/>
    <w:rsid w:val="00DF6816"/>
    <w:rPr>
      <w:rFonts w:eastAsia="SimSun"/>
      <w:lang w:val="en-GB" w:eastAsia="zh-CN"/>
    </w:rPr>
  </w:style>
  <w:style w:type="character" w:customStyle="1" w:styleId="EndnoteTextChar">
    <w:name w:val="Endnote Text Char"/>
    <w:aliases w:val="2_G Char"/>
    <w:basedOn w:val="DefaultParagraphFont"/>
    <w:link w:val="EndnoteText"/>
    <w:rsid w:val="00DF6816"/>
    <w:rPr>
      <w:rFonts w:eastAsia="SimSun"/>
      <w:sz w:val="18"/>
      <w:lang w:val="en-GB" w:eastAsia="zh-CN"/>
    </w:rPr>
  </w:style>
  <w:style w:type="character" w:customStyle="1" w:styleId="HeaderChar">
    <w:name w:val="Header Char"/>
    <w:aliases w:val="6_G Char"/>
    <w:basedOn w:val="DefaultParagraphFont"/>
    <w:link w:val="Header"/>
    <w:rsid w:val="00DF6816"/>
    <w:rPr>
      <w:rFonts w:eastAsia="SimSun"/>
      <w:b/>
      <w:sz w:val="18"/>
      <w:lang w:val="en-GB" w:eastAsia="zh-CN"/>
    </w:rPr>
  </w:style>
  <w:style w:type="character" w:styleId="CommentReference">
    <w:name w:val="annotation reference"/>
    <w:basedOn w:val="DefaultParagraphFont"/>
    <w:rsid w:val="00DF6816"/>
    <w:rPr>
      <w:sz w:val="16"/>
      <w:szCs w:val="16"/>
    </w:rPr>
  </w:style>
  <w:style w:type="paragraph" w:styleId="CommentText">
    <w:name w:val="annotation text"/>
    <w:basedOn w:val="Normal"/>
    <w:link w:val="CommentTextChar"/>
    <w:rsid w:val="00DF6816"/>
    <w:pPr>
      <w:spacing w:line="240" w:lineRule="auto"/>
    </w:pPr>
  </w:style>
  <w:style w:type="character" w:customStyle="1" w:styleId="CommentTextChar">
    <w:name w:val="Comment Text Char"/>
    <w:basedOn w:val="DefaultParagraphFont"/>
    <w:link w:val="CommentText"/>
    <w:rsid w:val="00DF6816"/>
    <w:rPr>
      <w:rFonts w:eastAsia="SimSun"/>
      <w:lang w:val="en-GB" w:eastAsia="zh-CN"/>
    </w:rPr>
  </w:style>
  <w:style w:type="paragraph" w:styleId="CommentSubject">
    <w:name w:val="annotation subject"/>
    <w:basedOn w:val="CommentText"/>
    <w:next w:val="CommentText"/>
    <w:link w:val="CommentSubjectChar"/>
    <w:rsid w:val="00DF6816"/>
    <w:rPr>
      <w:b/>
      <w:bCs/>
    </w:rPr>
  </w:style>
  <w:style w:type="character" w:customStyle="1" w:styleId="CommentSubjectChar">
    <w:name w:val="Comment Subject Char"/>
    <w:basedOn w:val="CommentTextChar"/>
    <w:link w:val="CommentSubject"/>
    <w:rsid w:val="00DF6816"/>
    <w:rPr>
      <w:rFonts w:eastAsia="SimSun"/>
      <w:b/>
      <w:bCs/>
      <w:lang w:val="en-GB" w:eastAsia="zh-CN"/>
    </w:rPr>
  </w:style>
  <w:style w:type="paragraph" w:customStyle="1" w:styleId="Default">
    <w:name w:val="Default"/>
    <w:rsid w:val="00DF6816"/>
    <w:pPr>
      <w:autoSpaceDE w:val="0"/>
      <w:autoSpaceDN w:val="0"/>
      <w:adjustRightInd w:val="0"/>
    </w:pPr>
    <w:rPr>
      <w:color w:val="000000"/>
      <w:sz w:val="24"/>
      <w:szCs w:val="24"/>
      <w:lang w:eastAsia="en-GB"/>
    </w:rPr>
  </w:style>
  <w:style w:type="paragraph" w:customStyle="1" w:styleId="Body">
    <w:name w:val="Body"/>
    <w:rsid w:val="00DF6816"/>
    <w:pPr>
      <w:pBdr>
        <w:top w:val="nil"/>
        <w:left w:val="nil"/>
        <w:bottom w:val="nil"/>
        <w:right w:val="nil"/>
        <w:between w:val="nil"/>
        <w:bar w:val="nil"/>
      </w:pBdr>
      <w:suppressAutoHyphens/>
      <w:spacing w:line="240" w:lineRule="atLeast"/>
    </w:pPr>
    <w:rPr>
      <w:color w:val="000000"/>
      <w:u w:color="000000"/>
      <w:bdr w:val="nil"/>
      <w:lang w:val="en-AU" w:eastAsia="en-AU"/>
    </w:rPr>
  </w:style>
  <w:style w:type="character" w:customStyle="1" w:styleId="SingleTxtGChar">
    <w:name w:val="_ Single Txt_G Char"/>
    <w:link w:val="SingleTxtG"/>
    <w:rsid w:val="00DF6816"/>
    <w:rPr>
      <w:lang w:val="en-GB"/>
    </w:rPr>
  </w:style>
  <w:style w:type="character" w:customStyle="1" w:styleId="H1GChar">
    <w:name w:val="_ H_1_G Char"/>
    <w:link w:val="H1G"/>
    <w:locked/>
    <w:rsid w:val="00DF6816"/>
    <w:rPr>
      <w:rFonts w:eastAsia="SimSun"/>
      <w:b/>
      <w:sz w:val="24"/>
      <w:lang w:val="en-GB" w:eastAsia="zh-CN"/>
    </w:rPr>
  </w:style>
  <w:style w:type="character" w:styleId="Hyperlink">
    <w:name w:val="Hyperlink"/>
    <w:basedOn w:val="DefaultParagraphFont"/>
    <w:uiPriority w:val="99"/>
    <w:unhideWhenUsed/>
    <w:rsid w:val="00DF6816"/>
    <w:rPr>
      <w:color w:val="0000FF"/>
      <w:u w:val="single"/>
    </w:rPr>
  </w:style>
  <w:style w:type="character" w:styleId="FollowedHyperlink">
    <w:name w:val="FollowedHyperlink"/>
    <w:basedOn w:val="DefaultParagraphFont"/>
    <w:uiPriority w:val="99"/>
    <w:unhideWhenUsed/>
    <w:rsid w:val="00DF6816"/>
    <w:rPr>
      <w:color w:val="800080"/>
      <w:u w:val="single"/>
    </w:rPr>
  </w:style>
  <w:style w:type="paragraph" w:customStyle="1" w:styleId="xl69">
    <w:name w:val="xl69"/>
    <w:basedOn w:val="Normal"/>
    <w:rsid w:val="00DF6816"/>
    <w:pPr>
      <w:suppressAutoHyphens w:val="0"/>
      <w:spacing w:before="100" w:beforeAutospacing="1" w:after="100" w:afterAutospacing="1" w:line="240" w:lineRule="auto"/>
      <w:jc w:val="right"/>
    </w:pPr>
    <w:rPr>
      <w:rFonts w:eastAsia="Times New Roman"/>
      <w:sz w:val="24"/>
      <w:szCs w:val="24"/>
      <w:lang w:eastAsia="en-GB"/>
    </w:rPr>
  </w:style>
  <w:style w:type="paragraph" w:customStyle="1" w:styleId="RegH4G">
    <w:name w:val="Reg_H_4_G"/>
    <w:basedOn w:val="RegH23G"/>
    <w:next w:val="RegH5G"/>
    <w:qFormat/>
    <w:rsid w:val="002A55AA"/>
    <w:pPr>
      <w:numPr>
        <w:ilvl w:val="0"/>
        <w:numId w:val="0"/>
      </w:numPr>
      <w:tabs>
        <w:tab w:val="num" w:pos="1134"/>
      </w:tabs>
      <w:ind w:left="1135" w:hanging="284"/>
    </w:pPr>
  </w:style>
  <w:style w:type="paragraph" w:customStyle="1" w:styleId="RegH5G">
    <w:name w:val="Reg_H_5_G"/>
    <w:basedOn w:val="RegH4G"/>
    <w:qFormat/>
    <w:rsid w:val="002A55AA"/>
    <w:rPr>
      <w:b w:val="0"/>
      <w:i/>
    </w:rPr>
  </w:style>
  <w:style w:type="paragraph" w:customStyle="1" w:styleId="RegSingleTxtG2">
    <w:name w:val="Reg_Single Txt_G2"/>
    <w:basedOn w:val="RegSingleTxtG"/>
    <w:qFormat/>
    <w:rsid w:val="002A55AA"/>
    <w:pPr>
      <w:numPr>
        <w:ilvl w:val="0"/>
        <w:numId w:val="0"/>
      </w:numPr>
      <w:tabs>
        <w:tab w:val="clear" w:pos="1701"/>
        <w:tab w:val="num" w:pos="360"/>
      </w:tabs>
      <w:ind w:left="1134" w:firstLine="567"/>
    </w:pPr>
  </w:style>
  <w:style w:type="paragraph" w:customStyle="1" w:styleId="RegSingleTxtG3">
    <w:name w:val="Reg_Single Txt_G3"/>
    <w:basedOn w:val="RegSingleTxtG"/>
    <w:qFormat/>
    <w:rsid w:val="002A55AA"/>
    <w:pPr>
      <w:numPr>
        <w:ilvl w:val="0"/>
        <w:numId w:val="0"/>
      </w:numPr>
      <w:tabs>
        <w:tab w:val="num" w:pos="360"/>
      </w:tabs>
      <w:ind w:left="1701"/>
    </w:pPr>
  </w:style>
  <w:style w:type="paragraph" w:styleId="NoSpacing">
    <w:name w:val="No Spacing"/>
    <w:uiPriority w:val="1"/>
    <w:qFormat/>
    <w:rsid w:val="002A55AA"/>
    <w:pPr>
      <w:suppressAutoHyphens/>
    </w:pPr>
    <w:rPr>
      <w:rFonts w:eastAsia="SimSun"/>
      <w:lang w:val="en-GB" w:eastAsia="zh-CN"/>
    </w:rPr>
  </w:style>
  <w:style w:type="character" w:customStyle="1" w:styleId="normaltextrun1">
    <w:name w:val="normaltextrun1"/>
    <w:basedOn w:val="DefaultParagraphFont"/>
    <w:rsid w:val="001D1A4C"/>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8358F"/>
    <w:pPr>
      <w:suppressAutoHyphens w:val="0"/>
      <w:spacing w:after="160" w:line="240" w:lineRule="exact"/>
    </w:pPr>
    <w:rPr>
      <w:rFonts w:eastAsia="Times New Roman"/>
      <w:sz w:val="18"/>
      <w:vertAlign w:val="superscript"/>
      <w:lang w:val="en-US" w:eastAsia="en-US"/>
    </w:rPr>
  </w:style>
  <w:style w:type="paragraph" w:styleId="Revision">
    <w:name w:val="Revision"/>
    <w:hidden/>
    <w:uiPriority w:val="99"/>
    <w:semiHidden/>
    <w:rsid w:val="000B3AA9"/>
    <w:rPr>
      <w:rFonts w:eastAsia="SimSun"/>
      <w:lang w:val="en-GB" w:eastAsia="zh-CN"/>
    </w:rPr>
  </w:style>
  <w:style w:type="character" w:styleId="Mention">
    <w:name w:val="Mention"/>
    <w:basedOn w:val="DefaultParagraphFont"/>
    <w:uiPriority w:val="99"/>
    <w:semiHidden/>
    <w:unhideWhenUsed/>
    <w:rsid w:val="007D513A"/>
    <w:rPr>
      <w:color w:val="2B579A"/>
      <w:shd w:val="clear" w:color="auto" w:fill="E6E6E6"/>
    </w:rPr>
  </w:style>
  <w:style w:type="character" w:customStyle="1" w:styleId="UnresolvedMention1">
    <w:name w:val="Unresolved Mention1"/>
    <w:basedOn w:val="DefaultParagraphFont"/>
    <w:uiPriority w:val="99"/>
    <w:semiHidden/>
    <w:unhideWhenUsed/>
    <w:rsid w:val="004215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288">
      <w:bodyDiv w:val="1"/>
      <w:marLeft w:val="0"/>
      <w:marRight w:val="0"/>
      <w:marTop w:val="0"/>
      <w:marBottom w:val="0"/>
      <w:divBdr>
        <w:top w:val="none" w:sz="0" w:space="0" w:color="auto"/>
        <w:left w:val="none" w:sz="0" w:space="0" w:color="auto"/>
        <w:bottom w:val="none" w:sz="0" w:space="0" w:color="auto"/>
        <w:right w:val="none" w:sz="0" w:space="0" w:color="auto"/>
      </w:divBdr>
      <w:divsChild>
        <w:div w:id="1533495310">
          <w:marLeft w:val="0"/>
          <w:marRight w:val="0"/>
          <w:marTop w:val="0"/>
          <w:marBottom w:val="0"/>
          <w:divBdr>
            <w:top w:val="none" w:sz="0" w:space="0" w:color="auto"/>
            <w:left w:val="none" w:sz="0" w:space="0" w:color="auto"/>
            <w:bottom w:val="none" w:sz="0" w:space="0" w:color="auto"/>
            <w:right w:val="none" w:sz="0" w:space="0" w:color="auto"/>
          </w:divBdr>
        </w:div>
        <w:div w:id="1624076103">
          <w:marLeft w:val="0"/>
          <w:marRight w:val="0"/>
          <w:marTop w:val="0"/>
          <w:marBottom w:val="0"/>
          <w:divBdr>
            <w:top w:val="none" w:sz="0" w:space="0" w:color="auto"/>
            <w:left w:val="none" w:sz="0" w:space="0" w:color="auto"/>
            <w:bottom w:val="none" w:sz="0" w:space="0" w:color="auto"/>
            <w:right w:val="none" w:sz="0" w:space="0" w:color="auto"/>
          </w:divBdr>
        </w:div>
        <w:div w:id="676469238">
          <w:marLeft w:val="0"/>
          <w:marRight w:val="0"/>
          <w:marTop w:val="0"/>
          <w:marBottom w:val="0"/>
          <w:divBdr>
            <w:top w:val="none" w:sz="0" w:space="0" w:color="auto"/>
            <w:left w:val="none" w:sz="0" w:space="0" w:color="auto"/>
            <w:bottom w:val="none" w:sz="0" w:space="0" w:color="auto"/>
            <w:right w:val="none" w:sz="0" w:space="0" w:color="auto"/>
          </w:divBdr>
        </w:div>
        <w:div w:id="2022508360">
          <w:marLeft w:val="0"/>
          <w:marRight w:val="0"/>
          <w:marTop w:val="0"/>
          <w:marBottom w:val="0"/>
          <w:divBdr>
            <w:top w:val="none" w:sz="0" w:space="0" w:color="auto"/>
            <w:left w:val="none" w:sz="0" w:space="0" w:color="auto"/>
            <w:bottom w:val="none" w:sz="0" w:space="0" w:color="auto"/>
            <w:right w:val="none" w:sz="0" w:space="0" w:color="auto"/>
          </w:divBdr>
        </w:div>
        <w:div w:id="1856724154">
          <w:marLeft w:val="0"/>
          <w:marRight w:val="0"/>
          <w:marTop w:val="0"/>
          <w:marBottom w:val="0"/>
          <w:divBdr>
            <w:top w:val="none" w:sz="0" w:space="0" w:color="auto"/>
            <w:left w:val="none" w:sz="0" w:space="0" w:color="auto"/>
            <w:bottom w:val="none" w:sz="0" w:space="0" w:color="auto"/>
            <w:right w:val="none" w:sz="0" w:space="0" w:color="auto"/>
          </w:divBdr>
        </w:div>
      </w:divsChild>
    </w:div>
    <w:div w:id="379019961">
      <w:bodyDiv w:val="1"/>
      <w:marLeft w:val="0"/>
      <w:marRight w:val="0"/>
      <w:marTop w:val="0"/>
      <w:marBottom w:val="0"/>
      <w:divBdr>
        <w:top w:val="none" w:sz="0" w:space="0" w:color="auto"/>
        <w:left w:val="none" w:sz="0" w:space="0" w:color="auto"/>
        <w:bottom w:val="none" w:sz="0" w:space="0" w:color="auto"/>
        <w:right w:val="none" w:sz="0" w:space="0" w:color="auto"/>
      </w:divBdr>
      <w:divsChild>
        <w:div w:id="1624459190">
          <w:marLeft w:val="0"/>
          <w:marRight w:val="0"/>
          <w:marTop w:val="0"/>
          <w:marBottom w:val="0"/>
          <w:divBdr>
            <w:top w:val="none" w:sz="0" w:space="0" w:color="auto"/>
            <w:left w:val="none" w:sz="0" w:space="0" w:color="auto"/>
            <w:bottom w:val="none" w:sz="0" w:space="0" w:color="auto"/>
            <w:right w:val="none" w:sz="0" w:space="0" w:color="auto"/>
          </w:divBdr>
        </w:div>
        <w:div w:id="1004891829">
          <w:marLeft w:val="0"/>
          <w:marRight w:val="0"/>
          <w:marTop w:val="0"/>
          <w:marBottom w:val="0"/>
          <w:divBdr>
            <w:top w:val="none" w:sz="0" w:space="0" w:color="auto"/>
            <w:left w:val="none" w:sz="0" w:space="0" w:color="auto"/>
            <w:bottom w:val="none" w:sz="0" w:space="0" w:color="auto"/>
            <w:right w:val="none" w:sz="0" w:space="0" w:color="auto"/>
          </w:divBdr>
        </w:div>
        <w:div w:id="1063262325">
          <w:marLeft w:val="0"/>
          <w:marRight w:val="0"/>
          <w:marTop w:val="0"/>
          <w:marBottom w:val="0"/>
          <w:divBdr>
            <w:top w:val="none" w:sz="0" w:space="0" w:color="auto"/>
            <w:left w:val="none" w:sz="0" w:space="0" w:color="auto"/>
            <w:bottom w:val="none" w:sz="0" w:space="0" w:color="auto"/>
            <w:right w:val="none" w:sz="0" w:space="0" w:color="auto"/>
          </w:divBdr>
        </w:div>
        <w:div w:id="1151361515">
          <w:marLeft w:val="0"/>
          <w:marRight w:val="0"/>
          <w:marTop w:val="0"/>
          <w:marBottom w:val="0"/>
          <w:divBdr>
            <w:top w:val="none" w:sz="0" w:space="0" w:color="auto"/>
            <w:left w:val="none" w:sz="0" w:space="0" w:color="auto"/>
            <w:bottom w:val="none" w:sz="0" w:space="0" w:color="auto"/>
            <w:right w:val="none" w:sz="0" w:space="0" w:color="auto"/>
          </w:divBdr>
        </w:div>
        <w:div w:id="559366746">
          <w:marLeft w:val="0"/>
          <w:marRight w:val="0"/>
          <w:marTop w:val="0"/>
          <w:marBottom w:val="0"/>
          <w:divBdr>
            <w:top w:val="none" w:sz="0" w:space="0" w:color="auto"/>
            <w:left w:val="none" w:sz="0" w:space="0" w:color="auto"/>
            <w:bottom w:val="none" w:sz="0" w:space="0" w:color="auto"/>
            <w:right w:val="none" w:sz="0" w:space="0" w:color="auto"/>
          </w:divBdr>
        </w:div>
      </w:divsChild>
    </w:div>
    <w:div w:id="450318275">
      <w:bodyDiv w:val="1"/>
      <w:marLeft w:val="0"/>
      <w:marRight w:val="0"/>
      <w:marTop w:val="0"/>
      <w:marBottom w:val="0"/>
      <w:divBdr>
        <w:top w:val="none" w:sz="0" w:space="0" w:color="auto"/>
        <w:left w:val="none" w:sz="0" w:space="0" w:color="auto"/>
        <w:bottom w:val="none" w:sz="0" w:space="0" w:color="auto"/>
        <w:right w:val="none" w:sz="0" w:space="0" w:color="auto"/>
      </w:divBdr>
      <w:divsChild>
        <w:div w:id="1039862710">
          <w:marLeft w:val="0"/>
          <w:marRight w:val="0"/>
          <w:marTop w:val="0"/>
          <w:marBottom w:val="0"/>
          <w:divBdr>
            <w:top w:val="none" w:sz="0" w:space="0" w:color="auto"/>
            <w:left w:val="none" w:sz="0" w:space="0" w:color="auto"/>
            <w:bottom w:val="none" w:sz="0" w:space="0" w:color="auto"/>
            <w:right w:val="none" w:sz="0" w:space="0" w:color="auto"/>
          </w:divBdr>
        </w:div>
        <w:div w:id="1387411435">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26705107">
          <w:marLeft w:val="0"/>
          <w:marRight w:val="0"/>
          <w:marTop w:val="0"/>
          <w:marBottom w:val="0"/>
          <w:divBdr>
            <w:top w:val="none" w:sz="0" w:space="0" w:color="auto"/>
            <w:left w:val="none" w:sz="0" w:space="0" w:color="auto"/>
            <w:bottom w:val="none" w:sz="0" w:space="0" w:color="auto"/>
            <w:right w:val="none" w:sz="0" w:space="0" w:color="auto"/>
          </w:divBdr>
        </w:div>
        <w:div w:id="89588386">
          <w:marLeft w:val="0"/>
          <w:marRight w:val="0"/>
          <w:marTop w:val="0"/>
          <w:marBottom w:val="0"/>
          <w:divBdr>
            <w:top w:val="none" w:sz="0" w:space="0" w:color="auto"/>
            <w:left w:val="none" w:sz="0" w:space="0" w:color="auto"/>
            <w:bottom w:val="none" w:sz="0" w:space="0" w:color="auto"/>
            <w:right w:val="none" w:sz="0" w:space="0" w:color="auto"/>
          </w:divBdr>
        </w:div>
        <w:div w:id="2032947220">
          <w:marLeft w:val="0"/>
          <w:marRight w:val="0"/>
          <w:marTop w:val="0"/>
          <w:marBottom w:val="0"/>
          <w:divBdr>
            <w:top w:val="none" w:sz="0" w:space="0" w:color="auto"/>
            <w:left w:val="none" w:sz="0" w:space="0" w:color="auto"/>
            <w:bottom w:val="none" w:sz="0" w:space="0" w:color="auto"/>
            <w:right w:val="none" w:sz="0" w:space="0" w:color="auto"/>
          </w:divBdr>
        </w:div>
        <w:div w:id="958073656">
          <w:marLeft w:val="0"/>
          <w:marRight w:val="0"/>
          <w:marTop w:val="0"/>
          <w:marBottom w:val="0"/>
          <w:divBdr>
            <w:top w:val="none" w:sz="0" w:space="0" w:color="auto"/>
            <w:left w:val="none" w:sz="0" w:space="0" w:color="auto"/>
            <w:bottom w:val="none" w:sz="0" w:space="0" w:color="auto"/>
            <w:right w:val="none" w:sz="0" w:space="0" w:color="auto"/>
          </w:divBdr>
        </w:div>
        <w:div w:id="2032876398">
          <w:marLeft w:val="0"/>
          <w:marRight w:val="0"/>
          <w:marTop w:val="0"/>
          <w:marBottom w:val="0"/>
          <w:divBdr>
            <w:top w:val="none" w:sz="0" w:space="0" w:color="auto"/>
            <w:left w:val="none" w:sz="0" w:space="0" w:color="auto"/>
            <w:bottom w:val="none" w:sz="0" w:space="0" w:color="auto"/>
            <w:right w:val="none" w:sz="0" w:space="0" w:color="auto"/>
          </w:divBdr>
        </w:div>
        <w:div w:id="194848659">
          <w:marLeft w:val="0"/>
          <w:marRight w:val="0"/>
          <w:marTop w:val="0"/>
          <w:marBottom w:val="0"/>
          <w:divBdr>
            <w:top w:val="none" w:sz="0" w:space="0" w:color="auto"/>
            <w:left w:val="none" w:sz="0" w:space="0" w:color="auto"/>
            <w:bottom w:val="none" w:sz="0" w:space="0" w:color="auto"/>
            <w:right w:val="none" w:sz="0" w:space="0" w:color="auto"/>
          </w:divBdr>
        </w:div>
        <w:div w:id="1134448998">
          <w:marLeft w:val="0"/>
          <w:marRight w:val="0"/>
          <w:marTop w:val="0"/>
          <w:marBottom w:val="0"/>
          <w:divBdr>
            <w:top w:val="none" w:sz="0" w:space="0" w:color="auto"/>
            <w:left w:val="none" w:sz="0" w:space="0" w:color="auto"/>
            <w:bottom w:val="none" w:sz="0" w:space="0" w:color="auto"/>
            <w:right w:val="none" w:sz="0" w:space="0" w:color="auto"/>
          </w:divBdr>
        </w:div>
        <w:div w:id="1149514715">
          <w:marLeft w:val="0"/>
          <w:marRight w:val="0"/>
          <w:marTop w:val="0"/>
          <w:marBottom w:val="0"/>
          <w:divBdr>
            <w:top w:val="none" w:sz="0" w:space="0" w:color="auto"/>
            <w:left w:val="none" w:sz="0" w:space="0" w:color="auto"/>
            <w:bottom w:val="none" w:sz="0" w:space="0" w:color="auto"/>
            <w:right w:val="none" w:sz="0" w:space="0" w:color="auto"/>
          </w:divBdr>
        </w:div>
        <w:div w:id="2066758790">
          <w:marLeft w:val="0"/>
          <w:marRight w:val="0"/>
          <w:marTop w:val="0"/>
          <w:marBottom w:val="0"/>
          <w:divBdr>
            <w:top w:val="none" w:sz="0" w:space="0" w:color="auto"/>
            <w:left w:val="none" w:sz="0" w:space="0" w:color="auto"/>
            <w:bottom w:val="none" w:sz="0" w:space="0" w:color="auto"/>
            <w:right w:val="none" w:sz="0" w:space="0" w:color="auto"/>
          </w:divBdr>
        </w:div>
        <w:div w:id="2079597280">
          <w:marLeft w:val="0"/>
          <w:marRight w:val="0"/>
          <w:marTop w:val="0"/>
          <w:marBottom w:val="0"/>
          <w:divBdr>
            <w:top w:val="none" w:sz="0" w:space="0" w:color="auto"/>
            <w:left w:val="none" w:sz="0" w:space="0" w:color="auto"/>
            <w:bottom w:val="none" w:sz="0" w:space="0" w:color="auto"/>
            <w:right w:val="none" w:sz="0" w:space="0" w:color="auto"/>
          </w:divBdr>
        </w:div>
        <w:div w:id="1922904320">
          <w:marLeft w:val="0"/>
          <w:marRight w:val="0"/>
          <w:marTop w:val="0"/>
          <w:marBottom w:val="0"/>
          <w:divBdr>
            <w:top w:val="none" w:sz="0" w:space="0" w:color="auto"/>
            <w:left w:val="none" w:sz="0" w:space="0" w:color="auto"/>
            <w:bottom w:val="none" w:sz="0" w:space="0" w:color="auto"/>
            <w:right w:val="none" w:sz="0" w:space="0" w:color="auto"/>
          </w:divBdr>
        </w:div>
        <w:div w:id="1874535281">
          <w:marLeft w:val="0"/>
          <w:marRight w:val="0"/>
          <w:marTop w:val="0"/>
          <w:marBottom w:val="0"/>
          <w:divBdr>
            <w:top w:val="none" w:sz="0" w:space="0" w:color="auto"/>
            <w:left w:val="none" w:sz="0" w:space="0" w:color="auto"/>
            <w:bottom w:val="none" w:sz="0" w:space="0" w:color="auto"/>
            <w:right w:val="none" w:sz="0" w:space="0" w:color="auto"/>
          </w:divBdr>
        </w:div>
        <w:div w:id="880440574">
          <w:marLeft w:val="0"/>
          <w:marRight w:val="0"/>
          <w:marTop w:val="0"/>
          <w:marBottom w:val="0"/>
          <w:divBdr>
            <w:top w:val="none" w:sz="0" w:space="0" w:color="auto"/>
            <w:left w:val="none" w:sz="0" w:space="0" w:color="auto"/>
            <w:bottom w:val="none" w:sz="0" w:space="0" w:color="auto"/>
            <w:right w:val="none" w:sz="0" w:space="0" w:color="auto"/>
          </w:divBdr>
        </w:div>
        <w:div w:id="1316109139">
          <w:marLeft w:val="0"/>
          <w:marRight w:val="0"/>
          <w:marTop w:val="0"/>
          <w:marBottom w:val="0"/>
          <w:divBdr>
            <w:top w:val="none" w:sz="0" w:space="0" w:color="auto"/>
            <w:left w:val="none" w:sz="0" w:space="0" w:color="auto"/>
            <w:bottom w:val="none" w:sz="0" w:space="0" w:color="auto"/>
            <w:right w:val="none" w:sz="0" w:space="0" w:color="auto"/>
          </w:divBdr>
        </w:div>
        <w:div w:id="117644715">
          <w:marLeft w:val="0"/>
          <w:marRight w:val="0"/>
          <w:marTop w:val="0"/>
          <w:marBottom w:val="0"/>
          <w:divBdr>
            <w:top w:val="none" w:sz="0" w:space="0" w:color="auto"/>
            <w:left w:val="none" w:sz="0" w:space="0" w:color="auto"/>
            <w:bottom w:val="none" w:sz="0" w:space="0" w:color="auto"/>
            <w:right w:val="none" w:sz="0" w:space="0" w:color="auto"/>
          </w:divBdr>
        </w:div>
        <w:div w:id="979960093">
          <w:marLeft w:val="0"/>
          <w:marRight w:val="0"/>
          <w:marTop w:val="0"/>
          <w:marBottom w:val="0"/>
          <w:divBdr>
            <w:top w:val="none" w:sz="0" w:space="0" w:color="auto"/>
            <w:left w:val="none" w:sz="0" w:space="0" w:color="auto"/>
            <w:bottom w:val="none" w:sz="0" w:space="0" w:color="auto"/>
            <w:right w:val="none" w:sz="0" w:space="0" w:color="auto"/>
          </w:divBdr>
        </w:div>
        <w:div w:id="981350538">
          <w:marLeft w:val="0"/>
          <w:marRight w:val="0"/>
          <w:marTop w:val="0"/>
          <w:marBottom w:val="0"/>
          <w:divBdr>
            <w:top w:val="none" w:sz="0" w:space="0" w:color="auto"/>
            <w:left w:val="none" w:sz="0" w:space="0" w:color="auto"/>
            <w:bottom w:val="none" w:sz="0" w:space="0" w:color="auto"/>
            <w:right w:val="none" w:sz="0" w:space="0" w:color="auto"/>
          </w:divBdr>
        </w:div>
        <w:div w:id="775904124">
          <w:marLeft w:val="0"/>
          <w:marRight w:val="0"/>
          <w:marTop w:val="0"/>
          <w:marBottom w:val="0"/>
          <w:divBdr>
            <w:top w:val="none" w:sz="0" w:space="0" w:color="auto"/>
            <w:left w:val="none" w:sz="0" w:space="0" w:color="auto"/>
            <w:bottom w:val="none" w:sz="0" w:space="0" w:color="auto"/>
            <w:right w:val="none" w:sz="0" w:space="0" w:color="auto"/>
          </w:divBdr>
        </w:div>
        <w:div w:id="888148106">
          <w:marLeft w:val="0"/>
          <w:marRight w:val="0"/>
          <w:marTop w:val="0"/>
          <w:marBottom w:val="0"/>
          <w:divBdr>
            <w:top w:val="none" w:sz="0" w:space="0" w:color="auto"/>
            <w:left w:val="none" w:sz="0" w:space="0" w:color="auto"/>
            <w:bottom w:val="none" w:sz="0" w:space="0" w:color="auto"/>
            <w:right w:val="none" w:sz="0" w:space="0" w:color="auto"/>
          </w:divBdr>
        </w:div>
        <w:div w:id="96488966">
          <w:marLeft w:val="0"/>
          <w:marRight w:val="0"/>
          <w:marTop w:val="0"/>
          <w:marBottom w:val="0"/>
          <w:divBdr>
            <w:top w:val="none" w:sz="0" w:space="0" w:color="auto"/>
            <w:left w:val="none" w:sz="0" w:space="0" w:color="auto"/>
            <w:bottom w:val="none" w:sz="0" w:space="0" w:color="auto"/>
            <w:right w:val="none" w:sz="0" w:space="0" w:color="auto"/>
          </w:divBdr>
        </w:div>
        <w:div w:id="1250965351">
          <w:marLeft w:val="0"/>
          <w:marRight w:val="0"/>
          <w:marTop w:val="0"/>
          <w:marBottom w:val="0"/>
          <w:divBdr>
            <w:top w:val="none" w:sz="0" w:space="0" w:color="auto"/>
            <w:left w:val="none" w:sz="0" w:space="0" w:color="auto"/>
            <w:bottom w:val="none" w:sz="0" w:space="0" w:color="auto"/>
            <w:right w:val="none" w:sz="0" w:space="0" w:color="auto"/>
          </w:divBdr>
        </w:div>
        <w:div w:id="1952321359">
          <w:marLeft w:val="0"/>
          <w:marRight w:val="0"/>
          <w:marTop w:val="0"/>
          <w:marBottom w:val="0"/>
          <w:divBdr>
            <w:top w:val="none" w:sz="0" w:space="0" w:color="auto"/>
            <w:left w:val="none" w:sz="0" w:space="0" w:color="auto"/>
            <w:bottom w:val="none" w:sz="0" w:space="0" w:color="auto"/>
            <w:right w:val="none" w:sz="0" w:space="0" w:color="auto"/>
          </w:divBdr>
        </w:div>
        <w:div w:id="1307977084">
          <w:marLeft w:val="0"/>
          <w:marRight w:val="0"/>
          <w:marTop w:val="0"/>
          <w:marBottom w:val="0"/>
          <w:divBdr>
            <w:top w:val="none" w:sz="0" w:space="0" w:color="auto"/>
            <w:left w:val="none" w:sz="0" w:space="0" w:color="auto"/>
            <w:bottom w:val="none" w:sz="0" w:space="0" w:color="auto"/>
            <w:right w:val="none" w:sz="0" w:space="0" w:color="auto"/>
          </w:divBdr>
        </w:div>
        <w:div w:id="701396008">
          <w:marLeft w:val="0"/>
          <w:marRight w:val="0"/>
          <w:marTop w:val="0"/>
          <w:marBottom w:val="0"/>
          <w:divBdr>
            <w:top w:val="none" w:sz="0" w:space="0" w:color="auto"/>
            <w:left w:val="none" w:sz="0" w:space="0" w:color="auto"/>
            <w:bottom w:val="none" w:sz="0" w:space="0" w:color="auto"/>
            <w:right w:val="none" w:sz="0" w:space="0" w:color="auto"/>
          </w:divBdr>
        </w:div>
        <w:div w:id="1459375739">
          <w:marLeft w:val="0"/>
          <w:marRight w:val="0"/>
          <w:marTop w:val="0"/>
          <w:marBottom w:val="0"/>
          <w:divBdr>
            <w:top w:val="none" w:sz="0" w:space="0" w:color="auto"/>
            <w:left w:val="none" w:sz="0" w:space="0" w:color="auto"/>
            <w:bottom w:val="none" w:sz="0" w:space="0" w:color="auto"/>
            <w:right w:val="none" w:sz="0" w:space="0" w:color="auto"/>
          </w:divBdr>
        </w:div>
        <w:div w:id="1748503379">
          <w:marLeft w:val="0"/>
          <w:marRight w:val="0"/>
          <w:marTop w:val="0"/>
          <w:marBottom w:val="0"/>
          <w:divBdr>
            <w:top w:val="none" w:sz="0" w:space="0" w:color="auto"/>
            <w:left w:val="none" w:sz="0" w:space="0" w:color="auto"/>
            <w:bottom w:val="none" w:sz="0" w:space="0" w:color="auto"/>
            <w:right w:val="none" w:sz="0" w:space="0" w:color="auto"/>
          </w:divBdr>
        </w:div>
        <w:div w:id="55276471">
          <w:marLeft w:val="0"/>
          <w:marRight w:val="0"/>
          <w:marTop w:val="0"/>
          <w:marBottom w:val="0"/>
          <w:divBdr>
            <w:top w:val="none" w:sz="0" w:space="0" w:color="auto"/>
            <w:left w:val="none" w:sz="0" w:space="0" w:color="auto"/>
            <w:bottom w:val="none" w:sz="0" w:space="0" w:color="auto"/>
            <w:right w:val="none" w:sz="0" w:space="0" w:color="auto"/>
          </w:divBdr>
        </w:div>
        <w:div w:id="1687367878">
          <w:marLeft w:val="0"/>
          <w:marRight w:val="0"/>
          <w:marTop w:val="0"/>
          <w:marBottom w:val="0"/>
          <w:divBdr>
            <w:top w:val="none" w:sz="0" w:space="0" w:color="auto"/>
            <w:left w:val="none" w:sz="0" w:space="0" w:color="auto"/>
            <w:bottom w:val="none" w:sz="0" w:space="0" w:color="auto"/>
            <w:right w:val="none" w:sz="0" w:space="0" w:color="auto"/>
          </w:divBdr>
        </w:div>
        <w:div w:id="866139864">
          <w:marLeft w:val="0"/>
          <w:marRight w:val="0"/>
          <w:marTop w:val="0"/>
          <w:marBottom w:val="0"/>
          <w:divBdr>
            <w:top w:val="none" w:sz="0" w:space="0" w:color="auto"/>
            <w:left w:val="none" w:sz="0" w:space="0" w:color="auto"/>
            <w:bottom w:val="none" w:sz="0" w:space="0" w:color="auto"/>
            <w:right w:val="none" w:sz="0" w:space="0" w:color="auto"/>
          </w:divBdr>
        </w:div>
        <w:div w:id="1855027327">
          <w:marLeft w:val="0"/>
          <w:marRight w:val="0"/>
          <w:marTop w:val="0"/>
          <w:marBottom w:val="0"/>
          <w:divBdr>
            <w:top w:val="none" w:sz="0" w:space="0" w:color="auto"/>
            <w:left w:val="none" w:sz="0" w:space="0" w:color="auto"/>
            <w:bottom w:val="none" w:sz="0" w:space="0" w:color="auto"/>
            <w:right w:val="none" w:sz="0" w:space="0" w:color="auto"/>
          </w:divBdr>
        </w:div>
        <w:div w:id="1020855566">
          <w:marLeft w:val="0"/>
          <w:marRight w:val="0"/>
          <w:marTop w:val="0"/>
          <w:marBottom w:val="0"/>
          <w:divBdr>
            <w:top w:val="none" w:sz="0" w:space="0" w:color="auto"/>
            <w:left w:val="none" w:sz="0" w:space="0" w:color="auto"/>
            <w:bottom w:val="none" w:sz="0" w:space="0" w:color="auto"/>
            <w:right w:val="none" w:sz="0" w:space="0" w:color="auto"/>
          </w:divBdr>
        </w:div>
        <w:div w:id="1707637939">
          <w:marLeft w:val="0"/>
          <w:marRight w:val="0"/>
          <w:marTop w:val="0"/>
          <w:marBottom w:val="0"/>
          <w:divBdr>
            <w:top w:val="none" w:sz="0" w:space="0" w:color="auto"/>
            <w:left w:val="none" w:sz="0" w:space="0" w:color="auto"/>
            <w:bottom w:val="none" w:sz="0" w:space="0" w:color="auto"/>
            <w:right w:val="none" w:sz="0" w:space="0" w:color="auto"/>
          </w:divBdr>
        </w:div>
        <w:div w:id="2069379300">
          <w:marLeft w:val="0"/>
          <w:marRight w:val="0"/>
          <w:marTop w:val="0"/>
          <w:marBottom w:val="0"/>
          <w:divBdr>
            <w:top w:val="none" w:sz="0" w:space="0" w:color="auto"/>
            <w:left w:val="none" w:sz="0" w:space="0" w:color="auto"/>
            <w:bottom w:val="none" w:sz="0" w:space="0" w:color="auto"/>
            <w:right w:val="none" w:sz="0" w:space="0" w:color="auto"/>
          </w:divBdr>
        </w:div>
        <w:div w:id="300111466">
          <w:marLeft w:val="0"/>
          <w:marRight w:val="0"/>
          <w:marTop w:val="0"/>
          <w:marBottom w:val="0"/>
          <w:divBdr>
            <w:top w:val="none" w:sz="0" w:space="0" w:color="auto"/>
            <w:left w:val="none" w:sz="0" w:space="0" w:color="auto"/>
            <w:bottom w:val="none" w:sz="0" w:space="0" w:color="auto"/>
            <w:right w:val="none" w:sz="0" w:space="0" w:color="auto"/>
          </w:divBdr>
        </w:div>
        <w:div w:id="1303657821">
          <w:marLeft w:val="0"/>
          <w:marRight w:val="0"/>
          <w:marTop w:val="0"/>
          <w:marBottom w:val="0"/>
          <w:divBdr>
            <w:top w:val="none" w:sz="0" w:space="0" w:color="auto"/>
            <w:left w:val="none" w:sz="0" w:space="0" w:color="auto"/>
            <w:bottom w:val="none" w:sz="0" w:space="0" w:color="auto"/>
            <w:right w:val="none" w:sz="0" w:space="0" w:color="auto"/>
          </w:divBdr>
        </w:div>
        <w:div w:id="1164708041">
          <w:marLeft w:val="0"/>
          <w:marRight w:val="0"/>
          <w:marTop w:val="0"/>
          <w:marBottom w:val="0"/>
          <w:divBdr>
            <w:top w:val="none" w:sz="0" w:space="0" w:color="auto"/>
            <w:left w:val="none" w:sz="0" w:space="0" w:color="auto"/>
            <w:bottom w:val="none" w:sz="0" w:space="0" w:color="auto"/>
            <w:right w:val="none" w:sz="0" w:space="0" w:color="auto"/>
          </w:divBdr>
        </w:div>
        <w:div w:id="14888053">
          <w:marLeft w:val="0"/>
          <w:marRight w:val="0"/>
          <w:marTop w:val="0"/>
          <w:marBottom w:val="0"/>
          <w:divBdr>
            <w:top w:val="none" w:sz="0" w:space="0" w:color="auto"/>
            <w:left w:val="none" w:sz="0" w:space="0" w:color="auto"/>
            <w:bottom w:val="none" w:sz="0" w:space="0" w:color="auto"/>
            <w:right w:val="none" w:sz="0" w:space="0" w:color="auto"/>
          </w:divBdr>
        </w:div>
        <w:div w:id="600721129">
          <w:marLeft w:val="0"/>
          <w:marRight w:val="0"/>
          <w:marTop w:val="0"/>
          <w:marBottom w:val="0"/>
          <w:divBdr>
            <w:top w:val="none" w:sz="0" w:space="0" w:color="auto"/>
            <w:left w:val="none" w:sz="0" w:space="0" w:color="auto"/>
            <w:bottom w:val="none" w:sz="0" w:space="0" w:color="auto"/>
            <w:right w:val="none" w:sz="0" w:space="0" w:color="auto"/>
          </w:divBdr>
        </w:div>
        <w:div w:id="2123764019">
          <w:marLeft w:val="0"/>
          <w:marRight w:val="0"/>
          <w:marTop w:val="0"/>
          <w:marBottom w:val="0"/>
          <w:divBdr>
            <w:top w:val="none" w:sz="0" w:space="0" w:color="auto"/>
            <w:left w:val="none" w:sz="0" w:space="0" w:color="auto"/>
            <w:bottom w:val="none" w:sz="0" w:space="0" w:color="auto"/>
            <w:right w:val="none" w:sz="0" w:space="0" w:color="auto"/>
          </w:divBdr>
        </w:div>
        <w:div w:id="1458990496">
          <w:marLeft w:val="0"/>
          <w:marRight w:val="0"/>
          <w:marTop w:val="0"/>
          <w:marBottom w:val="0"/>
          <w:divBdr>
            <w:top w:val="none" w:sz="0" w:space="0" w:color="auto"/>
            <w:left w:val="none" w:sz="0" w:space="0" w:color="auto"/>
            <w:bottom w:val="none" w:sz="0" w:space="0" w:color="auto"/>
            <w:right w:val="none" w:sz="0" w:space="0" w:color="auto"/>
          </w:divBdr>
        </w:div>
        <w:div w:id="1281186834">
          <w:marLeft w:val="0"/>
          <w:marRight w:val="0"/>
          <w:marTop w:val="0"/>
          <w:marBottom w:val="0"/>
          <w:divBdr>
            <w:top w:val="none" w:sz="0" w:space="0" w:color="auto"/>
            <w:left w:val="none" w:sz="0" w:space="0" w:color="auto"/>
            <w:bottom w:val="none" w:sz="0" w:space="0" w:color="auto"/>
            <w:right w:val="none" w:sz="0" w:space="0" w:color="auto"/>
          </w:divBdr>
        </w:div>
        <w:div w:id="1272666305">
          <w:marLeft w:val="0"/>
          <w:marRight w:val="0"/>
          <w:marTop w:val="0"/>
          <w:marBottom w:val="0"/>
          <w:divBdr>
            <w:top w:val="none" w:sz="0" w:space="0" w:color="auto"/>
            <w:left w:val="none" w:sz="0" w:space="0" w:color="auto"/>
            <w:bottom w:val="none" w:sz="0" w:space="0" w:color="auto"/>
            <w:right w:val="none" w:sz="0" w:space="0" w:color="auto"/>
          </w:divBdr>
        </w:div>
        <w:div w:id="1942033189">
          <w:marLeft w:val="0"/>
          <w:marRight w:val="0"/>
          <w:marTop w:val="0"/>
          <w:marBottom w:val="0"/>
          <w:divBdr>
            <w:top w:val="none" w:sz="0" w:space="0" w:color="auto"/>
            <w:left w:val="none" w:sz="0" w:space="0" w:color="auto"/>
            <w:bottom w:val="none" w:sz="0" w:space="0" w:color="auto"/>
            <w:right w:val="none" w:sz="0" w:space="0" w:color="auto"/>
          </w:divBdr>
        </w:div>
        <w:div w:id="76247922">
          <w:marLeft w:val="0"/>
          <w:marRight w:val="0"/>
          <w:marTop w:val="0"/>
          <w:marBottom w:val="0"/>
          <w:divBdr>
            <w:top w:val="none" w:sz="0" w:space="0" w:color="auto"/>
            <w:left w:val="none" w:sz="0" w:space="0" w:color="auto"/>
            <w:bottom w:val="none" w:sz="0" w:space="0" w:color="auto"/>
            <w:right w:val="none" w:sz="0" w:space="0" w:color="auto"/>
          </w:divBdr>
        </w:div>
        <w:div w:id="115998747">
          <w:marLeft w:val="0"/>
          <w:marRight w:val="0"/>
          <w:marTop w:val="0"/>
          <w:marBottom w:val="0"/>
          <w:divBdr>
            <w:top w:val="none" w:sz="0" w:space="0" w:color="auto"/>
            <w:left w:val="none" w:sz="0" w:space="0" w:color="auto"/>
            <w:bottom w:val="none" w:sz="0" w:space="0" w:color="auto"/>
            <w:right w:val="none" w:sz="0" w:space="0" w:color="auto"/>
          </w:divBdr>
        </w:div>
        <w:div w:id="388038672">
          <w:marLeft w:val="0"/>
          <w:marRight w:val="0"/>
          <w:marTop w:val="0"/>
          <w:marBottom w:val="0"/>
          <w:divBdr>
            <w:top w:val="none" w:sz="0" w:space="0" w:color="auto"/>
            <w:left w:val="none" w:sz="0" w:space="0" w:color="auto"/>
            <w:bottom w:val="none" w:sz="0" w:space="0" w:color="auto"/>
            <w:right w:val="none" w:sz="0" w:space="0" w:color="auto"/>
          </w:divBdr>
        </w:div>
        <w:div w:id="1672950443">
          <w:marLeft w:val="0"/>
          <w:marRight w:val="0"/>
          <w:marTop w:val="0"/>
          <w:marBottom w:val="0"/>
          <w:divBdr>
            <w:top w:val="none" w:sz="0" w:space="0" w:color="auto"/>
            <w:left w:val="none" w:sz="0" w:space="0" w:color="auto"/>
            <w:bottom w:val="none" w:sz="0" w:space="0" w:color="auto"/>
            <w:right w:val="none" w:sz="0" w:space="0" w:color="auto"/>
          </w:divBdr>
        </w:div>
        <w:div w:id="1568955943">
          <w:marLeft w:val="0"/>
          <w:marRight w:val="0"/>
          <w:marTop w:val="0"/>
          <w:marBottom w:val="0"/>
          <w:divBdr>
            <w:top w:val="none" w:sz="0" w:space="0" w:color="auto"/>
            <w:left w:val="none" w:sz="0" w:space="0" w:color="auto"/>
            <w:bottom w:val="none" w:sz="0" w:space="0" w:color="auto"/>
            <w:right w:val="none" w:sz="0" w:space="0" w:color="auto"/>
          </w:divBdr>
        </w:div>
        <w:div w:id="701398308">
          <w:marLeft w:val="0"/>
          <w:marRight w:val="0"/>
          <w:marTop w:val="0"/>
          <w:marBottom w:val="0"/>
          <w:divBdr>
            <w:top w:val="none" w:sz="0" w:space="0" w:color="auto"/>
            <w:left w:val="none" w:sz="0" w:space="0" w:color="auto"/>
            <w:bottom w:val="none" w:sz="0" w:space="0" w:color="auto"/>
            <w:right w:val="none" w:sz="0" w:space="0" w:color="auto"/>
          </w:divBdr>
        </w:div>
        <w:div w:id="2118021565">
          <w:marLeft w:val="0"/>
          <w:marRight w:val="0"/>
          <w:marTop w:val="0"/>
          <w:marBottom w:val="0"/>
          <w:divBdr>
            <w:top w:val="none" w:sz="0" w:space="0" w:color="auto"/>
            <w:left w:val="none" w:sz="0" w:space="0" w:color="auto"/>
            <w:bottom w:val="none" w:sz="0" w:space="0" w:color="auto"/>
            <w:right w:val="none" w:sz="0" w:space="0" w:color="auto"/>
          </w:divBdr>
        </w:div>
        <w:div w:id="2108233430">
          <w:marLeft w:val="0"/>
          <w:marRight w:val="0"/>
          <w:marTop w:val="0"/>
          <w:marBottom w:val="0"/>
          <w:divBdr>
            <w:top w:val="none" w:sz="0" w:space="0" w:color="auto"/>
            <w:left w:val="none" w:sz="0" w:space="0" w:color="auto"/>
            <w:bottom w:val="none" w:sz="0" w:space="0" w:color="auto"/>
            <w:right w:val="none" w:sz="0" w:space="0" w:color="auto"/>
          </w:divBdr>
        </w:div>
        <w:div w:id="482888420">
          <w:marLeft w:val="0"/>
          <w:marRight w:val="0"/>
          <w:marTop w:val="0"/>
          <w:marBottom w:val="0"/>
          <w:divBdr>
            <w:top w:val="none" w:sz="0" w:space="0" w:color="auto"/>
            <w:left w:val="none" w:sz="0" w:space="0" w:color="auto"/>
            <w:bottom w:val="none" w:sz="0" w:space="0" w:color="auto"/>
            <w:right w:val="none" w:sz="0" w:space="0" w:color="auto"/>
          </w:divBdr>
        </w:div>
        <w:div w:id="833036178">
          <w:marLeft w:val="0"/>
          <w:marRight w:val="0"/>
          <w:marTop w:val="0"/>
          <w:marBottom w:val="0"/>
          <w:divBdr>
            <w:top w:val="none" w:sz="0" w:space="0" w:color="auto"/>
            <w:left w:val="none" w:sz="0" w:space="0" w:color="auto"/>
            <w:bottom w:val="none" w:sz="0" w:space="0" w:color="auto"/>
            <w:right w:val="none" w:sz="0" w:space="0" w:color="auto"/>
          </w:divBdr>
        </w:div>
        <w:div w:id="881288910">
          <w:marLeft w:val="0"/>
          <w:marRight w:val="0"/>
          <w:marTop w:val="0"/>
          <w:marBottom w:val="0"/>
          <w:divBdr>
            <w:top w:val="none" w:sz="0" w:space="0" w:color="auto"/>
            <w:left w:val="none" w:sz="0" w:space="0" w:color="auto"/>
            <w:bottom w:val="none" w:sz="0" w:space="0" w:color="auto"/>
            <w:right w:val="none" w:sz="0" w:space="0" w:color="auto"/>
          </w:divBdr>
        </w:div>
        <w:div w:id="256255211">
          <w:marLeft w:val="0"/>
          <w:marRight w:val="0"/>
          <w:marTop w:val="0"/>
          <w:marBottom w:val="0"/>
          <w:divBdr>
            <w:top w:val="none" w:sz="0" w:space="0" w:color="auto"/>
            <w:left w:val="none" w:sz="0" w:space="0" w:color="auto"/>
            <w:bottom w:val="none" w:sz="0" w:space="0" w:color="auto"/>
            <w:right w:val="none" w:sz="0" w:space="0" w:color="auto"/>
          </w:divBdr>
        </w:div>
        <w:div w:id="1629044544">
          <w:marLeft w:val="0"/>
          <w:marRight w:val="0"/>
          <w:marTop w:val="0"/>
          <w:marBottom w:val="0"/>
          <w:divBdr>
            <w:top w:val="none" w:sz="0" w:space="0" w:color="auto"/>
            <w:left w:val="none" w:sz="0" w:space="0" w:color="auto"/>
            <w:bottom w:val="none" w:sz="0" w:space="0" w:color="auto"/>
            <w:right w:val="none" w:sz="0" w:space="0" w:color="auto"/>
          </w:divBdr>
        </w:div>
        <w:div w:id="575897417">
          <w:marLeft w:val="0"/>
          <w:marRight w:val="0"/>
          <w:marTop w:val="0"/>
          <w:marBottom w:val="0"/>
          <w:divBdr>
            <w:top w:val="none" w:sz="0" w:space="0" w:color="auto"/>
            <w:left w:val="none" w:sz="0" w:space="0" w:color="auto"/>
            <w:bottom w:val="none" w:sz="0" w:space="0" w:color="auto"/>
            <w:right w:val="none" w:sz="0" w:space="0" w:color="auto"/>
          </w:divBdr>
        </w:div>
        <w:div w:id="1245264023">
          <w:marLeft w:val="0"/>
          <w:marRight w:val="0"/>
          <w:marTop w:val="0"/>
          <w:marBottom w:val="0"/>
          <w:divBdr>
            <w:top w:val="none" w:sz="0" w:space="0" w:color="auto"/>
            <w:left w:val="none" w:sz="0" w:space="0" w:color="auto"/>
            <w:bottom w:val="none" w:sz="0" w:space="0" w:color="auto"/>
            <w:right w:val="none" w:sz="0" w:space="0" w:color="auto"/>
          </w:divBdr>
        </w:div>
        <w:div w:id="73553753">
          <w:marLeft w:val="0"/>
          <w:marRight w:val="0"/>
          <w:marTop w:val="0"/>
          <w:marBottom w:val="0"/>
          <w:divBdr>
            <w:top w:val="none" w:sz="0" w:space="0" w:color="auto"/>
            <w:left w:val="none" w:sz="0" w:space="0" w:color="auto"/>
            <w:bottom w:val="none" w:sz="0" w:space="0" w:color="auto"/>
            <w:right w:val="none" w:sz="0" w:space="0" w:color="auto"/>
          </w:divBdr>
        </w:div>
        <w:div w:id="357194589">
          <w:marLeft w:val="0"/>
          <w:marRight w:val="0"/>
          <w:marTop w:val="0"/>
          <w:marBottom w:val="0"/>
          <w:divBdr>
            <w:top w:val="none" w:sz="0" w:space="0" w:color="auto"/>
            <w:left w:val="none" w:sz="0" w:space="0" w:color="auto"/>
            <w:bottom w:val="none" w:sz="0" w:space="0" w:color="auto"/>
            <w:right w:val="none" w:sz="0" w:space="0" w:color="auto"/>
          </w:divBdr>
        </w:div>
        <w:div w:id="651759028">
          <w:marLeft w:val="0"/>
          <w:marRight w:val="0"/>
          <w:marTop w:val="0"/>
          <w:marBottom w:val="0"/>
          <w:divBdr>
            <w:top w:val="none" w:sz="0" w:space="0" w:color="auto"/>
            <w:left w:val="none" w:sz="0" w:space="0" w:color="auto"/>
            <w:bottom w:val="none" w:sz="0" w:space="0" w:color="auto"/>
            <w:right w:val="none" w:sz="0" w:space="0" w:color="auto"/>
          </w:divBdr>
        </w:div>
        <w:div w:id="1309433620">
          <w:marLeft w:val="0"/>
          <w:marRight w:val="0"/>
          <w:marTop w:val="0"/>
          <w:marBottom w:val="0"/>
          <w:divBdr>
            <w:top w:val="none" w:sz="0" w:space="0" w:color="auto"/>
            <w:left w:val="none" w:sz="0" w:space="0" w:color="auto"/>
            <w:bottom w:val="none" w:sz="0" w:space="0" w:color="auto"/>
            <w:right w:val="none" w:sz="0" w:space="0" w:color="auto"/>
          </w:divBdr>
        </w:div>
        <w:div w:id="777481620">
          <w:marLeft w:val="0"/>
          <w:marRight w:val="0"/>
          <w:marTop w:val="0"/>
          <w:marBottom w:val="0"/>
          <w:divBdr>
            <w:top w:val="none" w:sz="0" w:space="0" w:color="auto"/>
            <w:left w:val="none" w:sz="0" w:space="0" w:color="auto"/>
            <w:bottom w:val="none" w:sz="0" w:space="0" w:color="auto"/>
            <w:right w:val="none" w:sz="0" w:space="0" w:color="auto"/>
          </w:divBdr>
        </w:div>
        <w:div w:id="1962110370">
          <w:marLeft w:val="0"/>
          <w:marRight w:val="0"/>
          <w:marTop w:val="0"/>
          <w:marBottom w:val="0"/>
          <w:divBdr>
            <w:top w:val="none" w:sz="0" w:space="0" w:color="auto"/>
            <w:left w:val="none" w:sz="0" w:space="0" w:color="auto"/>
            <w:bottom w:val="none" w:sz="0" w:space="0" w:color="auto"/>
            <w:right w:val="none" w:sz="0" w:space="0" w:color="auto"/>
          </w:divBdr>
        </w:div>
        <w:div w:id="2055304891">
          <w:marLeft w:val="0"/>
          <w:marRight w:val="0"/>
          <w:marTop w:val="0"/>
          <w:marBottom w:val="0"/>
          <w:divBdr>
            <w:top w:val="none" w:sz="0" w:space="0" w:color="auto"/>
            <w:left w:val="none" w:sz="0" w:space="0" w:color="auto"/>
            <w:bottom w:val="none" w:sz="0" w:space="0" w:color="auto"/>
            <w:right w:val="none" w:sz="0" w:space="0" w:color="auto"/>
          </w:divBdr>
        </w:div>
        <w:div w:id="168565251">
          <w:marLeft w:val="0"/>
          <w:marRight w:val="0"/>
          <w:marTop w:val="0"/>
          <w:marBottom w:val="0"/>
          <w:divBdr>
            <w:top w:val="none" w:sz="0" w:space="0" w:color="auto"/>
            <w:left w:val="none" w:sz="0" w:space="0" w:color="auto"/>
            <w:bottom w:val="none" w:sz="0" w:space="0" w:color="auto"/>
            <w:right w:val="none" w:sz="0" w:space="0" w:color="auto"/>
          </w:divBdr>
        </w:div>
        <w:div w:id="2051614286">
          <w:marLeft w:val="0"/>
          <w:marRight w:val="0"/>
          <w:marTop w:val="0"/>
          <w:marBottom w:val="0"/>
          <w:divBdr>
            <w:top w:val="none" w:sz="0" w:space="0" w:color="auto"/>
            <w:left w:val="none" w:sz="0" w:space="0" w:color="auto"/>
            <w:bottom w:val="none" w:sz="0" w:space="0" w:color="auto"/>
            <w:right w:val="none" w:sz="0" w:space="0" w:color="auto"/>
          </w:divBdr>
        </w:div>
        <w:div w:id="253781217">
          <w:marLeft w:val="0"/>
          <w:marRight w:val="0"/>
          <w:marTop w:val="0"/>
          <w:marBottom w:val="0"/>
          <w:divBdr>
            <w:top w:val="none" w:sz="0" w:space="0" w:color="auto"/>
            <w:left w:val="none" w:sz="0" w:space="0" w:color="auto"/>
            <w:bottom w:val="none" w:sz="0" w:space="0" w:color="auto"/>
            <w:right w:val="none" w:sz="0" w:space="0" w:color="auto"/>
          </w:divBdr>
        </w:div>
        <w:div w:id="681975836">
          <w:marLeft w:val="0"/>
          <w:marRight w:val="0"/>
          <w:marTop w:val="0"/>
          <w:marBottom w:val="0"/>
          <w:divBdr>
            <w:top w:val="none" w:sz="0" w:space="0" w:color="auto"/>
            <w:left w:val="none" w:sz="0" w:space="0" w:color="auto"/>
            <w:bottom w:val="none" w:sz="0" w:space="0" w:color="auto"/>
            <w:right w:val="none" w:sz="0" w:space="0" w:color="auto"/>
          </w:divBdr>
        </w:div>
        <w:div w:id="1990357080">
          <w:marLeft w:val="0"/>
          <w:marRight w:val="0"/>
          <w:marTop w:val="0"/>
          <w:marBottom w:val="0"/>
          <w:divBdr>
            <w:top w:val="none" w:sz="0" w:space="0" w:color="auto"/>
            <w:left w:val="none" w:sz="0" w:space="0" w:color="auto"/>
            <w:bottom w:val="none" w:sz="0" w:space="0" w:color="auto"/>
            <w:right w:val="none" w:sz="0" w:space="0" w:color="auto"/>
          </w:divBdr>
        </w:div>
        <w:div w:id="405961648">
          <w:marLeft w:val="0"/>
          <w:marRight w:val="0"/>
          <w:marTop w:val="0"/>
          <w:marBottom w:val="0"/>
          <w:divBdr>
            <w:top w:val="none" w:sz="0" w:space="0" w:color="auto"/>
            <w:left w:val="none" w:sz="0" w:space="0" w:color="auto"/>
            <w:bottom w:val="none" w:sz="0" w:space="0" w:color="auto"/>
            <w:right w:val="none" w:sz="0" w:space="0" w:color="auto"/>
          </w:divBdr>
        </w:div>
        <w:div w:id="860973508">
          <w:marLeft w:val="0"/>
          <w:marRight w:val="0"/>
          <w:marTop w:val="0"/>
          <w:marBottom w:val="0"/>
          <w:divBdr>
            <w:top w:val="none" w:sz="0" w:space="0" w:color="auto"/>
            <w:left w:val="none" w:sz="0" w:space="0" w:color="auto"/>
            <w:bottom w:val="none" w:sz="0" w:space="0" w:color="auto"/>
            <w:right w:val="none" w:sz="0" w:space="0" w:color="auto"/>
          </w:divBdr>
        </w:div>
        <w:div w:id="800414779">
          <w:marLeft w:val="0"/>
          <w:marRight w:val="0"/>
          <w:marTop w:val="0"/>
          <w:marBottom w:val="0"/>
          <w:divBdr>
            <w:top w:val="none" w:sz="0" w:space="0" w:color="auto"/>
            <w:left w:val="none" w:sz="0" w:space="0" w:color="auto"/>
            <w:bottom w:val="none" w:sz="0" w:space="0" w:color="auto"/>
            <w:right w:val="none" w:sz="0" w:space="0" w:color="auto"/>
          </w:divBdr>
        </w:div>
        <w:div w:id="2033409343">
          <w:marLeft w:val="0"/>
          <w:marRight w:val="0"/>
          <w:marTop w:val="0"/>
          <w:marBottom w:val="0"/>
          <w:divBdr>
            <w:top w:val="none" w:sz="0" w:space="0" w:color="auto"/>
            <w:left w:val="none" w:sz="0" w:space="0" w:color="auto"/>
            <w:bottom w:val="none" w:sz="0" w:space="0" w:color="auto"/>
            <w:right w:val="none" w:sz="0" w:space="0" w:color="auto"/>
          </w:divBdr>
        </w:div>
        <w:div w:id="1473988273">
          <w:marLeft w:val="0"/>
          <w:marRight w:val="0"/>
          <w:marTop w:val="0"/>
          <w:marBottom w:val="0"/>
          <w:divBdr>
            <w:top w:val="none" w:sz="0" w:space="0" w:color="auto"/>
            <w:left w:val="none" w:sz="0" w:space="0" w:color="auto"/>
            <w:bottom w:val="none" w:sz="0" w:space="0" w:color="auto"/>
            <w:right w:val="none" w:sz="0" w:space="0" w:color="auto"/>
          </w:divBdr>
        </w:div>
        <w:div w:id="551187393">
          <w:marLeft w:val="0"/>
          <w:marRight w:val="0"/>
          <w:marTop w:val="0"/>
          <w:marBottom w:val="0"/>
          <w:divBdr>
            <w:top w:val="none" w:sz="0" w:space="0" w:color="auto"/>
            <w:left w:val="none" w:sz="0" w:space="0" w:color="auto"/>
            <w:bottom w:val="none" w:sz="0" w:space="0" w:color="auto"/>
            <w:right w:val="none" w:sz="0" w:space="0" w:color="auto"/>
          </w:divBdr>
        </w:div>
        <w:div w:id="1501889576">
          <w:marLeft w:val="0"/>
          <w:marRight w:val="0"/>
          <w:marTop w:val="0"/>
          <w:marBottom w:val="0"/>
          <w:divBdr>
            <w:top w:val="none" w:sz="0" w:space="0" w:color="auto"/>
            <w:left w:val="none" w:sz="0" w:space="0" w:color="auto"/>
            <w:bottom w:val="none" w:sz="0" w:space="0" w:color="auto"/>
            <w:right w:val="none" w:sz="0" w:space="0" w:color="auto"/>
          </w:divBdr>
        </w:div>
        <w:div w:id="192230155">
          <w:marLeft w:val="0"/>
          <w:marRight w:val="0"/>
          <w:marTop w:val="0"/>
          <w:marBottom w:val="0"/>
          <w:divBdr>
            <w:top w:val="none" w:sz="0" w:space="0" w:color="auto"/>
            <w:left w:val="none" w:sz="0" w:space="0" w:color="auto"/>
            <w:bottom w:val="none" w:sz="0" w:space="0" w:color="auto"/>
            <w:right w:val="none" w:sz="0" w:space="0" w:color="auto"/>
          </w:divBdr>
        </w:div>
        <w:div w:id="846750580">
          <w:marLeft w:val="0"/>
          <w:marRight w:val="0"/>
          <w:marTop w:val="0"/>
          <w:marBottom w:val="0"/>
          <w:divBdr>
            <w:top w:val="none" w:sz="0" w:space="0" w:color="auto"/>
            <w:left w:val="none" w:sz="0" w:space="0" w:color="auto"/>
            <w:bottom w:val="none" w:sz="0" w:space="0" w:color="auto"/>
            <w:right w:val="none" w:sz="0" w:space="0" w:color="auto"/>
          </w:divBdr>
        </w:div>
        <w:div w:id="1833445277">
          <w:marLeft w:val="0"/>
          <w:marRight w:val="0"/>
          <w:marTop w:val="0"/>
          <w:marBottom w:val="0"/>
          <w:divBdr>
            <w:top w:val="none" w:sz="0" w:space="0" w:color="auto"/>
            <w:left w:val="none" w:sz="0" w:space="0" w:color="auto"/>
            <w:bottom w:val="none" w:sz="0" w:space="0" w:color="auto"/>
            <w:right w:val="none" w:sz="0" w:space="0" w:color="auto"/>
          </w:divBdr>
        </w:div>
        <w:div w:id="1396660905">
          <w:marLeft w:val="0"/>
          <w:marRight w:val="0"/>
          <w:marTop w:val="0"/>
          <w:marBottom w:val="0"/>
          <w:divBdr>
            <w:top w:val="none" w:sz="0" w:space="0" w:color="auto"/>
            <w:left w:val="none" w:sz="0" w:space="0" w:color="auto"/>
            <w:bottom w:val="none" w:sz="0" w:space="0" w:color="auto"/>
            <w:right w:val="none" w:sz="0" w:space="0" w:color="auto"/>
          </w:divBdr>
        </w:div>
        <w:div w:id="982586487">
          <w:marLeft w:val="0"/>
          <w:marRight w:val="0"/>
          <w:marTop w:val="0"/>
          <w:marBottom w:val="0"/>
          <w:divBdr>
            <w:top w:val="none" w:sz="0" w:space="0" w:color="auto"/>
            <w:left w:val="none" w:sz="0" w:space="0" w:color="auto"/>
            <w:bottom w:val="none" w:sz="0" w:space="0" w:color="auto"/>
            <w:right w:val="none" w:sz="0" w:space="0" w:color="auto"/>
          </w:divBdr>
        </w:div>
        <w:div w:id="471293910">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1199051453">
          <w:marLeft w:val="0"/>
          <w:marRight w:val="0"/>
          <w:marTop w:val="0"/>
          <w:marBottom w:val="0"/>
          <w:divBdr>
            <w:top w:val="none" w:sz="0" w:space="0" w:color="auto"/>
            <w:left w:val="none" w:sz="0" w:space="0" w:color="auto"/>
            <w:bottom w:val="none" w:sz="0" w:space="0" w:color="auto"/>
            <w:right w:val="none" w:sz="0" w:space="0" w:color="auto"/>
          </w:divBdr>
        </w:div>
        <w:div w:id="1656882617">
          <w:marLeft w:val="0"/>
          <w:marRight w:val="0"/>
          <w:marTop w:val="0"/>
          <w:marBottom w:val="0"/>
          <w:divBdr>
            <w:top w:val="none" w:sz="0" w:space="0" w:color="auto"/>
            <w:left w:val="none" w:sz="0" w:space="0" w:color="auto"/>
            <w:bottom w:val="none" w:sz="0" w:space="0" w:color="auto"/>
            <w:right w:val="none" w:sz="0" w:space="0" w:color="auto"/>
          </w:divBdr>
        </w:div>
        <w:div w:id="337805182">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827430850">
          <w:marLeft w:val="0"/>
          <w:marRight w:val="0"/>
          <w:marTop w:val="0"/>
          <w:marBottom w:val="0"/>
          <w:divBdr>
            <w:top w:val="none" w:sz="0" w:space="0" w:color="auto"/>
            <w:left w:val="none" w:sz="0" w:space="0" w:color="auto"/>
            <w:bottom w:val="none" w:sz="0" w:space="0" w:color="auto"/>
            <w:right w:val="none" w:sz="0" w:space="0" w:color="auto"/>
          </w:divBdr>
        </w:div>
        <w:div w:id="51347430">
          <w:marLeft w:val="0"/>
          <w:marRight w:val="0"/>
          <w:marTop w:val="0"/>
          <w:marBottom w:val="0"/>
          <w:divBdr>
            <w:top w:val="none" w:sz="0" w:space="0" w:color="auto"/>
            <w:left w:val="none" w:sz="0" w:space="0" w:color="auto"/>
            <w:bottom w:val="none" w:sz="0" w:space="0" w:color="auto"/>
            <w:right w:val="none" w:sz="0" w:space="0" w:color="auto"/>
          </w:divBdr>
        </w:div>
        <w:div w:id="1198201783">
          <w:marLeft w:val="0"/>
          <w:marRight w:val="0"/>
          <w:marTop w:val="0"/>
          <w:marBottom w:val="0"/>
          <w:divBdr>
            <w:top w:val="none" w:sz="0" w:space="0" w:color="auto"/>
            <w:left w:val="none" w:sz="0" w:space="0" w:color="auto"/>
            <w:bottom w:val="none" w:sz="0" w:space="0" w:color="auto"/>
            <w:right w:val="none" w:sz="0" w:space="0" w:color="auto"/>
          </w:divBdr>
        </w:div>
        <w:div w:id="1225721119">
          <w:marLeft w:val="0"/>
          <w:marRight w:val="0"/>
          <w:marTop w:val="0"/>
          <w:marBottom w:val="0"/>
          <w:divBdr>
            <w:top w:val="none" w:sz="0" w:space="0" w:color="auto"/>
            <w:left w:val="none" w:sz="0" w:space="0" w:color="auto"/>
            <w:bottom w:val="none" w:sz="0" w:space="0" w:color="auto"/>
            <w:right w:val="none" w:sz="0" w:space="0" w:color="auto"/>
          </w:divBdr>
        </w:div>
        <w:div w:id="1957250531">
          <w:marLeft w:val="0"/>
          <w:marRight w:val="0"/>
          <w:marTop w:val="0"/>
          <w:marBottom w:val="0"/>
          <w:divBdr>
            <w:top w:val="none" w:sz="0" w:space="0" w:color="auto"/>
            <w:left w:val="none" w:sz="0" w:space="0" w:color="auto"/>
            <w:bottom w:val="none" w:sz="0" w:space="0" w:color="auto"/>
            <w:right w:val="none" w:sz="0" w:space="0" w:color="auto"/>
          </w:divBdr>
        </w:div>
        <w:div w:id="555973161">
          <w:marLeft w:val="0"/>
          <w:marRight w:val="0"/>
          <w:marTop w:val="0"/>
          <w:marBottom w:val="0"/>
          <w:divBdr>
            <w:top w:val="none" w:sz="0" w:space="0" w:color="auto"/>
            <w:left w:val="none" w:sz="0" w:space="0" w:color="auto"/>
            <w:bottom w:val="none" w:sz="0" w:space="0" w:color="auto"/>
            <w:right w:val="none" w:sz="0" w:space="0" w:color="auto"/>
          </w:divBdr>
        </w:div>
        <w:div w:id="310062941">
          <w:marLeft w:val="0"/>
          <w:marRight w:val="0"/>
          <w:marTop w:val="0"/>
          <w:marBottom w:val="0"/>
          <w:divBdr>
            <w:top w:val="none" w:sz="0" w:space="0" w:color="auto"/>
            <w:left w:val="none" w:sz="0" w:space="0" w:color="auto"/>
            <w:bottom w:val="none" w:sz="0" w:space="0" w:color="auto"/>
            <w:right w:val="none" w:sz="0" w:space="0" w:color="auto"/>
          </w:divBdr>
        </w:div>
        <w:div w:id="120077880">
          <w:marLeft w:val="0"/>
          <w:marRight w:val="0"/>
          <w:marTop w:val="0"/>
          <w:marBottom w:val="0"/>
          <w:divBdr>
            <w:top w:val="none" w:sz="0" w:space="0" w:color="auto"/>
            <w:left w:val="none" w:sz="0" w:space="0" w:color="auto"/>
            <w:bottom w:val="none" w:sz="0" w:space="0" w:color="auto"/>
            <w:right w:val="none" w:sz="0" w:space="0" w:color="auto"/>
          </w:divBdr>
        </w:div>
        <w:div w:id="227763836">
          <w:marLeft w:val="0"/>
          <w:marRight w:val="0"/>
          <w:marTop w:val="0"/>
          <w:marBottom w:val="0"/>
          <w:divBdr>
            <w:top w:val="none" w:sz="0" w:space="0" w:color="auto"/>
            <w:left w:val="none" w:sz="0" w:space="0" w:color="auto"/>
            <w:bottom w:val="none" w:sz="0" w:space="0" w:color="auto"/>
            <w:right w:val="none" w:sz="0" w:space="0" w:color="auto"/>
          </w:divBdr>
        </w:div>
        <w:div w:id="1207378359">
          <w:marLeft w:val="0"/>
          <w:marRight w:val="0"/>
          <w:marTop w:val="0"/>
          <w:marBottom w:val="0"/>
          <w:divBdr>
            <w:top w:val="none" w:sz="0" w:space="0" w:color="auto"/>
            <w:left w:val="none" w:sz="0" w:space="0" w:color="auto"/>
            <w:bottom w:val="none" w:sz="0" w:space="0" w:color="auto"/>
            <w:right w:val="none" w:sz="0" w:space="0" w:color="auto"/>
          </w:divBdr>
        </w:div>
        <w:div w:id="1809783937">
          <w:marLeft w:val="0"/>
          <w:marRight w:val="0"/>
          <w:marTop w:val="0"/>
          <w:marBottom w:val="0"/>
          <w:divBdr>
            <w:top w:val="none" w:sz="0" w:space="0" w:color="auto"/>
            <w:left w:val="none" w:sz="0" w:space="0" w:color="auto"/>
            <w:bottom w:val="none" w:sz="0" w:space="0" w:color="auto"/>
            <w:right w:val="none" w:sz="0" w:space="0" w:color="auto"/>
          </w:divBdr>
        </w:div>
        <w:div w:id="598224287">
          <w:marLeft w:val="0"/>
          <w:marRight w:val="0"/>
          <w:marTop w:val="0"/>
          <w:marBottom w:val="0"/>
          <w:divBdr>
            <w:top w:val="none" w:sz="0" w:space="0" w:color="auto"/>
            <w:left w:val="none" w:sz="0" w:space="0" w:color="auto"/>
            <w:bottom w:val="none" w:sz="0" w:space="0" w:color="auto"/>
            <w:right w:val="none" w:sz="0" w:space="0" w:color="auto"/>
          </w:divBdr>
        </w:div>
        <w:div w:id="1266767798">
          <w:marLeft w:val="0"/>
          <w:marRight w:val="0"/>
          <w:marTop w:val="0"/>
          <w:marBottom w:val="0"/>
          <w:divBdr>
            <w:top w:val="none" w:sz="0" w:space="0" w:color="auto"/>
            <w:left w:val="none" w:sz="0" w:space="0" w:color="auto"/>
            <w:bottom w:val="none" w:sz="0" w:space="0" w:color="auto"/>
            <w:right w:val="none" w:sz="0" w:space="0" w:color="auto"/>
          </w:divBdr>
        </w:div>
        <w:div w:id="2058580061">
          <w:marLeft w:val="0"/>
          <w:marRight w:val="0"/>
          <w:marTop w:val="0"/>
          <w:marBottom w:val="0"/>
          <w:divBdr>
            <w:top w:val="none" w:sz="0" w:space="0" w:color="auto"/>
            <w:left w:val="none" w:sz="0" w:space="0" w:color="auto"/>
            <w:bottom w:val="none" w:sz="0" w:space="0" w:color="auto"/>
            <w:right w:val="none" w:sz="0" w:space="0" w:color="auto"/>
          </w:divBdr>
        </w:div>
        <w:div w:id="1253902605">
          <w:marLeft w:val="0"/>
          <w:marRight w:val="0"/>
          <w:marTop w:val="0"/>
          <w:marBottom w:val="0"/>
          <w:divBdr>
            <w:top w:val="none" w:sz="0" w:space="0" w:color="auto"/>
            <w:left w:val="none" w:sz="0" w:space="0" w:color="auto"/>
            <w:bottom w:val="none" w:sz="0" w:space="0" w:color="auto"/>
            <w:right w:val="none" w:sz="0" w:space="0" w:color="auto"/>
          </w:divBdr>
        </w:div>
        <w:div w:id="1392844123">
          <w:marLeft w:val="0"/>
          <w:marRight w:val="0"/>
          <w:marTop w:val="0"/>
          <w:marBottom w:val="0"/>
          <w:divBdr>
            <w:top w:val="none" w:sz="0" w:space="0" w:color="auto"/>
            <w:left w:val="none" w:sz="0" w:space="0" w:color="auto"/>
            <w:bottom w:val="none" w:sz="0" w:space="0" w:color="auto"/>
            <w:right w:val="none" w:sz="0" w:space="0" w:color="auto"/>
          </w:divBdr>
        </w:div>
        <w:div w:id="719015293">
          <w:marLeft w:val="0"/>
          <w:marRight w:val="0"/>
          <w:marTop w:val="0"/>
          <w:marBottom w:val="0"/>
          <w:divBdr>
            <w:top w:val="none" w:sz="0" w:space="0" w:color="auto"/>
            <w:left w:val="none" w:sz="0" w:space="0" w:color="auto"/>
            <w:bottom w:val="none" w:sz="0" w:space="0" w:color="auto"/>
            <w:right w:val="none" w:sz="0" w:space="0" w:color="auto"/>
          </w:divBdr>
        </w:div>
        <w:div w:id="1154679977">
          <w:marLeft w:val="0"/>
          <w:marRight w:val="0"/>
          <w:marTop w:val="0"/>
          <w:marBottom w:val="0"/>
          <w:divBdr>
            <w:top w:val="none" w:sz="0" w:space="0" w:color="auto"/>
            <w:left w:val="none" w:sz="0" w:space="0" w:color="auto"/>
            <w:bottom w:val="none" w:sz="0" w:space="0" w:color="auto"/>
            <w:right w:val="none" w:sz="0" w:space="0" w:color="auto"/>
          </w:divBdr>
        </w:div>
        <w:div w:id="1387947769">
          <w:marLeft w:val="0"/>
          <w:marRight w:val="0"/>
          <w:marTop w:val="0"/>
          <w:marBottom w:val="0"/>
          <w:divBdr>
            <w:top w:val="none" w:sz="0" w:space="0" w:color="auto"/>
            <w:left w:val="none" w:sz="0" w:space="0" w:color="auto"/>
            <w:bottom w:val="none" w:sz="0" w:space="0" w:color="auto"/>
            <w:right w:val="none" w:sz="0" w:space="0" w:color="auto"/>
          </w:divBdr>
        </w:div>
        <w:div w:id="114717237">
          <w:marLeft w:val="0"/>
          <w:marRight w:val="0"/>
          <w:marTop w:val="0"/>
          <w:marBottom w:val="0"/>
          <w:divBdr>
            <w:top w:val="none" w:sz="0" w:space="0" w:color="auto"/>
            <w:left w:val="none" w:sz="0" w:space="0" w:color="auto"/>
            <w:bottom w:val="none" w:sz="0" w:space="0" w:color="auto"/>
            <w:right w:val="none" w:sz="0" w:space="0" w:color="auto"/>
          </w:divBdr>
        </w:div>
        <w:div w:id="2041664388">
          <w:marLeft w:val="0"/>
          <w:marRight w:val="0"/>
          <w:marTop w:val="0"/>
          <w:marBottom w:val="0"/>
          <w:divBdr>
            <w:top w:val="none" w:sz="0" w:space="0" w:color="auto"/>
            <w:left w:val="none" w:sz="0" w:space="0" w:color="auto"/>
            <w:bottom w:val="none" w:sz="0" w:space="0" w:color="auto"/>
            <w:right w:val="none" w:sz="0" w:space="0" w:color="auto"/>
          </w:divBdr>
        </w:div>
        <w:div w:id="37902528">
          <w:marLeft w:val="0"/>
          <w:marRight w:val="0"/>
          <w:marTop w:val="0"/>
          <w:marBottom w:val="0"/>
          <w:divBdr>
            <w:top w:val="none" w:sz="0" w:space="0" w:color="auto"/>
            <w:left w:val="none" w:sz="0" w:space="0" w:color="auto"/>
            <w:bottom w:val="none" w:sz="0" w:space="0" w:color="auto"/>
            <w:right w:val="none" w:sz="0" w:space="0" w:color="auto"/>
          </w:divBdr>
        </w:div>
        <w:div w:id="1383208429">
          <w:marLeft w:val="0"/>
          <w:marRight w:val="0"/>
          <w:marTop w:val="0"/>
          <w:marBottom w:val="0"/>
          <w:divBdr>
            <w:top w:val="none" w:sz="0" w:space="0" w:color="auto"/>
            <w:left w:val="none" w:sz="0" w:space="0" w:color="auto"/>
            <w:bottom w:val="none" w:sz="0" w:space="0" w:color="auto"/>
            <w:right w:val="none" w:sz="0" w:space="0" w:color="auto"/>
          </w:divBdr>
        </w:div>
        <w:div w:id="697585566">
          <w:marLeft w:val="0"/>
          <w:marRight w:val="0"/>
          <w:marTop w:val="0"/>
          <w:marBottom w:val="0"/>
          <w:divBdr>
            <w:top w:val="none" w:sz="0" w:space="0" w:color="auto"/>
            <w:left w:val="none" w:sz="0" w:space="0" w:color="auto"/>
            <w:bottom w:val="none" w:sz="0" w:space="0" w:color="auto"/>
            <w:right w:val="none" w:sz="0" w:space="0" w:color="auto"/>
          </w:divBdr>
        </w:div>
        <w:div w:id="257058915">
          <w:marLeft w:val="0"/>
          <w:marRight w:val="0"/>
          <w:marTop w:val="0"/>
          <w:marBottom w:val="0"/>
          <w:divBdr>
            <w:top w:val="none" w:sz="0" w:space="0" w:color="auto"/>
            <w:left w:val="none" w:sz="0" w:space="0" w:color="auto"/>
            <w:bottom w:val="none" w:sz="0" w:space="0" w:color="auto"/>
            <w:right w:val="none" w:sz="0" w:space="0" w:color="auto"/>
          </w:divBdr>
        </w:div>
        <w:div w:id="1024282207">
          <w:marLeft w:val="0"/>
          <w:marRight w:val="0"/>
          <w:marTop w:val="0"/>
          <w:marBottom w:val="0"/>
          <w:divBdr>
            <w:top w:val="none" w:sz="0" w:space="0" w:color="auto"/>
            <w:left w:val="none" w:sz="0" w:space="0" w:color="auto"/>
            <w:bottom w:val="none" w:sz="0" w:space="0" w:color="auto"/>
            <w:right w:val="none" w:sz="0" w:space="0" w:color="auto"/>
          </w:divBdr>
        </w:div>
        <w:div w:id="586154849">
          <w:marLeft w:val="0"/>
          <w:marRight w:val="0"/>
          <w:marTop w:val="0"/>
          <w:marBottom w:val="0"/>
          <w:divBdr>
            <w:top w:val="none" w:sz="0" w:space="0" w:color="auto"/>
            <w:left w:val="none" w:sz="0" w:space="0" w:color="auto"/>
            <w:bottom w:val="none" w:sz="0" w:space="0" w:color="auto"/>
            <w:right w:val="none" w:sz="0" w:space="0" w:color="auto"/>
          </w:divBdr>
        </w:div>
      </w:divsChild>
    </w:div>
    <w:div w:id="683559522">
      <w:bodyDiv w:val="1"/>
      <w:marLeft w:val="0"/>
      <w:marRight w:val="0"/>
      <w:marTop w:val="0"/>
      <w:marBottom w:val="0"/>
      <w:divBdr>
        <w:top w:val="none" w:sz="0" w:space="0" w:color="auto"/>
        <w:left w:val="none" w:sz="0" w:space="0" w:color="auto"/>
        <w:bottom w:val="none" w:sz="0" w:space="0" w:color="auto"/>
        <w:right w:val="none" w:sz="0" w:space="0" w:color="auto"/>
      </w:divBdr>
      <w:divsChild>
        <w:div w:id="141124620">
          <w:marLeft w:val="0"/>
          <w:marRight w:val="0"/>
          <w:marTop w:val="0"/>
          <w:marBottom w:val="0"/>
          <w:divBdr>
            <w:top w:val="none" w:sz="0" w:space="0" w:color="auto"/>
            <w:left w:val="none" w:sz="0" w:space="0" w:color="auto"/>
            <w:bottom w:val="none" w:sz="0" w:space="0" w:color="auto"/>
            <w:right w:val="none" w:sz="0" w:space="0" w:color="auto"/>
          </w:divBdr>
        </w:div>
        <w:div w:id="1309046846">
          <w:marLeft w:val="0"/>
          <w:marRight w:val="0"/>
          <w:marTop w:val="0"/>
          <w:marBottom w:val="0"/>
          <w:divBdr>
            <w:top w:val="none" w:sz="0" w:space="0" w:color="auto"/>
            <w:left w:val="none" w:sz="0" w:space="0" w:color="auto"/>
            <w:bottom w:val="none" w:sz="0" w:space="0" w:color="auto"/>
            <w:right w:val="none" w:sz="0" w:space="0" w:color="auto"/>
          </w:divBdr>
        </w:div>
        <w:div w:id="2113158729">
          <w:marLeft w:val="0"/>
          <w:marRight w:val="0"/>
          <w:marTop w:val="0"/>
          <w:marBottom w:val="0"/>
          <w:divBdr>
            <w:top w:val="none" w:sz="0" w:space="0" w:color="auto"/>
            <w:left w:val="none" w:sz="0" w:space="0" w:color="auto"/>
            <w:bottom w:val="none" w:sz="0" w:space="0" w:color="auto"/>
            <w:right w:val="none" w:sz="0" w:space="0" w:color="auto"/>
          </w:divBdr>
        </w:div>
        <w:div w:id="500857814">
          <w:marLeft w:val="0"/>
          <w:marRight w:val="0"/>
          <w:marTop w:val="0"/>
          <w:marBottom w:val="0"/>
          <w:divBdr>
            <w:top w:val="none" w:sz="0" w:space="0" w:color="auto"/>
            <w:left w:val="none" w:sz="0" w:space="0" w:color="auto"/>
            <w:bottom w:val="none" w:sz="0" w:space="0" w:color="auto"/>
            <w:right w:val="none" w:sz="0" w:space="0" w:color="auto"/>
          </w:divBdr>
        </w:div>
        <w:div w:id="1589844781">
          <w:marLeft w:val="0"/>
          <w:marRight w:val="0"/>
          <w:marTop w:val="0"/>
          <w:marBottom w:val="0"/>
          <w:divBdr>
            <w:top w:val="none" w:sz="0" w:space="0" w:color="auto"/>
            <w:left w:val="none" w:sz="0" w:space="0" w:color="auto"/>
            <w:bottom w:val="none" w:sz="0" w:space="0" w:color="auto"/>
            <w:right w:val="none" w:sz="0" w:space="0" w:color="auto"/>
          </w:divBdr>
        </w:div>
        <w:div w:id="748036995">
          <w:marLeft w:val="0"/>
          <w:marRight w:val="0"/>
          <w:marTop w:val="0"/>
          <w:marBottom w:val="0"/>
          <w:divBdr>
            <w:top w:val="none" w:sz="0" w:space="0" w:color="auto"/>
            <w:left w:val="none" w:sz="0" w:space="0" w:color="auto"/>
            <w:bottom w:val="none" w:sz="0" w:space="0" w:color="auto"/>
            <w:right w:val="none" w:sz="0" w:space="0" w:color="auto"/>
          </w:divBdr>
        </w:div>
        <w:div w:id="1562014134">
          <w:marLeft w:val="0"/>
          <w:marRight w:val="0"/>
          <w:marTop w:val="0"/>
          <w:marBottom w:val="0"/>
          <w:divBdr>
            <w:top w:val="none" w:sz="0" w:space="0" w:color="auto"/>
            <w:left w:val="none" w:sz="0" w:space="0" w:color="auto"/>
            <w:bottom w:val="none" w:sz="0" w:space="0" w:color="auto"/>
            <w:right w:val="none" w:sz="0" w:space="0" w:color="auto"/>
          </w:divBdr>
        </w:div>
        <w:div w:id="2119522303">
          <w:marLeft w:val="0"/>
          <w:marRight w:val="0"/>
          <w:marTop w:val="0"/>
          <w:marBottom w:val="0"/>
          <w:divBdr>
            <w:top w:val="none" w:sz="0" w:space="0" w:color="auto"/>
            <w:left w:val="none" w:sz="0" w:space="0" w:color="auto"/>
            <w:bottom w:val="none" w:sz="0" w:space="0" w:color="auto"/>
            <w:right w:val="none" w:sz="0" w:space="0" w:color="auto"/>
          </w:divBdr>
        </w:div>
        <w:div w:id="1956449413">
          <w:marLeft w:val="0"/>
          <w:marRight w:val="0"/>
          <w:marTop w:val="0"/>
          <w:marBottom w:val="0"/>
          <w:divBdr>
            <w:top w:val="none" w:sz="0" w:space="0" w:color="auto"/>
            <w:left w:val="none" w:sz="0" w:space="0" w:color="auto"/>
            <w:bottom w:val="none" w:sz="0" w:space="0" w:color="auto"/>
            <w:right w:val="none" w:sz="0" w:space="0" w:color="auto"/>
          </w:divBdr>
        </w:div>
        <w:div w:id="1314213545">
          <w:marLeft w:val="0"/>
          <w:marRight w:val="0"/>
          <w:marTop w:val="0"/>
          <w:marBottom w:val="0"/>
          <w:divBdr>
            <w:top w:val="none" w:sz="0" w:space="0" w:color="auto"/>
            <w:left w:val="none" w:sz="0" w:space="0" w:color="auto"/>
            <w:bottom w:val="none" w:sz="0" w:space="0" w:color="auto"/>
            <w:right w:val="none" w:sz="0" w:space="0" w:color="auto"/>
          </w:divBdr>
        </w:div>
        <w:div w:id="1041901912">
          <w:marLeft w:val="0"/>
          <w:marRight w:val="0"/>
          <w:marTop w:val="0"/>
          <w:marBottom w:val="0"/>
          <w:divBdr>
            <w:top w:val="none" w:sz="0" w:space="0" w:color="auto"/>
            <w:left w:val="none" w:sz="0" w:space="0" w:color="auto"/>
            <w:bottom w:val="none" w:sz="0" w:space="0" w:color="auto"/>
            <w:right w:val="none" w:sz="0" w:space="0" w:color="auto"/>
          </w:divBdr>
        </w:div>
        <w:div w:id="1005984528">
          <w:marLeft w:val="0"/>
          <w:marRight w:val="0"/>
          <w:marTop w:val="0"/>
          <w:marBottom w:val="0"/>
          <w:divBdr>
            <w:top w:val="none" w:sz="0" w:space="0" w:color="auto"/>
            <w:left w:val="none" w:sz="0" w:space="0" w:color="auto"/>
            <w:bottom w:val="none" w:sz="0" w:space="0" w:color="auto"/>
            <w:right w:val="none" w:sz="0" w:space="0" w:color="auto"/>
          </w:divBdr>
        </w:div>
        <w:div w:id="1289432717">
          <w:marLeft w:val="0"/>
          <w:marRight w:val="0"/>
          <w:marTop w:val="0"/>
          <w:marBottom w:val="0"/>
          <w:divBdr>
            <w:top w:val="none" w:sz="0" w:space="0" w:color="auto"/>
            <w:left w:val="none" w:sz="0" w:space="0" w:color="auto"/>
            <w:bottom w:val="none" w:sz="0" w:space="0" w:color="auto"/>
            <w:right w:val="none" w:sz="0" w:space="0" w:color="auto"/>
          </w:divBdr>
        </w:div>
        <w:div w:id="1706247153">
          <w:marLeft w:val="0"/>
          <w:marRight w:val="0"/>
          <w:marTop w:val="0"/>
          <w:marBottom w:val="0"/>
          <w:divBdr>
            <w:top w:val="none" w:sz="0" w:space="0" w:color="auto"/>
            <w:left w:val="none" w:sz="0" w:space="0" w:color="auto"/>
            <w:bottom w:val="none" w:sz="0" w:space="0" w:color="auto"/>
            <w:right w:val="none" w:sz="0" w:space="0" w:color="auto"/>
          </w:divBdr>
        </w:div>
        <w:div w:id="540556550">
          <w:marLeft w:val="0"/>
          <w:marRight w:val="0"/>
          <w:marTop w:val="0"/>
          <w:marBottom w:val="0"/>
          <w:divBdr>
            <w:top w:val="none" w:sz="0" w:space="0" w:color="auto"/>
            <w:left w:val="none" w:sz="0" w:space="0" w:color="auto"/>
            <w:bottom w:val="none" w:sz="0" w:space="0" w:color="auto"/>
            <w:right w:val="none" w:sz="0" w:space="0" w:color="auto"/>
          </w:divBdr>
        </w:div>
        <w:div w:id="802307045">
          <w:marLeft w:val="0"/>
          <w:marRight w:val="0"/>
          <w:marTop w:val="0"/>
          <w:marBottom w:val="0"/>
          <w:divBdr>
            <w:top w:val="none" w:sz="0" w:space="0" w:color="auto"/>
            <w:left w:val="none" w:sz="0" w:space="0" w:color="auto"/>
            <w:bottom w:val="none" w:sz="0" w:space="0" w:color="auto"/>
            <w:right w:val="none" w:sz="0" w:space="0" w:color="auto"/>
          </w:divBdr>
        </w:div>
        <w:div w:id="1365902087">
          <w:marLeft w:val="0"/>
          <w:marRight w:val="0"/>
          <w:marTop w:val="0"/>
          <w:marBottom w:val="0"/>
          <w:divBdr>
            <w:top w:val="none" w:sz="0" w:space="0" w:color="auto"/>
            <w:left w:val="none" w:sz="0" w:space="0" w:color="auto"/>
            <w:bottom w:val="none" w:sz="0" w:space="0" w:color="auto"/>
            <w:right w:val="none" w:sz="0" w:space="0" w:color="auto"/>
          </w:divBdr>
        </w:div>
        <w:div w:id="964040019">
          <w:marLeft w:val="0"/>
          <w:marRight w:val="0"/>
          <w:marTop w:val="0"/>
          <w:marBottom w:val="0"/>
          <w:divBdr>
            <w:top w:val="none" w:sz="0" w:space="0" w:color="auto"/>
            <w:left w:val="none" w:sz="0" w:space="0" w:color="auto"/>
            <w:bottom w:val="none" w:sz="0" w:space="0" w:color="auto"/>
            <w:right w:val="none" w:sz="0" w:space="0" w:color="auto"/>
          </w:divBdr>
        </w:div>
        <w:div w:id="781916956">
          <w:marLeft w:val="0"/>
          <w:marRight w:val="0"/>
          <w:marTop w:val="0"/>
          <w:marBottom w:val="0"/>
          <w:divBdr>
            <w:top w:val="none" w:sz="0" w:space="0" w:color="auto"/>
            <w:left w:val="none" w:sz="0" w:space="0" w:color="auto"/>
            <w:bottom w:val="none" w:sz="0" w:space="0" w:color="auto"/>
            <w:right w:val="none" w:sz="0" w:space="0" w:color="auto"/>
          </w:divBdr>
        </w:div>
        <w:div w:id="17973869">
          <w:marLeft w:val="0"/>
          <w:marRight w:val="0"/>
          <w:marTop w:val="0"/>
          <w:marBottom w:val="0"/>
          <w:divBdr>
            <w:top w:val="none" w:sz="0" w:space="0" w:color="auto"/>
            <w:left w:val="none" w:sz="0" w:space="0" w:color="auto"/>
            <w:bottom w:val="none" w:sz="0" w:space="0" w:color="auto"/>
            <w:right w:val="none" w:sz="0" w:space="0" w:color="auto"/>
          </w:divBdr>
        </w:div>
        <w:div w:id="1505393112">
          <w:marLeft w:val="0"/>
          <w:marRight w:val="0"/>
          <w:marTop w:val="0"/>
          <w:marBottom w:val="0"/>
          <w:divBdr>
            <w:top w:val="none" w:sz="0" w:space="0" w:color="auto"/>
            <w:left w:val="none" w:sz="0" w:space="0" w:color="auto"/>
            <w:bottom w:val="none" w:sz="0" w:space="0" w:color="auto"/>
            <w:right w:val="none" w:sz="0" w:space="0" w:color="auto"/>
          </w:divBdr>
        </w:div>
        <w:div w:id="1947271945">
          <w:marLeft w:val="0"/>
          <w:marRight w:val="0"/>
          <w:marTop w:val="0"/>
          <w:marBottom w:val="0"/>
          <w:divBdr>
            <w:top w:val="none" w:sz="0" w:space="0" w:color="auto"/>
            <w:left w:val="none" w:sz="0" w:space="0" w:color="auto"/>
            <w:bottom w:val="none" w:sz="0" w:space="0" w:color="auto"/>
            <w:right w:val="none" w:sz="0" w:space="0" w:color="auto"/>
          </w:divBdr>
        </w:div>
        <w:div w:id="2137142480">
          <w:marLeft w:val="0"/>
          <w:marRight w:val="0"/>
          <w:marTop w:val="0"/>
          <w:marBottom w:val="0"/>
          <w:divBdr>
            <w:top w:val="none" w:sz="0" w:space="0" w:color="auto"/>
            <w:left w:val="none" w:sz="0" w:space="0" w:color="auto"/>
            <w:bottom w:val="none" w:sz="0" w:space="0" w:color="auto"/>
            <w:right w:val="none" w:sz="0" w:space="0" w:color="auto"/>
          </w:divBdr>
        </w:div>
        <w:div w:id="427241759">
          <w:marLeft w:val="0"/>
          <w:marRight w:val="0"/>
          <w:marTop w:val="0"/>
          <w:marBottom w:val="0"/>
          <w:divBdr>
            <w:top w:val="none" w:sz="0" w:space="0" w:color="auto"/>
            <w:left w:val="none" w:sz="0" w:space="0" w:color="auto"/>
            <w:bottom w:val="none" w:sz="0" w:space="0" w:color="auto"/>
            <w:right w:val="none" w:sz="0" w:space="0" w:color="auto"/>
          </w:divBdr>
        </w:div>
        <w:div w:id="2055419021">
          <w:marLeft w:val="0"/>
          <w:marRight w:val="0"/>
          <w:marTop w:val="0"/>
          <w:marBottom w:val="0"/>
          <w:divBdr>
            <w:top w:val="none" w:sz="0" w:space="0" w:color="auto"/>
            <w:left w:val="none" w:sz="0" w:space="0" w:color="auto"/>
            <w:bottom w:val="none" w:sz="0" w:space="0" w:color="auto"/>
            <w:right w:val="none" w:sz="0" w:space="0" w:color="auto"/>
          </w:divBdr>
        </w:div>
        <w:div w:id="298653628">
          <w:marLeft w:val="0"/>
          <w:marRight w:val="0"/>
          <w:marTop w:val="0"/>
          <w:marBottom w:val="0"/>
          <w:divBdr>
            <w:top w:val="none" w:sz="0" w:space="0" w:color="auto"/>
            <w:left w:val="none" w:sz="0" w:space="0" w:color="auto"/>
            <w:bottom w:val="none" w:sz="0" w:space="0" w:color="auto"/>
            <w:right w:val="none" w:sz="0" w:space="0" w:color="auto"/>
          </w:divBdr>
        </w:div>
        <w:div w:id="178083078">
          <w:marLeft w:val="0"/>
          <w:marRight w:val="0"/>
          <w:marTop w:val="0"/>
          <w:marBottom w:val="0"/>
          <w:divBdr>
            <w:top w:val="none" w:sz="0" w:space="0" w:color="auto"/>
            <w:left w:val="none" w:sz="0" w:space="0" w:color="auto"/>
            <w:bottom w:val="none" w:sz="0" w:space="0" w:color="auto"/>
            <w:right w:val="none" w:sz="0" w:space="0" w:color="auto"/>
          </w:divBdr>
        </w:div>
        <w:div w:id="1486050366">
          <w:marLeft w:val="0"/>
          <w:marRight w:val="0"/>
          <w:marTop w:val="0"/>
          <w:marBottom w:val="0"/>
          <w:divBdr>
            <w:top w:val="none" w:sz="0" w:space="0" w:color="auto"/>
            <w:left w:val="none" w:sz="0" w:space="0" w:color="auto"/>
            <w:bottom w:val="none" w:sz="0" w:space="0" w:color="auto"/>
            <w:right w:val="none" w:sz="0" w:space="0" w:color="auto"/>
          </w:divBdr>
        </w:div>
        <w:div w:id="1882740791">
          <w:marLeft w:val="0"/>
          <w:marRight w:val="0"/>
          <w:marTop w:val="0"/>
          <w:marBottom w:val="0"/>
          <w:divBdr>
            <w:top w:val="none" w:sz="0" w:space="0" w:color="auto"/>
            <w:left w:val="none" w:sz="0" w:space="0" w:color="auto"/>
            <w:bottom w:val="none" w:sz="0" w:space="0" w:color="auto"/>
            <w:right w:val="none" w:sz="0" w:space="0" w:color="auto"/>
          </w:divBdr>
        </w:div>
        <w:div w:id="1429086223">
          <w:marLeft w:val="0"/>
          <w:marRight w:val="0"/>
          <w:marTop w:val="0"/>
          <w:marBottom w:val="0"/>
          <w:divBdr>
            <w:top w:val="none" w:sz="0" w:space="0" w:color="auto"/>
            <w:left w:val="none" w:sz="0" w:space="0" w:color="auto"/>
            <w:bottom w:val="none" w:sz="0" w:space="0" w:color="auto"/>
            <w:right w:val="none" w:sz="0" w:space="0" w:color="auto"/>
          </w:divBdr>
        </w:div>
        <w:div w:id="1899439221">
          <w:marLeft w:val="0"/>
          <w:marRight w:val="0"/>
          <w:marTop w:val="0"/>
          <w:marBottom w:val="0"/>
          <w:divBdr>
            <w:top w:val="none" w:sz="0" w:space="0" w:color="auto"/>
            <w:left w:val="none" w:sz="0" w:space="0" w:color="auto"/>
            <w:bottom w:val="none" w:sz="0" w:space="0" w:color="auto"/>
            <w:right w:val="none" w:sz="0" w:space="0" w:color="auto"/>
          </w:divBdr>
        </w:div>
        <w:div w:id="1089741489">
          <w:marLeft w:val="0"/>
          <w:marRight w:val="0"/>
          <w:marTop w:val="0"/>
          <w:marBottom w:val="0"/>
          <w:divBdr>
            <w:top w:val="none" w:sz="0" w:space="0" w:color="auto"/>
            <w:left w:val="none" w:sz="0" w:space="0" w:color="auto"/>
            <w:bottom w:val="none" w:sz="0" w:space="0" w:color="auto"/>
            <w:right w:val="none" w:sz="0" w:space="0" w:color="auto"/>
          </w:divBdr>
        </w:div>
        <w:div w:id="2000965613">
          <w:marLeft w:val="0"/>
          <w:marRight w:val="0"/>
          <w:marTop w:val="0"/>
          <w:marBottom w:val="0"/>
          <w:divBdr>
            <w:top w:val="none" w:sz="0" w:space="0" w:color="auto"/>
            <w:left w:val="none" w:sz="0" w:space="0" w:color="auto"/>
            <w:bottom w:val="none" w:sz="0" w:space="0" w:color="auto"/>
            <w:right w:val="none" w:sz="0" w:space="0" w:color="auto"/>
          </w:divBdr>
        </w:div>
        <w:div w:id="1353650949">
          <w:marLeft w:val="0"/>
          <w:marRight w:val="0"/>
          <w:marTop w:val="0"/>
          <w:marBottom w:val="0"/>
          <w:divBdr>
            <w:top w:val="none" w:sz="0" w:space="0" w:color="auto"/>
            <w:left w:val="none" w:sz="0" w:space="0" w:color="auto"/>
            <w:bottom w:val="none" w:sz="0" w:space="0" w:color="auto"/>
            <w:right w:val="none" w:sz="0" w:space="0" w:color="auto"/>
          </w:divBdr>
        </w:div>
        <w:div w:id="959457064">
          <w:marLeft w:val="0"/>
          <w:marRight w:val="0"/>
          <w:marTop w:val="0"/>
          <w:marBottom w:val="0"/>
          <w:divBdr>
            <w:top w:val="none" w:sz="0" w:space="0" w:color="auto"/>
            <w:left w:val="none" w:sz="0" w:space="0" w:color="auto"/>
            <w:bottom w:val="none" w:sz="0" w:space="0" w:color="auto"/>
            <w:right w:val="none" w:sz="0" w:space="0" w:color="auto"/>
          </w:divBdr>
        </w:div>
        <w:div w:id="1041049419">
          <w:marLeft w:val="0"/>
          <w:marRight w:val="0"/>
          <w:marTop w:val="0"/>
          <w:marBottom w:val="0"/>
          <w:divBdr>
            <w:top w:val="none" w:sz="0" w:space="0" w:color="auto"/>
            <w:left w:val="none" w:sz="0" w:space="0" w:color="auto"/>
            <w:bottom w:val="none" w:sz="0" w:space="0" w:color="auto"/>
            <w:right w:val="none" w:sz="0" w:space="0" w:color="auto"/>
          </w:divBdr>
        </w:div>
        <w:div w:id="118886281">
          <w:marLeft w:val="0"/>
          <w:marRight w:val="0"/>
          <w:marTop w:val="0"/>
          <w:marBottom w:val="0"/>
          <w:divBdr>
            <w:top w:val="none" w:sz="0" w:space="0" w:color="auto"/>
            <w:left w:val="none" w:sz="0" w:space="0" w:color="auto"/>
            <w:bottom w:val="none" w:sz="0" w:space="0" w:color="auto"/>
            <w:right w:val="none" w:sz="0" w:space="0" w:color="auto"/>
          </w:divBdr>
        </w:div>
        <w:div w:id="2076273589">
          <w:marLeft w:val="0"/>
          <w:marRight w:val="0"/>
          <w:marTop w:val="0"/>
          <w:marBottom w:val="0"/>
          <w:divBdr>
            <w:top w:val="none" w:sz="0" w:space="0" w:color="auto"/>
            <w:left w:val="none" w:sz="0" w:space="0" w:color="auto"/>
            <w:bottom w:val="none" w:sz="0" w:space="0" w:color="auto"/>
            <w:right w:val="none" w:sz="0" w:space="0" w:color="auto"/>
          </w:divBdr>
        </w:div>
        <w:div w:id="928850006">
          <w:marLeft w:val="0"/>
          <w:marRight w:val="0"/>
          <w:marTop w:val="0"/>
          <w:marBottom w:val="0"/>
          <w:divBdr>
            <w:top w:val="none" w:sz="0" w:space="0" w:color="auto"/>
            <w:left w:val="none" w:sz="0" w:space="0" w:color="auto"/>
            <w:bottom w:val="none" w:sz="0" w:space="0" w:color="auto"/>
            <w:right w:val="none" w:sz="0" w:space="0" w:color="auto"/>
          </w:divBdr>
        </w:div>
        <w:div w:id="67001094">
          <w:marLeft w:val="0"/>
          <w:marRight w:val="0"/>
          <w:marTop w:val="0"/>
          <w:marBottom w:val="0"/>
          <w:divBdr>
            <w:top w:val="none" w:sz="0" w:space="0" w:color="auto"/>
            <w:left w:val="none" w:sz="0" w:space="0" w:color="auto"/>
            <w:bottom w:val="none" w:sz="0" w:space="0" w:color="auto"/>
            <w:right w:val="none" w:sz="0" w:space="0" w:color="auto"/>
          </w:divBdr>
        </w:div>
        <w:div w:id="435173580">
          <w:marLeft w:val="0"/>
          <w:marRight w:val="0"/>
          <w:marTop w:val="0"/>
          <w:marBottom w:val="0"/>
          <w:divBdr>
            <w:top w:val="none" w:sz="0" w:space="0" w:color="auto"/>
            <w:left w:val="none" w:sz="0" w:space="0" w:color="auto"/>
            <w:bottom w:val="none" w:sz="0" w:space="0" w:color="auto"/>
            <w:right w:val="none" w:sz="0" w:space="0" w:color="auto"/>
          </w:divBdr>
        </w:div>
        <w:div w:id="150605975">
          <w:marLeft w:val="0"/>
          <w:marRight w:val="0"/>
          <w:marTop w:val="0"/>
          <w:marBottom w:val="0"/>
          <w:divBdr>
            <w:top w:val="none" w:sz="0" w:space="0" w:color="auto"/>
            <w:left w:val="none" w:sz="0" w:space="0" w:color="auto"/>
            <w:bottom w:val="none" w:sz="0" w:space="0" w:color="auto"/>
            <w:right w:val="none" w:sz="0" w:space="0" w:color="auto"/>
          </w:divBdr>
        </w:div>
        <w:div w:id="1972860314">
          <w:marLeft w:val="0"/>
          <w:marRight w:val="0"/>
          <w:marTop w:val="0"/>
          <w:marBottom w:val="0"/>
          <w:divBdr>
            <w:top w:val="none" w:sz="0" w:space="0" w:color="auto"/>
            <w:left w:val="none" w:sz="0" w:space="0" w:color="auto"/>
            <w:bottom w:val="none" w:sz="0" w:space="0" w:color="auto"/>
            <w:right w:val="none" w:sz="0" w:space="0" w:color="auto"/>
          </w:divBdr>
        </w:div>
        <w:div w:id="1158106750">
          <w:marLeft w:val="0"/>
          <w:marRight w:val="0"/>
          <w:marTop w:val="0"/>
          <w:marBottom w:val="0"/>
          <w:divBdr>
            <w:top w:val="none" w:sz="0" w:space="0" w:color="auto"/>
            <w:left w:val="none" w:sz="0" w:space="0" w:color="auto"/>
            <w:bottom w:val="none" w:sz="0" w:space="0" w:color="auto"/>
            <w:right w:val="none" w:sz="0" w:space="0" w:color="auto"/>
          </w:divBdr>
        </w:div>
        <w:div w:id="1627078749">
          <w:marLeft w:val="0"/>
          <w:marRight w:val="0"/>
          <w:marTop w:val="0"/>
          <w:marBottom w:val="0"/>
          <w:divBdr>
            <w:top w:val="none" w:sz="0" w:space="0" w:color="auto"/>
            <w:left w:val="none" w:sz="0" w:space="0" w:color="auto"/>
            <w:bottom w:val="none" w:sz="0" w:space="0" w:color="auto"/>
            <w:right w:val="none" w:sz="0" w:space="0" w:color="auto"/>
          </w:divBdr>
        </w:div>
        <w:div w:id="1529222295">
          <w:marLeft w:val="0"/>
          <w:marRight w:val="0"/>
          <w:marTop w:val="0"/>
          <w:marBottom w:val="0"/>
          <w:divBdr>
            <w:top w:val="none" w:sz="0" w:space="0" w:color="auto"/>
            <w:left w:val="none" w:sz="0" w:space="0" w:color="auto"/>
            <w:bottom w:val="none" w:sz="0" w:space="0" w:color="auto"/>
            <w:right w:val="none" w:sz="0" w:space="0" w:color="auto"/>
          </w:divBdr>
        </w:div>
        <w:div w:id="1939214039">
          <w:marLeft w:val="0"/>
          <w:marRight w:val="0"/>
          <w:marTop w:val="0"/>
          <w:marBottom w:val="0"/>
          <w:divBdr>
            <w:top w:val="none" w:sz="0" w:space="0" w:color="auto"/>
            <w:left w:val="none" w:sz="0" w:space="0" w:color="auto"/>
            <w:bottom w:val="none" w:sz="0" w:space="0" w:color="auto"/>
            <w:right w:val="none" w:sz="0" w:space="0" w:color="auto"/>
          </w:divBdr>
        </w:div>
        <w:div w:id="1290670134">
          <w:marLeft w:val="0"/>
          <w:marRight w:val="0"/>
          <w:marTop w:val="0"/>
          <w:marBottom w:val="0"/>
          <w:divBdr>
            <w:top w:val="none" w:sz="0" w:space="0" w:color="auto"/>
            <w:left w:val="none" w:sz="0" w:space="0" w:color="auto"/>
            <w:bottom w:val="none" w:sz="0" w:space="0" w:color="auto"/>
            <w:right w:val="none" w:sz="0" w:space="0" w:color="auto"/>
          </w:divBdr>
        </w:div>
        <w:div w:id="1744327487">
          <w:marLeft w:val="0"/>
          <w:marRight w:val="0"/>
          <w:marTop w:val="0"/>
          <w:marBottom w:val="0"/>
          <w:divBdr>
            <w:top w:val="none" w:sz="0" w:space="0" w:color="auto"/>
            <w:left w:val="none" w:sz="0" w:space="0" w:color="auto"/>
            <w:bottom w:val="none" w:sz="0" w:space="0" w:color="auto"/>
            <w:right w:val="none" w:sz="0" w:space="0" w:color="auto"/>
          </w:divBdr>
        </w:div>
        <w:div w:id="669018206">
          <w:marLeft w:val="0"/>
          <w:marRight w:val="0"/>
          <w:marTop w:val="0"/>
          <w:marBottom w:val="0"/>
          <w:divBdr>
            <w:top w:val="none" w:sz="0" w:space="0" w:color="auto"/>
            <w:left w:val="none" w:sz="0" w:space="0" w:color="auto"/>
            <w:bottom w:val="none" w:sz="0" w:space="0" w:color="auto"/>
            <w:right w:val="none" w:sz="0" w:space="0" w:color="auto"/>
          </w:divBdr>
        </w:div>
        <w:div w:id="2110156518">
          <w:marLeft w:val="0"/>
          <w:marRight w:val="0"/>
          <w:marTop w:val="0"/>
          <w:marBottom w:val="0"/>
          <w:divBdr>
            <w:top w:val="none" w:sz="0" w:space="0" w:color="auto"/>
            <w:left w:val="none" w:sz="0" w:space="0" w:color="auto"/>
            <w:bottom w:val="none" w:sz="0" w:space="0" w:color="auto"/>
            <w:right w:val="none" w:sz="0" w:space="0" w:color="auto"/>
          </w:divBdr>
        </w:div>
        <w:div w:id="557279784">
          <w:marLeft w:val="0"/>
          <w:marRight w:val="0"/>
          <w:marTop w:val="0"/>
          <w:marBottom w:val="0"/>
          <w:divBdr>
            <w:top w:val="none" w:sz="0" w:space="0" w:color="auto"/>
            <w:left w:val="none" w:sz="0" w:space="0" w:color="auto"/>
            <w:bottom w:val="none" w:sz="0" w:space="0" w:color="auto"/>
            <w:right w:val="none" w:sz="0" w:space="0" w:color="auto"/>
          </w:divBdr>
        </w:div>
        <w:div w:id="744106009">
          <w:marLeft w:val="0"/>
          <w:marRight w:val="0"/>
          <w:marTop w:val="0"/>
          <w:marBottom w:val="0"/>
          <w:divBdr>
            <w:top w:val="none" w:sz="0" w:space="0" w:color="auto"/>
            <w:left w:val="none" w:sz="0" w:space="0" w:color="auto"/>
            <w:bottom w:val="none" w:sz="0" w:space="0" w:color="auto"/>
            <w:right w:val="none" w:sz="0" w:space="0" w:color="auto"/>
          </w:divBdr>
        </w:div>
        <w:div w:id="1404571991">
          <w:marLeft w:val="0"/>
          <w:marRight w:val="0"/>
          <w:marTop w:val="0"/>
          <w:marBottom w:val="0"/>
          <w:divBdr>
            <w:top w:val="none" w:sz="0" w:space="0" w:color="auto"/>
            <w:left w:val="none" w:sz="0" w:space="0" w:color="auto"/>
            <w:bottom w:val="none" w:sz="0" w:space="0" w:color="auto"/>
            <w:right w:val="none" w:sz="0" w:space="0" w:color="auto"/>
          </w:divBdr>
        </w:div>
        <w:div w:id="849442580">
          <w:marLeft w:val="0"/>
          <w:marRight w:val="0"/>
          <w:marTop w:val="0"/>
          <w:marBottom w:val="0"/>
          <w:divBdr>
            <w:top w:val="none" w:sz="0" w:space="0" w:color="auto"/>
            <w:left w:val="none" w:sz="0" w:space="0" w:color="auto"/>
            <w:bottom w:val="none" w:sz="0" w:space="0" w:color="auto"/>
            <w:right w:val="none" w:sz="0" w:space="0" w:color="auto"/>
          </w:divBdr>
        </w:div>
        <w:div w:id="1772120413">
          <w:marLeft w:val="0"/>
          <w:marRight w:val="0"/>
          <w:marTop w:val="0"/>
          <w:marBottom w:val="0"/>
          <w:divBdr>
            <w:top w:val="none" w:sz="0" w:space="0" w:color="auto"/>
            <w:left w:val="none" w:sz="0" w:space="0" w:color="auto"/>
            <w:bottom w:val="none" w:sz="0" w:space="0" w:color="auto"/>
            <w:right w:val="none" w:sz="0" w:space="0" w:color="auto"/>
          </w:divBdr>
        </w:div>
        <w:div w:id="747964264">
          <w:marLeft w:val="0"/>
          <w:marRight w:val="0"/>
          <w:marTop w:val="0"/>
          <w:marBottom w:val="0"/>
          <w:divBdr>
            <w:top w:val="none" w:sz="0" w:space="0" w:color="auto"/>
            <w:left w:val="none" w:sz="0" w:space="0" w:color="auto"/>
            <w:bottom w:val="none" w:sz="0" w:space="0" w:color="auto"/>
            <w:right w:val="none" w:sz="0" w:space="0" w:color="auto"/>
          </w:divBdr>
        </w:div>
        <w:div w:id="824932448">
          <w:marLeft w:val="0"/>
          <w:marRight w:val="0"/>
          <w:marTop w:val="0"/>
          <w:marBottom w:val="0"/>
          <w:divBdr>
            <w:top w:val="none" w:sz="0" w:space="0" w:color="auto"/>
            <w:left w:val="none" w:sz="0" w:space="0" w:color="auto"/>
            <w:bottom w:val="none" w:sz="0" w:space="0" w:color="auto"/>
            <w:right w:val="none" w:sz="0" w:space="0" w:color="auto"/>
          </w:divBdr>
        </w:div>
        <w:div w:id="737018672">
          <w:marLeft w:val="0"/>
          <w:marRight w:val="0"/>
          <w:marTop w:val="0"/>
          <w:marBottom w:val="0"/>
          <w:divBdr>
            <w:top w:val="none" w:sz="0" w:space="0" w:color="auto"/>
            <w:left w:val="none" w:sz="0" w:space="0" w:color="auto"/>
            <w:bottom w:val="none" w:sz="0" w:space="0" w:color="auto"/>
            <w:right w:val="none" w:sz="0" w:space="0" w:color="auto"/>
          </w:divBdr>
        </w:div>
        <w:div w:id="1557551331">
          <w:marLeft w:val="0"/>
          <w:marRight w:val="0"/>
          <w:marTop w:val="0"/>
          <w:marBottom w:val="0"/>
          <w:divBdr>
            <w:top w:val="none" w:sz="0" w:space="0" w:color="auto"/>
            <w:left w:val="none" w:sz="0" w:space="0" w:color="auto"/>
            <w:bottom w:val="none" w:sz="0" w:space="0" w:color="auto"/>
            <w:right w:val="none" w:sz="0" w:space="0" w:color="auto"/>
          </w:divBdr>
        </w:div>
        <w:div w:id="217058517">
          <w:marLeft w:val="0"/>
          <w:marRight w:val="0"/>
          <w:marTop w:val="0"/>
          <w:marBottom w:val="0"/>
          <w:divBdr>
            <w:top w:val="none" w:sz="0" w:space="0" w:color="auto"/>
            <w:left w:val="none" w:sz="0" w:space="0" w:color="auto"/>
            <w:bottom w:val="none" w:sz="0" w:space="0" w:color="auto"/>
            <w:right w:val="none" w:sz="0" w:space="0" w:color="auto"/>
          </w:divBdr>
        </w:div>
        <w:div w:id="1156989496">
          <w:marLeft w:val="0"/>
          <w:marRight w:val="0"/>
          <w:marTop w:val="0"/>
          <w:marBottom w:val="0"/>
          <w:divBdr>
            <w:top w:val="none" w:sz="0" w:space="0" w:color="auto"/>
            <w:left w:val="none" w:sz="0" w:space="0" w:color="auto"/>
            <w:bottom w:val="none" w:sz="0" w:space="0" w:color="auto"/>
            <w:right w:val="none" w:sz="0" w:space="0" w:color="auto"/>
          </w:divBdr>
        </w:div>
        <w:div w:id="76250788">
          <w:marLeft w:val="0"/>
          <w:marRight w:val="0"/>
          <w:marTop w:val="0"/>
          <w:marBottom w:val="0"/>
          <w:divBdr>
            <w:top w:val="none" w:sz="0" w:space="0" w:color="auto"/>
            <w:left w:val="none" w:sz="0" w:space="0" w:color="auto"/>
            <w:bottom w:val="none" w:sz="0" w:space="0" w:color="auto"/>
            <w:right w:val="none" w:sz="0" w:space="0" w:color="auto"/>
          </w:divBdr>
        </w:div>
        <w:div w:id="390466918">
          <w:marLeft w:val="0"/>
          <w:marRight w:val="0"/>
          <w:marTop w:val="0"/>
          <w:marBottom w:val="0"/>
          <w:divBdr>
            <w:top w:val="none" w:sz="0" w:space="0" w:color="auto"/>
            <w:left w:val="none" w:sz="0" w:space="0" w:color="auto"/>
            <w:bottom w:val="none" w:sz="0" w:space="0" w:color="auto"/>
            <w:right w:val="none" w:sz="0" w:space="0" w:color="auto"/>
          </w:divBdr>
        </w:div>
        <w:div w:id="388307586">
          <w:marLeft w:val="0"/>
          <w:marRight w:val="0"/>
          <w:marTop w:val="0"/>
          <w:marBottom w:val="0"/>
          <w:divBdr>
            <w:top w:val="none" w:sz="0" w:space="0" w:color="auto"/>
            <w:left w:val="none" w:sz="0" w:space="0" w:color="auto"/>
            <w:bottom w:val="none" w:sz="0" w:space="0" w:color="auto"/>
            <w:right w:val="none" w:sz="0" w:space="0" w:color="auto"/>
          </w:divBdr>
        </w:div>
        <w:div w:id="2113354177">
          <w:marLeft w:val="0"/>
          <w:marRight w:val="0"/>
          <w:marTop w:val="0"/>
          <w:marBottom w:val="0"/>
          <w:divBdr>
            <w:top w:val="none" w:sz="0" w:space="0" w:color="auto"/>
            <w:left w:val="none" w:sz="0" w:space="0" w:color="auto"/>
            <w:bottom w:val="none" w:sz="0" w:space="0" w:color="auto"/>
            <w:right w:val="none" w:sz="0" w:space="0" w:color="auto"/>
          </w:divBdr>
        </w:div>
        <w:div w:id="1084763790">
          <w:marLeft w:val="0"/>
          <w:marRight w:val="0"/>
          <w:marTop w:val="0"/>
          <w:marBottom w:val="0"/>
          <w:divBdr>
            <w:top w:val="none" w:sz="0" w:space="0" w:color="auto"/>
            <w:left w:val="none" w:sz="0" w:space="0" w:color="auto"/>
            <w:bottom w:val="none" w:sz="0" w:space="0" w:color="auto"/>
            <w:right w:val="none" w:sz="0" w:space="0" w:color="auto"/>
          </w:divBdr>
        </w:div>
        <w:div w:id="244271541">
          <w:marLeft w:val="0"/>
          <w:marRight w:val="0"/>
          <w:marTop w:val="0"/>
          <w:marBottom w:val="0"/>
          <w:divBdr>
            <w:top w:val="none" w:sz="0" w:space="0" w:color="auto"/>
            <w:left w:val="none" w:sz="0" w:space="0" w:color="auto"/>
            <w:bottom w:val="none" w:sz="0" w:space="0" w:color="auto"/>
            <w:right w:val="none" w:sz="0" w:space="0" w:color="auto"/>
          </w:divBdr>
        </w:div>
        <w:div w:id="1237322632">
          <w:marLeft w:val="0"/>
          <w:marRight w:val="0"/>
          <w:marTop w:val="0"/>
          <w:marBottom w:val="0"/>
          <w:divBdr>
            <w:top w:val="none" w:sz="0" w:space="0" w:color="auto"/>
            <w:left w:val="none" w:sz="0" w:space="0" w:color="auto"/>
            <w:bottom w:val="none" w:sz="0" w:space="0" w:color="auto"/>
            <w:right w:val="none" w:sz="0" w:space="0" w:color="auto"/>
          </w:divBdr>
        </w:div>
        <w:div w:id="1930428547">
          <w:marLeft w:val="0"/>
          <w:marRight w:val="0"/>
          <w:marTop w:val="0"/>
          <w:marBottom w:val="0"/>
          <w:divBdr>
            <w:top w:val="none" w:sz="0" w:space="0" w:color="auto"/>
            <w:left w:val="none" w:sz="0" w:space="0" w:color="auto"/>
            <w:bottom w:val="none" w:sz="0" w:space="0" w:color="auto"/>
            <w:right w:val="none" w:sz="0" w:space="0" w:color="auto"/>
          </w:divBdr>
        </w:div>
        <w:div w:id="520633976">
          <w:marLeft w:val="0"/>
          <w:marRight w:val="0"/>
          <w:marTop w:val="0"/>
          <w:marBottom w:val="0"/>
          <w:divBdr>
            <w:top w:val="none" w:sz="0" w:space="0" w:color="auto"/>
            <w:left w:val="none" w:sz="0" w:space="0" w:color="auto"/>
            <w:bottom w:val="none" w:sz="0" w:space="0" w:color="auto"/>
            <w:right w:val="none" w:sz="0" w:space="0" w:color="auto"/>
          </w:divBdr>
        </w:div>
        <w:div w:id="551161204">
          <w:marLeft w:val="0"/>
          <w:marRight w:val="0"/>
          <w:marTop w:val="0"/>
          <w:marBottom w:val="0"/>
          <w:divBdr>
            <w:top w:val="none" w:sz="0" w:space="0" w:color="auto"/>
            <w:left w:val="none" w:sz="0" w:space="0" w:color="auto"/>
            <w:bottom w:val="none" w:sz="0" w:space="0" w:color="auto"/>
            <w:right w:val="none" w:sz="0" w:space="0" w:color="auto"/>
          </w:divBdr>
        </w:div>
        <w:div w:id="596793819">
          <w:marLeft w:val="0"/>
          <w:marRight w:val="0"/>
          <w:marTop w:val="0"/>
          <w:marBottom w:val="0"/>
          <w:divBdr>
            <w:top w:val="none" w:sz="0" w:space="0" w:color="auto"/>
            <w:left w:val="none" w:sz="0" w:space="0" w:color="auto"/>
            <w:bottom w:val="none" w:sz="0" w:space="0" w:color="auto"/>
            <w:right w:val="none" w:sz="0" w:space="0" w:color="auto"/>
          </w:divBdr>
        </w:div>
        <w:div w:id="1222012200">
          <w:marLeft w:val="0"/>
          <w:marRight w:val="0"/>
          <w:marTop w:val="0"/>
          <w:marBottom w:val="0"/>
          <w:divBdr>
            <w:top w:val="none" w:sz="0" w:space="0" w:color="auto"/>
            <w:left w:val="none" w:sz="0" w:space="0" w:color="auto"/>
            <w:bottom w:val="none" w:sz="0" w:space="0" w:color="auto"/>
            <w:right w:val="none" w:sz="0" w:space="0" w:color="auto"/>
          </w:divBdr>
        </w:div>
        <w:div w:id="1283227025">
          <w:marLeft w:val="0"/>
          <w:marRight w:val="0"/>
          <w:marTop w:val="0"/>
          <w:marBottom w:val="0"/>
          <w:divBdr>
            <w:top w:val="none" w:sz="0" w:space="0" w:color="auto"/>
            <w:left w:val="none" w:sz="0" w:space="0" w:color="auto"/>
            <w:bottom w:val="none" w:sz="0" w:space="0" w:color="auto"/>
            <w:right w:val="none" w:sz="0" w:space="0" w:color="auto"/>
          </w:divBdr>
        </w:div>
        <w:div w:id="1253474137">
          <w:marLeft w:val="0"/>
          <w:marRight w:val="0"/>
          <w:marTop w:val="0"/>
          <w:marBottom w:val="0"/>
          <w:divBdr>
            <w:top w:val="none" w:sz="0" w:space="0" w:color="auto"/>
            <w:left w:val="none" w:sz="0" w:space="0" w:color="auto"/>
            <w:bottom w:val="none" w:sz="0" w:space="0" w:color="auto"/>
            <w:right w:val="none" w:sz="0" w:space="0" w:color="auto"/>
          </w:divBdr>
        </w:div>
        <w:div w:id="777795491">
          <w:marLeft w:val="0"/>
          <w:marRight w:val="0"/>
          <w:marTop w:val="0"/>
          <w:marBottom w:val="0"/>
          <w:divBdr>
            <w:top w:val="none" w:sz="0" w:space="0" w:color="auto"/>
            <w:left w:val="none" w:sz="0" w:space="0" w:color="auto"/>
            <w:bottom w:val="none" w:sz="0" w:space="0" w:color="auto"/>
            <w:right w:val="none" w:sz="0" w:space="0" w:color="auto"/>
          </w:divBdr>
        </w:div>
        <w:div w:id="91751360">
          <w:marLeft w:val="0"/>
          <w:marRight w:val="0"/>
          <w:marTop w:val="0"/>
          <w:marBottom w:val="0"/>
          <w:divBdr>
            <w:top w:val="none" w:sz="0" w:space="0" w:color="auto"/>
            <w:left w:val="none" w:sz="0" w:space="0" w:color="auto"/>
            <w:bottom w:val="none" w:sz="0" w:space="0" w:color="auto"/>
            <w:right w:val="none" w:sz="0" w:space="0" w:color="auto"/>
          </w:divBdr>
        </w:div>
        <w:div w:id="2017610015">
          <w:marLeft w:val="0"/>
          <w:marRight w:val="0"/>
          <w:marTop w:val="0"/>
          <w:marBottom w:val="0"/>
          <w:divBdr>
            <w:top w:val="none" w:sz="0" w:space="0" w:color="auto"/>
            <w:left w:val="none" w:sz="0" w:space="0" w:color="auto"/>
            <w:bottom w:val="none" w:sz="0" w:space="0" w:color="auto"/>
            <w:right w:val="none" w:sz="0" w:space="0" w:color="auto"/>
          </w:divBdr>
        </w:div>
        <w:div w:id="1351177995">
          <w:marLeft w:val="0"/>
          <w:marRight w:val="0"/>
          <w:marTop w:val="0"/>
          <w:marBottom w:val="0"/>
          <w:divBdr>
            <w:top w:val="none" w:sz="0" w:space="0" w:color="auto"/>
            <w:left w:val="none" w:sz="0" w:space="0" w:color="auto"/>
            <w:bottom w:val="none" w:sz="0" w:space="0" w:color="auto"/>
            <w:right w:val="none" w:sz="0" w:space="0" w:color="auto"/>
          </w:divBdr>
        </w:div>
        <w:div w:id="1350330989">
          <w:marLeft w:val="0"/>
          <w:marRight w:val="0"/>
          <w:marTop w:val="0"/>
          <w:marBottom w:val="0"/>
          <w:divBdr>
            <w:top w:val="none" w:sz="0" w:space="0" w:color="auto"/>
            <w:left w:val="none" w:sz="0" w:space="0" w:color="auto"/>
            <w:bottom w:val="none" w:sz="0" w:space="0" w:color="auto"/>
            <w:right w:val="none" w:sz="0" w:space="0" w:color="auto"/>
          </w:divBdr>
        </w:div>
        <w:div w:id="1862015077">
          <w:marLeft w:val="0"/>
          <w:marRight w:val="0"/>
          <w:marTop w:val="0"/>
          <w:marBottom w:val="0"/>
          <w:divBdr>
            <w:top w:val="none" w:sz="0" w:space="0" w:color="auto"/>
            <w:left w:val="none" w:sz="0" w:space="0" w:color="auto"/>
            <w:bottom w:val="none" w:sz="0" w:space="0" w:color="auto"/>
            <w:right w:val="none" w:sz="0" w:space="0" w:color="auto"/>
          </w:divBdr>
        </w:div>
        <w:div w:id="1683319579">
          <w:marLeft w:val="0"/>
          <w:marRight w:val="0"/>
          <w:marTop w:val="0"/>
          <w:marBottom w:val="0"/>
          <w:divBdr>
            <w:top w:val="none" w:sz="0" w:space="0" w:color="auto"/>
            <w:left w:val="none" w:sz="0" w:space="0" w:color="auto"/>
            <w:bottom w:val="none" w:sz="0" w:space="0" w:color="auto"/>
            <w:right w:val="none" w:sz="0" w:space="0" w:color="auto"/>
          </w:divBdr>
        </w:div>
        <w:div w:id="118687009">
          <w:marLeft w:val="0"/>
          <w:marRight w:val="0"/>
          <w:marTop w:val="0"/>
          <w:marBottom w:val="0"/>
          <w:divBdr>
            <w:top w:val="none" w:sz="0" w:space="0" w:color="auto"/>
            <w:left w:val="none" w:sz="0" w:space="0" w:color="auto"/>
            <w:bottom w:val="none" w:sz="0" w:space="0" w:color="auto"/>
            <w:right w:val="none" w:sz="0" w:space="0" w:color="auto"/>
          </w:divBdr>
        </w:div>
        <w:div w:id="1449467540">
          <w:marLeft w:val="0"/>
          <w:marRight w:val="0"/>
          <w:marTop w:val="0"/>
          <w:marBottom w:val="0"/>
          <w:divBdr>
            <w:top w:val="none" w:sz="0" w:space="0" w:color="auto"/>
            <w:left w:val="none" w:sz="0" w:space="0" w:color="auto"/>
            <w:bottom w:val="none" w:sz="0" w:space="0" w:color="auto"/>
            <w:right w:val="none" w:sz="0" w:space="0" w:color="auto"/>
          </w:divBdr>
        </w:div>
        <w:div w:id="909853794">
          <w:marLeft w:val="0"/>
          <w:marRight w:val="0"/>
          <w:marTop w:val="0"/>
          <w:marBottom w:val="0"/>
          <w:divBdr>
            <w:top w:val="none" w:sz="0" w:space="0" w:color="auto"/>
            <w:left w:val="none" w:sz="0" w:space="0" w:color="auto"/>
            <w:bottom w:val="none" w:sz="0" w:space="0" w:color="auto"/>
            <w:right w:val="none" w:sz="0" w:space="0" w:color="auto"/>
          </w:divBdr>
        </w:div>
        <w:div w:id="275868889">
          <w:marLeft w:val="0"/>
          <w:marRight w:val="0"/>
          <w:marTop w:val="0"/>
          <w:marBottom w:val="0"/>
          <w:divBdr>
            <w:top w:val="none" w:sz="0" w:space="0" w:color="auto"/>
            <w:left w:val="none" w:sz="0" w:space="0" w:color="auto"/>
            <w:bottom w:val="none" w:sz="0" w:space="0" w:color="auto"/>
            <w:right w:val="none" w:sz="0" w:space="0" w:color="auto"/>
          </w:divBdr>
        </w:div>
        <w:div w:id="1838618777">
          <w:marLeft w:val="0"/>
          <w:marRight w:val="0"/>
          <w:marTop w:val="0"/>
          <w:marBottom w:val="0"/>
          <w:divBdr>
            <w:top w:val="none" w:sz="0" w:space="0" w:color="auto"/>
            <w:left w:val="none" w:sz="0" w:space="0" w:color="auto"/>
            <w:bottom w:val="none" w:sz="0" w:space="0" w:color="auto"/>
            <w:right w:val="none" w:sz="0" w:space="0" w:color="auto"/>
          </w:divBdr>
        </w:div>
        <w:div w:id="605695086">
          <w:marLeft w:val="0"/>
          <w:marRight w:val="0"/>
          <w:marTop w:val="0"/>
          <w:marBottom w:val="0"/>
          <w:divBdr>
            <w:top w:val="none" w:sz="0" w:space="0" w:color="auto"/>
            <w:left w:val="none" w:sz="0" w:space="0" w:color="auto"/>
            <w:bottom w:val="none" w:sz="0" w:space="0" w:color="auto"/>
            <w:right w:val="none" w:sz="0" w:space="0" w:color="auto"/>
          </w:divBdr>
        </w:div>
        <w:div w:id="451439755">
          <w:marLeft w:val="0"/>
          <w:marRight w:val="0"/>
          <w:marTop w:val="0"/>
          <w:marBottom w:val="0"/>
          <w:divBdr>
            <w:top w:val="none" w:sz="0" w:space="0" w:color="auto"/>
            <w:left w:val="none" w:sz="0" w:space="0" w:color="auto"/>
            <w:bottom w:val="none" w:sz="0" w:space="0" w:color="auto"/>
            <w:right w:val="none" w:sz="0" w:space="0" w:color="auto"/>
          </w:divBdr>
        </w:div>
        <w:div w:id="667561201">
          <w:marLeft w:val="0"/>
          <w:marRight w:val="0"/>
          <w:marTop w:val="0"/>
          <w:marBottom w:val="0"/>
          <w:divBdr>
            <w:top w:val="none" w:sz="0" w:space="0" w:color="auto"/>
            <w:left w:val="none" w:sz="0" w:space="0" w:color="auto"/>
            <w:bottom w:val="none" w:sz="0" w:space="0" w:color="auto"/>
            <w:right w:val="none" w:sz="0" w:space="0" w:color="auto"/>
          </w:divBdr>
        </w:div>
        <w:div w:id="890922995">
          <w:marLeft w:val="0"/>
          <w:marRight w:val="0"/>
          <w:marTop w:val="0"/>
          <w:marBottom w:val="0"/>
          <w:divBdr>
            <w:top w:val="none" w:sz="0" w:space="0" w:color="auto"/>
            <w:left w:val="none" w:sz="0" w:space="0" w:color="auto"/>
            <w:bottom w:val="none" w:sz="0" w:space="0" w:color="auto"/>
            <w:right w:val="none" w:sz="0" w:space="0" w:color="auto"/>
          </w:divBdr>
        </w:div>
        <w:div w:id="110560091">
          <w:marLeft w:val="0"/>
          <w:marRight w:val="0"/>
          <w:marTop w:val="0"/>
          <w:marBottom w:val="0"/>
          <w:divBdr>
            <w:top w:val="none" w:sz="0" w:space="0" w:color="auto"/>
            <w:left w:val="none" w:sz="0" w:space="0" w:color="auto"/>
            <w:bottom w:val="none" w:sz="0" w:space="0" w:color="auto"/>
            <w:right w:val="none" w:sz="0" w:space="0" w:color="auto"/>
          </w:divBdr>
        </w:div>
        <w:div w:id="1038898053">
          <w:marLeft w:val="0"/>
          <w:marRight w:val="0"/>
          <w:marTop w:val="0"/>
          <w:marBottom w:val="0"/>
          <w:divBdr>
            <w:top w:val="none" w:sz="0" w:space="0" w:color="auto"/>
            <w:left w:val="none" w:sz="0" w:space="0" w:color="auto"/>
            <w:bottom w:val="none" w:sz="0" w:space="0" w:color="auto"/>
            <w:right w:val="none" w:sz="0" w:space="0" w:color="auto"/>
          </w:divBdr>
        </w:div>
        <w:div w:id="816915356">
          <w:marLeft w:val="0"/>
          <w:marRight w:val="0"/>
          <w:marTop w:val="0"/>
          <w:marBottom w:val="0"/>
          <w:divBdr>
            <w:top w:val="none" w:sz="0" w:space="0" w:color="auto"/>
            <w:left w:val="none" w:sz="0" w:space="0" w:color="auto"/>
            <w:bottom w:val="none" w:sz="0" w:space="0" w:color="auto"/>
            <w:right w:val="none" w:sz="0" w:space="0" w:color="auto"/>
          </w:divBdr>
        </w:div>
        <w:div w:id="470556699">
          <w:marLeft w:val="0"/>
          <w:marRight w:val="0"/>
          <w:marTop w:val="0"/>
          <w:marBottom w:val="0"/>
          <w:divBdr>
            <w:top w:val="none" w:sz="0" w:space="0" w:color="auto"/>
            <w:left w:val="none" w:sz="0" w:space="0" w:color="auto"/>
            <w:bottom w:val="none" w:sz="0" w:space="0" w:color="auto"/>
            <w:right w:val="none" w:sz="0" w:space="0" w:color="auto"/>
          </w:divBdr>
        </w:div>
        <w:div w:id="1233539536">
          <w:marLeft w:val="0"/>
          <w:marRight w:val="0"/>
          <w:marTop w:val="0"/>
          <w:marBottom w:val="0"/>
          <w:divBdr>
            <w:top w:val="none" w:sz="0" w:space="0" w:color="auto"/>
            <w:left w:val="none" w:sz="0" w:space="0" w:color="auto"/>
            <w:bottom w:val="none" w:sz="0" w:space="0" w:color="auto"/>
            <w:right w:val="none" w:sz="0" w:space="0" w:color="auto"/>
          </w:divBdr>
        </w:div>
        <w:div w:id="1220244541">
          <w:marLeft w:val="0"/>
          <w:marRight w:val="0"/>
          <w:marTop w:val="0"/>
          <w:marBottom w:val="0"/>
          <w:divBdr>
            <w:top w:val="none" w:sz="0" w:space="0" w:color="auto"/>
            <w:left w:val="none" w:sz="0" w:space="0" w:color="auto"/>
            <w:bottom w:val="none" w:sz="0" w:space="0" w:color="auto"/>
            <w:right w:val="none" w:sz="0" w:space="0" w:color="auto"/>
          </w:divBdr>
        </w:div>
        <w:div w:id="1703817922">
          <w:marLeft w:val="0"/>
          <w:marRight w:val="0"/>
          <w:marTop w:val="0"/>
          <w:marBottom w:val="0"/>
          <w:divBdr>
            <w:top w:val="none" w:sz="0" w:space="0" w:color="auto"/>
            <w:left w:val="none" w:sz="0" w:space="0" w:color="auto"/>
            <w:bottom w:val="none" w:sz="0" w:space="0" w:color="auto"/>
            <w:right w:val="none" w:sz="0" w:space="0" w:color="auto"/>
          </w:divBdr>
        </w:div>
        <w:div w:id="1140541515">
          <w:marLeft w:val="0"/>
          <w:marRight w:val="0"/>
          <w:marTop w:val="0"/>
          <w:marBottom w:val="0"/>
          <w:divBdr>
            <w:top w:val="none" w:sz="0" w:space="0" w:color="auto"/>
            <w:left w:val="none" w:sz="0" w:space="0" w:color="auto"/>
            <w:bottom w:val="none" w:sz="0" w:space="0" w:color="auto"/>
            <w:right w:val="none" w:sz="0" w:space="0" w:color="auto"/>
          </w:divBdr>
        </w:div>
        <w:div w:id="359745974">
          <w:marLeft w:val="0"/>
          <w:marRight w:val="0"/>
          <w:marTop w:val="0"/>
          <w:marBottom w:val="0"/>
          <w:divBdr>
            <w:top w:val="none" w:sz="0" w:space="0" w:color="auto"/>
            <w:left w:val="none" w:sz="0" w:space="0" w:color="auto"/>
            <w:bottom w:val="none" w:sz="0" w:space="0" w:color="auto"/>
            <w:right w:val="none" w:sz="0" w:space="0" w:color="auto"/>
          </w:divBdr>
        </w:div>
        <w:div w:id="1584072153">
          <w:marLeft w:val="0"/>
          <w:marRight w:val="0"/>
          <w:marTop w:val="0"/>
          <w:marBottom w:val="0"/>
          <w:divBdr>
            <w:top w:val="none" w:sz="0" w:space="0" w:color="auto"/>
            <w:left w:val="none" w:sz="0" w:space="0" w:color="auto"/>
            <w:bottom w:val="none" w:sz="0" w:space="0" w:color="auto"/>
            <w:right w:val="none" w:sz="0" w:space="0" w:color="auto"/>
          </w:divBdr>
        </w:div>
        <w:div w:id="1518275063">
          <w:marLeft w:val="0"/>
          <w:marRight w:val="0"/>
          <w:marTop w:val="0"/>
          <w:marBottom w:val="0"/>
          <w:divBdr>
            <w:top w:val="none" w:sz="0" w:space="0" w:color="auto"/>
            <w:left w:val="none" w:sz="0" w:space="0" w:color="auto"/>
            <w:bottom w:val="none" w:sz="0" w:space="0" w:color="auto"/>
            <w:right w:val="none" w:sz="0" w:space="0" w:color="auto"/>
          </w:divBdr>
        </w:div>
        <w:div w:id="1540508301">
          <w:marLeft w:val="0"/>
          <w:marRight w:val="0"/>
          <w:marTop w:val="0"/>
          <w:marBottom w:val="0"/>
          <w:divBdr>
            <w:top w:val="none" w:sz="0" w:space="0" w:color="auto"/>
            <w:left w:val="none" w:sz="0" w:space="0" w:color="auto"/>
            <w:bottom w:val="none" w:sz="0" w:space="0" w:color="auto"/>
            <w:right w:val="none" w:sz="0" w:space="0" w:color="auto"/>
          </w:divBdr>
        </w:div>
        <w:div w:id="512499849">
          <w:marLeft w:val="0"/>
          <w:marRight w:val="0"/>
          <w:marTop w:val="0"/>
          <w:marBottom w:val="0"/>
          <w:divBdr>
            <w:top w:val="none" w:sz="0" w:space="0" w:color="auto"/>
            <w:left w:val="none" w:sz="0" w:space="0" w:color="auto"/>
            <w:bottom w:val="none" w:sz="0" w:space="0" w:color="auto"/>
            <w:right w:val="none" w:sz="0" w:space="0" w:color="auto"/>
          </w:divBdr>
        </w:div>
        <w:div w:id="812409080">
          <w:marLeft w:val="0"/>
          <w:marRight w:val="0"/>
          <w:marTop w:val="0"/>
          <w:marBottom w:val="0"/>
          <w:divBdr>
            <w:top w:val="none" w:sz="0" w:space="0" w:color="auto"/>
            <w:left w:val="none" w:sz="0" w:space="0" w:color="auto"/>
            <w:bottom w:val="none" w:sz="0" w:space="0" w:color="auto"/>
            <w:right w:val="none" w:sz="0" w:space="0" w:color="auto"/>
          </w:divBdr>
        </w:div>
        <w:div w:id="903368900">
          <w:marLeft w:val="0"/>
          <w:marRight w:val="0"/>
          <w:marTop w:val="0"/>
          <w:marBottom w:val="0"/>
          <w:divBdr>
            <w:top w:val="none" w:sz="0" w:space="0" w:color="auto"/>
            <w:left w:val="none" w:sz="0" w:space="0" w:color="auto"/>
            <w:bottom w:val="none" w:sz="0" w:space="0" w:color="auto"/>
            <w:right w:val="none" w:sz="0" w:space="0" w:color="auto"/>
          </w:divBdr>
        </w:div>
        <w:div w:id="80027840">
          <w:marLeft w:val="0"/>
          <w:marRight w:val="0"/>
          <w:marTop w:val="0"/>
          <w:marBottom w:val="0"/>
          <w:divBdr>
            <w:top w:val="none" w:sz="0" w:space="0" w:color="auto"/>
            <w:left w:val="none" w:sz="0" w:space="0" w:color="auto"/>
            <w:bottom w:val="none" w:sz="0" w:space="0" w:color="auto"/>
            <w:right w:val="none" w:sz="0" w:space="0" w:color="auto"/>
          </w:divBdr>
        </w:div>
        <w:div w:id="6639260">
          <w:marLeft w:val="0"/>
          <w:marRight w:val="0"/>
          <w:marTop w:val="0"/>
          <w:marBottom w:val="0"/>
          <w:divBdr>
            <w:top w:val="none" w:sz="0" w:space="0" w:color="auto"/>
            <w:left w:val="none" w:sz="0" w:space="0" w:color="auto"/>
            <w:bottom w:val="none" w:sz="0" w:space="0" w:color="auto"/>
            <w:right w:val="none" w:sz="0" w:space="0" w:color="auto"/>
          </w:divBdr>
        </w:div>
        <w:div w:id="1198928076">
          <w:marLeft w:val="0"/>
          <w:marRight w:val="0"/>
          <w:marTop w:val="0"/>
          <w:marBottom w:val="0"/>
          <w:divBdr>
            <w:top w:val="none" w:sz="0" w:space="0" w:color="auto"/>
            <w:left w:val="none" w:sz="0" w:space="0" w:color="auto"/>
            <w:bottom w:val="none" w:sz="0" w:space="0" w:color="auto"/>
            <w:right w:val="none" w:sz="0" w:space="0" w:color="auto"/>
          </w:divBdr>
        </w:div>
        <w:div w:id="315113543">
          <w:marLeft w:val="0"/>
          <w:marRight w:val="0"/>
          <w:marTop w:val="0"/>
          <w:marBottom w:val="0"/>
          <w:divBdr>
            <w:top w:val="none" w:sz="0" w:space="0" w:color="auto"/>
            <w:left w:val="none" w:sz="0" w:space="0" w:color="auto"/>
            <w:bottom w:val="none" w:sz="0" w:space="0" w:color="auto"/>
            <w:right w:val="none" w:sz="0" w:space="0" w:color="auto"/>
          </w:divBdr>
        </w:div>
        <w:div w:id="2064986571">
          <w:marLeft w:val="0"/>
          <w:marRight w:val="0"/>
          <w:marTop w:val="0"/>
          <w:marBottom w:val="0"/>
          <w:divBdr>
            <w:top w:val="none" w:sz="0" w:space="0" w:color="auto"/>
            <w:left w:val="none" w:sz="0" w:space="0" w:color="auto"/>
            <w:bottom w:val="none" w:sz="0" w:space="0" w:color="auto"/>
            <w:right w:val="none" w:sz="0" w:space="0" w:color="auto"/>
          </w:divBdr>
        </w:div>
        <w:div w:id="1017732671">
          <w:marLeft w:val="0"/>
          <w:marRight w:val="0"/>
          <w:marTop w:val="0"/>
          <w:marBottom w:val="0"/>
          <w:divBdr>
            <w:top w:val="none" w:sz="0" w:space="0" w:color="auto"/>
            <w:left w:val="none" w:sz="0" w:space="0" w:color="auto"/>
            <w:bottom w:val="none" w:sz="0" w:space="0" w:color="auto"/>
            <w:right w:val="none" w:sz="0" w:space="0" w:color="auto"/>
          </w:divBdr>
        </w:div>
        <w:div w:id="1045256310">
          <w:marLeft w:val="0"/>
          <w:marRight w:val="0"/>
          <w:marTop w:val="0"/>
          <w:marBottom w:val="0"/>
          <w:divBdr>
            <w:top w:val="none" w:sz="0" w:space="0" w:color="auto"/>
            <w:left w:val="none" w:sz="0" w:space="0" w:color="auto"/>
            <w:bottom w:val="none" w:sz="0" w:space="0" w:color="auto"/>
            <w:right w:val="none" w:sz="0" w:space="0" w:color="auto"/>
          </w:divBdr>
        </w:div>
        <w:div w:id="972980137">
          <w:marLeft w:val="0"/>
          <w:marRight w:val="0"/>
          <w:marTop w:val="0"/>
          <w:marBottom w:val="0"/>
          <w:divBdr>
            <w:top w:val="none" w:sz="0" w:space="0" w:color="auto"/>
            <w:left w:val="none" w:sz="0" w:space="0" w:color="auto"/>
            <w:bottom w:val="none" w:sz="0" w:space="0" w:color="auto"/>
            <w:right w:val="none" w:sz="0" w:space="0" w:color="auto"/>
          </w:divBdr>
        </w:div>
        <w:div w:id="291063541">
          <w:marLeft w:val="0"/>
          <w:marRight w:val="0"/>
          <w:marTop w:val="0"/>
          <w:marBottom w:val="0"/>
          <w:divBdr>
            <w:top w:val="none" w:sz="0" w:space="0" w:color="auto"/>
            <w:left w:val="none" w:sz="0" w:space="0" w:color="auto"/>
            <w:bottom w:val="none" w:sz="0" w:space="0" w:color="auto"/>
            <w:right w:val="none" w:sz="0" w:space="0" w:color="auto"/>
          </w:divBdr>
        </w:div>
        <w:div w:id="1356226821">
          <w:marLeft w:val="0"/>
          <w:marRight w:val="0"/>
          <w:marTop w:val="0"/>
          <w:marBottom w:val="0"/>
          <w:divBdr>
            <w:top w:val="none" w:sz="0" w:space="0" w:color="auto"/>
            <w:left w:val="none" w:sz="0" w:space="0" w:color="auto"/>
            <w:bottom w:val="none" w:sz="0" w:space="0" w:color="auto"/>
            <w:right w:val="none" w:sz="0" w:space="0" w:color="auto"/>
          </w:divBdr>
        </w:div>
        <w:div w:id="871503034">
          <w:marLeft w:val="0"/>
          <w:marRight w:val="0"/>
          <w:marTop w:val="0"/>
          <w:marBottom w:val="0"/>
          <w:divBdr>
            <w:top w:val="none" w:sz="0" w:space="0" w:color="auto"/>
            <w:left w:val="none" w:sz="0" w:space="0" w:color="auto"/>
            <w:bottom w:val="none" w:sz="0" w:space="0" w:color="auto"/>
            <w:right w:val="none" w:sz="0" w:space="0" w:color="auto"/>
          </w:divBdr>
        </w:div>
      </w:divsChild>
    </w:div>
    <w:div w:id="1063142691">
      <w:bodyDiv w:val="1"/>
      <w:marLeft w:val="0"/>
      <w:marRight w:val="0"/>
      <w:marTop w:val="0"/>
      <w:marBottom w:val="0"/>
      <w:divBdr>
        <w:top w:val="none" w:sz="0" w:space="0" w:color="auto"/>
        <w:left w:val="none" w:sz="0" w:space="0" w:color="auto"/>
        <w:bottom w:val="none" w:sz="0" w:space="0" w:color="auto"/>
        <w:right w:val="none" w:sz="0" w:space="0" w:color="auto"/>
      </w:divBdr>
      <w:divsChild>
        <w:div w:id="1591623338">
          <w:marLeft w:val="0"/>
          <w:marRight w:val="0"/>
          <w:marTop w:val="0"/>
          <w:marBottom w:val="0"/>
          <w:divBdr>
            <w:top w:val="none" w:sz="0" w:space="0" w:color="auto"/>
            <w:left w:val="none" w:sz="0" w:space="0" w:color="auto"/>
            <w:bottom w:val="none" w:sz="0" w:space="0" w:color="auto"/>
            <w:right w:val="none" w:sz="0" w:space="0" w:color="auto"/>
          </w:divBdr>
        </w:div>
        <w:div w:id="702484800">
          <w:marLeft w:val="0"/>
          <w:marRight w:val="0"/>
          <w:marTop w:val="0"/>
          <w:marBottom w:val="0"/>
          <w:divBdr>
            <w:top w:val="none" w:sz="0" w:space="0" w:color="auto"/>
            <w:left w:val="none" w:sz="0" w:space="0" w:color="auto"/>
            <w:bottom w:val="none" w:sz="0" w:space="0" w:color="auto"/>
            <w:right w:val="none" w:sz="0" w:space="0" w:color="auto"/>
          </w:divBdr>
        </w:div>
        <w:div w:id="1168835392">
          <w:marLeft w:val="0"/>
          <w:marRight w:val="0"/>
          <w:marTop w:val="0"/>
          <w:marBottom w:val="0"/>
          <w:divBdr>
            <w:top w:val="none" w:sz="0" w:space="0" w:color="auto"/>
            <w:left w:val="none" w:sz="0" w:space="0" w:color="auto"/>
            <w:bottom w:val="none" w:sz="0" w:space="0" w:color="auto"/>
            <w:right w:val="none" w:sz="0" w:space="0" w:color="auto"/>
          </w:divBdr>
        </w:div>
      </w:divsChild>
    </w:div>
    <w:div w:id="1439904901">
      <w:bodyDiv w:val="1"/>
      <w:marLeft w:val="0"/>
      <w:marRight w:val="0"/>
      <w:marTop w:val="0"/>
      <w:marBottom w:val="0"/>
      <w:divBdr>
        <w:top w:val="none" w:sz="0" w:space="0" w:color="auto"/>
        <w:left w:val="none" w:sz="0" w:space="0" w:color="auto"/>
        <w:bottom w:val="none" w:sz="0" w:space="0" w:color="auto"/>
        <w:right w:val="none" w:sz="0" w:space="0" w:color="auto"/>
      </w:divBdr>
      <w:divsChild>
        <w:div w:id="7487036">
          <w:marLeft w:val="0"/>
          <w:marRight w:val="0"/>
          <w:marTop w:val="0"/>
          <w:marBottom w:val="0"/>
          <w:divBdr>
            <w:top w:val="none" w:sz="0" w:space="0" w:color="auto"/>
            <w:left w:val="none" w:sz="0" w:space="0" w:color="auto"/>
            <w:bottom w:val="none" w:sz="0" w:space="0" w:color="auto"/>
            <w:right w:val="none" w:sz="0" w:space="0" w:color="auto"/>
          </w:divBdr>
        </w:div>
        <w:div w:id="736510119">
          <w:marLeft w:val="0"/>
          <w:marRight w:val="0"/>
          <w:marTop w:val="0"/>
          <w:marBottom w:val="0"/>
          <w:divBdr>
            <w:top w:val="none" w:sz="0" w:space="0" w:color="auto"/>
            <w:left w:val="none" w:sz="0" w:space="0" w:color="auto"/>
            <w:bottom w:val="none" w:sz="0" w:space="0" w:color="auto"/>
            <w:right w:val="none" w:sz="0" w:space="0" w:color="auto"/>
          </w:divBdr>
        </w:div>
        <w:div w:id="1353262005">
          <w:marLeft w:val="0"/>
          <w:marRight w:val="0"/>
          <w:marTop w:val="0"/>
          <w:marBottom w:val="0"/>
          <w:divBdr>
            <w:top w:val="none" w:sz="0" w:space="0" w:color="auto"/>
            <w:left w:val="none" w:sz="0" w:space="0" w:color="auto"/>
            <w:bottom w:val="none" w:sz="0" w:space="0" w:color="auto"/>
            <w:right w:val="none" w:sz="0" w:space="0" w:color="auto"/>
          </w:divBdr>
        </w:div>
        <w:div w:id="1657026199">
          <w:marLeft w:val="0"/>
          <w:marRight w:val="0"/>
          <w:marTop w:val="0"/>
          <w:marBottom w:val="0"/>
          <w:divBdr>
            <w:top w:val="none" w:sz="0" w:space="0" w:color="auto"/>
            <w:left w:val="none" w:sz="0" w:space="0" w:color="auto"/>
            <w:bottom w:val="none" w:sz="0" w:space="0" w:color="auto"/>
            <w:right w:val="none" w:sz="0" w:space="0" w:color="auto"/>
          </w:divBdr>
        </w:div>
        <w:div w:id="1604846558">
          <w:marLeft w:val="0"/>
          <w:marRight w:val="0"/>
          <w:marTop w:val="0"/>
          <w:marBottom w:val="0"/>
          <w:divBdr>
            <w:top w:val="none" w:sz="0" w:space="0" w:color="auto"/>
            <w:left w:val="none" w:sz="0" w:space="0" w:color="auto"/>
            <w:bottom w:val="none" w:sz="0" w:space="0" w:color="auto"/>
            <w:right w:val="none" w:sz="0" w:space="0" w:color="auto"/>
          </w:divBdr>
        </w:div>
      </w:divsChild>
    </w:div>
    <w:div w:id="1450659199">
      <w:bodyDiv w:val="1"/>
      <w:marLeft w:val="0"/>
      <w:marRight w:val="0"/>
      <w:marTop w:val="0"/>
      <w:marBottom w:val="0"/>
      <w:divBdr>
        <w:top w:val="none" w:sz="0" w:space="0" w:color="auto"/>
        <w:left w:val="none" w:sz="0" w:space="0" w:color="auto"/>
        <w:bottom w:val="none" w:sz="0" w:space="0" w:color="auto"/>
        <w:right w:val="none" w:sz="0" w:space="0" w:color="auto"/>
      </w:divBdr>
      <w:divsChild>
        <w:div w:id="1336878958">
          <w:marLeft w:val="0"/>
          <w:marRight w:val="0"/>
          <w:marTop w:val="0"/>
          <w:marBottom w:val="0"/>
          <w:divBdr>
            <w:top w:val="none" w:sz="0" w:space="0" w:color="auto"/>
            <w:left w:val="none" w:sz="0" w:space="0" w:color="auto"/>
            <w:bottom w:val="none" w:sz="0" w:space="0" w:color="auto"/>
            <w:right w:val="none" w:sz="0" w:space="0" w:color="auto"/>
          </w:divBdr>
        </w:div>
        <w:div w:id="1148279025">
          <w:marLeft w:val="0"/>
          <w:marRight w:val="0"/>
          <w:marTop w:val="0"/>
          <w:marBottom w:val="0"/>
          <w:divBdr>
            <w:top w:val="none" w:sz="0" w:space="0" w:color="auto"/>
            <w:left w:val="none" w:sz="0" w:space="0" w:color="auto"/>
            <w:bottom w:val="none" w:sz="0" w:space="0" w:color="auto"/>
            <w:right w:val="none" w:sz="0" w:space="0" w:color="auto"/>
          </w:divBdr>
        </w:div>
        <w:div w:id="629555026">
          <w:marLeft w:val="0"/>
          <w:marRight w:val="0"/>
          <w:marTop w:val="0"/>
          <w:marBottom w:val="0"/>
          <w:divBdr>
            <w:top w:val="none" w:sz="0" w:space="0" w:color="auto"/>
            <w:left w:val="none" w:sz="0" w:space="0" w:color="auto"/>
            <w:bottom w:val="none" w:sz="0" w:space="0" w:color="auto"/>
            <w:right w:val="none" w:sz="0" w:space="0" w:color="auto"/>
          </w:divBdr>
        </w:div>
        <w:div w:id="1066420888">
          <w:marLeft w:val="0"/>
          <w:marRight w:val="0"/>
          <w:marTop w:val="0"/>
          <w:marBottom w:val="0"/>
          <w:divBdr>
            <w:top w:val="none" w:sz="0" w:space="0" w:color="auto"/>
            <w:left w:val="none" w:sz="0" w:space="0" w:color="auto"/>
            <w:bottom w:val="none" w:sz="0" w:space="0" w:color="auto"/>
            <w:right w:val="none" w:sz="0" w:space="0" w:color="auto"/>
          </w:divBdr>
        </w:div>
        <w:div w:id="1043747548">
          <w:marLeft w:val="0"/>
          <w:marRight w:val="0"/>
          <w:marTop w:val="0"/>
          <w:marBottom w:val="0"/>
          <w:divBdr>
            <w:top w:val="none" w:sz="0" w:space="0" w:color="auto"/>
            <w:left w:val="none" w:sz="0" w:space="0" w:color="auto"/>
            <w:bottom w:val="none" w:sz="0" w:space="0" w:color="auto"/>
            <w:right w:val="none" w:sz="0" w:space="0" w:color="auto"/>
          </w:divBdr>
        </w:div>
        <w:div w:id="1931885764">
          <w:marLeft w:val="0"/>
          <w:marRight w:val="0"/>
          <w:marTop w:val="0"/>
          <w:marBottom w:val="0"/>
          <w:divBdr>
            <w:top w:val="none" w:sz="0" w:space="0" w:color="auto"/>
            <w:left w:val="none" w:sz="0" w:space="0" w:color="auto"/>
            <w:bottom w:val="none" w:sz="0" w:space="0" w:color="auto"/>
            <w:right w:val="none" w:sz="0" w:space="0" w:color="auto"/>
          </w:divBdr>
        </w:div>
        <w:div w:id="1289239204">
          <w:marLeft w:val="0"/>
          <w:marRight w:val="0"/>
          <w:marTop w:val="0"/>
          <w:marBottom w:val="0"/>
          <w:divBdr>
            <w:top w:val="none" w:sz="0" w:space="0" w:color="auto"/>
            <w:left w:val="none" w:sz="0" w:space="0" w:color="auto"/>
            <w:bottom w:val="none" w:sz="0" w:space="0" w:color="auto"/>
            <w:right w:val="none" w:sz="0" w:space="0" w:color="auto"/>
          </w:divBdr>
        </w:div>
        <w:div w:id="883909740">
          <w:marLeft w:val="0"/>
          <w:marRight w:val="0"/>
          <w:marTop w:val="0"/>
          <w:marBottom w:val="0"/>
          <w:divBdr>
            <w:top w:val="none" w:sz="0" w:space="0" w:color="auto"/>
            <w:left w:val="none" w:sz="0" w:space="0" w:color="auto"/>
            <w:bottom w:val="none" w:sz="0" w:space="0" w:color="auto"/>
            <w:right w:val="none" w:sz="0" w:space="0" w:color="auto"/>
          </w:divBdr>
        </w:div>
        <w:div w:id="499122900">
          <w:marLeft w:val="0"/>
          <w:marRight w:val="0"/>
          <w:marTop w:val="0"/>
          <w:marBottom w:val="0"/>
          <w:divBdr>
            <w:top w:val="none" w:sz="0" w:space="0" w:color="auto"/>
            <w:left w:val="none" w:sz="0" w:space="0" w:color="auto"/>
            <w:bottom w:val="none" w:sz="0" w:space="0" w:color="auto"/>
            <w:right w:val="none" w:sz="0" w:space="0" w:color="auto"/>
          </w:divBdr>
        </w:div>
        <w:div w:id="403993572">
          <w:marLeft w:val="0"/>
          <w:marRight w:val="0"/>
          <w:marTop w:val="0"/>
          <w:marBottom w:val="0"/>
          <w:divBdr>
            <w:top w:val="none" w:sz="0" w:space="0" w:color="auto"/>
            <w:left w:val="none" w:sz="0" w:space="0" w:color="auto"/>
            <w:bottom w:val="none" w:sz="0" w:space="0" w:color="auto"/>
            <w:right w:val="none" w:sz="0" w:space="0" w:color="auto"/>
          </w:divBdr>
        </w:div>
        <w:div w:id="463156987">
          <w:marLeft w:val="0"/>
          <w:marRight w:val="0"/>
          <w:marTop w:val="0"/>
          <w:marBottom w:val="0"/>
          <w:divBdr>
            <w:top w:val="none" w:sz="0" w:space="0" w:color="auto"/>
            <w:left w:val="none" w:sz="0" w:space="0" w:color="auto"/>
            <w:bottom w:val="none" w:sz="0" w:space="0" w:color="auto"/>
            <w:right w:val="none" w:sz="0" w:space="0" w:color="auto"/>
          </w:divBdr>
        </w:div>
        <w:div w:id="1381320471">
          <w:marLeft w:val="0"/>
          <w:marRight w:val="0"/>
          <w:marTop w:val="0"/>
          <w:marBottom w:val="0"/>
          <w:divBdr>
            <w:top w:val="none" w:sz="0" w:space="0" w:color="auto"/>
            <w:left w:val="none" w:sz="0" w:space="0" w:color="auto"/>
            <w:bottom w:val="none" w:sz="0" w:space="0" w:color="auto"/>
            <w:right w:val="none" w:sz="0" w:space="0" w:color="auto"/>
          </w:divBdr>
        </w:div>
        <w:div w:id="1377198370">
          <w:marLeft w:val="0"/>
          <w:marRight w:val="0"/>
          <w:marTop w:val="0"/>
          <w:marBottom w:val="0"/>
          <w:divBdr>
            <w:top w:val="none" w:sz="0" w:space="0" w:color="auto"/>
            <w:left w:val="none" w:sz="0" w:space="0" w:color="auto"/>
            <w:bottom w:val="none" w:sz="0" w:space="0" w:color="auto"/>
            <w:right w:val="none" w:sz="0" w:space="0" w:color="auto"/>
          </w:divBdr>
        </w:div>
        <w:div w:id="50231897">
          <w:marLeft w:val="0"/>
          <w:marRight w:val="0"/>
          <w:marTop w:val="0"/>
          <w:marBottom w:val="0"/>
          <w:divBdr>
            <w:top w:val="none" w:sz="0" w:space="0" w:color="auto"/>
            <w:left w:val="none" w:sz="0" w:space="0" w:color="auto"/>
            <w:bottom w:val="none" w:sz="0" w:space="0" w:color="auto"/>
            <w:right w:val="none" w:sz="0" w:space="0" w:color="auto"/>
          </w:divBdr>
        </w:div>
        <w:div w:id="1632591142">
          <w:marLeft w:val="0"/>
          <w:marRight w:val="0"/>
          <w:marTop w:val="0"/>
          <w:marBottom w:val="0"/>
          <w:divBdr>
            <w:top w:val="none" w:sz="0" w:space="0" w:color="auto"/>
            <w:left w:val="none" w:sz="0" w:space="0" w:color="auto"/>
            <w:bottom w:val="none" w:sz="0" w:space="0" w:color="auto"/>
            <w:right w:val="none" w:sz="0" w:space="0" w:color="auto"/>
          </w:divBdr>
        </w:div>
        <w:div w:id="778793547">
          <w:marLeft w:val="0"/>
          <w:marRight w:val="0"/>
          <w:marTop w:val="0"/>
          <w:marBottom w:val="0"/>
          <w:divBdr>
            <w:top w:val="none" w:sz="0" w:space="0" w:color="auto"/>
            <w:left w:val="none" w:sz="0" w:space="0" w:color="auto"/>
            <w:bottom w:val="none" w:sz="0" w:space="0" w:color="auto"/>
            <w:right w:val="none" w:sz="0" w:space="0" w:color="auto"/>
          </w:divBdr>
        </w:div>
        <w:div w:id="1487284224">
          <w:marLeft w:val="0"/>
          <w:marRight w:val="0"/>
          <w:marTop w:val="0"/>
          <w:marBottom w:val="0"/>
          <w:divBdr>
            <w:top w:val="none" w:sz="0" w:space="0" w:color="auto"/>
            <w:left w:val="none" w:sz="0" w:space="0" w:color="auto"/>
            <w:bottom w:val="none" w:sz="0" w:space="0" w:color="auto"/>
            <w:right w:val="none" w:sz="0" w:space="0" w:color="auto"/>
          </w:divBdr>
        </w:div>
        <w:div w:id="571425935">
          <w:marLeft w:val="0"/>
          <w:marRight w:val="0"/>
          <w:marTop w:val="0"/>
          <w:marBottom w:val="0"/>
          <w:divBdr>
            <w:top w:val="none" w:sz="0" w:space="0" w:color="auto"/>
            <w:left w:val="none" w:sz="0" w:space="0" w:color="auto"/>
            <w:bottom w:val="none" w:sz="0" w:space="0" w:color="auto"/>
            <w:right w:val="none" w:sz="0" w:space="0" w:color="auto"/>
          </w:divBdr>
        </w:div>
        <w:div w:id="970746862">
          <w:marLeft w:val="0"/>
          <w:marRight w:val="0"/>
          <w:marTop w:val="0"/>
          <w:marBottom w:val="0"/>
          <w:divBdr>
            <w:top w:val="none" w:sz="0" w:space="0" w:color="auto"/>
            <w:left w:val="none" w:sz="0" w:space="0" w:color="auto"/>
            <w:bottom w:val="none" w:sz="0" w:space="0" w:color="auto"/>
            <w:right w:val="none" w:sz="0" w:space="0" w:color="auto"/>
          </w:divBdr>
        </w:div>
        <w:div w:id="657810819">
          <w:marLeft w:val="0"/>
          <w:marRight w:val="0"/>
          <w:marTop w:val="0"/>
          <w:marBottom w:val="0"/>
          <w:divBdr>
            <w:top w:val="none" w:sz="0" w:space="0" w:color="auto"/>
            <w:left w:val="none" w:sz="0" w:space="0" w:color="auto"/>
            <w:bottom w:val="none" w:sz="0" w:space="0" w:color="auto"/>
            <w:right w:val="none" w:sz="0" w:space="0" w:color="auto"/>
          </w:divBdr>
        </w:div>
        <w:div w:id="157115798">
          <w:marLeft w:val="0"/>
          <w:marRight w:val="0"/>
          <w:marTop w:val="0"/>
          <w:marBottom w:val="0"/>
          <w:divBdr>
            <w:top w:val="none" w:sz="0" w:space="0" w:color="auto"/>
            <w:left w:val="none" w:sz="0" w:space="0" w:color="auto"/>
            <w:bottom w:val="none" w:sz="0" w:space="0" w:color="auto"/>
            <w:right w:val="none" w:sz="0" w:space="0" w:color="auto"/>
          </w:divBdr>
        </w:div>
        <w:div w:id="1100181296">
          <w:marLeft w:val="0"/>
          <w:marRight w:val="0"/>
          <w:marTop w:val="0"/>
          <w:marBottom w:val="0"/>
          <w:divBdr>
            <w:top w:val="none" w:sz="0" w:space="0" w:color="auto"/>
            <w:left w:val="none" w:sz="0" w:space="0" w:color="auto"/>
            <w:bottom w:val="none" w:sz="0" w:space="0" w:color="auto"/>
            <w:right w:val="none" w:sz="0" w:space="0" w:color="auto"/>
          </w:divBdr>
        </w:div>
        <w:div w:id="725375795">
          <w:marLeft w:val="0"/>
          <w:marRight w:val="0"/>
          <w:marTop w:val="0"/>
          <w:marBottom w:val="0"/>
          <w:divBdr>
            <w:top w:val="none" w:sz="0" w:space="0" w:color="auto"/>
            <w:left w:val="none" w:sz="0" w:space="0" w:color="auto"/>
            <w:bottom w:val="none" w:sz="0" w:space="0" w:color="auto"/>
            <w:right w:val="none" w:sz="0" w:space="0" w:color="auto"/>
          </w:divBdr>
        </w:div>
        <w:div w:id="1369796783">
          <w:marLeft w:val="0"/>
          <w:marRight w:val="0"/>
          <w:marTop w:val="0"/>
          <w:marBottom w:val="0"/>
          <w:divBdr>
            <w:top w:val="none" w:sz="0" w:space="0" w:color="auto"/>
            <w:left w:val="none" w:sz="0" w:space="0" w:color="auto"/>
            <w:bottom w:val="none" w:sz="0" w:space="0" w:color="auto"/>
            <w:right w:val="none" w:sz="0" w:space="0" w:color="auto"/>
          </w:divBdr>
        </w:div>
        <w:div w:id="226183219">
          <w:marLeft w:val="0"/>
          <w:marRight w:val="0"/>
          <w:marTop w:val="0"/>
          <w:marBottom w:val="0"/>
          <w:divBdr>
            <w:top w:val="none" w:sz="0" w:space="0" w:color="auto"/>
            <w:left w:val="none" w:sz="0" w:space="0" w:color="auto"/>
            <w:bottom w:val="none" w:sz="0" w:space="0" w:color="auto"/>
            <w:right w:val="none" w:sz="0" w:space="0" w:color="auto"/>
          </w:divBdr>
        </w:div>
        <w:div w:id="1680160732">
          <w:marLeft w:val="0"/>
          <w:marRight w:val="0"/>
          <w:marTop w:val="0"/>
          <w:marBottom w:val="0"/>
          <w:divBdr>
            <w:top w:val="none" w:sz="0" w:space="0" w:color="auto"/>
            <w:left w:val="none" w:sz="0" w:space="0" w:color="auto"/>
            <w:bottom w:val="none" w:sz="0" w:space="0" w:color="auto"/>
            <w:right w:val="none" w:sz="0" w:space="0" w:color="auto"/>
          </w:divBdr>
        </w:div>
        <w:div w:id="316031149">
          <w:marLeft w:val="0"/>
          <w:marRight w:val="0"/>
          <w:marTop w:val="0"/>
          <w:marBottom w:val="0"/>
          <w:divBdr>
            <w:top w:val="none" w:sz="0" w:space="0" w:color="auto"/>
            <w:left w:val="none" w:sz="0" w:space="0" w:color="auto"/>
            <w:bottom w:val="none" w:sz="0" w:space="0" w:color="auto"/>
            <w:right w:val="none" w:sz="0" w:space="0" w:color="auto"/>
          </w:divBdr>
        </w:div>
        <w:div w:id="1321428174">
          <w:marLeft w:val="0"/>
          <w:marRight w:val="0"/>
          <w:marTop w:val="0"/>
          <w:marBottom w:val="0"/>
          <w:divBdr>
            <w:top w:val="none" w:sz="0" w:space="0" w:color="auto"/>
            <w:left w:val="none" w:sz="0" w:space="0" w:color="auto"/>
            <w:bottom w:val="none" w:sz="0" w:space="0" w:color="auto"/>
            <w:right w:val="none" w:sz="0" w:space="0" w:color="auto"/>
          </w:divBdr>
        </w:div>
        <w:div w:id="1315373609">
          <w:marLeft w:val="0"/>
          <w:marRight w:val="0"/>
          <w:marTop w:val="0"/>
          <w:marBottom w:val="0"/>
          <w:divBdr>
            <w:top w:val="none" w:sz="0" w:space="0" w:color="auto"/>
            <w:left w:val="none" w:sz="0" w:space="0" w:color="auto"/>
            <w:bottom w:val="none" w:sz="0" w:space="0" w:color="auto"/>
            <w:right w:val="none" w:sz="0" w:space="0" w:color="auto"/>
          </w:divBdr>
        </w:div>
        <w:div w:id="1814635316">
          <w:marLeft w:val="0"/>
          <w:marRight w:val="0"/>
          <w:marTop w:val="0"/>
          <w:marBottom w:val="0"/>
          <w:divBdr>
            <w:top w:val="none" w:sz="0" w:space="0" w:color="auto"/>
            <w:left w:val="none" w:sz="0" w:space="0" w:color="auto"/>
            <w:bottom w:val="none" w:sz="0" w:space="0" w:color="auto"/>
            <w:right w:val="none" w:sz="0" w:space="0" w:color="auto"/>
          </w:divBdr>
        </w:div>
        <w:div w:id="491410733">
          <w:marLeft w:val="0"/>
          <w:marRight w:val="0"/>
          <w:marTop w:val="0"/>
          <w:marBottom w:val="0"/>
          <w:divBdr>
            <w:top w:val="none" w:sz="0" w:space="0" w:color="auto"/>
            <w:left w:val="none" w:sz="0" w:space="0" w:color="auto"/>
            <w:bottom w:val="none" w:sz="0" w:space="0" w:color="auto"/>
            <w:right w:val="none" w:sz="0" w:space="0" w:color="auto"/>
          </w:divBdr>
        </w:div>
        <w:div w:id="1184783091">
          <w:marLeft w:val="0"/>
          <w:marRight w:val="0"/>
          <w:marTop w:val="0"/>
          <w:marBottom w:val="0"/>
          <w:divBdr>
            <w:top w:val="none" w:sz="0" w:space="0" w:color="auto"/>
            <w:left w:val="none" w:sz="0" w:space="0" w:color="auto"/>
            <w:bottom w:val="none" w:sz="0" w:space="0" w:color="auto"/>
            <w:right w:val="none" w:sz="0" w:space="0" w:color="auto"/>
          </w:divBdr>
        </w:div>
        <w:div w:id="1126005457">
          <w:marLeft w:val="0"/>
          <w:marRight w:val="0"/>
          <w:marTop w:val="0"/>
          <w:marBottom w:val="0"/>
          <w:divBdr>
            <w:top w:val="none" w:sz="0" w:space="0" w:color="auto"/>
            <w:left w:val="none" w:sz="0" w:space="0" w:color="auto"/>
            <w:bottom w:val="none" w:sz="0" w:space="0" w:color="auto"/>
            <w:right w:val="none" w:sz="0" w:space="0" w:color="auto"/>
          </w:divBdr>
        </w:div>
        <w:div w:id="1130591512">
          <w:marLeft w:val="0"/>
          <w:marRight w:val="0"/>
          <w:marTop w:val="0"/>
          <w:marBottom w:val="0"/>
          <w:divBdr>
            <w:top w:val="none" w:sz="0" w:space="0" w:color="auto"/>
            <w:left w:val="none" w:sz="0" w:space="0" w:color="auto"/>
            <w:bottom w:val="none" w:sz="0" w:space="0" w:color="auto"/>
            <w:right w:val="none" w:sz="0" w:space="0" w:color="auto"/>
          </w:divBdr>
        </w:div>
        <w:div w:id="1326973270">
          <w:marLeft w:val="0"/>
          <w:marRight w:val="0"/>
          <w:marTop w:val="0"/>
          <w:marBottom w:val="0"/>
          <w:divBdr>
            <w:top w:val="none" w:sz="0" w:space="0" w:color="auto"/>
            <w:left w:val="none" w:sz="0" w:space="0" w:color="auto"/>
            <w:bottom w:val="none" w:sz="0" w:space="0" w:color="auto"/>
            <w:right w:val="none" w:sz="0" w:space="0" w:color="auto"/>
          </w:divBdr>
        </w:div>
        <w:div w:id="1409426243">
          <w:marLeft w:val="0"/>
          <w:marRight w:val="0"/>
          <w:marTop w:val="0"/>
          <w:marBottom w:val="0"/>
          <w:divBdr>
            <w:top w:val="none" w:sz="0" w:space="0" w:color="auto"/>
            <w:left w:val="none" w:sz="0" w:space="0" w:color="auto"/>
            <w:bottom w:val="none" w:sz="0" w:space="0" w:color="auto"/>
            <w:right w:val="none" w:sz="0" w:space="0" w:color="auto"/>
          </w:divBdr>
        </w:div>
        <w:div w:id="1371683604">
          <w:marLeft w:val="0"/>
          <w:marRight w:val="0"/>
          <w:marTop w:val="0"/>
          <w:marBottom w:val="0"/>
          <w:divBdr>
            <w:top w:val="none" w:sz="0" w:space="0" w:color="auto"/>
            <w:left w:val="none" w:sz="0" w:space="0" w:color="auto"/>
            <w:bottom w:val="none" w:sz="0" w:space="0" w:color="auto"/>
            <w:right w:val="none" w:sz="0" w:space="0" w:color="auto"/>
          </w:divBdr>
        </w:div>
        <w:div w:id="2019040718">
          <w:marLeft w:val="0"/>
          <w:marRight w:val="0"/>
          <w:marTop w:val="0"/>
          <w:marBottom w:val="0"/>
          <w:divBdr>
            <w:top w:val="none" w:sz="0" w:space="0" w:color="auto"/>
            <w:left w:val="none" w:sz="0" w:space="0" w:color="auto"/>
            <w:bottom w:val="none" w:sz="0" w:space="0" w:color="auto"/>
            <w:right w:val="none" w:sz="0" w:space="0" w:color="auto"/>
          </w:divBdr>
        </w:div>
        <w:div w:id="1821119655">
          <w:marLeft w:val="0"/>
          <w:marRight w:val="0"/>
          <w:marTop w:val="0"/>
          <w:marBottom w:val="0"/>
          <w:divBdr>
            <w:top w:val="none" w:sz="0" w:space="0" w:color="auto"/>
            <w:left w:val="none" w:sz="0" w:space="0" w:color="auto"/>
            <w:bottom w:val="none" w:sz="0" w:space="0" w:color="auto"/>
            <w:right w:val="none" w:sz="0" w:space="0" w:color="auto"/>
          </w:divBdr>
        </w:div>
        <w:div w:id="1756243502">
          <w:marLeft w:val="0"/>
          <w:marRight w:val="0"/>
          <w:marTop w:val="0"/>
          <w:marBottom w:val="0"/>
          <w:divBdr>
            <w:top w:val="none" w:sz="0" w:space="0" w:color="auto"/>
            <w:left w:val="none" w:sz="0" w:space="0" w:color="auto"/>
            <w:bottom w:val="none" w:sz="0" w:space="0" w:color="auto"/>
            <w:right w:val="none" w:sz="0" w:space="0" w:color="auto"/>
          </w:divBdr>
        </w:div>
        <w:div w:id="1402753120">
          <w:marLeft w:val="0"/>
          <w:marRight w:val="0"/>
          <w:marTop w:val="0"/>
          <w:marBottom w:val="0"/>
          <w:divBdr>
            <w:top w:val="none" w:sz="0" w:space="0" w:color="auto"/>
            <w:left w:val="none" w:sz="0" w:space="0" w:color="auto"/>
            <w:bottom w:val="none" w:sz="0" w:space="0" w:color="auto"/>
            <w:right w:val="none" w:sz="0" w:space="0" w:color="auto"/>
          </w:divBdr>
        </w:div>
        <w:div w:id="551499389">
          <w:marLeft w:val="0"/>
          <w:marRight w:val="0"/>
          <w:marTop w:val="0"/>
          <w:marBottom w:val="0"/>
          <w:divBdr>
            <w:top w:val="none" w:sz="0" w:space="0" w:color="auto"/>
            <w:left w:val="none" w:sz="0" w:space="0" w:color="auto"/>
            <w:bottom w:val="none" w:sz="0" w:space="0" w:color="auto"/>
            <w:right w:val="none" w:sz="0" w:space="0" w:color="auto"/>
          </w:divBdr>
        </w:div>
        <w:div w:id="2144690110">
          <w:marLeft w:val="0"/>
          <w:marRight w:val="0"/>
          <w:marTop w:val="0"/>
          <w:marBottom w:val="0"/>
          <w:divBdr>
            <w:top w:val="none" w:sz="0" w:space="0" w:color="auto"/>
            <w:left w:val="none" w:sz="0" w:space="0" w:color="auto"/>
            <w:bottom w:val="none" w:sz="0" w:space="0" w:color="auto"/>
            <w:right w:val="none" w:sz="0" w:space="0" w:color="auto"/>
          </w:divBdr>
        </w:div>
        <w:div w:id="417295070">
          <w:marLeft w:val="0"/>
          <w:marRight w:val="0"/>
          <w:marTop w:val="0"/>
          <w:marBottom w:val="0"/>
          <w:divBdr>
            <w:top w:val="none" w:sz="0" w:space="0" w:color="auto"/>
            <w:left w:val="none" w:sz="0" w:space="0" w:color="auto"/>
            <w:bottom w:val="none" w:sz="0" w:space="0" w:color="auto"/>
            <w:right w:val="none" w:sz="0" w:space="0" w:color="auto"/>
          </w:divBdr>
        </w:div>
        <w:div w:id="2050445359">
          <w:marLeft w:val="0"/>
          <w:marRight w:val="0"/>
          <w:marTop w:val="0"/>
          <w:marBottom w:val="0"/>
          <w:divBdr>
            <w:top w:val="none" w:sz="0" w:space="0" w:color="auto"/>
            <w:left w:val="none" w:sz="0" w:space="0" w:color="auto"/>
            <w:bottom w:val="none" w:sz="0" w:space="0" w:color="auto"/>
            <w:right w:val="none" w:sz="0" w:space="0" w:color="auto"/>
          </w:divBdr>
        </w:div>
        <w:div w:id="1130055677">
          <w:marLeft w:val="0"/>
          <w:marRight w:val="0"/>
          <w:marTop w:val="0"/>
          <w:marBottom w:val="0"/>
          <w:divBdr>
            <w:top w:val="none" w:sz="0" w:space="0" w:color="auto"/>
            <w:left w:val="none" w:sz="0" w:space="0" w:color="auto"/>
            <w:bottom w:val="none" w:sz="0" w:space="0" w:color="auto"/>
            <w:right w:val="none" w:sz="0" w:space="0" w:color="auto"/>
          </w:divBdr>
        </w:div>
        <w:div w:id="1423641253">
          <w:marLeft w:val="0"/>
          <w:marRight w:val="0"/>
          <w:marTop w:val="0"/>
          <w:marBottom w:val="0"/>
          <w:divBdr>
            <w:top w:val="none" w:sz="0" w:space="0" w:color="auto"/>
            <w:left w:val="none" w:sz="0" w:space="0" w:color="auto"/>
            <w:bottom w:val="none" w:sz="0" w:space="0" w:color="auto"/>
            <w:right w:val="none" w:sz="0" w:space="0" w:color="auto"/>
          </w:divBdr>
        </w:div>
        <w:div w:id="1526136921">
          <w:marLeft w:val="0"/>
          <w:marRight w:val="0"/>
          <w:marTop w:val="0"/>
          <w:marBottom w:val="0"/>
          <w:divBdr>
            <w:top w:val="none" w:sz="0" w:space="0" w:color="auto"/>
            <w:left w:val="none" w:sz="0" w:space="0" w:color="auto"/>
            <w:bottom w:val="none" w:sz="0" w:space="0" w:color="auto"/>
            <w:right w:val="none" w:sz="0" w:space="0" w:color="auto"/>
          </w:divBdr>
        </w:div>
        <w:div w:id="1734353459">
          <w:marLeft w:val="0"/>
          <w:marRight w:val="0"/>
          <w:marTop w:val="0"/>
          <w:marBottom w:val="0"/>
          <w:divBdr>
            <w:top w:val="none" w:sz="0" w:space="0" w:color="auto"/>
            <w:left w:val="none" w:sz="0" w:space="0" w:color="auto"/>
            <w:bottom w:val="none" w:sz="0" w:space="0" w:color="auto"/>
            <w:right w:val="none" w:sz="0" w:space="0" w:color="auto"/>
          </w:divBdr>
        </w:div>
        <w:div w:id="452330709">
          <w:marLeft w:val="0"/>
          <w:marRight w:val="0"/>
          <w:marTop w:val="0"/>
          <w:marBottom w:val="0"/>
          <w:divBdr>
            <w:top w:val="none" w:sz="0" w:space="0" w:color="auto"/>
            <w:left w:val="none" w:sz="0" w:space="0" w:color="auto"/>
            <w:bottom w:val="none" w:sz="0" w:space="0" w:color="auto"/>
            <w:right w:val="none" w:sz="0" w:space="0" w:color="auto"/>
          </w:divBdr>
        </w:div>
        <w:div w:id="1521238773">
          <w:marLeft w:val="0"/>
          <w:marRight w:val="0"/>
          <w:marTop w:val="0"/>
          <w:marBottom w:val="0"/>
          <w:divBdr>
            <w:top w:val="none" w:sz="0" w:space="0" w:color="auto"/>
            <w:left w:val="none" w:sz="0" w:space="0" w:color="auto"/>
            <w:bottom w:val="none" w:sz="0" w:space="0" w:color="auto"/>
            <w:right w:val="none" w:sz="0" w:space="0" w:color="auto"/>
          </w:divBdr>
        </w:div>
        <w:div w:id="1482624245">
          <w:marLeft w:val="0"/>
          <w:marRight w:val="0"/>
          <w:marTop w:val="0"/>
          <w:marBottom w:val="0"/>
          <w:divBdr>
            <w:top w:val="none" w:sz="0" w:space="0" w:color="auto"/>
            <w:left w:val="none" w:sz="0" w:space="0" w:color="auto"/>
            <w:bottom w:val="none" w:sz="0" w:space="0" w:color="auto"/>
            <w:right w:val="none" w:sz="0" w:space="0" w:color="auto"/>
          </w:divBdr>
        </w:div>
        <w:div w:id="796724760">
          <w:marLeft w:val="0"/>
          <w:marRight w:val="0"/>
          <w:marTop w:val="0"/>
          <w:marBottom w:val="0"/>
          <w:divBdr>
            <w:top w:val="none" w:sz="0" w:space="0" w:color="auto"/>
            <w:left w:val="none" w:sz="0" w:space="0" w:color="auto"/>
            <w:bottom w:val="none" w:sz="0" w:space="0" w:color="auto"/>
            <w:right w:val="none" w:sz="0" w:space="0" w:color="auto"/>
          </w:divBdr>
        </w:div>
        <w:div w:id="931621623">
          <w:marLeft w:val="0"/>
          <w:marRight w:val="0"/>
          <w:marTop w:val="0"/>
          <w:marBottom w:val="0"/>
          <w:divBdr>
            <w:top w:val="none" w:sz="0" w:space="0" w:color="auto"/>
            <w:left w:val="none" w:sz="0" w:space="0" w:color="auto"/>
            <w:bottom w:val="none" w:sz="0" w:space="0" w:color="auto"/>
            <w:right w:val="none" w:sz="0" w:space="0" w:color="auto"/>
          </w:divBdr>
        </w:div>
        <w:div w:id="934167489">
          <w:marLeft w:val="0"/>
          <w:marRight w:val="0"/>
          <w:marTop w:val="0"/>
          <w:marBottom w:val="0"/>
          <w:divBdr>
            <w:top w:val="none" w:sz="0" w:space="0" w:color="auto"/>
            <w:left w:val="none" w:sz="0" w:space="0" w:color="auto"/>
            <w:bottom w:val="none" w:sz="0" w:space="0" w:color="auto"/>
            <w:right w:val="none" w:sz="0" w:space="0" w:color="auto"/>
          </w:divBdr>
        </w:div>
        <w:div w:id="1667711435">
          <w:marLeft w:val="0"/>
          <w:marRight w:val="0"/>
          <w:marTop w:val="0"/>
          <w:marBottom w:val="0"/>
          <w:divBdr>
            <w:top w:val="none" w:sz="0" w:space="0" w:color="auto"/>
            <w:left w:val="none" w:sz="0" w:space="0" w:color="auto"/>
            <w:bottom w:val="none" w:sz="0" w:space="0" w:color="auto"/>
            <w:right w:val="none" w:sz="0" w:space="0" w:color="auto"/>
          </w:divBdr>
        </w:div>
        <w:div w:id="461655952">
          <w:marLeft w:val="0"/>
          <w:marRight w:val="0"/>
          <w:marTop w:val="0"/>
          <w:marBottom w:val="0"/>
          <w:divBdr>
            <w:top w:val="none" w:sz="0" w:space="0" w:color="auto"/>
            <w:left w:val="none" w:sz="0" w:space="0" w:color="auto"/>
            <w:bottom w:val="none" w:sz="0" w:space="0" w:color="auto"/>
            <w:right w:val="none" w:sz="0" w:space="0" w:color="auto"/>
          </w:divBdr>
        </w:div>
        <w:div w:id="1500997647">
          <w:marLeft w:val="0"/>
          <w:marRight w:val="0"/>
          <w:marTop w:val="0"/>
          <w:marBottom w:val="0"/>
          <w:divBdr>
            <w:top w:val="none" w:sz="0" w:space="0" w:color="auto"/>
            <w:left w:val="none" w:sz="0" w:space="0" w:color="auto"/>
            <w:bottom w:val="none" w:sz="0" w:space="0" w:color="auto"/>
            <w:right w:val="none" w:sz="0" w:space="0" w:color="auto"/>
          </w:divBdr>
        </w:div>
        <w:div w:id="572735723">
          <w:marLeft w:val="0"/>
          <w:marRight w:val="0"/>
          <w:marTop w:val="0"/>
          <w:marBottom w:val="0"/>
          <w:divBdr>
            <w:top w:val="none" w:sz="0" w:space="0" w:color="auto"/>
            <w:left w:val="none" w:sz="0" w:space="0" w:color="auto"/>
            <w:bottom w:val="none" w:sz="0" w:space="0" w:color="auto"/>
            <w:right w:val="none" w:sz="0" w:space="0" w:color="auto"/>
          </w:divBdr>
        </w:div>
        <w:div w:id="575282706">
          <w:marLeft w:val="0"/>
          <w:marRight w:val="0"/>
          <w:marTop w:val="0"/>
          <w:marBottom w:val="0"/>
          <w:divBdr>
            <w:top w:val="none" w:sz="0" w:space="0" w:color="auto"/>
            <w:left w:val="none" w:sz="0" w:space="0" w:color="auto"/>
            <w:bottom w:val="none" w:sz="0" w:space="0" w:color="auto"/>
            <w:right w:val="none" w:sz="0" w:space="0" w:color="auto"/>
          </w:divBdr>
        </w:div>
        <w:div w:id="498037454">
          <w:marLeft w:val="0"/>
          <w:marRight w:val="0"/>
          <w:marTop w:val="0"/>
          <w:marBottom w:val="0"/>
          <w:divBdr>
            <w:top w:val="none" w:sz="0" w:space="0" w:color="auto"/>
            <w:left w:val="none" w:sz="0" w:space="0" w:color="auto"/>
            <w:bottom w:val="none" w:sz="0" w:space="0" w:color="auto"/>
            <w:right w:val="none" w:sz="0" w:space="0" w:color="auto"/>
          </w:divBdr>
        </w:div>
        <w:div w:id="1943949023">
          <w:marLeft w:val="0"/>
          <w:marRight w:val="0"/>
          <w:marTop w:val="0"/>
          <w:marBottom w:val="0"/>
          <w:divBdr>
            <w:top w:val="none" w:sz="0" w:space="0" w:color="auto"/>
            <w:left w:val="none" w:sz="0" w:space="0" w:color="auto"/>
            <w:bottom w:val="none" w:sz="0" w:space="0" w:color="auto"/>
            <w:right w:val="none" w:sz="0" w:space="0" w:color="auto"/>
          </w:divBdr>
        </w:div>
        <w:div w:id="1469981642">
          <w:marLeft w:val="0"/>
          <w:marRight w:val="0"/>
          <w:marTop w:val="0"/>
          <w:marBottom w:val="0"/>
          <w:divBdr>
            <w:top w:val="none" w:sz="0" w:space="0" w:color="auto"/>
            <w:left w:val="none" w:sz="0" w:space="0" w:color="auto"/>
            <w:bottom w:val="none" w:sz="0" w:space="0" w:color="auto"/>
            <w:right w:val="none" w:sz="0" w:space="0" w:color="auto"/>
          </w:divBdr>
        </w:div>
        <w:div w:id="7567736">
          <w:marLeft w:val="0"/>
          <w:marRight w:val="0"/>
          <w:marTop w:val="0"/>
          <w:marBottom w:val="0"/>
          <w:divBdr>
            <w:top w:val="none" w:sz="0" w:space="0" w:color="auto"/>
            <w:left w:val="none" w:sz="0" w:space="0" w:color="auto"/>
            <w:bottom w:val="none" w:sz="0" w:space="0" w:color="auto"/>
            <w:right w:val="none" w:sz="0" w:space="0" w:color="auto"/>
          </w:divBdr>
        </w:div>
        <w:div w:id="234509494">
          <w:marLeft w:val="0"/>
          <w:marRight w:val="0"/>
          <w:marTop w:val="0"/>
          <w:marBottom w:val="0"/>
          <w:divBdr>
            <w:top w:val="none" w:sz="0" w:space="0" w:color="auto"/>
            <w:left w:val="none" w:sz="0" w:space="0" w:color="auto"/>
            <w:bottom w:val="none" w:sz="0" w:space="0" w:color="auto"/>
            <w:right w:val="none" w:sz="0" w:space="0" w:color="auto"/>
          </w:divBdr>
        </w:div>
        <w:div w:id="1566185392">
          <w:marLeft w:val="0"/>
          <w:marRight w:val="0"/>
          <w:marTop w:val="0"/>
          <w:marBottom w:val="0"/>
          <w:divBdr>
            <w:top w:val="none" w:sz="0" w:space="0" w:color="auto"/>
            <w:left w:val="none" w:sz="0" w:space="0" w:color="auto"/>
            <w:bottom w:val="none" w:sz="0" w:space="0" w:color="auto"/>
            <w:right w:val="none" w:sz="0" w:space="0" w:color="auto"/>
          </w:divBdr>
        </w:div>
        <w:div w:id="1270547568">
          <w:marLeft w:val="0"/>
          <w:marRight w:val="0"/>
          <w:marTop w:val="0"/>
          <w:marBottom w:val="0"/>
          <w:divBdr>
            <w:top w:val="none" w:sz="0" w:space="0" w:color="auto"/>
            <w:left w:val="none" w:sz="0" w:space="0" w:color="auto"/>
            <w:bottom w:val="none" w:sz="0" w:space="0" w:color="auto"/>
            <w:right w:val="none" w:sz="0" w:space="0" w:color="auto"/>
          </w:divBdr>
        </w:div>
        <w:div w:id="868031193">
          <w:marLeft w:val="0"/>
          <w:marRight w:val="0"/>
          <w:marTop w:val="0"/>
          <w:marBottom w:val="0"/>
          <w:divBdr>
            <w:top w:val="none" w:sz="0" w:space="0" w:color="auto"/>
            <w:left w:val="none" w:sz="0" w:space="0" w:color="auto"/>
            <w:bottom w:val="none" w:sz="0" w:space="0" w:color="auto"/>
            <w:right w:val="none" w:sz="0" w:space="0" w:color="auto"/>
          </w:divBdr>
        </w:div>
        <w:div w:id="328876505">
          <w:marLeft w:val="0"/>
          <w:marRight w:val="0"/>
          <w:marTop w:val="0"/>
          <w:marBottom w:val="0"/>
          <w:divBdr>
            <w:top w:val="none" w:sz="0" w:space="0" w:color="auto"/>
            <w:left w:val="none" w:sz="0" w:space="0" w:color="auto"/>
            <w:bottom w:val="none" w:sz="0" w:space="0" w:color="auto"/>
            <w:right w:val="none" w:sz="0" w:space="0" w:color="auto"/>
          </w:divBdr>
        </w:div>
        <w:div w:id="1231814708">
          <w:marLeft w:val="0"/>
          <w:marRight w:val="0"/>
          <w:marTop w:val="0"/>
          <w:marBottom w:val="0"/>
          <w:divBdr>
            <w:top w:val="none" w:sz="0" w:space="0" w:color="auto"/>
            <w:left w:val="none" w:sz="0" w:space="0" w:color="auto"/>
            <w:bottom w:val="none" w:sz="0" w:space="0" w:color="auto"/>
            <w:right w:val="none" w:sz="0" w:space="0" w:color="auto"/>
          </w:divBdr>
        </w:div>
        <w:div w:id="1608582552">
          <w:marLeft w:val="0"/>
          <w:marRight w:val="0"/>
          <w:marTop w:val="0"/>
          <w:marBottom w:val="0"/>
          <w:divBdr>
            <w:top w:val="none" w:sz="0" w:space="0" w:color="auto"/>
            <w:left w:val="none" w:sz="0" w:space="0" w:color="auto"/>
            <w:bottom w:val="none" w:sz="0" w:space="0" w:color="auto"/>
            <w:right w:val="none" w:sz="0" w:space="0" w:color="auto"/>
          </w:divBdr>
        </w:div>
        <w:div w:id="751898245">
          <w:marLeft w:val="0"/>
          <w:marRight w:val="0"/>
          <w:marTop w:val="0"/>
          <w:marBottom w:val="0"/>
          <w:divBdr>
            <w:top w:val="none" w:sz="0" w:space="0" w:color="auto"/>
            <w:left w:val="none" w:sz="0" w:space="0" w:color="auto"/>
            <w:bottom w:val="none" w:sz="0" w:space="0" w:color="auto"/>
            <w:right w:val="none" w:sz="0" w:space="0" w:color="auto"/>
          </w:divBdr>
        </w:div>
        <w:div w:id="296565787">
          <w:marLeft w:val="0"/>
          <w:marRight w:val="0"/>
          <w:marTop w:val="0"/>
          <w:marBottom w:val="0"/>
          <w:divBdr>
            <w:top w:val="none" w:sz="0" w:space="0" w:color="auto"/>
            <w:left w:val="none" w:sz="0" w:space="0" w:color="auto"/>
            <w:bottom w:val="none" w:sz="0" w:space="0" w:color="auto"/>
            <w:right w:val="none" w:sz="0" w:space="0" w:color="auto"/>
          </w:divBdr>
        </w:div>
        <w:div w:id="1944456594">
          <w:marLeft w:val="0"/>
          <w:marRight w:val="0"/>
          <w:marTop w:val="0"/>
          <w:marBottom w:val="0"/>
          <w:divBdr>
            <w:top w:val="none" w:sz="0" w:space="0" w:color="auto"/>
            <w:left w:val="none" w:sz="0" w:space="0" w:color="auto"/>
            <w:bottom w:val="none" w:sz="0" w:space="0" w:color="auto"/>
            <w:right w:val="none" w:sz="0" w:space="0" w:color="auto"/>
          </w:divBdr>
        </w:div>
        <w:div w:id="913316395">
          <w:marLeft w:val="0"/>
          <w:marRight w:val="0"/>
          <w:marTop w:val="0"/>
          <w:marBottom w:val="0"/>
          <w:divBdr>
            <w:top w:val="none" w:sz="0" w:space="0" w:color="auto"/>
            <w:left w:val="none" w:sz="0" w:space="0" w:color="auto"/>
            <w:bottom w:val="none" w:sz="0" w:space="0" w:color="auto"/>
            <w:right w:val="none" w:sz="0" w:space="0" w:color="auto"/>
          </w:divBdr>
        </w:div>
        <w:div w:id="1832597380">
          <w:marLeft w:val="0"/>
          <w:marRight w:val="0"/>
          <w:marTop w:val="0"/>
          <w:marBottom w:val="0"/>
          <w:divBdr>
            <w:top w:val="none" w:sz="0" w:space="0" w:color="auto"/>
            <w:left w:val="none" w:sz="0" w:space="0" w:color="auto"/>
            <w:bottom w:val="none" w:sz="0" w:space="0" w:color="auto"/>
            <w:right w:val="none" w:sz="0" w:space="0" w:color="auto"/>
          </w:divBdr>
        </w:div>
        <w:div w:id="1223755670">
          <w:marLeft w:val="0"/>
          <w:marRight w:val="0"/>
          <w:marTop w:val="0"/>
          <w:marBottom w:val="0"/>
          <w:divBdr>
            <w:top w:val="none" w:sz="0" w:space="0" w:color="auto"/>
            <w:left w:val="none" w:sz="0" w:space="0" w:color="auto"/>
            <w:bottom w:val="none" w:sz="0" w:space="0" w:color="auto"/>
            <w:right w:val="none" w:sz="0" w:space="0" w:color="auto"/>
          </w:divBdr>
        </w:div>
        <w:div w:id="176389418">
          <w:marLeft w:val="0"/>
          <w:marRight w:val="0"/>
          <w:marTop w:val="0"/>
          <w:marBottom w:val="0"/>
          <w:divBdr>
            <w:top w:val="none" w:sz="0" w:space="0" w:color="auto"/>
            <w:left w:val="none" w:sz="0" w:space="0" w:color="auto"/>
            <w:bottom w:val="none" w:sz="0" w:space="0" w:color="auto"/>
            <w:right w:val="none" w:sz="0" w:space="0" w:color="auto"/>
          </w:divBdr>
        </w:div>
        <w:div w:id="1718697783">
          <w:marLeft w:val="0"/>
          <w:marRight w:val="0"/>
          <w:marTop w:val="0"/>
          <w:marBottom w:val="0"/>
          <w:divBdr>
            <w:top w:val="none" w:sz="0" w:space="0" w:color="auto"/>
            <w:left w:val="none" w:sz="0" w:space="0" w:color="auto"/>
            <w:bottom w:val="none" w:sz="0" w:space="0" w:color="auto"/>
            <w:right w:val="none" w:sz="0" w:space="0" w:color="auto"/>
          </w:divBdr>
        </w:div>
        <w:div w:id="1012997774">
          <w:marLeft w:val="0"/>
          <w:marRight w:val="0"/>
          <w:marTop w:val="0"/>
          <w:marBottom w:val="0"/>
          <w:divBdr>
            <w:top w:val="none" w:sz="0" w:space="0" w:color="auto"/>
            <w:left w:val="none" w:sz="0" w:space="0" w:color="auto"/>
            <w:bottom w:val="none" w:sz="0" w:space="0" w:color="auto"/>
            <w:right w:val="none" w:sz="0" w:space="0" w:color="auto"/>
          </w:divBdr>
        </w:div>
        <w:div w:id="924411625">
          <w:marLeft w:val="0"/>
          <w:marRight w:val="0"/>
          <w:marTop w:val="0"/>
          <w:marBottom w:val="0"/>
          <w:divBdr>
            <w:top w:val="none" w:sz="0" w:space="0" w:color="auto"/>
            <w:left w:val="none" w:sz="0" w:space="0" w:color="auto"/>
            <w:bottom w:val="none" w:sz="0" w:space="0" w:color="auto"/>
            <w:right w:val="none" w:sz="0" w:space="0" w:color="auto"/>
          </w:divBdr>
        </w:div>
        <w:div w:id="270624600">
          <w:marLeft w:val="0"/>
          <w:marRight w:val="0"/>
          <w:marTop w:val="0"/>
          <w:marBottom w:val="0"/>
          <w:divBdr>
            <w:top w:val="none" w:sz="0" w:space="0" w:color="auto"/>
            <w:left w:val="none" w:sz="0" w:space="0" w:color="auto"/>
            <w:bottom w:val="none" w:sz="0" w:space="0" w:color="auto"/>
            <w:right w:val="none" w:sz="0" w:space="0" w:color="auto"/>
          </w:divBdr>
        </w:div>
        <w:div w:id="975791401">
          <w:marLeft w:val="0"/>
          <w:marRight w:val="0"/>
          <w:marTop w:val="0"/>
          <w:marBottom w:val="0"/>
          <w:divBdr>
            <w:top w:val="none" w:sz="0" w:space="0" w:color="auto"/>
            <w:left w:val="none" w:sz="0" w:space="0" w:color="auto"/>
            <w:bottom w:val="none" w:sz="0" w:space="0" w:color="auto"/>
            <w:right w:val="none" w:sz="0" w:space="0" w:color="auto"/>
          </w:divBdr>
        </w:div>
        <w:div w:id="1938827560">
          <w:marLeft w:val="0"/>
          <w:marRight w:val="0"/>
          <w:marTop w:val="0"/>
          <w:marBottom w:val="0"/>
          <w:divBdr>
            <w:top w:val="none" w:sz="0" w:space="0" w:color="auto"/>
            <w:left w:val="none" w:sz="0" w:space="0" w:color="auto"/>
            <w:bottom w:val="none" w:sz="0" w:space="0" w:color="auto"/>
            <w:right w:val="none" w:sz="0" w:space="0" w:color="auto"/>
          </w:divBdr>
        </w:div>
        <w:div w:id="1824926503">
          <w:marLeft w:val="0"/>
          <w:marRight w:val="0"/>
          <w:marTop w:val="0"/>
          <w:marBottom w:val="0"/>
          <w:divBdr>
            <w:top w:val="none" w:sz="0" w:space="0" w:color="auto"/>
            <w:left w:val="none" w:sz="0" w:space="0" w:color="auto"/>
            <w:bottom w:val="none" w:sz="0" w:space="0" w:color="auto"/>
            <w:right w:val="none" w:sz="0" w:space="0" w:color="auto"/>
          </w:divBdr>
        </w:div>
        <w:div w:id="220794670">
          <w:marLeft w:val="0"/>
          <w:marRight w:val="0"/>
          <w:marTop w:val="0"/>
          <w:marBottom w:val="0"/>
          <w:divBdr>
            <w:top w:val="none" w:sz="0" w:space="0" w:color="auto"/>
            <w:left w:val="none" w:sz="0" w:space="0" w:color="auto"/>
            <w:bottom w:val="none" w:sz="0" w:space="0" w:color="auto"/>
            <w:right w:val="none" w:sz="0" w:space="0" w:color="auto"/>
          </w:divBdr>
        </w:div>
        <w:div w:id="1781487717">
          <w:marLeft w:val="0"/>
          <w:marRight w:val="0"/>
          <w:marTop w:val="0"/>
          <w:marBottom w:val="0"/>
          <w:divBdr>
            <w:top w:val="none" w:sz="0" w:space="0" w:color="auto"/>
            <w:left w:val="none" w:sz="0" w:space="0" w:color="auto"/>
            <w:bottom w:val="none" w:sz="0" w:space="0" w:color="auto"/>
            <w:right w:val="none" w:sz="0" w:space="0" w:color="auto"/>
          </w:divBdr>
        </w:div>
        <w:div w:id="1208491490">
          <w:marLeft w:val="0"/>
          <w:marRight w:val="0"/>
          <w:marTop w:val="0"/>
          <w:marBottom w:val="0"/>
          <w:divBdr>
            <w:top w:val="none" w:sz="0" w:space="0" w:color="auto"/>
            <w:left w:val="none" w:sz="0" w:space="0" w:color="auto"/>
            <w:bottom w:val="none" w:sz="0" w:space="0" w:color="auto"/>
            <w:right w:val="none" w:sz="0" w:space="0" w:color="auto"/>
          </w:divBdr>
        </w:div>
        <w:div w:id="168957265">
          <w:marLeft w:val="0"/>
          <w:marRight w:val="0"/>
          <w:marTop w:val="0"/>
          <w:marBottom w:val="0"/>
          <w:divBdr>
            <w:top w:val="none" w:sz="0" w:space="0" w:color="auto"/>
            <w:left w:val="none" w:sz="0" w:space="0" w:color="auto"/>
            <w:bottom w:val="none" w:sz="0" w:space="0" w:color="auto"/>
            <w:right w:val="none" w:sz="0" w:space="0" w:color="auto"/>
          </w:divBdr>
        </w:div>
        <w:div w:id="1326981809">
          <w:marLeft w:val="0"/>
          <w:marRight w:val="0"/>
          <w:marTop w:val="0"/>
          <w:marBottom w:val="0"/>
          <w:divBdr>
            <w:top w:val="none" w:sz="0" w:space="0" w:color="auto"/>
            <w:left w:val="none" w:sz="0" w:space="0" w:color="auto"/>
            <w:bottom w:val="none" w:sz="0" w:space="0" w:color="auto"/>
            <w:right w:val="none" w:sz="0" w:space="0" w:color="auto"/>
          </w:divBdr>
        </w:div>
        <w:div w:id="1902977228">
          <w:marLeft w:val="0"/>
          <w:marRight w:val="0"/>
          <w:marTop w:val="0"/>
          <w:marBottom w:val="0"/>
          <w:divBdr>
            <w:top w:val="none" w:sz="0" w:space="0" w:color="auto"/>
            <w:left w:val="none" w:sz="0" w:space="0" w:color="auto"/>
            <w:bottom w:val="none" w:sz="0" w:space="0" w:color="auto"/>
            <w:right w:val="none" w:sz="0" w:space="0" w:color="auto"/>
          </w:divBdr>
        </w:div>
        <w:div w:id="995650369">
          <w:marLeft w:val="0"/>
          <w:marRight w:val="0"/>
          <w:marTop w:val="0"/>
          <w:marBottom w:val="0"/>
          <w:divBdr>
            <w:top w:val="none" w:sz="0" w:space="0" w:color="auto"/>
            <w:left w:val="none" w:sz="0" w:space="0" w:color="auto"/>
            <w:bottom w:val="none" w:sz="0" w:space="0" w:color="auto"/>
            <w:right w:val="none" w:sz="0" w:space="0" w:color="auto"/>
          </w:divBdr>
        </w:div>
        <w:div w:id="1038357946">
          <w:marLeft w:val="0"/>
          <w:marRight w:val="0"/>
          <w:marTop w:val="0"/>
          <w:marBottom w:val="0"/>
          <w:divBdr>
            <w:top w:val="none" w:sz="0" w:space="0" w:color="auto"/>
            <w:left w:val="none" w:sz="0" w:space="0" w:color="auto"/>
            <w:bottom w:val="none" w:sz="0" w:space="0" w:color="auto"/>
            <w:right w:val="none" w:sz="0" w:space="0" w:color="auto"/>
          </w:divBdr>
        </w:div>
        <w:div w:id="385449612">
          <w:marLeft w:val="0"/>
          <w:marRight w:val="0"/>
          <w:marTop w:val="0"/>
          <w:marBottom w:val="0"/>
          <w:divBdr>
            <w:top w:val="none" w:sz="0" w:space="0" w:color="auto"/>
            <w:left w:val="none" w:sz="0" w:space="0" w:color="auto"/>
            <w:bottom w:val="none" w:sz="0" w:space="0" w:color="auto"/>
            <w:right w:val="none" w:sz="0" w:space="0" w:color="auto"/>
          </w:divBdr>
        </w:div>
        <w:div w:id="22438826">
          <w:marLeft w:val="0"/>
          <w:marRight w:val="0"/>
          <w:marTop w:val="0"/>
          <w:marBottom w:val="0"/>
          <w:divBdr>
            <w:top w:val="none" w:sz="0" w:space="0" w:color="auto"/>
            <w:left w:val="none" w:sz="0" w:space="0" w:color="auto"/>
            <w:bottom w:val="none" w:sz="0" w:space="0" w:color="auto"/>
            <w:right w:val="none" w:sz="0" w:space="0" w:color="auto"/>
          </w:divBdr>
        </w:div>
        <w:div w:id="584652635">
          <w:marLeft w:val="0"/>
          <w:marRight w:val="0"/>
          <w:marTop w:val="0"/>
          <w:marBottom w:val="0"/>
          <w:divBdr>
            <w:top w:val="none" w:sz="0" w:space="0" w:color="auto"/>
            <w:left w:val="none" w:sz="0" w:space="0" w:color="auto"/>
            <w:bottom w:val="none" w:sz="0" w:space="0" w:color="auto"/>
            <w:right w:val="none" w:sz="0" w:space="0" w:color="auto"/>
          </w:divBdr>
        </w:div>
        <w:div w:id="444616778">
          <w:marLeft w:val="0"/>
          <w:marRight w:val="0"/>
          <w:marTop w:val="0"/>
          <w:marBottom w:val="0"/>
          <w:divBdr>
            <w:top w:val="none" w:sz="0" w:space="0" w:color="auto"/>
            <w:left w:val="none" w:sz="0" w:space="0" w:color="auto"/>
            <w:bottom w:val="none" w:sz="0" w:space="0" w:color="auto"/>
            <w:right w:val="none" w:sz="0" w:space="0" w:color="auto"/>
          </w:divBdr>
        </w:div>
        <w:div w:id="1090389756">
          <w:marLeft w:val="0"/>
          <w:marRight w:val="0"/>
          <w:marTop w:val="0"/>
          <w:marBottom w:val="0"/>
          <w:divBdr>
            <w:top w:val="none" w:sz="0" w:space="0" w:color="auto"/>
            <w:left w:val="none" w:sz="0" w:space="0" w:color="auto"/>
            <w:bottom w:val="none" w:sz="0" w:space="0" w:color="auto"/>
            <w:right w:val="none" w:sz="0" w:space="0" w:color="auto"/>
          </w:divBdr>
        </w:div>
        <w:div w:id="104078755">
          <w:marLeft w:val="0"/>
          <w:marRight w:val="0"/>
          <w:marTop w:val="0"/>
          <w:marBottom w:val="0"/>
          <w:divBdr>
            <w:top w:val="none" w:sz="0" w:space="0" w:color="auto"/>
            <w:left w:val="none" w:sz="0" w:space="0" w:color="auto"/>
            <w:bottom w:val="none" w:sz="0" w:space="0" w:color="auto"/>
            <w:right w:val="none" w:sz="0" w:space="0" w:color="auto"/>
          </w:divBdr>
        </w:div>
        <w:div w:id="213084090">
          <w:marLeft w:val="0"/>
          <w:marRight w:val="0"/>
          <w:marTop w:val="0"/>
          <w:marBottom w:val="0"/>
          <w:divBdr>
            <w:top w:val="none" w:sz="0" w:space="0" w:color="auto"/>
            <w:left w:val="none" w:sz="0" w:space="0" w:color="auto"/>
            <w:bottom w:val="none" w:sz="0" w:space="0" w:color="auto"/>
            <w:right w:val="none" w:sz="0" w:space="0" w:color="auto"/>
          </w:divBdr>
        </w:div>
        <w:div w:id="1683968390">
          <w:marLeft w:val="0"/>
          <w:marRight w:val="0"/>
          <w:marTop w:val="0"/>
          <w:marBottom w:val="0"/>
          <w:divBdr>
            <w:top w:val="none" w:sz="0" w:space="0" w:color="auto"/>
            <w:left w:val="none" w:sz="0" w:space="0" w:color="auto"/>
            <w:bottom w:val="none" w:sz="0" w:space="0" w:color="auto"/>
            <w:right w:val="none" w:sz="0" w:space="0" w:color="auto"/>
          </w:divBdr>
        </w:div>
        <w:div w:id="464932681">
          <w:marLeft w:val="0"/>
          <w:marRight w:val="0"/>
          <w:marTop w:val="0"/>
          <w:marBottom w:val="0"/>
          <w:divBdr>
            <w:top w:val="none" w:sz="0" w:space="0" w:color="auto"/>
            <w:left w:val="none" w:sz="0" w:space="0" w:color="auto"/>
            <w:bottom w:val="none" w:sz="0" w:space="0" w:color="auto"/>
            <w:right w:val="none" w:sz="0" w:space="0" w:color="auto"/>
          </w:divBdr>
        </w:div>
        <w:div w:id="1176921535">
          <w:marLeft w:val="0"/>
          <w:marRight w:val="0"/>
          <w:marTop w:val="0"/>
          <w:marBottom w:val="0"/>
          <w:divBdr>
            <w:top w:val="none" w:sz="0" w:space="0" w:color="auto"/>
            <w:left w:val="none" w:sz="0" w:space="0" w:color="auto"/>
            <w:bottom w:val="none" w:sz="0" w:space="0" w:color="auto"/>
            <w:right w:val="none" w:sz="0" w:space="0" w:color="auto"/>
          </w:divBdr>
        </w:div>
        <w:div w:id="2125685203">
          <w:marLeft w:val="0"/>
          <w:marRight w:val="0"/>
          <w:marTop w:val="0"/>
          <w:marBottom w:val="0"/>
          <w:divBdr>
            <w:top w:val="none" w:sz="0" w:space="0" w:color="auto"/>
            <w:left w:val="none" w:sz="0" w:space="0" w:color="auto"/>
            <w:bottom w:val="none" w:sz="0" w:space="0" w:color="auto"/>
            <w:right w:val="none" w:sz="0" w:space="0" w:color="auto"/>
          </w:divBdr>
        </w:div>
        <w:div w:id="276302595">
          <w:marLeft w:val="0"/>
          <w:marRight w:val="0"/>
          <w:marTop w:val="0"/>
          <w:marBottom w:val="0"/>
          <w:divBdr>
            <w:top w:val="none" w:sz="0" w:space="0" w:color="auto"/>
            <w:left w:val="none" w:sz="0" w:space="0" w:color="auto"/>
            <w:bottom w:val="none" w:sz="0" w:space="0" w:color="auto"/>
            <w:right w:val="none" w:sz="0" w:space="0" w:color="auto"/>
          </w:divBdr>
        </w:div>
        <w:div w:id="99253976">
          <w:marLeft w:val="0"/>
          <w:marRight w:val="0"/>
          <w:marTop w:val="0"/>
          <w:marBottom w:val="0"/>
          <w:divBdr>
            <w:top w:val="none" w:sz="0" w:space="0" w:color="auto"/>
            <w:left w:val="none" w:sz="0" w:space="0" w:color="auto"/>
            <w:bottom w:val="none" w:sz="0" w:space="0" w:color="auto"/>
            <w:right w:val="none" w:sz="0" w:space="0" w:color="auto"/>
          </w:divBdr>
        </w:div>
        <w:div w:id="1628004186">
          <w:marLeft w:val="0"/>
          <w:marRight w:val="0"/>
          <w:marTop w:val="0"/>
          <w:marBottom w:val="0"/>
          <w:divBdr>
            <w:top w:val="none" w:sz="0" w:space="0" w:color="auto"/>
            <w:left w:val="none" w:sz="0" w:space="0" w:color="auto"/>
            <w:bottom w:val="none" w:sz="0" w:space="0" w:color="auto"/>
            <w:right w:val="none" w:sz="0" w:space="0" w:color="auto"/>
          </w:divBdr>
        </w:div>
        <w:div w:id="771976959">
          <w:marLeft w:val="0"/>
          <w:marRight w:val="0"/>
          <w:marTop w:val="0"/>
          <w:marBottom w:val="0"/>
          <w:divBdr>
            <w:top w:val="none" w:sz="0" w:space="0" w:color="auto"/>
            <w:left w:val="none" w:sz="0" w:space="0" w:color="auto"/>
            <w:bottom w:val="none" w:sz="0" w:space="0" w:color="auto"/>
            <w:right w:val="none" w:sz="0" w:space="0" w:color="auto"/>
          </w:divBdr>
        </w:div>
        <w:div w:id="1331978809">
          <w:marLeft w:val="0"/>
          <w:marRight w:val="0"/>
          <w:marTop w:val="0"/>
          <w:marBottom w:val="0"/>
          <w:divBdr>
            <w:top w:val="none" w:sz="0" w:space="0" w:color="auto"/>
            <w:left w:val="none" w:sz="0" w:space="0" w:color="auto"/>
            <w:bottom w:val="none" w:sz="0" w:space="0" w:color="auto"/>
            <w:right w:val="none" w:sz="0" w:space="0" w:color="auto"/>
          </w:divBdr>
        </w:div>
        <w:div w:id="1553804871">
          <w:marLeft w:val="0"/>
          <w:marRight w:val="0"/>
          <w:marTop w:val="0"/>
          <w:marBottom w:val="0"/>
          <w:divBdr>
            <w:top w:val="none" w:sz="0" w:space="0" w:color="auto"/>
            <w:left w:val="none" w:sz="0" w:space="0" w:color="auto"/>
            <w:bottom w:val="none" w:sz="0" w:space="0" w:color="auto"/>
            <w:right w:val="none" w:sz="0" w:space="0" w:color="auto"/>
          </w:divBdr>
        </w:div>
        <w:div w:id="1871531896">
          <w:marLeft w:val="0"/>
          <w:marRight w:val="0"/>
          <w:marTop w:val="0"/>
          <w:marBottom w:val="0"/>
          <w:divBdr>
            <w:top w:val="none" w:sz="0" w:space="0" w:color="auto"/>
            <w:left w:val="none" w:sz="0" w:space="0" w:color="auto"/>
            <w:bottom w:val="none" w:sz="0" w:space="0" w:color="auto"/>
            <w:right w:val="none" w:sz="0" w:space="0" w:color="auto"/>
          </w:divBdr>
        </w:div>
        <w:div w:id="1121806711">
          <w:marLeft w:val="0"/>
          <w:marRight w:val="0"/>
          <w:marTop w:val="0"/>
          <w:marBottom w:val="0"/>
          <w:divBdr>
            <w:top w:val="none" w:sz="0" w:space="0" w:color="auto"/>
            <w:left w:val="none" w:sz="0" w:space="0" w:color="auto"/>
            <w:bottom w:val="none" w:sz="0" w:space="0" w:color="auto"/>
            <w:right w:val="none" w:sz="0" w:space="0" w:color="auto"/>
          </w:divBdr>
        </w:div>
        <w:div w:id="682249397">
          <w:marLeft w:val="0"/>
          <w:marRight w:val="0"/>
          <w:marTop w:val="0"/>
          <w:marBottom w:val="0"/>
          <w:divBdr>
            <w:top w:val="none" w:sz="0" w:space="0" w:color="auto"/>
            <w:left w:val="none" w:sz="0" w:space="0" w:color="auto"/>
            <w:bottom w:val="none" w:sz="0" w:space="0" w:color="auto"/>
            <w:right w:val="none" w:sz="0" w:space="0" w:color="auto"/>
          </w:divBdr>
        </w:div>
        <w:div w:id="1339889736">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545457253">
          <w:marLeft w:val="0"/>
          <w:marRight w:val="0"/>
          <w:marTop w:val="0"/>
          <w:marBottom w:val="0"/>
          <w:divBdr>
            <w:top w:val="none" w:sz="0" w:space="0" w:color="auto"/>
            <w:left w:val="none" w:sz="0" w:space="0" w:color="auto"/>
            <w:bottom w:val="none" w:sz="0" w:space="0" w:color="auto"/>
            <w:right w:val="none" w:sz="0" w:space="0" w:color="auto"/>
          </w:divBdr>
        </w:div>
        <w:div w:id="546645118">
          <w:marLeft w:val="0"/>
          <w:marRight w:val="0"/>
          <w:marTop w:val="0"/>
          <w:marBottom w:val="0"/>
          <w:divBdr>
            <w:top w:val="none" w:sz="0" w:space="0" w:color="auto"/>
            <w:left w:val="none" w:sz="0" w:space="0" w:color="auto"/>
            <w:bottom w:val="none" w:sz="0" w:space="0" w:color="auto"/>
            <w:right w:val="none" w:sz="0" w:space="0" w:color="auto"/>
          </w:divBdr>
        </w:div>
        <w:div w:id="90127026">
          <w:marLeft w:val="0"/>
          <w:marRight w:val="0"/>
          <w:marTop w:val="0"/>
          <w:marBottom w:val="0"/>
          <w:divBdr>
            <w:top w:val="none" w:sz="0" w:space="0" w:color="auto"/>
            <w:left w:val="none" w:sz="0" w:space="0" w:color="auto"/>
            <w:bottom w:val="none" w:sz="0" w:space="0" w:color="auto"/>
            <w:right w:val="none" w:sz="0" w:space="0" w:color="auto"/>
          </w:divBdr>
        </w:div>
      </w:divsChild>
    </w:div>
    <w:div w:id="1463886379">
      <w:bodyDiv w:val="1"/>
      <w:marLeft w:val="0"/>
      <w:marRight w:val="0"/>
      <w:marTop w:val="0"/>
      <w:marBottom w:val="0"/>
      <w:divBdr>
        <w:top w:val="none" w:sz="0" w:space="0" w:color="auto"/>
        <w:left w:val="none" w:sz="0" w:space="0" w:color="auto"/>
        <w:bottom w:val="none" w:sz="0" w:space="0" w:color="auto"/>
        <w:right w:val="none" w:sz="0" w:space="0" w:color="auto"/>
      </w:divBdr>
      <w:divsChild>
        <w:div w:id="2107655785">
          <w:marLeft w:val="0"/>
          <w:marRight w:val="0"/>
          <w:marTop w:val="0"/>
          <w:marBottom w:val="0"/>
          <w:divBdr>
            <w:top w:val="none" w:sz="0" w:space="0" w:color="auto"/>
            <w:left w:val="none" w:sz="0" w:space="0" w:color="auto"/>
            <w:bottom w:val="none" w:sz="0" w:space="0" w:color="auto"/>
            <w:right w:val="none" w:sz="0" w:space="0" w:color="auto"/>
          </w:divBdr>
        </w:div>
        <w:div w:id="1323462318">
          <w:marLeft w:val="0"/>
          <w:marRight w:val="0"/>
          <w:marTop w:val="0"/>
          <w:marBottom w:val="0"/>
          <w:divBdr>
            <w:top w:val="none" w:sz="0" w:space="0" w:color="auto"/>
            <w:left w:val="none" w:sz="0" w:space="0" w:color="auto"/>
            <w:bottom w:val="none" w:sz="0" w:space="0" w:color="auto"/>
            <w:right w:val="none" w:sz="0" w:space="0" w:color="auto"/>
          </w:divBdr>
        </w:div>
        <w:div w:id="592904916">
          <w:marLeft w:val="0"/>
          <w:marRight w:val="0"/>
          <w:marTop w:val="0"/>
          <w:marBottom w:val="0"/>
          <w:divBdr>
            <w:top w:val="none" w:sz="0" w:space="0" w:color="auto"/>
            <w:left w:val="none" w:sz="0" w:space="0" w:color="auto"/>
            <w:bottom w:val="none" w:sz="0" w:space="0" w:color="auto"/>
            <w:right w:val="none" w:sz="0" w:space="0" w:color="auto"/>
          </w:divBdr>
        </w:div>
        <w:div w:id="2060738950">
          <w:marLeft w:val="0"/>
          <w:marRight w:val="0"/>
          <w:marTop w:val="0"/>
          <w:marBottom w:val="0"/>
          <w:divBdr>
            <w:top w:val="none" w:sz="0" w:space="0" w:color="auto"/>
            <w:left w:val="none" w:sz="0" w:space="0" w:color="auto"/>
            <w:bottom w:val="none" w:sz="0" w:space="0" w:color="auto"/>
            <w:right w:val="none" w:sz="0" w:space="0" w:color="auto"/>
          </w:divBdr>
        </w:div>
        <w:div w:id="2073381622">
          <w:marLeft w:val="0"/>
          <w:marRight w:val="0"/>
          <w:marTop w:val="0"/>
          <w:marBottom w:val="0"/>
          <w:divBdr>
            <w:top w:val="none" w:sz="0" w:space="0" w:color="auto"/>
            <w:left w:val="none" w:sz="0" w:space="0" w:color="auto"/>
            <w:bottom w:val="none" w:sz="0" w:space="0" w:color="auto"/>
            <w:right w:val="none" w:sz="0" w:space="0" w:color="auto"/>
          </w:divBdr>
        </w:div>
        <w:div w:id="1429350100">
          <w:marLeft w:val="0"/>
          <w:marRight w:val="0"/>
          <w:marTop w:val="0"/>
          <w:marBottom w:val="0"/>
          <w:divBdr>
            <w:top w:val="none" w:sz="0" w:space="0" w:color="auto"/>
            <w:left w:val="none" w:sz="0" w:space="0" w:color="auto"/>
            <w:bottom w:val="none" w:sz="0" w:space="0" w:color="auto"/>
            <w:right w:val="none" w:sz="0" w:space="0" w:color="auto"/>
          </w:divBdr>
        </w:div>
        <w:div w:id="941036345">
          <w:marLeft w:val="0"/>
          <w:marRight w:val="0"/>
          <w:marTop w:val="0"/>
          <w:marBottom w:val="0"/>
          <w:divBdr>
            <w:top w:val="none" w:sz="0" w:space="0" w:color="auto"/>
            <w:left w:val="none" w:sz="0" w:space="0" w:color="auto"/>
            <w:bottom w:val="none" w:sz="0" w:space="0" w:color="auto"/>
            <w:right w:val="none" w:sz="0" w:space="0" w:color="auto"/>
          </w:divBdr>
        </w:div>
        <w:div w:id="1973754915">
          <w:marLeft w:val="0"/>
          <w:marRight w:val="0"/>
          <w:marTop w:val="0"/>
          <w:marBottom w:val="0"/>
          <w:divBdr>
            <w:top w:val="none" w:sz="0" w:space="0" w:color="auto"/>
            <w:left w:val="none" w:sz="0" w:space="0" w:color="auto"/>
            <w:bottom w:val="none" w:sz="0" w:space="0" w:color="auto"/>
            <w:right w:val="none" w:sz="0" w:space="0" w:color="auto"/>
          </w:divBdr>
        </w:div>
        <w:div w:id="2032608742">
          <w:marLeft w:val="0"/>
          <w:marRight w:val="0"/>
          <w:marTop w:val="0"/>
          <w:marBottom w:val="0"/>
          <w:divBdr>
            <w:top w:val="none" w:sz="0" w:space="0" w:color="auto"/>
            <w:left w:val="none" w:sz="0" w:space="0" w:color="auto"/>
            <w:bottom w:val="none" w:sz="0" w:space="0" w:color="auto"/>
            <w:right w:val="none" w:sz="0" w:space="0" w:color="auto"/>
          </w:divBdr>
        </w:div>
        <w:div w:id="109862006">
          <w:marLeft w:val="0"/>
          <w:marRight w:val="0"/>
          <w:marTop w:val="0"/>
          <w:marBottom w:val="0"/>
          <w:divBdr>
            <w:top w:val="none" w:sz="0" w:space="0" w:color="auto"/>
            <w:left w:val="none" w:sz="0" w:space="0" w:color="auto"/>
            <w:bottom w:val="none" w:sz="0" w:space="0" w:color="auto"/>
            <w:right w:val="none" w:sz="0" w:space="0" w:color="auto"/>
          </w:divBdr>
        </w:div>
        <w:div w:id="1119377675">
          <w:marLeft w:val="0"/>
          <w:marRight w:val="0"/>
          <w:marTop w:val="0"/>
          <w:marBottom w:val="0"/>
          <w:divBdr>
            <w:top w:val="none" w:sz="0" w:space="0" w:color="auto"/>
            <w:left w:val="none" w:sz="0" w:space="0" w:color="auto"/>
            <w:bottom w:val="none" w:sz="0" w:space="0" w:color="auto"/>
            <w:right w:val="none" w:sz="0" w:space="0" w:color="auto"/>
          </w:divBdr>
        </w:div>
        <w:div w:id="733433452">
          <w:marLeft w:val="0"/>
          <w:marRight w:val="0"/>
          <w:marTop w:val="0"/>
          <w:marBottom w:val="0"/>
          <w:divBdr>
            <w:top w:val="none" w:sz="0" w:space="0" w:color="auto"/>
            <w:left w:val="none" w:sz="0" w:space="0" w:color="auto"/>
            <w:bottom w:val="none" w:sz="0" w:space="0" w:color="auto"/>
            <w:right w:val="none" w:sz="0" w:space="0" w:color="auto"/>
          </w:divBdr>
        </w:div>
        <w:div w:id="362829544">
          <w:marLeft w:val="0"/>
          <w:marRight w:val="0"/>
          <w:marTop w:val="0"/>
          <w:marBottom w:val="0"/>
          <w:divBdr>
            <w:top w:val="none" w:sz="0" w:space="0" w:color="auto"/>
            <w:left w:val="none" w:sz="0" w:space="0" w:color="auto"/>
            <w:bottom w:val="none" w:sz="0" w:space="0" w:color="auto"/>
            <w:right w:val="none" w:sz="0" w:space="0" w:color="auto"/>
          </w:divBdr>
        </w:div>
        <w:div w:id="576745654">
          <w:marLeft w:val="0"/>
          <w:marRight w:val="0"/>
          <w:marTop w:val="0"/>
          <w:marBottom w:val="0"/>
          <w:divBdr>
            <w:top w:val="none" w:sz="0" w:space="0" w:color="auto"/>
            <w:left w:val="none" w:sz="0" w:space="0" w:color="auto"/>
            <w:bottom w:val="none" w:sz="0" w:space="0" w:color="auto"/>
            <w:right w:val="none" w:sz="0" w:space="0" w:color="auto"/>
          </w:divBdr>
        </w:div>
        <w:div w:id="762802324">
          <w:marLeft w:val="0"/>
          <w:marRight w:val="0"/>
          <w:marTop w:val="0"/>
          <w:marBottom w:val="0"/>
          <w:divBdr>
            <w:top w:val="none" w:sz="0" w:space="0" w:color="auto"/>
            <w:left w:val="none" w:sz="0" w:space="0" w:color="auto"/>
            <w:bottom w:val="none" w:sz="0" w:space="0" w:color="auto"/>
            <w:right w:val="none" w:sz="0" w:space="0" w:color="auto"/>
          </w:divBdr>
        </w:div>
        <w:div w:id="2017271595">
          <w:marLeft w:val="0"/>
          <w:marRight w:val="0"/>
          <w:marTop w:val="0"/>
          <w:marBottom w:val="0"/>
          <w:divBdr>
            <w:top w:val="none" w:sz="0" w:space="0" w:color="auto"/>
            <w:left w:val="none" w:sz="0" w:space="0" w:color="auto"/>
            <w:bottom w:val="none" w:sz="0" w:space="0" w:color="auto"/>
            <w:right w:val="none" w:sz="0" w:space="0" w:color="auto"/>
          </w:divBdr>
        </w:div>
      </w:divsChild>
    </w:div>
    <w:div w:id="1465348672">
      <w:bodyDiv w:val="1"/>
      <w:marLeft w:val="0"/>
      <w:marRight w:val="0"/>
      <w:marTop w:val="0"/>
      <w:marBottom w:val="0"/>
      <w:divBdr>
        <w:top w:val="none" w:sz="0" w:space="0" w:color="auto"/>
        <w:left w:val="none" w:sz="0" w:space="0" w:color="auto"/>
        <w:bottom w:val="none" w:sz="0" w:space="0" w:color="auto"/>
        <w:right w:val="none" w:sz="0" w:space="0" w:color="auto"/>
      </w:divBdr>
      <w:divsChild>
        <w:div w:id="1746216956">
          <w:marLeft w:val="0"/>
          <w:marRight w:val="0"/>
          <w:marTop w:val="0"/>
          <w:marBottom w:val="0"/>
          <w:divBdr>
            <w:top w:val="none" w:sz="0" w:space="0" w:color="auto"/>
            <w:left w:val="none" w:sz="0" w:space="0" w:color="auto"/>
            <w:bottom w:val="none" w:sz="0" w:space="0" w:color="auto"/>
            <w:right w:val="none" w:sz="0" w:space="0" w:color="auto"/>
          </w:divBdr>
        </w:div>
        <w:div w:id="322321740">
          <w:marLeft w:val="0"/>
          <w:marRight w:val="0"/>
          <w:marTop w:val="0"/>
          <w:marBottom w:val="0"/>
          <w:divBdr>
            <w:top w:val="none" w:sz="0" w:space="0" w:color="auto"/>
            <w:left w:val="none" w:sz="0" w:space="0" w:color="auto"/>
            <w:bottom w:val="none" w:sz="0" w:space="0" w:color="auto"/>
            <w:right w:val="none" w:sz="0" w:space="0" w:color="auto"/>
          </w:divBdr>
        </w:div>
        <w:div w:id="881210511">
          <w:marLeft w:val="0"/>
          <w:marRight w:val="0"/>
          <w:marTop w:val="0"/>
          <w:marBottom w:val="0"/>
          <w:divBdr>
            <w:top w:val="none" w:sz="0" w:space="0" w:color="auto"/>
            <w:left w:val="none" w:sz="0" w:space="0" w:color="auto"/>
            <w:bottom w:val="none" w:sz="0" w:space="0" w:color="auto"/>
            <w:right w:val="none" w:sz="0" w:space="0" w:color="auto"/>
          </w:divBdr>
        </w:div>
        <w:div w:id="1946616209">
          <w:marLeft w:val="0"/>
          <w:marRight w:val="0"/>
          <w:marTop w:val="0"/>
          <w:marBottom w:val="0"/>
          <w:divBdr>
            <w:top w:val="none" w:sz="0" w:space="0" w:color="auto"/>
            <w:left w:val="none" w:sz="0" w:space="0" w:color="auto"/>
            <w:bottom w:val="none" w:sz="0" w:space="0" w:color="auto"/>
            <w:right w:val="none" w:sz="0" w:space="0" w:color="auto"/>
          </w:divBdr>
        </w:div>
        <w:div w:id="605885391">
          <w:marLeft w:val="0"/>
          <w:marRight w:val="0"/>
          <w:marTop w:val="0"/>
          <w:marBottom w:val="0"/>
          <w:divBdr>
            <w:top w:val="none" w:sz="0" w:space="0" w:color="auto"/>
            <w:left w:val="none" w:sz="0" w:space="0" w:color="auto"/>
            <w:bottom w:val="none" w:sz="0" w:space="0" w:color="auto"/>
            <w:right w:val="none" w:sz="0" w:space="0" w:color="auto"/>
          </w:divBdr>
        </w:div>
        <w:div w:id="128982507">
          <w:marLeft w:val="0"/>
          <w:marRight w:val="0"/>
          <w:marTop w:val="0"/>
          <w:marBottom w:val="0"/>
          <w:divBdr>
            <w:top w:val="none" w:sz="0" w:space="0" w:color="auto"/>
            <w:left w:val="none" w:sz="0" w:space="0" w:color="auto"/>
            <w:bottom w:val="none" w:sz="0" w:space="0" w:color="auto"/>
            <w:right w:val="none" w:sz="0" w:space="0" w:color="auto"/>
          </w:divBdr>
        </w:div>
        <w:div w:id="1075126435">
          <w:marLeft w:val="0"/>
          <w:marRight w:val="0"/>
          <w:marTop w:val="0"/>
          <w:marBottom w:val="0"/>
          <w:divBdr>
            <w:top w:val="none" w:sz="0" w:space="0" w:color="auto"/>
            <w:left w:val="none" w:sz="0" w:space="0" w:color="auto"/>
            <w:bottom w:val="none" w:sz="0" w:space="0" w:color="auto"/>
            <w:right w:val="none" w:sz="0" w:space="0" w:color="auto"/>
          </w:divBdr>
        </w:div>
        <w:div w:id="501043635">
          <w:marLeft w:val="0"/>
          <w:marRight w:val="0"/>
          <w:marTop w:val="0"/>
          <w:marBottom w:val="0"/>
          <w:divBdr>
            <w:top w:val="none" w:sz="0" w:space="0" w:color="auto"/>
            <w:left w:val="none" w:sz="0" w:space="0" w:color="auto"/>
            <w:bottom w:val="none" w:sz="0" w:space="0" w:color="auto"/>
            <w:right w:val="none" w:sz="0" w:space="0" w:color="auto"/>
          </w:divBdr>
        </w:div>
        <w:div w:id="1767530123">
          <w:marLeft w:val="0"/>
          <w:marRight w:val="0"/>
          <w:marTop w:val="0"/>
          <w:marBottom w:val="0"/>
          <w:divBdr>
            <w:top w:val="none" w:sz="0" w:space="0" w:color="auto"/>
            <w:left w:val="none" w:sz="0" w:space="0" w:color="auto"/>
            <w:bottom w:val="none" w:sz="0" w:space="0" w:color="auto"/>
            <w:right w:val="none" w:sz="0" w:space="0" w:color="auto"/>
          </w:divBdr>
        </w:div>
        <w:div w:id="477577795">
          <w:marLeft w:val="0"/>
          <w:marRight w:val="0"/>
          <w:marTop w:val="0"/>
          <w:marBottom w:val="0"/>
          <w:divBdr>
            <w:top w:val="none" w:sz="0" w:space="0" w:color="auto"/>
            <w:left w:val="none" w:sz="0" w:space="0" w:color="auto"/>
            <w:bottom w:val="none" w:sz="0" w:space="0" w:color="auto"/>
            <w:right w:val="none" w:sz="0" w:space="0" w:color="auto"/>
          </w:divBdr>
        </w:div>
        <w:div w:id="392392040">
          <w:marLeft w:val="0"/>
          <w:marRight w:val="0"/>
          <w:marTop w:val="0"/>
          <w:marBottom w:val="0"/>
          <w:divBdr>
            <w:top w:val="none" w:sz="0" w:space="0" w:color="auto"/>
            <w:left w:val="none" w:sz="0" w:space="0" w:color="auto"/>
            <w:bottom w:val="none" w:sz="0" w:space="0" w:color="auto"/>
            <w:right w:val="none" w:sz="0" w:space="0" w:color="auto"/>
          </w:divBdr>
        </w:div>
        <w:div w:id="1270818864">
          <w:marLeft w:val="0"/>
          <w:marRight w:val="0"/>
          <w:marTop w:val="0"/>
          <w:marBottom w:val="0"/>
          <w:divBdr>
            <w:top w:val="none" w:sz="0" w:space="0" w:color="auto"/>
            <w:left w:val="none" w:sz="0" w:space="0" w:color="auto"/>
            <w:bottom w:val="none" w:sz="0" w:space="0" w:color="auto"/>
            <w:right w:val="none" w:sz="0" w:space="0" w:color="auto"/>
          </w:divBdr>
        </w:div>
        <w:div w:id="1351447968">
          <w:marLeft w:val="0"/>
          <w:marRight w:val="0"/>
          <w:marTop w:val="0"/>
          <w:marBottom w:val="0"/>
          <w:divBdr>
            <w:top w:val="none" w:sz="0" w:space="0" w:color="auto"/>
            <w:left w:val="none" w:sz="0" w:space="0" w:color="auto"/>
            <w:bottom w:val="none" w:sz="0" w:space="0" w:color="auto"/>
            <w:right w:val="none" w:sz="0" w:space="0" w:color="auto"/>
          </w:divBdr>
        </w:div>
        <w:div w:id="488327515">
          <w:marLeft w:val="0"/>
          <w:marRight w:val="0"/>
          <w:marTop w:val="0"/>
          <w:marBottom w:val="0"/>
          <w:divBdr>
            <w:top w:val="none" w:sz="0" w:space="0" w:color="auto"/>
            <w:left w:val="none" w:sz="0" w:space="0" w:color="auto"/>
            <w:bottom w:val="none" w:sz="0" w:space="0" w:color="auto"/>
            <w:right w:val="none" w:sz="0" w:space="0" w:color="auto"/>
          </w:divBdr>
        </w:div>
        <w:div w:id="1077703316">
          <w:marLeft w:val="0"/>
          <w:marRight w:val="0"/>
          <w:marTop w:val="0"/>
          <w:marBottom w:val="0"/>
          <w:divBdr>
            <w:top w:val="none" w:sz="0" w:space="0" w:color="auto"/>
            <w:left w:val="none" w:sz="0" w:space="0" w:color="auto"/>
            <w:bottom w:val="none" w:sz="0" w:space="0" w:color="auto"/>
            <w:right w:val="none" w:sz="0" w:space="0" w:color="auto"/>
          </w:divBdr>
        </w:div>
        <w:div w:id="796412797">
          <w:marLeft w:val="0"/>
          <w:marRight w:val="0"/>
          <w:marTop w:val="0"/>
          <w:marBottom w:val="0"/>
          <w:divBdr>
            <w:top w:val="none" w:sz="0" w:space="0" w:color="auto"/>
            <w:left w:val="none" w:sz="0" w:space="0" w:color="auto"/>
            <w:bottom w:val="none" w:sz="0" w:space="0" w:color="auto"/>
            <w:right w:val="none" w:sz="0" w:space="0" w:color="auto"/>
          </w:divBdr>
        </w:div>
        <w:div w:id="452209363">
          <w:marLeft w:val="0"/>
          <w:marRight w:val="0"/>
          <w:marTop w:val="0"/>
          <w:marBottom w:val="0"/>
          <w:divBdr>
            <w:top w:val="none" w:sz="0" w:space="0" w:color="auto"/>
            <w:left w:val="none" w:sz="0" w:space="0" w:color="auto"/>
            <w:bottom w:val="none" w:sz="0" w:space="0" w:color="auto"/>
            <w:right w:val="none" w:sz="0" w:space="0" w:color="auto"/>
          </w:divBdr>
        </w:div>
        <w:div w:id="2009407103">
          <w:marLeft w:val="0"/>
          <w:marRight w:val="0"/>
          <w:marTop w:val="0"/>
          <w:marBottom w:val="0"/>
          <w:divBdr>
            <w:top w:val="none" w:sz="0" w:space="0" w:color="auto"/>
            <w:left w:val="none" w:sz="0" w:space="0" w:color="auto"/>
            <w:bottom w:val="none" w:sz="0" w:space="0" w:color="auto"/>
            <w:right w:val="none" w:sz="0" w:space="0" w:color="auto"/>
          </w:divBdr>
        </w:div>
        <w:div w:id="190337951">
          <w:marLeft w:val="0"/>
          <w:marRight w:val="0"/>
          <w:marTop w:val="0"/>
          <w:marBottom w:val="0"/>
          <w:divBdr>
            <w:top w:val="none" w:sz="0" w:space="0" w:color="auto"/>
            <w:left w:val="none" w:sz="0" w:space="0" w:color="auto"/>
            <w:bottom w:val="none" w:sz="0" w:space="0" w:color="auto"/>
            <w:right w:val="none" w:sz="0" w:space="0" w:color="auto"/>
          </w:divBdr>
        </w:div>
        <w:div w:id="643586230">
          <w:marLeft w:val="0"/>
          <w:marRight w:val="0"/>
          <w:marTop w:val="0"/>
          <w:marBottom w:val="0"/>
          <w:divBdr>
            <w:top w:val="none" w:sz="0" w:space="0" w:color="auto"/>
            <w:left w:val="none" w:sz="0" w:space="0" w:color="auto"/>
            <w:bottom w:val="none" w:sz="0" w:space="0" w:color="auto"/>
            <w:right w:val="none" w:sz="0" w:space="0" w:color="auto"/>
          </w:divBdr>
        </w:div>
        <w:div w:id="1705909968">
          <w:marLeft w:val="0"/>
          <w:marRight w:val="0"/>
          <w:marTop w:val="0"/>
          <w:marBottom w:val="0"/>
          <w:divBdr>
            <w:top w:val="none" w:sz="0" w:space="0" w:color="auto"/>
            <w:left w:val="none" w:sz="0" w:space="0" w:color="auto"/>
            <w:bottom w:val="none" w:sz="0" w:space="0" w:color="auto"/>
            <w:right w:val="none" w:sz="0" w:space="0" w:color="auto"/>
          </w:divBdr>
        </w:div>
        <w:div w:id="678119196">
          <w:marLeft w:val="0"/>
          <w:marRight w:val="0"/>
          <w:marTop w:val="0"/>
          <w:marBottom w:val="0"/>
          <w:divBdr>
            <w:top w:val="none" w:sz="0" w:space="0" w:color="auto"/>
            <w:left w:val="none" w:sz="0" w:space="0" w:color="auto"/>
            <w:bottom w:val="none" w:sz="0" w:space="0" w:color="auto"/>
            <w:right w:val="none" w:sz="0" w:space="0" w:color="auto"/>
          </w:divBdr>
        </w:div>
        <w:div w:id="637150974">
          <w:marLeft w:val="0"/>
          <w:marRight w:val="0"/>
          <w:marTop w:val="0"/>
          <w:marBottom w:val="0"/>
          <w:divBdr>
            <w:top w:val="none" w:sz="0" w:space="0" w:color="auto"/>
            <w:left w:val="none" w:sz="0" w:space="0" w:color="auto"/>
            <w:bottom w:val="none" w:sz="0" w:space="0" w:color="auto"/>
            <w:right w:val="none" w:sz="0" w:space="0" w:color="auto"/>
          </w:divBdr>
        </w:div>
        <w:div w:id="1879854134">
          <w:marLeft w:val="0"/>
          <w:marRight w:val="0"/>
          <w:marTop w:val="0"/>
          <w:marBottom w:val="0"/>
          <w:divBdr>
            <w:top w:val="none" w:sz="0" w:space="0" w:color="auto"/>
            <w:left w:val="none" w:sz="0" w:space="0" w:color="auto"/>
            <w:bottom w:val="none" w:sz="0" w:space="0" w:color="auto"/>
            <w:right w:val="none" w:sz="0" w:space="0" w:color="auto"/>
          </w:divBdr>
        </w:div>
      </w:divsChild>
    </w:div>
    <w:div w:id="1650013767">
      <w:bodyDiv w:val="1"/>
      <w:marLeft w:val="0"/>
      <w:marRight w:val="0"/>
      <w:marTop w:val="0"/>
      <w:marBottom w:val="0"/>
      <w:divBdr>
        <w:top w:val="none" w:sz="0" w:space="0" w:color="auto"/>
        <w:left w:val="none" w:sz="0" w:space="0" w:color="auto"/>
        <w:bottom w:val="none" w:sz="0" w:space="0" w:color="auto"/>
        <w:right w:val="none" w:sz="0" w:space="0" w:color="auto"/>
      </w:divBdr>
      <w:divsChild>
        <w:div w:id="603608922">
          <w:marLeft w:val="0"/>
          <w:marRight w:val="0"/>
          <w:marTop w:val="0"/>
          <w:marBottom w:val="0"/>
          <w:divBdr>
            <w:top w:val="none" w:sz="0" w:space="0" w:color="auto"/>
            <w:left w:val="none" w:sz="0" w:space="0" w:color="auto"/>
            <w:bottom w:val="none" w:sz="0" w:space="0" w:color="auto"/>
            <w:right w:val="none" w:sz="0" w:space="0" w:color="auto"/>
          </w:divBdr>
        </w:div>
        <w:div w:id="1219631698">
          <w:marLeft w:val="0"/>
          <w:marRight w:val="0"/>
          <w:marTop w:val="0"/>
          <w:marBottom w:val="0"/>
          <w:divBdr>
            <w:top w:val="none" w:sz="0" w:space="0" w:color="auto"/>
            <w:left w:val="none" w:sz="0" w:space="0" w:color="auto"/>
            <w:bottom w:val="none" w:sz="0" w:space="0" w:color="auto"/>
            <w:right w:val="none" w:sz="0" w:space="0" w:color="auto"/>
          </w:divBdr>
        </w:div>
        <w:div w:id="1265963100">
          <w:marLeft w:val="0"/>
          <w:marRight w:val="0"/>
          <w:marTop w:val="0"/>
          <w:marBottom w:val="0"/>
          <w:divBdr>
            <w:top w:val="none" w:sz="0" w:space="0" w:color="auto"/>
            <w:left w:val="none" w:sz="0" w:space="0" w:color="auto"/>
            <w:bottom w:val="none" w:sz="0" w:space="0" w:color="auto"/>
            <w:right w:val="none" w:sz="0" w:space="0" w:color="auto"/>
          </w:divBdr>
        </w:div>
        <w:div w:id="383145950">
          <w:marLeft w:val="0"/>
          <w:marRight w:val="0"/>
          <w:marTop w:val="0"/>
          <w:marBottom w:val="0"/>
          <w:divBdr>
            <w:top w:val="none" w:sz="0" w:space="0" w:color="auto"/>
            <w:left w:val="none" w:sz="0" w:space="0" w:color="auto"/>
            <w:bottom w:val="none" w:sz="0" w:space="0" w:color="auto"/>
            <w:right w:val="none" w:sz="0" w:space="0" w:color="auto"/>
          </w:divBdr>
        </w:div>
        <w:div w:id="288435439">
          <w:marLeft w:val="0"/>
          <w:marRight w:val="0"/>
          <w:marTop w:val="0"/>
          <w:marBottom w:val="0"/>
          <w:divBdr>
            <w:top w:val="none" w:sz="0" w:space="0" w:color="auto"/>
            <w:left w:val="none" w:sz="0" w:space="0" w:color="auto"/>
            <w:bottom w:val="none" w:sz="0" w:space="0" w:color="auto"/>
            <w:right w:val="none" w:sz="0" w:space="0" w:color="auto"/>
          </w:divBdr>
        </w:div>
        <w:div w:id="1336150945">
          <w:marLeft w:val="0"/>
          <w:marRight w:val="0"/>
          <w:marTop w:val="0"/>
          <w:marBottom w:val="0"/>
          <w:divBdr>
            <w:top w:val="none" w:sz="0" w:space="0" w:color="auto"/>
            <w:left w:val="none" w:sz="0" w:space="0" w:color="auto"/>
            <w:bottom w:val="none" w:sz="0" w:space="0" w:color="auto"/>
            <w:right w:val="none" w:sz="0" w:space="0" w:color="auto"/>
          </w:divBdr>
        </w:div>
        <w:div w:id="450053166">
          <w:marLeft w:val="0"/>
          <w:marRight w:val="0"/>
          <w:marTop w:val="0"/>
          <w:marBottom w:val="0"/>
          <w:divBdr>
            <w:top w:val="none" w:sz="0" w:space="0" w:color="auto"/>
            <w:left w:val="none" w:sz="0" w:space="0" w:color="auto"/>
            <w:bottom w:val="none" w:sz="0" w:space="0" w:color="auto"/>
            <w:right w:val="none" w:sz="0" w:space="0" w:color="auto"/>
          </w:divBdr>
        </w:div>
        <w:div w:id="863635620">
          <w:marLeft w:val="0"/>
          <w:marRight w:val="0"/>
          <w:marTop w:val="0"/>
          <w:marBottom w:val="0"/>
          <w:divBdr>
            <w:top w:val="none" w:sz="0" w:space="0" w:color="auto"/>
            <w:left w:val="none" w:sz="0" w:space="0" w:color="auto"/>
            <w:bottom w:val="none" w:sz="0" w:space="0" w:color="auto"/>
            <w:right w:val="none" w:sz="0" w:space="0" w:color="auto"/>
          </w:divBdr>
        </w:div>
        <w:div w:id="1963148382">
          <w:marLeft w:val="0"/>
          <w:marRight w:val="0"/>
          <w:marTop w:val="0"/>
          <w:marBottom w:val="0"/>
          <w:divBdr>
            <w:top w:val="none" w:sz="0" w:space="0" w:color="auto"/>
            <w:left w:val="none" w:sz="0" w:space="0" w:color="auto"/>
            <w:bottom w:val="none" w:sz="0" w:space="0" w:color="auto"/>
            <w:right w:val="none" w:sz="0" w:space="0" w:color="auto"/>
          </w:divBdr>
        </w:div>
        <w:div w:id="1542595178">
          <w:marLeft w:val="0"/>
          <w:marRight w:val="0"/>
          <w:marTop w:val="0"/>
          <w:marBottom w:val="0"/>
          <w:divBdr>
            <w:top w:val="none" w:sz="0" w:space="0" w:color="auto"/>
            <w:left w:val="none" w:sz="0" w:space="0" w:color="auto"/>
            <w:bottom w:val="none" w:sz="0" w:space="0" w:color="auto"/>
            <w:right w:val="none" w:sz="0" w:space="0" w:color="auto"/>
          </w:divBdr>
        </w:div>
        <w:div w:id="1073889053">
          <w:marLeft w:val="0"/>
          <w:marRight w:val="0"/>
          <w:marTop w:val="0"/>
          <w:marBottom w:val="0"/>
          <w:divBdr>
            <w:top w:val="none" w:sz="0" w:space="0" w:color="auto"/>
            <w:left w:val="none" w:sz="0" w:space="0" w:color="auto"/>
            <w:bottom w:val="none" w:sz="0" w:space="0" w:color="auto"/>
            <w:right w:val="none" w:sz="0" w:space="0" w:color="auto"/>
          </w:divBdr>
        </w:div>
        <w:div w:id="1187983083">
          <w:marLeft w:val="0"/>
          <w:marRight w:val="0"/>
          <w:marTop w:val="0"/>
          <w:marBottom w:val="0"/>
          <w:divBdr>
            <w:top w:val="none" w:sz="0" w:space="0" w:color="auto"/>
            <w:left w:val="none" w:sz="0" w:space="0" w:color="auto"/>
            <w:bottom w:val="none" w:sz="0" w:space="0" w:color="auto"/>
            <w:right w:val="none" w:sz="0" w:space="0" w:color="auto"/>
          </w:divBdr>
        </w:div>
        <w:div w:id="262416366">
          <w:marLeft w:val="0"/>
          <w:marRight w:val="0"/>
          <w:marTop w:val="0"/>
          <w:marBottom w:val="0"/>
          <w:divBdr>
            <w:top w:val="none" w:sz="0" w:space="0" w:color="auto"/>
            <w:left w:val="none" w:sz="0" w:space="0" w:color="auto"/>
            <w:bottom w:val="none" w:sz="0" w:space="0" w:color="auto"/>
            <w:right w:val="none" w:sz="0" w:space="0" w:color="auto"/>
          </w:divBdr>
        </w:div>
        <w:div w:id="2009865493">
          <w:marLeft w:val="0"/>
          <w:marRight w:val="0"/>
          <w:marTop w:val="0"/>
          <w:marBottom w:val="0"/>
          <w:divBdr>
            <w:top w:val="none" w:sz="0" w:space="0" w:color="auto"/>
            <w:left w:val="none" w:sz="0" w:space="0" w:color="auto"/>
            <w:bottom w:val="none" w:sz="0" w:space="0" w:color="auto"/>
            <w:right w:val="none" w:sz="0" w:space="0" w:color="auto"/>
          </w:divBdr>
        </w:div>
        <w:div w:id="914776937">
          <w:marLeft w:val="0"/>
          <w:marRight w:val="0"/>
          <w:marTop w:val="0"/>
          <w:marBottom w:val="0"/>
          <w:divBdr>
            <w:top w:val="none" w:sz="0" w:space="0" w:color="auto"/>
            <w:left w:val="none" w:sz="0" w:space="0" w:color="auto"/>
            <w:bottom w:val="none" w:sz="0" w:space="0" w:color="auto"/>
            <w:right w:val="none" w:sz="0" w:space="0" w:color="auto"/>
          </w:divBdr>
        </w:div>
        <w:div w:id="1259409561">
          <w:marLeft w:val="0"/>
          <w:marRight w:val="0"/>
          <w:marTop w:val="0"/>
          <w:marBottom w:val="0"/>
          <w:divBdr>
            <w:top w:val="none" w:sz="0" w:space="0" w:color="auto"/>
            <w:left w:val="none" w:sz="0" w:space="0" w:color="auto"/>
            <w:bottom w:val="none" w:sz="0" w:space="0" w:color="auto"/>
            <w:right w:val="none" w:sz="0" w:space="0" w:color="auto"/>
          </w:divBdr>
        </w:div>
        <w:div w:id="1473328184">
          <w:marLeft w:val="0"/>
          <w:marRight w:val="0"/>
          <w:marTop w:val="0"/>
          <w:marBottom w:val="0"/>
          <w:divBdr>
            <w:top w:val="none" w:sz="0" w:space="0" w:color="auto"/>
            <w:left w:val="none" w:sz="0" w:space="0" w:color="auto"/>
            <w:bottom w:val="none" w:sz="0" w:space="0" w:color="auto"/>
            <w:right w:val="none" w:sz="0" w:space="0" w:color="auto"/>
          </w:divBdr>
        </w:div>
        <w:div w:id="1574467293">
          <w:marLeft w:val="0"/>
          <w:marRight w:val="0"/>
          <w:marTop w:val="0"/>
          <w:marBottom w:val="0"/>
          <w:divBdr>
            <w:top w:val="none" w:sz="0" w:space="0" w:color="auto"/>
            <w:left w:val="none" w:sz="0" w:space="0" w:color="auto"/>
            <w:bottom w:val="none" w:sz="0" w:space="0" w:color="auto"/>
            <w:right w:val="none" w:sz="0" w:space="0" w:color="auto"/>
          </w:divBdr>
        </w:div>
        <w:div w:id="486213281">
          <w:marLeft w:val="0"/>
          <w:marRight w:val="0"/>
          <w:marTop w:val="0"/>
          <w:marBottom w:val="0"/>
          <w:divBdr>
            <w:top w:val="none" w:sz="0" w:space="0" w:color="auto"/>
            <w:left w:val="none" w:sz="0" w:space="0" w:color="auto"/>
            <w:bottom w:val="none" w:sz="0" w:space="0" w:color="auto"/>
            <w:right w:val="none" w:sz="0" w:space="0" w:color="auto"/>
          </w:divBdr>
        </w:div>
        <w:div w:id="1772167812">
          <w:marLeft w:val="0"/>
          <w:marRight w:val="0"/>
          <w:marTop w:val="0"/>
          <w:marBottom w:val="0"/>
          <w:divBdr>
            <w:top w:val="none" w:sz="0" w:space="0" w:color="auto"/>
            <w:left w:val="none" w:sz="0" w:space="0" w:color="auto"/>
            <w:bottom w:val="none" w:sz="0" w:space="0" w:color="auto"/>
            <w:right w:val="none" w:sz="0" w:space="0" w:color="auto"/>
          </w:divBdr>
        </w:div>
        <w:div w:id="1069571539">
          <w:marLeft w:val="0"/>
          <w:marRight w:val="0"/>
          <w:marTop w:val="0"/>
          <w:marBottom w:val="0"/>
          <w:divBdr>
            <w:top w:val="none" w:sz="0" w:space="0" w:color="auto"/>
            <w:left w:val="none" w:sz="0" w:space="0" w:color="auto"/>
            <w:bottom w:val="none" w:sz="0" w:space="0" w:color="auto"/>
            <w:right w:val="none" w:sz="0" w:space="0" w:color="auto"/>
          </w:divBdr>
        </w:div>
        <w:div w:id="8258015">
          <w:marLeft w:val="0"/>
          <w:marRight w:val="0"/>
          <w:marTop w:val="0"/>
          <w:marBottom w:val="0"/>
          <w:divBdr>
            <w:top w:val="none" w:sz="0" w:space="0" w:color="auto"/>
            <w:left w:val="none" w:sz="0" w:space="0" w:color="auto"/>
            <w:bottom w:val="none" w:sz="0" w:space="0" w:color="auto"/>
            <w:right w:val="none" w:sz="0" w:space="0" w:color="auto"/>
          </w:divBdr>
        </w:div>
        <w:div w:id="1613129395">
          <w:marLeft w:val="0"/>
          <w:marRight w:val="0"/>
          <w:marTop w:val="0"/>
          <w:marBottom w:val="0"/>
          <w:divBdr>
            <w:top w:val="none" w:sz="0" w:space="0" w:color="auto"/>
            <w:left w:val="none" w:sz="0" w:space="0" w:color="auto"/>
            <w:bottom w:val="none" w:sz="0" w:space="0" w:color="auto"/>
            <w:right w:val="none" w:sz="0" w:space="0" w:color="auto"/>
          </w:divBdr>
        </w:div>
        <w:div w:id="2096321729">
          <w:marLeft w:val="0"/>
          <w:marRight w:val="0"/>
          <w:marTop w:val="0"/>
          <w:marBottom w:val="0"/>
          <w:divBdr>
            <w:top w:val="none" w:sz="0" w:space="0" w:color="auto"/>
            <w:left w:val="none" w:sz="0" w:space="0" w:color="auto"/>
            <w:bottom w:val="none" w:sz="0" w:space="0" w:color="auto"/>
            <w:right w:val="none" w:sz="0" w:space="0" w:color="auto"/>
          </w:divBdr>
        </w:div>
        <w:div w:id="2130316510">
          <w:marLeft w:val="0"/>
          <w:marRight w:val="0"/>
          <w:marTop w:val="0"/>
          <w:marBottom w:val="0"/>
          <w:divBdr>
            <w:top w:val="none" w:sz="0" w:space="0" w:color="auto"/>
            <w:left w:val="none" w:sz="0" w:space="0" w:color="auto"/>
            <w:bottom w:val="none" w:sz="0" w:space="0" w:color="auto"/>
            <w:right w:val="none" w:sz="0" w:space="0" w:color="auto"/>
          </w:divBdr>
        </w:div>
        <w:div w:id="894698419">
          <w:marLeft w:val="0"/>
          <w:marRight w:val="0"/>
          <w:marTop w:val="0"/>
          <w:marBottom w:val="0"/>
          <w:divBdr>
            <w:top w:val="none" w:sz="0" w:space="0" w:color="auto"/>
            <w:left w:val="none" w:sz="0" w:space="0" w:color="auto"/>
            <w:bottom w:val="none" w:sz="0" w:space="0" w:color="auto"/>
            <w:right w:val="none" w:sz="0" w:space="0" w:color="auto"/>
          </w:divBdr>
        </w:div>
        <w:div w:id="46876058">
          <w:marLeft w:val="0"/>
          <w:marRight w:val="0"/>
          <w:marTop w:val="0"/>
          <w:marBottom w:val="0"/>
          <w:divBdr>
            <w:top w:val="none" w:sz="0" w:space="0" w:color="auto"/>
            <w:left w:val="none" w:sz="0" w:space="0" w:color="auto"/>
            <w:bottom w:val="none" w:sz="0" w:space="0" w:color="auto"/>
            <w:right w:val="none" w:sz="0" w:space="0" w:color="auto"/>
          </w:divBdr>
        </w:div>
        <w:div w:id="979655151">
          <w:marLeft w:val="0"/>
          <w:marRight w:val="0"/>
          <w:marTop w:val="0"/>
          <w:marBottom w:val="0"/>
          <w:divBdr>
            <w:top w:val="none" w:sz="0" w:space="0" w:color="auto"/>
            <w:left w:val="none" w:sz="0" w:space="0" w:color="auto"/>
            <w:bottom w:val="none" w:sz="0" w:space="0" w:color="auto"/>
            <w:right w:val="none" w:sz="0" w:space="0" w:color="auto"/>
          </w:divBdr>
        </w:div>
        <w:div w:id="973557417">
          <w:marLeft w:val="0"/>
          <w:marRight w:val="0"/>
          <w:marTop w:val="0"/>
          <w:marBottom w:val="0"/>
          <w:divBdr>
            <w:top w:val="none" w:sz="0" w:space="0" w:color="auto"/>
            <w:left w:val="none" w:sz="0" w:space="0" w:color="auto"/>
            <w:bottom w:val="none" w:sz="0" w:space="0" w:color="auto"/>
            <w:right w:val="none" w:sz="0" w:space="0" w:color="auto"/>
          </w:divBdr>
        </w:div>
        <w:div w:id="961576904">
          <w:marLeft w:val="0"/>
          <w:marRight w:val="0"/>
          <w:marTop w:val="0"/>
          <w:marBottom w:val="0"/>
          <w:divBdr>
            <w:top w:val="none" w:sz="0" w:space="0" w:color="auto"/>
            <w:left w:val="none" w:sz="0" w:space="0" w:color="auto"/>
            <w:bottom w:val="none" w:sz="0" w:space="0" w:color="auto"/>
            <w:right w:val="none" w:sz="0" w:space="0" w:color="auto"/>
          </w:divBdr>
        </w:div>
        <w:div w:id="1268464679">
          <w:marLeft w:val="0"/>
          <w:marRight w:val="0"/>
          <w:marTop w:val="0"/>
          <w:marBottom w:val="0"/>
          <w:divBdr>
            <w:top w:val="none" w:sz="0" w:space="0" w:color="auto"/>
            <w:left w:val="none" w:sz="0" w:space="0" w:color="auto"/>
            <w:bottom w:val="none" w:sz="0" w:space="0" w:color="auto"/>
            <w:right w:val="none" w:sz="0" w:space="0" w:color="auto"/>
          </w:divBdr>
        </w:div>
        <w:div w:id="817764651">
          <w:marLeft w:val="0"/>
          <w:marRight w:val="0"/>
          <w:marTop w:val="0"/>
          <w:marBottom w:val="0"/>
          <w:divBdr>
            <w:top w:val="none" w:sz="0" w:space="0" w:color="auto"/>
            <w:left w:val="none" w:sz="0" w:space="0" w:color="auto"/>
            <w:bottom w:val="none" w:sz="0" w:space="0" w:color="auto"/>
            <w:right w:val="none" w:sz="0" w:space="0" w:color="auto"/>
          </w:divBdr>
        </w:div>
        <w:div w:id="453905947">
          <w:marLeft w:val="0"/>
          <w:marRight w:val="0"/>
          <w:marTop w:val="0"/>
          <w:marBottom w:val="0"/>
          <w:divBdr>
            <w:top w:val="none" w:sz="0" w:space="0" w:color="auto"/>
            <w:left w:val="none" w:sz="0" w:space="0" w:color="auto"/>
            <w:bottom w:val="none" w:sz="0" w:space="0" w:color="auto"/>
            <w:right w:val="none" w:sz="0" w:space="0" w:color="auto"/>
          </w:divBdr>
        </w:div>
        <w:div w:id="590162492">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731229186">
          <w:marLeft w:val="0"/>
          <w:marRight w:val="0"/>
          <w:marTop w:val="0"/>
          <w:marBottom w:val="0"/>
          <w:divBdr>
            <w:top w:val="none" w:sz="0" w:space="0" w:color="auto"/>
            <w:left w:val="none" w:sz="0" w:space="0" w:color="auto"/>
            <w:bottom w:val="none" w:sz="0" w:space="0" w:color="auto"/>
            <w:right w:val="none" w:sz="0" w:space="0" w:color="auto"/>
          </w:divBdr>
        </w:div>
        <w:div w:id="1382365008">
          <w:marLeft w:val="0"/>
          <w:marRight w:val="0"/>
          <w:marTop w:val="0"/>
          <w:marBottom w:val="0"/>
          <w:divBdr>
            <w:top w:val="none" w:sz="0" w:space="0" w:color="auto"/>
            <w:left w:val="none" w:sz="0" w:space="0" w:color="auto"/>
            <w:bottom w:val="none" w:sz="0" w:space="0" w:color="auto"/>
            <w:right w:val="none" w:sz="0" w:space="0" w:color="auto"/>
          </w:divBdr>
        </w:div>
        <w:div w:id="245261307">
          <w:marLeft w:val="0"/>
          <w:marRight w:val="0"/>
          <w:marTop w:val="0"/>
          <w:marBottom w:val="0"/>
          <w:divBdr>
            <w:top w:val="none" w:sz="0" w:space="0" w:color="auto"/>
            <w:left w:val="none" w:sz="0" w:space="0" w:color="auto"/>
            <w:bottom w:val="none" w:sz="0" w:space="0" w:color="auto"/>
            <w:right w:val="none" w:sz="0" w:space="0" w:color="auto"/>
          </w:divBdr>
        </w:div>
        <w:div w:id="862979130">
          <w:marLeft w:val="0"/>
          <w:marRight w:val="0"/>
          <w:marTop w:val="0"/>
          <w:marBottom w:val="0"/>
          <w:divBdr>
            <w:top w:val="none" w:sz="0" w:space="0" w:color="auto"/>
            <w:left w:val="none" w:sz="0" w:space="0" w:color="auto"/>
            <w:bottom w:val="none" w:sz="0" w:space="0" w:color="auto"/>
            <w:right w:val="none" w:sz="0" w:space="0" w:color="auto"/>
          </w:divBdr>
        </w:div>
        <w:div w:id="541750639">
          <w:marLeft w:val="0"/>
          <w:marRight w:val="0"/>
          <w:marTop w:val="0"/>
          <w:marBottom w:val="0"/>
          <w:divBdr>
            <w:top w:val="none" w:sz="0" w:space="0" w:color="auto"/>
            <w:left w:val="none" w:sz="0" w:space="0" w:color="auto"/>
            <w:bottom w:val="none" w:sz="0" w:space="0" w:color="auto"/>
            <w:right w:val="none" w:sz="0" w:space="0" w:color="auto"/>
          </w:divBdr>
        </w:div>
        <w:div w:id="1546138304">
          <w:marLeft w:val="0"/>
          <w:marRight w:val="0"/>
          <w:marTop w:val="0"/>
          <w:marBottom w:val="0"/>
          <w:divBdr>
            <w:top w:val="none" w:sz="0" w:space="0" w:color="auto"/>
            <w:left w:val="none" w:sz="0" w:space="0" w:color="auto"/>
            <w:bottom w:val="none" w:sz="0" w:space="0" w:color="auto"/>
            <w:right w:val="none" w:sz="0" w:space="0" w:color="auto"/>
          </w:divBdr>
        </w:div>
        <w:div w:id="160240612">
          <w:marLeft w:val="0"/>
          <w:marRight w:val="0"/>
          <w:marTop w:val="0"/>
          <w:marBottom w:val="0"/>
          <w:divBdr>
            <w:top w:val="none" w:sz="0" w:space="0" w:color="auto"/>
            <w:left w:val="none" w:sz="0" w:space="0" w:color="auto"/>
            <w:bottom w:val="none" w:sz="0" w:space="0" w:color="auto"/>
            <w:right w:val="none" w:sz="0" w:space="0" w:color="auto"/>
          </w:divBdr>
        </w:div>
        <w:div w:id="250234511">
          <w:marLeft w:val="0"/>
          <w:marRight w:val="0"/>
          <w:marTop w:val="0"/>
          <w:marBottom w:val="0"/>
          <w:divBdr>
            <w:top w:val="none" w:sz="0" w:space="0" w:color="auto"/>
            <w:left w:val="none" w:sz="0" w:space="0" w:color="auto"/>
            <w:bottom w:val="none" w:sz="0" w:space="0" w:color="auto"/>
            <w:right w:val="none" w:sz="0" w:space="0" w:color="auto"/>
          </w:divBdr>
        </w:div>
        <w:div w:id="103502097">
          <w:marLeft w:val="0"/>
          <w:marRight w:val="0"/>
          <w:marTop w:val="0"/>
          <w:marBottom w:val="0"/>
          <w:divBdr>
            <w:top w:val="none" w:sz="0" w:space="0" w:color="auto"/>
            <w:left w:val="none" w:sz="0" w:space="0" w:color="auto"/>
            <w:bottom w:val="none" w:sz="0" w:space="0" w:color="auto"/>
            <w:right w:val="none" w:sz="0" w:space="0" w:color="auto"/>
          </w:divBdr>
        </w:div>
        <w:div w:id="461925912">
          <w:marLeft w:val="0"/>
          <w:marRight w:val="0"/>
          <w:marTop w:val="0"/>
          <w:marBottom w:val="0"/>
          <w:divBdr>
            <w:top w:val="none" w:sz="0" w:space="0" w:color="auto"/>
            <w:left w:val="none" w:sz="0" w:space="0" w:color="auto"/>
            <w:bottom w:val="none" w:sz="0" w:space="0" w:color="auto"/>
            <w:right w:val="none" w:sz="0" w:space="0" w:color="auto"/>
          </w:divBdr>
        </w:div>
        <w:div w:id="1227303450">
          <w:marLeft w:val="0"/>
          <w:marRight w:val="0"/>
          <w:marTop w:val="0"/>
          <w:marBottom w:val="0"/>
          <w:divBdr>
            <w:top w:val="none" w:sz="0" w:space="0" w:color="auto"/>
            <w:left w:val="none" w:sz="0" w:space="0" w:color="auto"/>
            <w:bottom w:val="none" w:sz="0" w:space="0" w:color="auto"/>
            <w:right w:val="none" w:sz="0" w:space="0" w:color="auto"/>
          </w:divBdr>
        </w:div>
        <w:div w:id="1017657138">
          <w:marLeft w:val="0"/>
          <w:marRight w:val="0"/>
          <w:marTop w:val="0"/>
          <w:marBottom w:val="0"/>
          <w:divBdr>
            <w:top w:val="none" w:sz="0" w:space="0" w:color="auto"/>
            <w:left w:val="none" w:sz="0" w:space="0" w:color="auto"/>
            <w:bottom w:val="none" w:sz="0" w:space="0" w:color="auto"/>
            <w:right w:val="none" w:sz="0" w:space="0" w:color="auto"/>
          </w:divBdr>
        </w:div>
        <w:div w:id="352726997">
          <w:marLeft w:val="0"/>
          <w:marRight w:val="0"/>
          <w:marTop w:val="0"/>
          <w:marBottom w:val="0"/>
          <w:divBdr>
            <w:top w:val="none" w:sz="0" w:space="0" w:color="auto"/>
            <w:left w:val="none" w:sz="0" w:space="0" w:color="auto"/>
            <w:bottom w:val="none" w:sz="0" w:space="0" w:color="auto"/>
            <w:right w:val="none" w:sz="0" w:space="0" w:color="auto"/>
          </w:divBdr>
        </w:div>
        <w:div w:id="487675871">
          <w:marLeft w:val="0"/>
          <w:marRight w:val="0"/>
          <w:marTop w:val="0"/>
          <w:marBottom w:val="0"/>
          <w:divBdr>
            <w:top w:val="none" w:sz="0" w:space="0" w:color="auto"/>
            <w:left w:val="none" w:sz="0" w:space="0" w:color="auto"/>
            <w:bottom w:val="none" w:sz="0" w:space="0" w:color="auto"/>
            <w:right w:val="none" w:sz="0" w:space="0" w:color="auto"/>
          </w:divBdr>
        </w:div>
        <w:div w:id="588540437">
          <w:marLeft w:val="0"/>
          <w:marRight w:val="0"/>
          <w:marTop w:val="0"/>
          <w:marBottom w:val="0"/>
          <w:divBdr>
            <w:top w:val="none" w:sz="0" w:space="0" w:color="auto"/>
            <w:left w:val="none" w:sz="0" w:space="0" w:color="auto"/>
            <w:bottom w:val="none" w:sz="0" w:space="0" w:color="auto"/>
            <w:right w:val="none" w:sz="0" w:space="0" w:color="auto"/>
          </w:divBdr>
        </w:div>
        <w:div w:id="1607736388">
          <w:marLeft w:val="0"/>
          <w:marRight w:val="0"/>
          <w:marTop w:val="0"/>
          <w:marBottom w:val="0"/>
          <w:divBdr>
            <w:top w:val="none" w:sz="0" w:space="0" w:color="auto"/>
            <w:left w:val="none" w:sz="0" w:space="0" w:color="auto"/>
            <w:bottom w:val="none" w:sz="0" w:space="0" w:color="auto"/>
            <w:right w:val="none" w:sz="0" w:space="0" w:color="auto"/>
          </w:divBdr>
        </w:div>
        <w:div w:id="1550528581">
          <w:marLeft w:val="0"/>
          <w:marRight w:val="0"/>
          <w:marTop w:val="0"/>
          <w:marBottom w:val="0"/>
          <w:divBdr>
            <w:top w:val="none" w:sz="0" w:space="0" w:color="auto"/>
            <w:left w:val="none" w:sz="0" w:space="0" w:color="auto"/>
            <w:bottom w:val="none" w:sz="0" w:space="0" w:color="auto"/>
            <w:right w:val="none" w:sz="0" w:space="0" w:color="auto"/>
          </w:divBdr>
        </w:div>
        <w:div w:id="1676836545">
          <w:marLeft w:val="0"/>
          <w:marRight w:val="0"/>
          <w:marTop w:val="0"/>
          <w:marBottom w:val="0"/>
          <w:divBdr>
            <w:top w:val="none" w:sz="0" w:space="0" w:color="auto"/>
            <w:left w:val="none" w:sz="0" w:space="0" w:color="auto"/>
            <w:bottom w:val="none" w:sz="0" w:space="0" w:color="auto"/>
            <w:right w:val="none" w:sz="0" w:space="0" w:color="auto"/>
          </w:divBdr>
        </w:div>
        <w:div w:id="1382704541">
          <w:marLeft w:val="0"/>
          <w:marRight w:val="0"/>
          <w:marTop w:val="0"/>
          <w:marBottom w:val="0"/>
          <w:divBdr>
            <w:top w:val="none" w:sz="0" w:space="0" w:color="auto"/>
            <w:left w:val="none" w:sz="0" w:space="0" w:color="auto"/>
            <w:bottom w:val="none" w:sz="0" w:space="0" w:color="auto"/>
            <w:right w:val="none" w:sz="0" w:space="0" w:color="auto"/>
          </w:divBdr>
        </w:div>
      </w:divsChild>
    </w:div>
    <w:div w:id="20115246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797">
          <w:marLeft w:val="0"/>
          <w:marRight w:val="0"/>
          <w:marTop w:val="0"/>
          <w:marBottom w:val="0"/>
          <w:divBdr>
            <w:top w:val="none" w:sz="0" w:space="0" w:color="auto"/>
            <w:left w:val="none" w:sz="0" w:space="0" w:color="auto"/>
            <w:bottom w:val="none" w:sz="0" w:space="0" w:color="auto"/>
            <w:right w:val="none" w:sz="0" w:space="0" w:color="auto"/>
          </w:divBdr>
        </w:div>
        <w:div w:id="145587807">
          <w:marLeft w:val="0"/>
          <w:marRight w:val="0"/>
          <w:marTop w:val="0"/>
          <w:marBottom w:val="0"/>
          <w:divBdr>
            <w:top w:val="none" w:sz="0" w:space="0" w:color="auto"/>
            <w:left w:val="none" w:sz="0" w:space="0" w:color="auto"/>
            <w:bottom w:val="none" w:sz="0" w:space="0" w:color="auto"/>
            <w:right w:val="none" w:sz="0" w:space="0" w:color="auto"/>
          </w:divBdr>
        </w:div>
        <w:div w:id="684017446">
          <w:marLeft w:val="0"/>
          <w:marRight w:val="0"/>
          <w:marTop w:val="0"/>
          <w:marBottom w:val="0"/>
          <w:divBdr>
            <w:top w:val="none" w:sz="0" w:space="0" w:color="auto"/>
            <w:left w:val="none" w:sz="0" w:space="0" w:color="auto"/>
            <w:bottom w:val="none" w:sz="0" w:space="0" w:color="auto"/>
            <w:right w:val="none" w:sz="0" w:space="0" w:color="auto"/>
          </w:divBdr>
        </w:div>
        <w:div w:id="711878725">
          <w:marLeft w:val="0"/>
          <w:marRight w:val="0"/>
          <w:marTop w:val="0"/>
          <w:marBottom w:val="0"/>
          <w:divBdr>
            <w:top w:val="none" w:sz="0" w:space="0" w:color="auto"/>
            <w:left w:val="none" w:sz="0" w:space="0" w:color="auto"/>
            <w:bottom w:val="none" w:sz="0" w:space="0" w:color="auto"/>
            <w:right w:val="none" w:sz="0" w:space="0" w:color="auto"/>
          </w:divBdr>
        </w:div>
        <w:div w:id="1260524384">
          <w:marLeft w:val="0"/>
          <w:marRight w:val="0"/>
          <w:marTop w:val="0"/>
          <w:marBottom w:val="0"/>
          <w:divBdr>
            <w:top w:val="none" w:sz="0" w:space="0" w:color="auto"/>
            <w:left w:val="none" w:sz="0" w:space="0" w:color="auto"/>
            <w:bottom w:val="none" w:sz="0" w:space="0" w:color="auto"/>
            <w:right w:val="none" w:sz="0" w:space="0" w:color="auto"/>
          </w:divBdr>
        </w:div>
        <w:div w:id="1737505702">
          <w:marLeft w:val="0"/>
          <w:marRight w:val="0"/>
          <w:marTop w:val="0"/>
          <w:marBottom w:val="0"/>
          <w:divBdr>
            <w:top w:val="none" w:sz="0" w:space="0" w:color="auto"/>
            <w:left w:val="none" w:sz="0" w:space="0" w:color="auto"/>
            <w:bottom w:val="none" w:sz="0" w:space="0" w:color="auto"/>
            <w:right w:val="none" w:sz="0" w:space="0" w:color="auto"/>
          </w:divBdr>
        </w:div>
        <w:div w:id="1908803259">
          <w:marLeft w:val="0"/>
          <w:marRight w:val="0"/>
          <w:marTop w:val="0"/>
          <w:marBottom w:val="0"/>
          <w:divBdr>
            <w:top w:val="none" w:sz="0" w:space="0" w:color="auto"/>
            <w:left w:val="none" w:sz="0" w:space="0" w:color="auto"/>
            <w:bottom w:val="none" w:sz="0" w:space="0" w:color="auto"/>
            <w:right w:val="none" w:sz="0" w:space="0" w:color="auto"/>
          </w:divBdr>
        </w:div>
        <w:div w:id="1028724853">
          <w:marLeft w:val="0"/>
          <w:marRight w:val="0"/>
          <w:marTop w:val="0"/>
          <w:marBottom w:val="0"/>
          <w:divBdr>
            <w:top w:val="none" w:sz="0" w:space="0" w:color="auto"/>
            <w:left w:val="none" w:sz="0" w:space="0" w:color="auto"/>
            <w:bottom w:val="none" w:sz="0" w:space="0" w:color="auto"/>
            <w:right w:val="none" w:sz="0" w:space="0" w:color="auto"/>
          </w:divBdr>
        </w:div>
        <w:div w:id="1269583477">
          <w:marLeft w:val="0"/>
          <w:marRight w:val="0"/>
          <w:marTop w:val="0"/>
          <w:marBottom w:val="0"/>
          <w:divBdr>
            <w:top w:val="none" w:sz="0" w:space="0" w:color="auto"/>
            <w:left w:val="none" w:sz="0" w:space="0" w:color="auto"/>
            <w:bottom w:val="none" w:sz="0" w:space="0" w:color="auto"/>
            <w:right w:val="none" w:sz="0" w:space="0" w:color="auto"/>
          </w:divBdr>
        </w:div>
        <w:div w:id="1842233731">
          <w:marLeft w:val="0"/>
          <w:marRight w:val="0"/>
          <w:marTop w:val="0"/>
          <w:marBottom w:val="0"/>
          <w:divBdr>
            <w:top w:val="none" w:sz="0" w:space="0" w:color="auto"/>
            <w:left w:val="none" w:sz="0" w:space="0" w:color="auto"/>
            <w:bottom w:val="none" w:sz="0" w:space="0" w:color="auto"/>
            <w:right w:val="none" w:sz="0" w:space="0" w:color="auto"/>
          </w:divBdr>
        </w:div>
        <w:div w:id="1702780113">
          <w:marLeft w:val="0"/>
          <w:marRight w:val="0"/>
          <w:marTop w:val="0"/>
          <w:marBottom w:val="0"/>
          <w:divBdr>
            <w:top w:val="none" w:sz="0" w:space="0" w:color="auto"/>
            <w:left w:val="none" w:sz="0" w:space="0" w:color="auto"/>
            <w:bottom w:val="none" w:sz="0" w:space="0" w:color="auto"/>
            <w:right w:val="none" w:sz="0" w:space="0" w:color="auto"/>
          </w:divBdr>
        </w:div>
        <w:div w:id="1704361482">
          <w:marLeft w:val="0"/>
          <w:marRight w:val="0"/>
          <w:marTop w:val="0"/>
          <w:marBottom w:val="0"/>
          <w:divBdr>
            <w:top w:val="none" w:sz="0" w:space="0" w:color="auto"/>
            <w:left w:val="none" w:sz="0" w:space="0" w:color="auto"/>
            <w:bottom w:val="none" w:sz="0" w:space="0" w:color="auto"/>
            <w:right w:val="none" w:sz="0" w:space="0" w:color="auto"/>
          </w:divBdr>
        </w:div>
        <w:div w:id="23604359">
          <w:marLeft w:val="0"/>
          <w:marRight w:val="0"/>
          <w:marTop w:val="0"/>
          <w:marBottom w:val="0"/>
          <w:divBdr>
            <w:top w:val="none" w:sz="0" w:space="0" w:color="auto"/>
            <w:left w:val="none" w:sz="0" w:space="0" w:color="auto"/>
            <w:bottom w:val="none" w:sz="0" w:space="0" w:color="auto"/>
            <w:right w:val="none" w:sz="0" w:space="0" w:color="auto"/>
          </w:divBdr>
        </w:div>
        <w:div w:id="1100178747">
          <w:marLeft w:val="0"/>
          <w:marRight w:val="0"/>
          <w:marTop w:val="0"/>
          <w:marBottom w:val="0"/>
          <w:divBdr>
            <w:top w:val="none" w:sz="0" w:space="0" w:color="auto"/>
            <w:left w:val="none" w:sz="0" w:space="0" w:color="auto"/>
            <w:bottom w:val="none" w:sz="0" w:space="0" w:color="auto"/>
            <w:right w:val="none" w:sz="0" w:space="0" w:color="auto"/>
          </w:divBdr>
        </w:div>
        <w:div w:id="799567694">
          <w:marLeft w:val="0"/>
          <w:marRight w:val="0"/>
          <w:marTop w:val="0"/>
          <w:marBottom w:val="0"/>
          <w:divBdr>
            <w:top w:val="none" w:sz="0" w:space="0" w:color="auto"/>
            <w:left w:val="none" w:sz="0" w:space="0" w:color="auto"/>
            <w:bottom w:val="none" w:sz="0" w:space="0" w:color="auto"/>
            <w:right w:val="none" w:sz="0" w:space="0" w:color="auto"/>
          </w:divBdr>
        </w:div>
        <w:div w:id="430397248">
          <w:marLeft w:val="0"/>
          <w:marRight w:val="0"/>
          <w:marTop w:val="0"/>
          <w:marBottom w:val="0"/>
          <w:divBdr>
            <w:top w:val="none" w:sz="0" w:space="0" w:color="auto"/>
            <w:left w:val="none" w:sz="0" w:space="0" w:color="auto"/>
            <w:bottom w:val="none" w:sz="0" w:space="0" w:color="auto"/>
            <w:right w:val="none" w:sz="0" w:space="0" w:color="auto"/>
          </w:divBdr>
        </w:div>
        <w:div w:id="1413430887">
          <w:marLeft w:val="0"/>
          <w:marRight w:val="0"/>
          <w:marTop w:val="0"/>
          <w:marBottom w:val="0"/>
          <w:divBdr>
            <w:top w:val="none" w:sz="0" w:space="0" w:color="auto"/>
            <w:left w:val="none" w:sz="0" w:space="0" w:color="auto"/>
            <w:bottom w:val="none" w:sz="0" w:space="0" w:color="auto"/>
            <w:right w:val="none" w:sz="0" w:space="0" w:color="auto"/>
          </w:divBdr>
        </w:div>
        <w:div w:id="487139039">
          <w:marLeft w:val="0"/>
          <w:marRight w:val="0"/>
          <w:marTop w:val="0"/>
          <w:marBottom w:val="0"/>
          <w:divBdr>
            <w:top w:val="none" w:sz="0" w:space="0" w:color="auto"/>
            <w:left w:val="none" w:sz="0" w:space="0" w:color="auto"/>
            <w:bottom w:val="none" w:sz="0" w:space="0" w:color="auto"/>
            <w:right w:val="none" w:sz="0" w:space="0" w:color="auto"/>
          </w:divBdr>
        </w:div>
        <w:div w:id="1147404621">
          <w:marLeft w:val="0"/>
          <w:marRight w:val="0"/>
          <w:marTop w:val="0"/>
          <w:marBottom w:val="0"/>
          <w:divBdr>
            <w:top w:val="none" w:sz="0" w:space="0" w:color="auto"/>
            <w:left w:val="none" w:sz="0" w:space="0" w:color="auto"/>
            <w:bottom w:val="none" w:sz="0" w:space="0" w:color="auto"/>
            <w:right w:val="none" w:sz="0" w:space="0" w:color="auto"/>
          </w:divBdr>
        </w:div>
        <w:div w:id="3724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0.xml"/><Relationship Id="rId35"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documents/186333" TargetMode="External"/><Relationship Id="rId13" Type="http://schemas.openxmlformats.org/officeDocument/2006/relationships/hyperlink" Target="https://unfccc.int/submissions_and_statements" TargetMode="External"/><Relationship Id="rId3" Type="http://schemas.openxmlformats.org/officeDocument/2006/relationships/hyperlink" Target="https://unfccc.int/event/sbi-48-2" TargetMode="External"/><Relationship Id="rId7" Type="http://schemas.openxmlformats.org/officeDocument/2006/relationships/hyperlink" Target="https://unfccc.int/documents/186331" TargetMode="External"/><Relationship Id="rId12" Type="http://schemas.openxmlformats.org/officeDocument/2006/relationships/hyperlink" Target="https://www4.unfccc.int/sites/NWPStaging/Pages/Home.aspx" TargetMode="External"/><Relationship Id="rId2" Type="http://schemas.openxmlformats.org/officeDocument/2006/relationships/hyperlink" Target="https://unfccc.int/process/conferences/bonn-climate-change-conference-april-2018/sessions/sbi-48" TargetMode="External"/><Relationship Id="rId1" Type="http://schemas.openxmlformats.org/officeDocument/2006/relationships/hyperlink" Target="https://unfccc.int/documents/186278" TargetMode="External"/><Relationship Id="rId6" Type="http://schemas.openxmlformats.org/officeDocument/2006/relationships/hyperlink" Target="https://unfccc.int/submissions_and_statements" TargetMode="External"/><Relationship Id="rId11" Type="http://schemas.openxmlformats.org/officeDocument/2006/relationships/hyperlink" Target="https://unfccc.int/submissions_and_statements" TargetMode="External"/><Relationship Id="rId5" Type="http://schemas.openxmlformats.org/officeDocument/2006/relationships/hyperlink" Target="https://www4.unfccc.int/sites/submissionsstaging/Pages/Home.aspx" TargetMode="External"/><Relationship Id="rId10" Type="http://schemas.openxmlformats.org/officeDocument/2006/relationships/hyperlink" Target="https://unfccc.int/sites/default/files/resource/Katowice%20text%2C%2014%20Dec2018_1015AM.pdf" TargetMode="External"/><Relationship Id="rId4" Type="http://schemas.openxmlformats.org/officeDocument/2006/relationships/hyperlink" Target="https://unfccc.int/event/sbi-49" TargetMode="External"/><Relationship Id="rId9" Type="http://schemas.openxmlformats.org/officeDocument/2006/relationships/hyperlink" Target="https://unfccc.int/documents/186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mso-contentType ?>
<SharedContentType xmlns="Microsoft.SharePoint.Taxonomy.ContentTypeSync" SourceId="9d8c265a-5436-43a7-80c1-713d2827ffde"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393D-5FFA-47C9-BAAD-31D6AC20220A}">
  <ds:schemaRefs>
    <ds:schemaRef ds:uri="http://schemas.microsoft.com/sharepoint/v3/contenttype/forms"/>
  </ds:schemaRefs>
</ds:datastoreItem>
</file>

<file path=customXml/itemProps2.xml><?xml version="1.0" encoding="utf-8"?>
<ds:datastoreItem xmlns:ds="http://schemas.openxmlformats.org/officeDocument/2006/customXml" ds:itemID="{A773E855-7F07-4F58-A7C6-E1EDC990176F}"/>
</file>

<file path=customXml/itemProps3.xml><?xml version="1.0" encoding="utf-8"?>
<ds:datastoreItem xmlns:ds="http://schemas.openxmlformats.org/officeDocument/2006/customXml" ds:itemID="{7E94718F-80D6-418A-B918-D9F43D4CE26E}">
  <ds:schemaRefs>
    <ds:schemaRef ds:uri="21fd8bfc-cd85-4899-a616-986da4216f81"/>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4dd5ddbf-e371-4d30-9213-f0ad543fb2ce"/>
    <ds:schemaRef ds:uri="http://purl.org/dc/dcmitype/"/>
  </ds:schemaRefs>
</ds:datastoreItem>
</file>

<file path=customXml/itemProps4.xml><?xml version="1.0" encoding="utf-8"?>
<ds:datastoreItem xmlns:ds="http://schemas.openxmlformats.org/officeDocument/2006/customXml" ds:itemID="{3A7ECD96-3BBD-4CAE-8111-03FDDF48E587}">
  <ds:schemaRefs>
    <ds:schemaRef ds:uri="Microsoft.SharePoint.Taxonomy.ContentTypeSync"/>
  </ds:schemaRefs>
</ds:datastoreItem>
</file>

<file path=customXml/itemProps5.xml><?xml version="1.0" encoding="utf-8"?>
<ds:datastoreItem xmlns:ds="http://schemas.openxmlformats.org/officeDocument/2006/customXml" ds:itemID="{2C6E5B79-9DF0-4A1A-B6AE-E829853E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37</Pages>
  <Words>12854</Words>
  <Characters>73270</Characters>
  <Application>Microsoft Office Word</Application>
  <DocSecurity>4</DocSecurity>
  <Lines>610</Lines>
  <Paragraphs>171</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the third part of its first session, held in Katowice from 3 to 14 December 2018. Addendum 1</vt:lpstr>
    </vt:vector>
  </TitlesOfParts>
  <Company>UNFCCC</Company>
  <LinksUpToDate>false</LinksUpToDate>
  <CharactersWithSpaces>85953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the third part of its first session, held in Katowice from 3 to 14 December 2018. Addendum 1</dc:title>
  <dc:creator>UNFCCC</dc:creator>
  <cp:lastModifiedBy>Joaquim Barris</cp:lastModifiedBy>
  <cp:revision>2</cp:revision>
  <cp:lastPrinted>2017-01-27T14:50:00Z</cp:lastPrinted>
  <dcterms:created xsi:type="dcterms:W3CDTF">2024-10-22T16:43:00Z</dcterms:created>
  <dcterms:modified xsi:type="dcterms:W3CDTF">2024-10-22T16:43:00Z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FCCC/PA/CMA/2016/X/Add.1</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Order">
    <vt:r8>300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ComplianceAssetId">
    <vt:lpwstr/>
  </property>
</Properties>
</file>