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14:paraId="067D3217" w14:textId="77777777" w:rsidTr="00BC36B3">
        <w:trPr>
          <w:cantSplit/>
          <w:trHeight w:hRule="exact" w:val="1134"/>
        </w:trPr>
        <w:tc>
          <w:tcPr>
            <w:tcW w:w="1242" w:type="dxa"/>
            <w:vAlign w:val="bottom"/>
          </w:tcPr>
          <w:p w14:paraId="3130C133" w14:textId="5E7901C8" w:rsidR="00756BC7" w:rsidRPr="003F5FEE" w:rsidRDefault="00F24327" w:rsidP="00A61965">
            <w:r>
              <w:rPr>
                <w:noProof/>
                <w:lang w:val="en-US" w:eastAsia="en-US"/>
              </w:rPr>
              <w:drawing>
                <wp:inline distT="0" distB="0" distL="0" distR="0" wp14:anchorId="283730A6" wp14:editId="68522B44">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3670826B" w14:textId="77777777" w:rsidR="00756BC7" w:rsidRPr="00A86746" w:rsidRDefault="00756BC7" w:rsidP="00A61965">
            <w:pPr>
              <w:ind w:left="113"/>
              <w:rPr>
                <w:sz w:val="28"/>
                <w:szCs w:val="28"/>
              </w:rPr>
            </w:pPr>
            <w:r w:rsidRPr="00A86746">
              <w:rPr>
                <w:sz w:val="28"/>
                <w:szCs w:val="28"/>
              </w:rPr>
              <w:t>United Nations</w:t>
            </w:r>
          </w:p>
        </w:tc>
        <w:tc>
          <w:tcPr>
            <w:tcW w:w="5845" w:type="dxa"/>
            <w:gridSpan w:val="3"/>
            <w:vAlign w:val="bottom"/>
          </w:tcPr>
          <w:p w14:paraId="154801E4" w14:textId="07E9DC51" w:rsidR="00756BC7" w:rsidRPr="002657AA" w:rsidRDefault="006B523B" w:rsidP="006B523B">
            <w:pPr>
              <w:jc w:val="right"/>
            </w:pPr>
            <w:r w:rsidRPr="006B523B">
              <w:rPr>
                <w:sz w:val="40"/>
              </w:rPr>
              <w:t>FCCC</w:t>
            </w:r>
            <w:r w:rsidRPr="006B523B">
              <w:t>/PA/CMA/2019/6/Add.1</w:t>
            </w:r>
          </w:p>
        </w:tc>
      </w:tr>
      <w:tr w:rsidR="00756BC7" w14:paraId="79553024" w14:textId="77777777" w:rsidTr="00BC36B3">
        <w:trPr>
          <w:cantSplit/>
          <w:trHeight w:hRule="exact" w:val="2552"/>
        </w:trPr>
        <w:tc>
          <w:tcPr>
            <w:tcW w:w="4511" w:type="dxa"/>
            <w:gridSpan w:val="3"/>
          </w:tcPr>
          <w:p w14:paraId="0BF760EB" w14:textId="77777777" w:rsidR="00756BC7" w:rsidRPr="003F5FEE" w:rsidRDefault="00F24327" w:rsidP="00A61965">
            <w:r>
              <w:rPr>
                <w:noProof/>
                <w:lang w:val="en-US" w:eastAsia="en-US"/>
              </w:rPr>
              <w:drawing>
                <wp:anchor distT="0" distB="0" distL="114300" distR="114300" simplePos="0" relativeHeight="251658240" behindDoc="1" locked="0" layoutInCell="1" allowOverlap="1" wp14:anchorId="3352BD2D" wp14:editId="3CDCA78F">
                  <wp:simplePos x="0" y="0"/>
                  <wp:positionH relativeFrom="column">
                    <wp:posOffset>3810</wp:posOffset>
                  </wp:positionH>
                  <wp:positionV relativeFrom="paragraph">
                    <wp:posOffset>-1905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DD291" w14:textId="1B8C0C97" w:rsidR="00756BC7" w:rsidRDefault="00756BC7" w:rsidP="00A61965"/>
          <w:p w14:paraId="4093CB2F" w14:textId="77777777" w:rsidR="00756BC7" w:rsidRDefault="00756BC7" w:rsidP="00A61965"/>
          <w:p w14:paraId="00E6A0FF" w14:textId="77777777" w:rsidR="00756BC7" w:rsidRPr="003F5FEE" w:rsidRDefault="00756BC7" w:rsidP="00A61965"/>
        </w:tc>
        <w:tc>
          <w:tcPr>
            <w:tcW w:w="2293" w:type="dxa"/>
          </w:tcPr>
          <w:p w14:paraId="2ABAFEBA" w14:textId="77777777" w:rsidR="00756BC7" w:rsidRPr="003F5FEE" w:rsidRDefault="00756BC7" w:rsidP="00A61965"/>
        </w:tc>
        <w:tc>
          <w:tcPr>
            <w:tcW w:w="2835" w:type="dxa"/>
          </w:tcPr>
          <w:p w14:paraId="301BACF6" w14:textId="66C059AC" w:rsidR="002657AA" w:rsidRDefault="006B523B" w:rsidP="006B523B">
            <w:pPr>
              <w:spacing w:before="240" w:line="240" w:lineRule="exact"/>
              <w:ind w:left="143"/>
            </w:pPr>
            <w:r>
              <w:t>Distr.: General</w:t>
            </w:r>
          </w:p>
          <w:p w14:paraId="3FB25CB7" w14:textId="1410DB1D" w:rsidR="006B523B" w:rsidRDefault="00566D7A" w:rsidP="006B523B">
            <w:pPr>
              <w:spacing w:line="240" w:lineRule="exact"/>
              <w:ind w:left="143"/>
            </w:pPr>
            <w:r w:rsidRPr="00566D7A">
              <w:t>1</w:t>
            </w:r>
            <w:r w:rsidR="00C76A2B">
              <w:t>6</w:t>
            </w:r>
            <w:r w:rsidR="006B523B" w:rsidRPr="00566D7A">
              <w:t xml:space="preserve"> March 2020</w:t>
            </w:r>
          </w:p>
          <w:p w14:paraId="4773CCB4" w14:textId="77777777" w:rsidR="006B523B" w:rsidRDefault="006B523B" w:rsidP="006B523B">
            <w:pPr>
              <w:spacing w:line="240" w:lineRule="exact"/>
              <w:ind w:left="143"/>
            </w:pPr>
          </w:p>
          <w:p w14:paraId="7DF3496F" w14:textId="4080EF61" w:rsidR="006B523B" w:rsidRPr="00E0470D" w:rsidRDefault="006B523B" w:rsidP="006B523B">
            <w:pPr>
              <w:spacing w:line="240" w:lineRule="exact"/>
              <w:ind w:left="143"/>
            </w:pPr>
            <w:r>
              <w:t>Original: English</w:t>
            </w:r>
          </w:p>
        </w:tc>
      </w:tr>
    </w:tbl>
    <w:p w14:paraId="5424C8FE" w14:textId="77777777" w:rsidR="002657AA" w:rsidRPr="00DE51A7" w:rsidRDefault="002657AA" w:rsidP="002657AA">
      <w:pPr>
        <w:spacing w:before="120"/>
        <w:rPr>
          <w:b/>
          <w:sz w:val="24"/>
          <w:szCs w:val="24"/>
        </w:rPr>
      </w:pPr>
      <w:r>
        <w:rPr>
          <w:b/>
          <w:sz w:val="24"/>
          <w:szCs w:val="24"/>
        </w:rPr>
        <w:t>Conference of the Parties serving as the meeting</w:t>
      </w:r>
      <w:r>
        <w:rPr>
          <w:b/>
          <w:sz w:val="24"/>
          <w:szCs w:val="24"/>
        </w:rPr>
        <w:br/>
        <w:t>of the Parties to the Paris Agreement</w:t>
      </w:r>
    </w:p>
    <w:p w14:paraId="223F921D" w14:textId="77777777" w:rsidR="002657AA" w:rsidRDefault="002657AA" w:rsidP="002657AA">
      <w:pPr>
        <w:pStyle w:val="HChG"/>
      </w:pPr>
      <w:r>
        <w:tab/>
      </w:r>
      <w:r>
        <w:tab/>
        <w:t>Report of the Conference of the Parties serving as the meeting of the Parties to the Paris Agreement on its second session, held in Madrid from 2 to 15 December 2019</w:t>
      </w:r>
    </w:p>
    <w:p w14:paraId="7BD53434" w14:textId="77777777" w:rsidR="002657AA" w:rsidRDefault="002657AA" w:rsidP="002657AA">
      <w:pPr>
        <w:pStyle w:val="H1G"/>
      </w:pPr>
      <w:r>
        <w:tab/>
        <w:t>Addendum</w:t>
      </w:r>
    </w:p>
    <w:p w14:paraId="3D40AEA5" w14:textId="77777777" w:rsidR="002657AA" w:rsidRDefault="002657AA" w:rsidP="002657AA">
      <w:pPr>
        <w:pStyle w:val="H1G"/>
      </w:pPr>
      <w:r>
        <w:tab/>
        <w:t>Part two: Action taken by the Conference of the Parties serving as the meeting of the Parties to the Paris Agreement at its second session</w:t>
      </w:r>
    </w:p>
    <w:p w14:paraId="7578BE3D" w14:textId="77777777" w:rsidR="002657AA" w:rsidRDefault="002657AA" w:rsidP="002657AA">
      <w:pPr>
        <w:spacing w:after="120"/>
        <w:rPr>
          <w:sz w:val="28"/>
        </w:rPr>
      </w:pPr>
      <w:r>
        <w:rPr>
          <w:sz w:val="28"/>
        </w:rPr>
        <w:t>Contents</w:t>
      </w:r>
    </w:p>
    <w:p w14:paraId="3427233F" w14:textId="77777777" w:rsidR="002657AA" w:rsidRDefault="002657AA" w:rsidP="002657AA">
      <w:pPr>
        <w:pStyle w:val="HChG"/>
      </w:pPr>
      <w:r>
        <w:tab/>
      </w:r>
      <w:r>
        <w:tab/>
        <w:t>Decisions adopted by the Conference of the Parties serving as the meeting of the Parties to the Paris Agreement</w:t>
      </w:r>
    </w:p>
    <w:p w14:paraId="0427C512" w14:textId="5C2021B3" w:rsidR="00B755C5" w:rsidRDefault="00B755C5" w:rsidP="00B755C5">
      <w:pPr>
        <w:tabs>
          <w:tab w:val="left" w:pos="1134"/>
          <w:tab w:val="right" w:pos="8929"/>
          <w:tab w:val="right" w:pos="9638"/>
        </w:tabs>
        <w:spacing w:after="120"/>
        <w:ind w:left="284"/>
        <w:rPr>
          <w:i/>
          <w:sz w:val="18"/>
        </w:rPr>
      </w:pPr>
      <w:r>
        <w:rPr>
          <w:i/>
          <w:sz w:val="18"/>
        </w:rPr>
        <w:tab/>
        <w:t>Decision</w:t>
      </w:r>
      <w:r>
        <w:rPr>
          <w:i/>
          <w:sz w:val="18"/>
        </w:rPr>
        <w:tab/>
        <w:t>Page</w:t>
      </w:r>
    </w:p>
    <w:p w14:paraId="04BFF239" w14:textId="0BBF81FC" w:rsidR="00B755C5" w:rsidRDefault="00B755C5" w:rsidP="00B755C5">
      <w:pPr>
        <w:pStyle w:val="TOC1"/>
        <w:tabs>
          <w:tab w:val="clear" w:pos="1985"/>
          <w:tab w:val="left" w:pos="2268"/>
        </w:tabs>
        <w:ind w:left="2265" w:hanging="2265"/>
      </w:pPr>
      <w:r>
        <w:tab/>
      </w:r>
      <w:r>
        <w:tab/>
      </w:r>
      <w:hyperlink w:anchor="D1" w:history="1">
        <w:r w:rsidRPr="00F80122">
          <w:rPr>
            <w:rStyle w:val="Hyperlink"/>
          </w:rPr>
          <w:t>1/CMA.2</w:t>
        </w:r>
      </w:hyperlink>
      <w:r>
        <w:tab/>
        <w:t>Chile Madrid Time for Action</w:t>
      </w:r>
      <w:r>
        <w:tab/>
      </w:r>
      <w:r w:rsidR="0086568D">
        <w:tab/>
        <w:t>2</w:t>
      </w:r>
    </w:p>
    <w:p w14:paraId="015EF428" w14:textId="011BFD07" w:rsidR="002657AA" w:rsidRDefault="00B755C5" w:rsidP="00B755C5">
      <w:pPr>
        <w:pStyle w:val="TOC1"/>
        <w:tabs>
          <w:tab w:val="clear" w:pos="1985"/>
          <w:tab w:val="left" w:pos="2268"/>
        </w:tabs>
        <w:ind w:left="2265" w:hanging="2265"/>
      </w:pPr>
      <w:r>
        <w:tab/>
      </w:r>
      <w:r>
        <w:tab/>
      </w:r>
      <w:hyperlink w:anchor="D2" w:history="1">
        <w:r w:rsidR="002657AA" w:rsidRPr="00F80122">
          <w:rPr>
            <w:rStyle w:val="Hyperlink"/>
          </w:rPr>
          <w:t>2/CMA.2</w:t>
        </w:r>
      </w:hyperlink>
      <w:r w:rsidR="002657AA">
        <w:tab/>
      </w:r>
      <w:r w:rsidR="00507B6B">
        <w:t>Warsaw International Mechanism for Loss and Damage associated</w:t>
      </w:r>
      <w:r>
        <w:br/>
      </w:r>
      <w:r w:rsidR="00507B6B">
        <w:t>with Climate Change Impacts and its 2019 review</w:t>
      </w:r>
      <w:r>
        <w:tab/>
      </w:r>
      <w:r w:rsidR="0086568D">
        <w:tab/>
        <w:t>4</w:t>
      </w:r>
    </w:p>
    <w:p w14:paraId="32C96392" w14:textId="3B1F53A6" w:rsidR="002657AA" w:rsidRDefault="00B755C5" w:rsidP="00B755C5">
      <w:pPr>
        <w:pStyle w:val="TOC1"/>
        <w:tabs>
          <w:tab w:val="clear" w:pos="1985"/>
          <w:tab w:val="left" w:pos="2268"/>
        </w:tabs>
        <w:ind w:left="2265" w:hanging="2265"/>
      </w:pPr>
      <w:r>
        <w:tab/>
      </w:r>
      <w:r>
        <w:tab/>
      </w:r>
      <w:hyperlink w:anchor="D3" w:history="1">
        <w:r w:rsidR="002657AA" w:rsidRPr="00F80122">
          <w:rPr>
            <w:rStyle w:val="Hyperlink"/>
          </w:rPr>
          <w:t>3/CMA.2</w:t>
        </w:r>
      </w:hyperlink>
      <w:r w:rsidR="002657AA">
        <w:tab/>
      </w:r>
      <w:r w:rsidR="00507B6B">
        <w:t xml:space="preserve">Initial institutional arrangements for capacity-building under the </w:t>
      </w:r>
      <w:r>
        <w:br/>
      </w:r>
      <w:r w:rsidR="00507B6B">
        <w:t>Paris Agreement</w:t>
      </w:r>
      <w:r>
        <w:tab/>
      </w:r>
      <w:r w:rsidR="0086568D">
        <w:tab/>
        <w:t>10</w:t>
      </w:r>
    </w:p>
    <w:p w14:paraId="3669FB90" w14:textId="68022A54" w:rsidR="00507B6B" w:rsidRDefault="00B755C5" w:rsidP="00B755C5">
      <w:pPr>
        <w:pStyle w:val="TOC1"/>
        <w:tabs>
          <w:tab w:val="clear" w:pos="1985"/>
          <w:tab w:val="left" w:pos="2268"/>
        </w:tabs>
        <w:ind w:left="2265" w:hanging="2265"/>
      </w:pPr>
      <w:r>
        <w:tab/>
      </w:r>
      <w:r>
        <w:tab/>
      </w:r>
      <w:hyperlink w:anchor="D4" w:history="1">
        <w:r w:rsidR="002657AA" w:rsidRPr="00F80122">
          <w:rPr>
            <w:rStyle w:val="Hyperlink"/>
          </w:rPr>
          <w:t>4/CMA.2</w:t>
        </w:r>
      </w:hyperlink>
      <w:r w:rsidR="002657AA">
        <w:tab/>
      </w:r>
      <w:r w:rsidR="00507B6B" w:rsidRPr="00507B6B">
        <w:t xml:space="preserve">Workplan of the forum on the impact of the implementation of </w:t>
      </w:r>
      <w:r>
        <w:br/>
      </w:r>
      <w:r w:rsidR="00507B6B" w:rsidRPr="00507B6B">
        <w:t xml:space="preserve">response measures and its Katowice Committee of Experts on the </w:t>
      </w:r>
      <w:r>
        <w:br/>
      </w:r>
      <w:r w:rsidR="00507B6B" w:rsidRPr="00507B6B">
        <w:t>Impacts of the Implementation of Response Measures</w:t>
      </w:r>
      <w:r>
        <w:tab/>
      </w:r>
      <w:r w:rsidR="00507B6B" w:rsidRPr="00507B6B">
        <w:t xml:space="preserve"> </w:t>
      </w:r>
      <w:r w:rsidR="0086568D">
        <w:tab/>
        <w:t>11</w:t>
      </w:r>
    </w:p>
    <w:p w14:paraId="070D41AB" w14:textId="6D63CDF0" w:rsidR="00507B6B" w:rsidRDefault="00B755C5" w:rsidP="00B755C5">
      <w:pPr>
        <w:pStyle w:val="TOC1"/>
        <w:tabs>
          <w:tab w:val="clear" w:pos="1985"/>
          <w:tab w:val="left" w:pos="2268"/>
        </w:tabs>
        <w:ind w:left="2265" w:hanging="2265"/>
      </w:pPr>
      <w:r>
        <w:tab/>
      </w:r>
      <w:r>
        <w:tab/>
      </w:r>
      <w:hyperlink w:anchor="D5" w:history="1">
        <w:r w:rsidR="00CC2012" w:rsidRPr="00F80122">
          <w:rPr>
            <w:rStyle w:val="Hyperlink"/>
          </w:rPr>
          <w:t>5</w:t>
        </w:r>
        <w:r w:rsidR="002657AA" w:rsidRPr="00F80122">
          <w:rPr>
            <w:rStyle w:val="Hyperlink"/>
          </w:rPr>
          <w:t>/CMA.2</w:t>
        </w:r>
      </w:hyperlink>
      <w:r w:rsidR="002657AA">
        <w:tab/>
      </w:r>
      <w:r w:rsidR="00507B6B">
        <w:t>Matters relating to the Standing Committee on Finance</w:t>
      </w:r>
      <w:r>
        <w:tab/>
      </w:r>
      <w:r w:rsidR="0086568D">
        <w:tab/>
        <w:t>21</w:t>
      </w:r>
    </w:p>
    <w:p w14:paraId="71A16A86" w14:textId="74CAE53C" w:rsidR="002657AA" w:rsidRDefault="00B755C5" w:rsidP="00B755C5">
      <w:pPr>
        <w:pStyle w:val="TOC1"/>
        <w:tabs>
          <w:tab w:val="clear" w:pos="1985"/>
          <w:tab w:val="left" w:pos="2268"/>
        </w:tabs>
        <w:ind w:left="2265" w:hanging="2265"/>
      </w:pPr>
      <w:r>
        <w:tab/>
      </w:r>
      <w:r>
        <w:tab/>
      </w:r>
      <w:hyperlink w:anchor="D6" w:history="1">
        <w:r w:rsidR="00CC2012" w:rsidRPr="00F80122">
          <w:rPr>
            <w:rStyle w:val="Hyperlink"/>
          </w:rPr>
          <w:t>6</w:t>
        </w:r>
        <w:r w:rsidR="002657AA" w:rsidRPr="00F80122">
          <w:rPr>
            <w:rStyle w:val="Hyperlink"/>
          </w:rPr>
          <w:t>/CMA.2</w:t>
        </w:r>
      </w:hyperlink>
      <w:r w:rsidR="002657AA">
        <w:tab/>
      </w:r>
      <w:r w:rsidR="00507B6B">
        <w:t>Guidance to the Green Climate Fund</w:t>
      </w:r>
      <w:r>
        <w:tab/>
      </w:r>
      <w:r w:rsidR="0086568D">
        <w:tab/>
        <w:t>23</w:t>
      </w:r>
    </w:p>
    <w:p w14:paraId="7826EFB2" w14:textId="337F0204" w:rsidR="00CC2012" w:rsidRDefault="00B755C5" w:rsidP="00B755C5">
      <w:pPr>
        <w:pStyle w:val="TOC1"/>
        <w:tabs>
          <w:tab w:val="clear" w:pos="1985"/>
          <w:tab w:val="left" w:pos="2268"/>
        </w:tabs>
        <w:ind w:left="2265" w:hanging="2265"/>
      </w:pPr>
      <w:r>
        <w:tab/>
      </w:r>
      <w:r>
        <w:tab/>
      </w:r>
      <w:hyperlink w:anchor="D7" w:history="1">
        <w:r w:rsidR="00CC2012" w:rsidRPr="00F80122">
          <w:rPr>
            <w:rStyle w:val="Hyperlink"/>
          </w:rPr>
          <w:t>7/CMA.2</w:t>
        </w:r>
      </w:hyperlink>
      <w:r w:rsidR="00CC2012">
        <w:tab/>
      </w:r>
      <w:r w:rsidR="00507B6B">
        <w:t>Guidance to the Global Environment Facility</w:t>
      </w:r>
      <w:r>
        <w:tab/>
      </w:r>
      <w:r w:rsidR="0086568D">
        <w:tab/>
        <w:t>24</w:t>
      </w:r>
    </w:p>
    <w:p w14:paraId="00119D29" w14:textId="77D65F0E" w:rsidR="00CC2012" w:rsidRDefault="00B755C5" w:rsidP="00B755C5">
      <w:pPr>
        <w:pStyle w:val="TOC1"/>
        <w:tabs>
          <w:tab w:val="clear" w:pos="1985"/>
          <w:tab w:val="left" w:pos="2268"/>
        </w:tabs>
        <w:ind w:left="2265" w:hanging="2265"/>
      </w:pPr>
      <w:r>
        <w:tab/>
      </w:r>
      <w:r>
        <w:tab/>
      </w:r>
      <w:hyperlink w:anchor="D8" w:history="1">
        <w:r w:rsidR="00CC2012" w:rsidRPr="00F80122">
          <w:rPr>
            <w:rStyle w:val="Hyperlink"/>
          </w:rPr>
          <w:t>8/CMA.2</w:t>
        </w:r>
      </w:hyperlink>
      <w:r w:rsidR="00CC2012">
        <w:tab/>
      </w:r>
      <w:r w:rsidR="00507B6B" w:rsidRPr="00070CF8">
        <w:t xml:space="preserve">Enhancing climate technology development and transfer to </w:t>
      </w:r>
      <w:r>
        <w:br/>
      </w:r>
      <w:r w:rsidR="00507B6B" w:rsidRPr="00070CF8">
        <w:t>support implementation of the Paris Agreement</w:t>
      </w:r>
      <w:r>
        <w:tab/>
      </w:r>
      <w:r w:rsidR="0086568D">
        <w:tab/>
        <w:t>25</w:t>
      </w:r>
    </w:p>
    <w:p w14:paraId="4B2F2D38" w14:textId="7737410F" w:rsidR="00CC2012" w:rsidRDefault="00B755C5" w:rsidP="00B755C5">
      <w:pPr>
        <w:pStyle w:val="TOC1"/>
        <w:tabs>
          <w:tab w:val="clear" w:pos="1985"/>
          <w:tab w:val="left" w:pos="2268"/>
        </w:tabs>
        <w:ind w:left="2265" w:hanging="2265"/>
      </w:pPr>
      <w:r>
        <w:tab/>
      </w:r>
      <w:r>
        <w:tab/>
      </w:r>
      <w:hyperlink w:anchor="D9" w:history="1">
        <w:r w:rsidR="00CC2012" w:rsidRPr="00F80122">
          <w:rPr>
            <w:rStyle w:val="Hyperlink"/>
          </w:rPr>
          <w:t>9/CMA.2</w:t>
        </w:r>
      </w:hyperlink>
      <w:r w:rsidR="00CC2012">
        <w:tab/>
      </w:r>
      <w:r w:rsidR="00507B6B">
        <w:t>Matters relating to Article 6 of the Paris Agreement</w:t>
      </w:r>
      <w:r>
        <w:tab/>
      </w:r>
      <w:r w:rsidR="0086568D">
        <w:tab/>
        <w:t>26</w:t>
      </w:r>
    </w:p>
    <w:p w14:paraId="58808845" w14:textId="77777777" w:rsidR="002657AA" w:rsidRPr="00E42813" w:rsidRDefault="002657AA" w:rsidP="00B755C5">
      <w:pPr>
        <w:pStyle w:val="SingleTxtG"/>
        <w:jc w:val="left"/>
        <w:rPr>
          <w:i/>
        </w:rPr>
      </w:pPr>
      <w:r w:rsidRPr="00E42813">
        <w:rPr>
          <w:i/>
        </w:rPr>
        <w:t>Resolution</w:t>
      </w:r>
    </w:p>
    <w:p w14:paraId="3F2B35A4" w14:textId="7E1D21FC" w:rsidR="002657AA" w:rsidRDefault="00B755C5" w:rsidP="00B755C5">
      <w:pPr>
        <w:pStyle w:val="TOC1"/>
        <w:tabs>
          <w:tab w:val="clear" w:pos="1985"/>
          <w:tab w:val="left" w:pos="2268"/>
        </w:tabs>
        <w:ind w:left="2265" w:hanging="2265"/>
      </w:pPr>
      <w:r>
        <w:tab/>
      </w:r>
      <w:r>
        <w:tab/>
      </w:r>
      <w:hyperlink w:anchor="R1" w:history="1">
        <w:r w:rsidR="002657AA" w:rsidRPr="00F80122">
          <w:rPr>
            <w:rStyle w:val="Hyperlink"/>
          </w:rPr>
          <w:t>1/CMA.2</w:t>
        </w:r>
      </w:hyperlink>
      <w:r w:rsidR="002657AA">
        <w:tab/>
      </w:r>
      <w:r w:rsidR="00507B6B">
        <w:t xml:space="preserve">Expression of gratitude to </w:t>
      </w:r>
      <w:r w:rsidR="00AE0898">
        <w:t xml:space="preserve">the </w:t>
      </w:r>
      <w:r w:rsidR="00507B6B" w:rsidRPr="00BE18F0">
        <w:t xml:space="preserve">Government of the Republic of Chile, </w:t>
      </w:r>
      <w:r>
        <w:br/>
      </w:r>
      <w:r w:rsidR="00507B6B" w:rsidRPr="00BE18F0">
        <w:t xml:space="preserve">the Government of the Kingdom of Spain and the people of the </w:t>
      </w:r>
      <w:r>
        <w:br/>
      </w:r>
      <w:r w:rsidR="00507B6B" w:rsidRPr="00BE18F0">
        <w:t>city of Madrid</w:t>
      </w:r>
      <w:r>
        <w:tab/>
      </w:r>
      <w:r w:rsidR="0086568D">
        <w:tab/>
        <w:t>27</w:t>
      </w:r>
    </w:p>
    <w:p w14:paraId="04F0E36C" w14:textId="77777777" w:rsidR="00507B6B" w:rsidRDefault="00507B6B" w:rsidP="00507B6B">
      <w:pPr>
        <w:pStyle w:val="SingleTxtG"/>
        <w:ind w:left="2259" w:hanging="1125"/>
      </w:pPr>
    </w:p>
    <w:p w14:paraId="77B5A679" w14:textId="77777777" w:rsidR="002657AA" w:rsidRDefault="002657AA">
      <w:pPr>
        <w:suppressAutoHyphens w:val="0"/>
        <w:spacing w:line="240" w:lineRule="auto"/>
        <w:rPr>
          <w:sz w:val="18"/>
        </w:rPr>
        <w:sectPr w:rsidR="002657AA" w:rsidSect="006B523B">
          <w:headerReference w:type="even" r:id="rId14"/>
          <w:headerReference w:type="default" r:id="rId15"/>
          <w:footerReference w:type="even" r:id="rId16"/>
          <w:footerReference w:type="default" r:id="rId17"/>
          <w:headerReference w:type="first" r:id="rId18"/>
          <w:footnotePr>
            <w:numRestart w:val="eachSect"/>
          </w:footnotePr>
          <w:pgSz w:w="11906" w:h="16838" w:code="9"/>
          <w:pgMar w:top="1417" w:right="1134" w:bottom="1134" w:left="1134" w:header="850" w:footer="567" w:gutter="0"/>
          <w:cols w:space="708"/>
          <w:titlePg/>
          <w:docGrid w:linePitch="360"/>
        </w:sectPr>
      </w:pPr>
    </w:p>
    <w:p w14:paraId="0EC05E41" w14:textId="77777777" w:rsidR="002657AA" w:rsidRDefault="002657AA" w:rsidP="002A0C3E">
      <w:pPr>
        <w:pStyle w:val="HChG"/>
        <w:spacing w:before="120"/>
      </w:pPr>
      <w:r>
        <w:lastRenderedPageBreak/>
        <w:tab/>
      </w:r>
      <w:r>
        <w:tab/>
      </w:r>
      <w:bookmarkStart w:id="0" w:name="D1"/>
      <w:r>
        <w:t>Decision 1/CMA.2</w:t>
      </w:r>
      <w:bookmarkEnd w:id="0"/>
    </w:p>
    <w:p w14:paraId="04ECA57B" w14:textId="77777777" w:rsidR="002657AA" w:rsidRPr="009B600A" w:rsidRDefault="002657AA" w:rsidP="002657AA">
      <w:pPr>
        <w:pStyle w:val="HChG"/>
      </w:pPr>
      <w:r>
        <w:tab/>
      </w:r>
      <w:r>
        <w:tab/>
      </w:r>
      <w:r w:rsidRPr="008507BF">
        <w:t>Chile Madrid Time for Action</w:t>
      </w:r>
    </w:p>
    <w:p w14:paraId="05950633" w14:textId="77777777" w:rsidR="002657AA" w:rsidRPr="008926FB" w:rsidRDefault="002657AA" w:rsidP="002657AA">
      <w:pPr>
        <w:pStyle w:val="SingleTxtG"/>
        <w:ind w:firstLine="567"/>
        <w:rPr>
          <w:i/>
          <w:lang w:val="en-US"/>
        </w:rPr>
      </w:pPr>
      <w:r w:rsidRPr="008926FB">
        <w:rPr>
          <w:i/>
          <w:lang w:val="en-US"/>
        </w:rPr>
        <w:t xml:space="preserve">The Conference of the Parties serving as the meeting of the Parties to </w:t>
      </w:r>
      <w:r>
        <w:rPr>
          <w:i/>
          <w:lang w:val="en-US"/>
        </w:rPr>
        <w:t>the Paris Agreement</w:t>
      </w:r>
      <w:r w:rsidRPr="00EF0494">
        <w:rPr>
          <w:lang w:val="en-US"/>
        </w:rPr>
        <w:t>,</w:t>
      </w:r>
      <w:r w:rsidRPr="008926FB">
        <w:rPr>
          <w:i/>
          <w:lang w:val="en-US"/>
        </w:rPr>
        <w:t xml:space="preserve"> </w:t>
      </w:r>
    </w:p>
    <w:p w14:paraId="411B93F1" w14:textId="77777777" w:rsidR="002657AA" w:rsidRDefault="002657AA" w:rsidP="002657AA">
      <w:pPr>
        <w:pStyle w:val="AnnoSingleTxtG"/>
        <w:numPr>
          <w:ilvl w:val="0"/>
          <w:numId w:val="0"/>
        </w:numPr>
        <w:ind w:left="1134" w:firstLine="568"/>
      </w:pPr>
      <w:r>
        <w:rPr>
          <w:i/>
        </w:rPr>
        <w:t xml:space="preserve">Acknowledging </w:t>
      </w:r>
      <w:r w:rsidRPr="009B0B0D">
        <w:t>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5A074DFB" w14:textId="77777777" w:rsidR="002657AA" w:rsidRPr="00226B3B" w:rsidRDefault="002657AA" w:rsidP="002657AA">
      <w:pPr>
        <w:pStyle w:val="AnnoSingleTxtG"/>
        <w:numPr>
          <w:ilvl w:val="0"/>
          <w:numId w:val="0"/>
        </w:numPr>
        <w:ind w:left="1134" w:firstLine="568"/>
      </w:pPr>
      <w:r>
        <w:rPr>
          <w:i/>
        </w:rPr>
        <w:t xml:space="preserve">Recalling </w:t>
      </w:r>
      <w:r w:rsidRPr="00226B3B">
        <w:t>Article 2, paragraph 2</w:t>
      </w:r>
      <w:r>
        <w:t xml:space="preserve">, Article 3 and Article 4, </w:t>
      </w:r>
      <w:r w:rsidRPr="005E05E7">
        <w:t>paragraph 3</w:t>
      </w:r>
      <w:r>
        <w:t>,</w:t>
      </w:r>
      <w:r w:rsidRPr="00226B3B">
        <w:t xml:space="preserve"> of the Paris Agreement</w:t>
      </w:r>
      <w:r>
        <w:t>,</w:t>
      </w:r>
      <w:r w:rsidRPr="00226B3B">
        <w:t xml:space="preserve"> </w:t>
      </w:r>
    </w:p>
    <w:p w14:paraId="65477052" w14:textId="77777777" w:rsidR="002657AA" w:rsidRPr="007051C1" w:rsidRDefault="002657AA" w:rsidP="002657AA">
      <w:pPr>
        <w:pStyle w:val="AnnoSingleTxtG"/>
        <w:numPr>
          <w:ilvl w:val="0"/>
          <w:numId w:val="0"/>
        </w:numPr>
        <w:ind w:left="1134" w:firstLine="568"/>
      </w:pPr>
      <w:r>
        <w:rPr>
          <w:i/>
        </w:rPr>
        <w:t xml:space="preserve">Encouraging </w:t>
      </w:r>
      <w:r w:rsidRPr="0051116E">
        <w:t xml:space="preserve">Parties to use </w:t>
      </w:r>
      <w:r>
        <w:t xml:space="preserve">the </w:t>
      </w:r>
      <w:r w:rsidRPr="0051116E">
        <w:t xml:space="preserve">opportunity in 2020 </w:t>
      </w:r>
      <w:r>
        <w:t xml:space="preserve">to </w:t>
      </w:r>
      <w:r w:rsidRPr="00C544AD">
        <w:t xml:space="preserve">reflect </w:t>
      </w:r>
      <w:r>
        <w:t xml:space="preserve">the </w:t>
      </w:r>
      <w:r w:rsidRPr="00C544AD">
        <w:t xml:space="preserve">highest possible ambition </w:t>
      </w:r>
      <w:r w:rsidRPr="0051116E">
        <w:t>in response to th</w:t>
      </w:r>
      <w:r>
        <w:t>e</w:t>
      </w:r>
      <w:r w:rsidRPr="0051116E">
        <w:t xml:space="preserve"> </w:t>
      </w:r>
      <w:r>
        <w:t xml:space="preserve">urgency of addressing climate change </w:t>
      </w:r>
      <w:r w:rsidRPr="0051116E">
        <w:t xml:space="preserve">and with a view to achieving the long-term goals </w:t>
      </w:r>
      <w:r>
        <w:t xml:space="preserve">set out </w:t>
      </w:r>
      <w:r w:rsidRPr="0051116E">
        <w:t xml:space="preserve">in Article 2 and </w:t>
      </w:r>
      <w:r>
        <w:t xml:space="preserve">Article </w:t>
      </w:r>
      <w:r w:rsidRPr="0051116E">
        <w:t>7, paragraph 1</w:t>
      </w:r>
      <w:r>
        <w:t>,</w:t>
      </w:r>
      <w:r w:rsidRPr="0051116E">
        <w:t xml:space="preserve"> of the Paris Agreement</w:t>
      </w:r>
      <w:r>
        <w:t>,</w:t>
      </w:r>
    </w:p>
    <w:p w14:paraId="00ACE757" w14:textId="77777777" w:rsidR="002657AA" w:rsidRPr="001418A8" w:rsidRDefault="002657AA" w:rsidP="002657AA">
      <w:pPr>
        <w:pStyle w:val="AnnoSingleTxtG"/>
        <w:numPr>
          <w:ilvl w:val="0"/>
          <w:numId w:val="0"/>
        </w:numPr>
        <w:ind w:left="1134" w:firstLine="568"/>
      </w:pPr>
      <w:r>
        <w:rPr>
          <w:i/>
        </w:rPr>
        <w:t xml:space="preserve">Recalling </w:t>
      </w:r>
      <w:r>
        <w:t>decision 3/CMA.1,</w:t>
      </w:r>
    </w:p>
    <w:p w14:paraId="04339727" w14:textId="29E998B5" w:rsidR="002657AA" w:rsidRPr="001F75FA" w:rsidRDefault="00356A49" w:rsidP="00356A49">
      <w:pPr>
        <w:pStyle w:val="RegSingleTxtG"/>
        <w:ind w:left="1134"/>
        <w:rPr>
          <w:i/>
        </w:rPr>
      </w:pPr>
      <w:r w:rsidRPr="001F75FA">
        <w:t>1.</w:t>
      </w:r>
      <w:r w:rsidRPr="001F75FA">
        <w:tab/>
      </w:r>
      <w:r w:rsidR="001F75FA">
        <w:rPr>
          <w:i/>
        </w:rPr>
        <w:tab/>
      </w:r>
      <w:r w:rsidR="002657AA" w:rsidRPr="002657AA">
        <w:rPr>
          <w:i/>
        </w:rPr>
        <w:t>Welcomes</w:t>
      </w:r>
      <w:r w:rsidR="002657AA" w:rsidRPr="001F75FA">
        <w:rPr>
          <w:i/>
        </w:rPr>
        <w:t xml:space="preserve"> </w:t>
      </w:r>
      <w:r w:rsidR="002657AA" w:rsidRPr="001F75FA">
        <w:rPr>
          <w:lang w:val="en-US"/>
        </w:rPr>
        <w:t>decision</w:t>
      </w:r>
      <w:r w:rsidR="002657AA" w:rsidRPr="001F75FA">
        <w:rPr>
          <w:i/>
        </w:rPr>
        <w:t xml:space="preserve"> 1/CP.25;</w:t>
      </w:r>
    </w:p>
    <w:p w14:paraId="4A3A5C87" w14:textId="3EBB138B" w:rsidR="002657AA" w:rsidRPr="002657AA" w:rsidRDefault="00356A49" w:rsidP="00356A49">
      <w:pPr>
        <w:pStyle w:val="RegSingleTxtG"/>
        <w:ind w:left="1134"/>
      </w:pPr>
      <w:r w:rsidRPr="002657AA">
        <w:t>2.</w:t>
      </w:r>
      <w:r w:rsidRPr="002657AA">
        <w:tab/>
      </w:r>
      <w:r w:rsidR="002657AA" w:rsidRPr="005D19B2">
        <w:rPr>
          <w:i/>
        </w:rPr>
        <w:t>Notes</w:t>
      </w:r>
      <w:r w:rsidR="002657AA" w:rsidRPr="004A1835">
        <w:rPr>
          <w:i/>
        </w:rPr>
        <w:t xml:space="preserve"> with concern</w:t>
      </w:r>
      <w:r w:rsidR="002657AA" w:rsidRPr="002657AA">
        <w:t xml:space="preserve"> the state of the global </w:t>
      </w:r>
      <w:r w:rsidR="002657AA" w:rsidRPr="001F75FA">
        <w:rPr>
          <w:lang w:val="en-US"/>
        </w:rPr>
        <w:t>climate</w:t>
      </w:r>
      <w:r w:rsidR="002657AA" w:rsidRPr="002657AA">
        <w:t xml:space="preserve"> system;</w:t>
      </w:r>
    </w:p>
    <w:p w14:paraId="3BFC9692" w14:textId="47FC8D07" w:rsidR="002657AA" w:rsidRPr="002657AA" w:rsidRDefault="00356A49" w:rsidP="00356A49">
      <w:pPr>
        <w:pStyle w:val="RegSingleTxtG"/>
        <w:ind w:left="1134"/>
      </w:pPr>
      <w:r w:rsidRPr="002657AA">
        <w:t>3.</w:t>
      </w:r>
      <w:r w:rsidRPr="002657AA">
        <w:tab/>
      </w:r>
      <w:r w:rsidR="002657AA" w:rsidRPr="002657AA">
        <w:tab/>
      </w:r>
      <w:r w:rsidR="002657AA" w:rsidRPr="002657AA">
        <w:rPr>
          <w:i/>
        </w:rPr>
        <w:t>Recognizes</w:t>
      </w:r>
      <w:r w:rsidR="002657AA" w:rsidRPr="002657AA">
        <w:t xml:space="preserve"> that action taken to </w:t>
      </w:r>
      <w:r w:rsidR="002657AA" w:rsidRPr="001F75FA">
        <w:rPr>
          <w:lang w:val="en-US"/>
        </w:rPr>
        <w:t>address</w:t>
      </w:r>
      <w:r w:rsidR="002657AA" w:rsidRPr="002657AA">
        <w:t xml:space="preserve"> climate change is most effective if it is based on best available science and continually re-evaluated in the light of new findings;</w:t>
      </w:r>
    </w:p>
    <w:p w14:paraId="64292C5D" w14:textId="413FCF32" w:rsidR="002657AA" w:rsidRPr="002657AA" w:rsidRDefault="00356A49" w:rsidP="00356A49">
      <w:pPr>
        <w:pStyle w:val="RegSingleTxtG"/>
        <w:ind w:left="1134"/>
      </w:pPr>
      <w:r w:rsidRPr="002657AA">
        <w:t>4.</w:t>
      </w:r>
      <w:r w:rsidRPr="002657AA">
        <w:tab/>
      </w:r>
      <w:r w:rsidR="002657AA" w:rsidRPr="002657AA">
        <w:rPr>
          <w:i/>
        </w:rPr>
        <w:t>Acknowledges</w:t>
      </w:r>
      <w:r w:rsidR="002657AA" w:rsidRPr="002657AA">
        <w:t xml:space="preserve"> the growing urgency of enhancing ambition and responding to the threat of climate change; </w:t>
      </w:r>
    </w:p>
    <w:p w14:paraId="1A97D703" w14:textId="60D75E0C" w:rsidR="002657AA" w:rsidRPr="002657AA" w:rsidRDefault="00356A49" w:rsidP="00356A49">
      <w:pPr>
        <w:pStyle w:val="RegSingleTxtG"/>
        <w:ind w:left="1134"/>
      </w:pPr>
      <w:r w:rsidRPr="002657AA">
        <w:t>5.</w:t>
      </w:r>
      <w:r w:rsidRPr="002657AA">
        <w:tab/>
      </w:r>
      <w:r w:rsidR="002657AA" w:rsidRPr="002657AA">
        <w:rPr>
          <w:i/>
        </w:rPr>
        <w:t>Re-emphasizes</w:t>
      </w:r>
      <w:r w:rsidR="002657AA" w:rsidRPr="002657AA">
        <w:t xml:space="preserve"> </w:t>
      </w:r>
      <w:r w:rsidR="002657AA" w:rsidRPr="00F73E5B">
        <w:rPr>
          <w:i/>
        </w:rPr>
        <w:t>with serious concern</w:t>
      </w:r>
      <w:r w:rsidR="002657AA" w:rsidRPr="002657AA">
        <w:t xml:space="preserve"> the urgent need to address the significant gap between the aggregate effect of Parties’ mitigation efforts in terms of global annual emissions of greenhouse gases by 2020 and aggregate emission pathways consistent with holding the increase in the global average temperature to well below 2 °C above pre-industrial levels and pursuing efforts to limit the temperature increase to 1.5 °C above pre-industrial levels;</w:t>
      </w:r>
    </w:p>
    <w:p w14:paraId="4E203ECB" w14:textId="77F082D0" w:rsidR="002657AA" w:rsidRPr="002657AA" w:rsidRDefault="00356A49" w:rsidP="00356A49">
      <w:pPr>
        <w:pStyle w:val="RegSingleTxtG"/>
        <w:ind w:left="1134"/>
      </w:pPr>
      <w:r w:rsidRPr="002657AA">
        <w:t>6.</w:t>
      </w:r>
      <w:r w:rsidRPr="002657AA">
        <w:tab/>
      </w:r>
      <w:r w:rsidR="002657AA" w:rsidRPr="002657AA">
        <w:rPr>
          <w:i/>
        </w:rPr>
        <w:t>Recalls</w:t>
      </w:r>
      <w:r w:rsidR="002657AA" w:rsidRPr="002657AA">
        <w:t xml:space="preserve"> that each Party’s successive nationally determined contribution will represent a progression beyond the Party’s then current nationally determined contribution and reflect its highest possible ambition, reflecting its common but differentiated responsibilities and respective capabilities, in the light of different national circumstances;</w:t>
      </w:r>
    </w:p>
    <w:p w14:paraId="4615CE22" w14:textId="53762EDC" w:rsidR="002657AA" w:rsidRPr="002657AA" w:rsidRDefault="00356A49" w:rsidP="00356A49">
      <w:pPr>
        <w:pStyle w:val="RegSingleTxtG"/>
        <w:ind w:left="1134"/>
      </w:pPr>
      <w:r w:rsidRPr="002657AA">
        <w:t>7.</w:t>
      </w:r>
      <w:r w:rsidRPr="002657AA">
        <w:tab/>
      </w:r>
      <w:r w:rsidR="00692D9B">
        <w:rPr>
          <w:i/>
        </w:rPr>
        <w:t>Also r</w:t>
      </w:r>
      <w:r w:rsidR="002657AA" w:rsidRPr="002657AA">
        <w:rPr>
          <w:i/>
        </w:rPr>
        <w:t>ecalls</w:t>
      </w:r>
      <w:r w:rsidR="002657AA" w:rsidRPr="002657AA">
        <w:t xml:space="preserve"> the request to Parties contained in decision 1/CP.21</w:t>
      </w:r>
      <w:r w:rsidR="00692D9B">
        <w:t>,</w:t>
      </w:r>
      <w:r w:rsidR="002657AA" w:rsidRPr="002657AA">
        <w:t xml:space="preserve"> para</w:t>
      </w:r>
      <w:r w:rsidR="00CA57D3">
        <w:t>graph</w:t>
      </w:r>
      <w:r w:rsidR="002657AA" w:rsidRPr="002657AA">
        <w:t>s 23</w:t>
      </w:r>
      <w:r w:rsidR="00CA57D3">
        <w:t>–</w:t>
      </w:r>
      <w:r w:rsidR="002657AA" w:rsidRPr="002657AA">
        <w:t xml:space="preserve">24, and </w:t>
      </w:r>
      <w:r w:rsidR="002657AA" w:rsidRPr="00486D49">
        <w:rPr>
          <w:i/>
        </w:rPr>
        <w:t>urges</w:t>
      </w:r>
      <w:r w:rsidR="002657AA" w:rsidRPr="002657AA">
        <w:t xml:space="preserve"> Parties to consider the gap referred to in paragraph 5</w:t>
      </w:r>
      <w:r w:rsidR="00CA57D3">
        <w:t xml:space="preserve"> above</w:t>
      </w:r>
      <w:r w:rsidR="002657AA" w:rsidRPr="002657AA">
        <w:t xml:space="preserve"> with a view to reflecting their highest possible ambition when responding to this request;</w:t>
      </w:r>
    </w:p>
    <w:p w14:paraId="4D91C6C4" w14:textId="2BA426ED" w:rsidR="002657AA" w:rsidRPr="002657AA" w:rsidRDefault="00356A49" w:rsidP="00356A49">
      <w:pPr>
        <w:pStyle w:val="RegSingleTxtG"/>
        <w:ind w:left="1134"/>
      </w:pPr>
      <w:r w:rsidRPr="002657AA">
        <w:t>8.</w:t>
      </w:r>
      <w:r w:rsidRPr="002657AA">
        <w:tab/>
      </w:r>
      <w:r w:rsidR="002657AA" w:rsidRPr="002657AA">
        <w:rPr>
          <w:i/>
        </w:rPr>
        <w:t>Reminds</w:t>
      </w:r>
      <w:r w:rsidR="002657AA" w:rsidRPr="002657AA">
        <w:t xml:space="preserve"> Parties that have not yet communicated their nationally determined contributions pursuant to Article 4, paragraph 2, and decision 1/CP.21, paragraph 22, to do</w:t>
      </w:r>
      <w:r w:rsidR="00F06A2C">
        <w:t> </w:t>
      </w:r>
      <w:r w:rsidR="002657AA" w:rsidRPr="002657AA">
        <w:t>so;</w:t>
      </w:r>
    </w:p>
    <w:p w14:paraId="6C8333ED" w14:textId="34EE0E37" w:rsidR="002657AA" w:rsidRPr="002657AA" w:rsidRDefault="00356A49" w:rsidP="00356A49">
      <w:pPr>
        <w:pStyle w:val="RegSingleTxtG"/>
        <w:ind w:left="1134"/>
      </w:pPr>
      <w:r w:rsidRPr="002657AA">
        <w:t>9.</w:t>
      </w:r>
      <w:r w:rsidRPr="002657AA">
        <w:tab/>
      </w:r>
      <w:r w:rsidR="002657AA" w:rsidRPr="002657AA">
        <w:rPr>
          <w:i/>
        </w:rPr>
        <w:t>Reiterates</w:t>
      </w:r>
      <w:r w:rsidR="002657AA" w:rsidRPr="002657AA">
        <w:t xml:space="preserve"> its strong encouragement to Parties to provide the information necessary for clarity, transparency and understanding of nationally determined contributions, described in the annex to decision 4/CMA.1;</w:t>
      </w:r>
    </w:p>
    <w:p w14:paraId="006C0C6E" w14:textId="2CE6FFBF" w:rsidR="002657AA" w:rsidRPr="002657AA" w:rsidRDefault="00356A49" w:rsidP="00356A49">
      <w:pPr>
        <w:pStyle w:val="RegSingleTxtG"/>
        <w:ind w:left="1134"/>
      </w:pPr>
      <w:r w:rsidRPr="002657AA">
        <w:t>10.</w:t>
      </w:r>
      <w:r w:rsidRPr="002657AA">
        <w:tab/>
      </w:r>
      <w:r w:rsidR="002657AA" w:rsidRPr="002657AA">
        <w:tab/>
      </w:r>
      <w:r w:rsidR="002657AA" w:rsidRPr="002657AA">
        <w:rPr>
          <w:i/>
        </w:rPr>
        <w:t>Recalls</w:t>
      </w:r>
      <w:r w:rsidR="002657AA" w:rsidRPr="002657AA">
        <w:t xml:space="preserve"> the request</w:t>
      </w:r>
      <w:r w:rsidR="008B4FA0">
        <w:t xml:space="preserve"> contained</w:t>
      </w:r>
      <w:r w:rsidR="002657AA" w:rsidRPr="002657AA">
        <w:t xml:space="preserve"> in decision 1/CP.21</w:t>
      </w:r>
      <w:r w:rsidR="008B4FA0">
        <w:t xml:space="preserve">, </w:t>
      </w:r>
      <w:r w:rsidR="008B4FA0" w:rsidRPr="002657AA">
        <w:t>paragraph 25</w:t>
      </w:r>
      <w:r w:rsidR="008B4FA0">
        <w:t>,</w:t>
      </w:r>
      <w:r w:rsidR="002657AA" w:rsidRPr="002657AA">
        <w:t xml:space="preserve"> to the secretariat to prepare a synthesis report, and </w:t>
      </w:r>
      <w:r w:rsidR="002657AA" w:rsidRPr="00906D4B">
        <w:rPr>
          <w:i/>
        </w:rPr>
        <w:t>requests</w:t>
      </w:r>
      <w:r w:rsidR="002657AA" w:rsidRPr="002657AA">
        <w:t xml:space="preserve"> the secretariat to make th</w:t>
      </w:r>
      <w:r w:rsidR="007810B6">
        <w:t>e</w:t>
      </w:r>
      <w:r w:rsidR="002657AA" w:rsidRPr="002657AA">
        <w:t xml:space="preserve"> report available to the Conference of the Parties at its twenty-sixth session (November 2020);</w:t>
      </w:r>
    </w:p>
    <w:p w14:paraId="4C2578DB" w14:textId="3AA02638" w:rsidR="002657AA" w:rsidRPr="002657AA" w:rsidRDefault="00356A49" w:rsidP="00356A49">
      <w:pPr>
        <w:pStyle w:val="RegSingleTxtG"/>
        <w:ind w:left="1134"/>
      </w:pPr>
      <w:r w:rsidRPr="002657AA">
        <w:lastRenderedPageBreak/>
        <w:t>11.</w:t>
      </w:r>
      <w:r w:rsidRPr="002657AA">
        <w:tab/>
      </w:r>
      <w:r w:rsidR="002657AA" w:rsidRPr="002657AA">
        <w:rPr>
          <w:i/>
        </w:rPr>
        <w:t>Reiterates</w:t>
      </w:r>
      <w:r w:rsidR="002657AA" w:rsidRPr="002657AA">
        <w:t xml:space="preserve"> the invitation to Parties to communicate to the secretariat, by 2020, mid-century long-term low greenhouse gas emission development strategies in accordance with Article 4, paragraph 19, of the Paris Agreement;</w:t>
      </w:r>
      <w:r w:rsidR="002657AA" w:rsidRPr="002657AA">
        <w:rPr>
          <w:rStyle w:val="FootnoteReference"/>
        </w:rPr>
        <w:footnoteReference w:id="2"/>
      </w:r>
    </w:p>
    <w:p w14:paraId="549A396F" w14:textId="20D230A0" w:rsidR="002657AA" w:rsidRPr="002657AA" w:rsidRDefault="00356A49" w:rsidP="00356A49">
      <w:pPr>
        <w:pStyle w:val="RegSingleTxtG"/>
        <w:ind w:left="1134"/>
      </w:pPr>
      <w:r w:rsidRPr="002657AA">
        <w:t>12.</w:t>
      </w:r>
      <w:r w:rsidRPr="002657AA">
        <w:tab/>
      </w:r>
      <w:r w:rsidR="002657AA" w:rsidRPr="002657AA">
        <w:rPr>
          <w:i/>
        </w:rPr>
        <w:t>Encourages</w:t>
      </w:r>
      <w:r w:rsidR="002657AA" w:rsidRPr="002657AA">
        <w:t xml:space="preserve"> Parties to submit their first adaptation communication as soon as possible, in accordance with decision 9/CMA.1, so as to provide timely input to the first global stocktake;</w:t>
      </w:r>
    </w:p>
    <w:p w14:paraId="3B9A2E64" w14:textId="44418683" w:rsidR="002657AA" w:rsidRPr="002657AA" w:rsidRDefault="00356A49" w:rsidP="00356A49">
      <w:pPr>
        <w:pStyle w:val="RegSingleTxtG"/>
        <w:ind w:left="1134"/>
      </w:pPr>
      <w:r w:rsidRPr="002657AA">
        <w:t>13.</w:t>
      </w:r>
      <w:r w:rsidRPr="002657AA">
        <w:tab/>
      </w:r>
      <w:r w:rsidR="002657AA" w:rsidRPr="002657AA">
        <w:rPr>
          <w:i/>
        </w:rPr>
        <w:t>Calls on</w:t>
      </w:r>
      <w:r w:rsidR="002657AA" w:rsidRPr="002657AA">
        <w:t xml:space="preserve"> Parties to engage in adaptation planning processes and the implementation of actions, including the development or enhancement of relevant plans, policies and/or contributions in accordance with Article 7, paragraph 9, of the Paris Agreement, with a view to continu</w:t>
      </w:r>
      <w:r w:rsidR="00B14BB2">
        <w:t>ing</w:t>
      </w:r>
      <w:r w:rsidR="002657AA" w:rsidRPr="002657AA">
        <w:t xml:space="preserve"> </w:t>
      </w:r>
      <w:r w:rsidR="00B14BB2">
        <w:t xml:space="preserve">to </w:t>
      </w:r>
      <w:r w:rsidR="002657AA" w:rsidRPr="002657AA">
        <w:t>mak</w:t>
      </w:r>
      <w:r w:rsidR="00B14BB2">
        <w:t>e</w:t>
      </w:r>
      <w:r w:rsidR="002657AA" w:rsidRPr="002657AA">
        <w:t xml:space="preserve"> progress towards the global goal on adaptation of enhancing adaptive capacity, strengthening resilience and reducing vulnerability to climate change;</w:t>
      </w:r>
    </w:p>
    <w:p w14:paraId="24F28EB7" w14:textId="7511BB0B" w:rsidR="002657AA" w:rsidRPr="002657AA" w:rsidRDefault="00356A49" w:rsidP="00356A49">
      <w:pPr>
        <w:pStyle w:val="RegSingleTxtG"/>
        <w:ind w:left="1134"/>
      </w:pPr>
      <w:r w:rsidRPr="002657AA">
        <w:t>14.</w:t>
      </w:r>
      <w:r w:rsidRPr="002657AA">
        <w:tab/>
      </w:r>
      <w:r w:rsidR="002657AA" w:rsidRPr="002657AA">
        <w:rPr>
          <w:i/>
        </w:rPr>
        <w:t>Requests</w:t>
      </w:r>
      <w:r w:rsidR="002657AA" w:rsidRPr="002657AA">
        <w:t xml:space="preserve"> the Adaptation Committee to consider approaches to reviewing the overall progress made in achieving the global goal on adaptation and to reflect the outcome of this consideration in its 2021 annual report;</w:t>
      </w:r>
    </w:p>
    <w:p w14:paraId="0859DAE6" w14:textId="086A6783" w:rsidR="002657AA" w:rsidRPr="002657AA" w:rsidRDefault="00356A49" w:rsidP="00356A49">
      <w:pPr>
        <w:pStyle w:val="RegSingleTxtG"/>
        <w:ind w:left="1134"/>
      </w:pPr>
      <w:r w:rsidRPr="002657AA">
        <w:t>15.</w:t>
      </w:r>
      <w:r w:rsidRPr="002657AA">
        <w:tab/>
      </w:r>
      <w:r w:rsidR="002657AA" w:rsidRPr="002657AA">
        <w:rPr>
          <w:i/>
        </w:rPr>
        <w:t>Underlines</w:t>
      </w:r>
      <w:r w:rsidR="002657AA" w:rsidRPr="002657AA">
        <w:t xml:space="preserve"> the importance of implementing commitments under the Paris Agreement related to finance, technology transfer and capacity-building to address the mitigation and adaptation needs and priorities of developing countries;</w:t>
      </w:r>
    </w:p>
    <w:p w14:paraId="7A2F69EA" w14:textId="2701BADD" w:rsidR="002657AA" w:rsidRPr="002657AA" w:rsidRDefault="00356A49" w:rsidP="00356A49">
      <w:pPr>
        <w:pStyle w:val="RegSingleTxtG"/>
        <w:ind w:left="1134"/>
      </w:pPr>
      <w:r w:rsidRPr="002657AA">
        <w:t>16.</w:t>
      </w:r>
      <w:r w:rsidRPr="002657AA">
        <w:tab/>
      </w:r>
      <w:r w:rsidR="002657AA" w:rsidRPr="002657AA">
        <w:rPr>
          <w:i/>
        </w:rPr>
        <w:t>Urges</w:t>
      </w:r>
      <w:r w:rsidR="002657AA" w:rsidRPr="002657AA">
        <w:t xml:space="preserve"> developed country Parties to provide financial resources to assist developing country Parties with respect to both mitigation and adaptation, in continuation of their existing obligations under the Convention, and </w:t>
      </w:r>
      <w:r w:rsidR="002657AA" w:rsidRPr="00C64AC1">
        <w:rPr>
          <w:i/>
        </w:rPr>
        <w:t>encourages</w:t>
      </w:r>
      <w:r w:rsidR="002657AA" w:rsidRPr="002657AA">
        <w:t xml:space="preserve"> other Parties to provide or continue to provide such support voluntarily;</w:t>
      </w:r>
    </w:p>
    <w:p w14:paraId="07FF3756" w14:textId="6FE45E47" w:rsidR="002657AA" w:rsidRPr="002657AA" w:rsidRDefault="00356A49" w:rsidP="00356A49">
      <w:pPr>
        <w:pStyle w:val="RegSingleTxtG"/>
        <w:ind w:left="1134"/>
      </w:pPr>
      <w:r w:rsidRPr="002657AA">
        <w:t>17.</w:t>
      </w:r>
      <w:r w:rsidRPr="002657AA">
        <w:tab/>
      </w:r>
      <w:r w:rsidR="002657AA" w:rsidRPr="002657AA">
        <w:rPr>
          <w:i/>
        </w:rPr>
        <w:t>Recalls</w:t>
      </w:r>
      <w:r w:rsidR="002657AA" w:rsidRPr="002657AA">
        <w:t xml:space="preserve"> that the provision of scaled-up financial resources should aim to achieve a balance between adaptation and mitigation, taking into account country-driven strategies, and the priorities and needs of developing country Parties, especially those that are particularly vulnerable to the adverse effects of climate change and have significant capacity constraints, such as the least developed countries and small island developing States, considering the need for public and grant-based resources for adaptation;</w:t>
      </w:r>
    </w:p>
    <w:p w14:paraId="64FAA57F" w14:textId="03ABC655" w:rsidR="002657AA" w:rsidRPr="002657AA" w:rsidRDefault="00356A49" w:rsidP="00356A49">
      <w:pPr>
        <w:pStyle w:val="RegSingleTxtG"/>
        <w:ind w:left="1134"/>
      </w:pPr>
      <w:r w:rsidRPr="002657AA">
        <w:t>18.</w:t>
      </w:r>
      <w:r w:rsidRPr="002657AA">
        <w:tab/>
      </w:r>
      <w:r w:rsidR="002657AA" w:rsidRPr="002657AA">
        <w:rPr>
          <w:i/>
        </w:rPr>
        <w:t xml:space="preserve">Takes note </w:t>
      </w:r>
      <w:r w:rsidR="002657AA" w:rsidRPr="002657AA">
        <w:t>of the estimated budgetary implications of the activities to be undertaken by the secretariat referred to in paragraph 10 above;</w:t>
      </w:r>
    </w:p>
    <w:p w14:paraId="7EABEF5F" w14:textId="5D82F2DC" w:rsidR="002657AA" w:rsidRDefault="00356A49" w:rsidP="00356A49">
      <w:pPr>
        <w:pStyle w:val="RegSingleTxtG"/>
        <w:ind w:left="1134"/>
      </w:pPr>
      <w:r>
        <w:t>19.</w:t>
      </w:r>
      <w:r>
        <w:tab/>
      </w:r>
      <w:r w:rsidR="002657AA" w:rsidRPr="002657AA">
        <w:rPr>
          <w:i/>
        </w:rPr>
        <w:t>Requests</w:t>
      </w:r>
      <w:r w:rsidR="002657AA" w:rsidRPr="002657AA">
        <w:t xml:space="preserve"> that the actions of the secretariat called for in this decision be undertaken subject to the availability of financial resources.</w:t>
      </w:r>
    </w:p>
    <w:p w14:paraId="250B017B" w14:textId="77777777" w:rsidR="002657AA" w:rsidRDefault="002657AA" w:rsidP="001F75FA">
      <w:pPr>
        <w:pStyle w:val="RegSingleTxtG"/>
        <w:ind w:left="1134"/>
        <w:jc w:val="right"/>
        <w:rPr>
          <w:i/>
        </w:rPr>
      </w:pPr>
      <w:r>
        <w:rPr>
          <w:i/>
        </w:rPr>
        <w:t>8</w:t>
      </w:r>
      <w:r w:rsidRPr="002657AA">
        <w:rPr>
          <w:i/>
          <w:vertAlign w:val="superscript"/>
        </w:rPr>
        <w:t>th</w:t>
      </w:r>
      <w:r>
        <w:rPr>
          <w:i/>
        </w:rPr>
        <w:t xml:space="preserve"> plenary meeting</w:t>
      </w:r>
      <w:r>
        <w:rPr>
          <w:i/>
        </w:rPr>
        <w:br/>
        <w:t>15 December 2019</w:t>
      </w:r>
    </w:p>
    <w:p w14:paraId="324489CD" w14:textId="77777777" w:rsidR="002657AA" w:rsidRDefault="002657AA" w:rsidP="002657AA">
      <w:pPr>
        <w:pStyle w:val="RegSingleTxtG"/>
        <w:ind w:left="1134"/>
        <w:jc w:val="right"/>
        <w:sectPr w:rsidR="002657AA" w:rsidSect="006B523B">
          <w:headerReference w:type="even" r:id="rId19"/>
          <w:headerReference w:type="default" r:id="rId20"/>
          <w:footerReference w:type="even" r:id="rId21"/>
          <w:footerReference w:type="default" r:id="rId22"/>
          <w:footnotePr>
            <w:numRestart w:val="eachSect"/>
          </w:footnotePr>
          <w:pgSz w:w="11906" w:h="16838" w:code="9"/>
          <w:pgMar w:top="1417" w:right="1134" w:bottom="1134" w:left="1134" w:header="850" w:footer="567" w:gutter="0"/>
          <w:cols w:space="708"/>
          <w:docGrid w:linePitch="360"/>
        </w:sectPr>
      </w:pPr>
    </w:p>
    <w:p w14:paraId="0A674735" w14:textId="5A5F1023" w:rsidR="002657AA" w:rsidRPr="002657AA" w:rsidRDefault="005B4016" w:rsidP="005B4016">
      <w:pPr>
        <w:pStyle w:val="HChG"/>
      </w:pPr>
      <w:r>
        <w:lastRenderedPageBreak/>
        <w:tab/>
      </w:r>
      <w:r>
        <w:tab/>
      </w:r>
      <w:r w:rsidR="002657AA" w:rsidRPr="002657AA">
        <w:tab/>
      </w:r>
      <w:bookmarkStart w:id="1" w:name="D2"/>
      <w:r w:rsidR="002657AA" w:rsidRPr="002657AA">
        <w:t xml:space="preserve">Decision </w:t>
      </w:r>
      <w:r w:rsidR="00417F0F">
        <w:t>2</w:t>
      </w:r>
      <w:r w:rsidR="002657AA" w:rsidRPr="002657AA">
        <w:t>/CMA.2</w:t>
      </w:r>
      <w:bookmarkEnd w:id="1"/>
    </w:p>
    <w:p w14:paraId="3723658A" w14:textId="48E0531D" w:rsidR="002657AA" w:rsidRPr="009125FB" w:rsidRDefault="002657AA" w:rsidP="00015C9A">
      <w:pPr>
        <w:keepNext/>
        <w:keepLines/>
        <w:tabs>
          <w:tab w:val="right" w:pos="851"/>
        </w:tabs>
        <w:spacing w:before="360" w:after="240" w:line="300" w:lineRule="exact"/>
        <w:ind w:left="1134" w:right="1134"/>
        <w:rPr>
          <w:b/>
          <w:sz w:val="28"/>
          <w:szCs w:val="28"/>
        </w:rPr>
      </w:pPr>
      <w:bookmarkStart w:id="2" w:name="_Hlk26793643"/>
      <w:r w:rsidRPr="00033F97">
        <w:rPr>
          <w:b/>
          <w:sz w:val="28"/>
          <w:szCs w:val="28"/>
        </w:rPr>
        <w:t xml:space="preserve">Warsaw International Mechanism for Loss and Damage associated with Climate Change </w:t>
      </w:r>
      <w:r w:rsidRPr="008D40B0">
        <w:rPr>
          <w:b/>
          <w:sz w:val="28"/>
          <w:szCs w:val="28"/>
        </w:rPr>
        <w:t>Impacts and its 2019 review</w:t>
      </w:r>
      <w:bookmarkEnd w:id="2"/>
    </w:p>
    <w:p w14:paraId="63FB3C31" w14:textId="77777777" w:rsidR="002657AA" w:rsidRPr="002657AA" w:rsidRDefault="002657AA" w:rsidP="002657AA">
      <w:pPr>
        <w:tabs>
          <w:tab w:val="left" w:pos="1701"/>
        </w:tabs>
        <w:spacing w:after="120"/>
        <w:ind w:left="1135" w:right="1134"/>
        <w:jc w:val="both"/>
      </w:pPr>
      <w:r w:rsidRPr="002657AA">
        <w:rPr>
          <w:i/>
        </w:rPr>
        <w:tab/>
        <w:t xml:space="preserve">The </w:t>
      </w:r>
      <w:bookmarkStart w:id="3" w:name="_Hlk27256302"/>
      <w:r w:rsidRPr="002657AA">
        <w:rPr>
          <w:i/>
        </w:rPr>
        <w:t>Conference of the Parties serving as the meeting of the Parties to the Paris Agreement</w:t>
      </w:r>
      <w:bookmarkEnd w:id="3"/>
      <w:r w:rsidRPr="002657AA">
        <w:t>,</w:t>
      </w:r>
      <w:r w:rsidRPr="003C0CB0">
        <w:rPr>
          <w:sz w:val="18"/>
          <w:szCs w:val="18"/>
          <w:vertAlign w:val="superscript"/>
        </w:rPr>
        <w:footnoteReference w:id="3"/>
      </w:r>
    </w:p>
    <w:p w14:paraId="38411492" w14:textId="6CCA9692" w:rsidR="002657AA" w:rsidRPr="002657AA" w:rsidRDefault="002657AA" w:rsidP="002657AA">
      <w:pPr>
        <w:tabs>
          <w:tab w:val="left" w:pos="1701"/>
        </w:tabs>
        <w:spacing w:after="120"/>
        <w:ind w:left="1135" w:right="1134"/>
        <w:jc w:val="both"/>
      </w:pPr>
      <w:r w:rsidRPr="002657AA">
        <w:rPr>
          <w:i/>
        </w:rPr>
        <w:tab/>
        <w:t xml:space="preserve">Recalling </w:t>
      </w:r>
      <w:r w:rsidRPr="002657AA">
        <w:t xml:space="preserve">decision 2/CP.19, whereby the </w:t>
      </w:r>
      <w:bookmarkStart w:id="4" w:name="_Hlk26193642"/>
      <w:r w:rsidRPr="002657AA">
        <w:t>Warsaw International Mechanism</w:t>
      </w:r>
      <w:bookmarkEnd w:id="4"/>
      <w:r w:rsidRPr="002657AA">
        <w:t xml:space="preserve">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p>
    <w:p w14:paraId="33BEE6AD" w14:textId="7CAC070D" w:rsidR="002657AA" w:rsidRPr="002657AA" w:rsidRDefault="002657AA" w:rsidP="002657AA">
      <w:pPr>
        <w:tabs>
          <w:tab w:val="left" w:pos="1701"/>
        </w:tabs>
        <w:spacing w:after="120"/>
        <w:ind w:left="1135" w:right="1134"/>
        <w:jc w:val="both"/>
        <w:rPr>
          <w:i/>
        </w:rPr>
      </w:pPr>
      <w:r w:rsidRPr="002657AA">
        <w:rPr>
          <w:i/>
        </w:rPr>
        <w:tab/>
        <w:t xml:space="preserve">Also recalling </w:t>
      </w:r>
      <w:r w:rsidRPr="002657AA">
        <w:rPr>
          <w:lang w:val="en-US"/>
        </w:rPr>
        <w:t>decisions 3/CP.18, 2/CP.19, 2/CP.20, 1/CP.21, 2/CP.21, 3/CP.22, 4/CP.22, 5/CP.23 and 10/CP.24,</w:t>
      </w:r>
    </w:p>
    <w:p w14:paraId="3DA4592F" w14:textId="77777777" w:rsidR="002657AA" w:rsidRPr="002657AA" w:rsidRDefault="002657AA" w:rsidP="002657AA">
      <w:pPr>
        <w:tabs>
          <w:tab w:val="left" w:pos="1701"/>
        </w:tabs>
        <w:spacing w:after="120"/>
        <w:ind w:left="1135" w:right="1134"/>
        <w:jc w:val="both"/>
      </w:pPr>
      <w:r w:rsidRPr="002657AA">
        <w:rPr>
          <w:i/>
        </w:rPr>
        <w:tab/>
        <w:t xml:space="preserve">Further recalling </w:t>
      </w:r>
      <w:r w:rsidRPr="002657AA">
        <w:t>Article 8 of the Paris Agreement,</w:t>
      </w:r>
    </w:p>
    <w:p w14:paraId="64FE2DD9" w14:textId="77777777" w:rsidR="002657AA" w:rsidRPr="002657AA" w:rsidRDefault="002657AA" w:rsidP="002657AA">
      <w:pPr>
        <w:tabs>
          <w:tab w:val="left" w:pos="1701"/>
        </w:tabs>
        <w:spacing w:after="120"/>
        <w:ind w:left="1135" w:right="1134"/>
        <w:jc w:val="both"/>
      </w:pPr>
      <w:r w:rsidRPr="002657AA">
        <w:rPr>
          <w:i/>
        </w:rPr>
        <w:tab/>
        <w:t xml:space="preserve">Being aware </w:t>
      </w:r>
      <w:r w:rsidRPr="003C0CB0">
        <w:rPr>
          <w:iCs/>
        </w:rPr>
        <w:t>of</w:t>
      </w:r>
      <w:r w:rsidRPr="00F500EB">
        <w:rPr>
          <w:iCs/>
        </w:rPr>
        <w:t xml:space="preserve"> </w:t>
      </w:r>
      <w:r w:rsidRPr="002657AA">
        <w:t>the relevant provisions of decisions 18/CMA.1 and 19/CMA.1,</w:t>
      </w:r>
    </w:p>
    <w:p w14:paraId="0631CC81" w14:textId="77777777" w:rsidR="002657AA" w:rsidRPr="002657AA" w:rsidRDefault="002657AA" w:rsidP="002657AA">
      <w:pPr>
        <w:tabs>
          <w:tab w:val="left" w:pos="1701"/>
        </w:tabs>
        <w:spacing w:after="120"/>
        <w:ind w:left="1135" w:right="1134"/>
        <w:jc w:val="both"/>
      </w:pPr>
      <w:r w:rsidRPr="002657AA">
        <w:rPr>
          <w:i/>
        </w:rPr>
        <w:tab/>
        <w:t>Acknowledging</w:t>
      </w:r>
      <w:r w:rsidRPr="002657AA">
        <w:t xml:space="preserve"> that climate change is a common concern of humankind,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3F7F2F34" w14:textId="77777777" w:rsidR="002657AA" w:rsidRPr="002657AA" w:rsidRDefault="002657AA" w:rsidP="002657AA">
      <w:pPr>
        <w:tabs>
          <w:tab w:val="left" w:pos="1701"/>
        </w:tabs>
        <w:spacing w:after="120"/>
        <w:ind w:left="1135" w:right="1134"/>
        <w:jc w:val="both"/>
      </w:pPr>
      <w:r w:rsidRPr="002657AA">
        <w:rPr>
          <w:i/>
        </w:rPr>
        <w:tab/>
        <w:t xml:space="preserve">Reaffirming </w:t>
      </w:r>
      <w:r w:rsidRPr="002657AA">
        <w:t xml:space="preserve">the role of the Warsaw International Mechanism in promoting the implementation of approaches to avert, minimize and address loss and damage associated with climate change impacts in a comprehensive, integrated and coherent manner, </w:t>
      </w:r>
    </w:p>
    <w:p w14:paraId="0D42BC87" w14:textId="77777777" w:rsidR="002657AA" w:rsidRPr="002657AA" w:rsidRDefault="002657AA" w:rsidP="002657AA">
      <w:pPr>
        <w:tabs>
          <w:tab w:val="left" w:pos="1701"/>
        </w:tabs>
        <w:spacing w:after="120"/>
        <w:ind w:left="1135" w:right="1134"/>
        <w:jc w:val="both"/>
      </w:pPr>
      <w:r w:rsidRPr="002657AA">
        <w:rPr>
          <w:i/>
        </w:rPr>
        <w:tab/>
      </w:r>
      <w:r w:rsidRPr="002657AA">
        <w:rPr>
          <w:i/>
        </w:rPr>
        <w:tab/>
        <w:t>Also reaffirming</w:t>
      </w:r>
      <w:r w:rsidRPr="002657AA">
        <w:t xml:space="preserve"> the role of the Executive Committee of the </w:t>
      </w:r>
      <w:bookmarkStart w:id="5" w:name="_Hlk26193741"/>
      <w:r w:rsidRPr="002657AA">
        <w:t xml:space="preserve">Warsaw International Mechanism </w:t>
      </w:r>
      <w:bookmarkEnd w:id="5"/>
      <w:r w:rsidRPr="002657AA">
        <w:t xml:space="preserve">in guiding the implementation of the functions of the Mechanism, </w:t>
      </w:r>
    </w:p>
    <w:p w14:paraId="54474A54" w14:textId="77777777" w:rsidR="002657AA" w:rsidRPr="002657AA" w:rsidRDefault="002657AA" w:rsidP="002657AA">
      <w:pPr>
        <w:tabs>
          <w:tab w:val="left" w:pos="1701"/>
        </w:tabs>
        <w:spacing w:after="120"/>
        <w:ind w:left="1135" w:right="1134"/>
        <w:jc w:val="both"/>
      </w:pPr>
      <w:r w:rsidRPr="002657AA">
        <w:rPr>
          <w:i/>
        </w:rPr>
        <w:tab/>
      </w:r>
      <w:r w:rsidRPr="002657AA">
        <w:rPr>
          <w:i/>
        </w:rPr>
        <w:tab/>
        <w:t xml:space="preserve">Recognizing </w:t>
      </w:r>
      <w:r w:rsidRPr="002657AA">
        <w:t>the current insufficient level of mitigation and that reducing greenhouse gas emissions reduces the risks associated with the adverse effects of climate change,</w:t>
      </w:r>
    </w:p>
    <w:p w14:paraId="4DFB56B3" w14:textId="77777777" w:rsidR="002657AA" w:rsidRPr="002657AA" w:rsidRDefault="002657AA" w:rsidP="002657AA">
      <w:pPr>
        <w:tabs>
          <w:tab w:val="left" w:pos="1701"/>
        </w:tabs>
        <w:spacing w:after="120"/>
        <w:ind w:left="1135" w:right="1134"/>
        <w:jc w:val="both"/>
      </w:pPr>
      <w:r w:rsidRPr="002657AA">
        <w:rPr>
          <w:i/>
        </w:rPr>
        <w:tab/>
        <w:t xml:space="preserve">Also recognizing </w:t>
      </w:r>
      <w:r w:rsidRPr="002657AA">
        <w:t xml:space="preserve">the importance of the Warsaw International Mechanism for averting, minimizing and addressing loss and damage in developing countries that are particularly vulnerable to the adverse effects of climate change, </w:t>
      </w:r>
    </w:p>
    <w:p w14:paraId="3E39F73B" w14:textId="77777777" w:rsidR="002657AA" w:rsidRPr="002657AA" w:rsidRDefault="002657AA" w:rsidP="002657AA">
      <w:pPr>
        <w:tabs>
          <w:tab w:val="left" w:pos="1701"/>
        </w:tabs>
        <w:spacing w:after="120"/>
        <w:ind w:left="1135" w:right="1134"/>
        <w:jc w:val="both"/>
      </w:pPr>
      <w:r w:rsidRPr="002657AA">
        <w:rPr>
          <w:i/>
        </w:rPr>
        <w:tab/>
        <w:t>Recalling</w:t>
      </w:r>
      <w:r w:rsidRPr="002657AA">
        <w:t xml:space="preserve"> that the Conference of the Parties at its twenty-second session recommended that the next review of the Warsaw International Mechanism be held in 2019,</w:t>
      </w:r>
      <w:r w:rsidRPr="003C0CB0">
        <w:rPr>
          <w:sz w:val="18"/>
          <w:szCs w:val="18"/>
          <w:vertAlign w:val="superscript"/>
        </w:rPr>
        <w:footnoteReference w:id="4"/>
      </w:r>
      <w:r w:rsidRPr="003C0CB0">
        <w:rPr>
          <w:sz w:val="18"/>
          <w:szCs w:val="18"/>
        </w:rPr>
        <w:t xml:space="preserve"> </w:t>
      </w:r>
    </w:p>
    <w:p w14:paraId="50CE62FB" w14:textId="77777777" w:rsidR="002657AA" w:rsidRPr="002657AA" w:rsidRDefault="002657AA" w:rsidP="002657AA">
      <w:pPr>
        <w:tabs>
          <w:tab w:val="left" w:pos="1701"/>
        </w:tabs>
        <w:spacing w:after="120"/>
        <w:ind w:left="1135" w:right="1134"/>
        <w:jc w:val="both"/>
        <w:rPr>
          <w:lang w:val="en-US"/>
        </w:rPr>
      </w:pPr>
      <w:r w:rsidRPr="002657AA">
        <w:rPr>
          <w:i/>
        </w:rPr>
        <w:tab/>
      </w:r>
      <w:r w:rsidRPr="002657AA">
        <w:rPr>
          <w:i/>
        </w:rPr>
        <w:tab/>
        <w:t xml:space="preserve">Acknowledging </w:t>
      </w:r>
      <w:r w:rsidRPr="002657AA">
        <w:t xml:space="preserve">the Executive Committee’s decision </w:t>
      </w:r>
      <w:r w:rsidRPr="002657AA">
        <w:rPr>
          <w:lang w:val="en-US"/>
        </w:rPr>
        <w:t xml:space="preserve">to identify follow-up activities to the 2019 review of the </w:t>
      </w:r>
      <w:r w:rsidRPr="002657AA">
        <w:t xml:space="preserve">Warsaw International Mechanism under </w:t>
      </w:r>
      <w:r w:rsidRPr="002657AA">
        <w:rPr>
          <w:lang w:val="en-US"/>
        </w:rPr>
        <w:t xml:space="preserve">strategic workstream (e) of its five-year rolling workplan at its first meeting of 2020, </w:t>
      </w:r>
    </w:p>
    <w:p w14:paraId="18B81B24" w14:textId="77777777" w:rsidR="002657AA" w:rsidRPr="002657AA" w:rsidRDefault="002657AA" w:rsidP="002657AA">
      <w:pPr>
        <w:tabs>
          <w:tab w:val="left" w:pos="1701"/>
        </w:tabs>
        <w:spacing w:after="120"/>
        <w:ind w:left="1135" w:right="1134"/>
        <w:jc w:val="both"/>
        <w:rPr>
          <w:lang w:val="en-US"/>
        </w:rPr>
      </w:pPr>
      <w:r w:rsidRPr="002657AA">
        <w:rPr>
          <w:i/>
        </w:rPr>
        <w:tab/>
        <w:t xml:space="preserve">Also acknowledging </w:t>
      </w:r>
      <w:r w:rsidRPr="002657AA">
        <w:t xml:space="preserve">that the Executive Committee agreed </w:t>
      </w:r>
      <w:r w:rsidRPr="002657AA">
        <w:rPr>
          <w:lang w:val="en-US"/>
        </w:rPr>
        <w:t xml:space="preserve">to discuss its role in and contribution to the global stocktake at its future meetings, starting with its first meeting of 2020, </w:t>
      </w:r>
    </w:p>
    <w:p w14:paraId="69F5F364" w14:textId="77777777" w:rsidR="002657AA" w:rsidRPr="002657AA" w:rsidRDefault="002657AA" w:rsidP="002657AA">
      <w:pPr>
        <w:tabs>
          <w:tab w:val="left" w:pos="1701"/>
        </w:tabs>
        <w:spacing w:after="120"/>
        <w:ind w:left="1135" w:right="1134"/>
        <w:jc w:val="both"/>
        <w:rPr>
          <w:lang w:val="en-US"/>
        </w:rPr>
      </w:pPr>
      <w:r w:rsidRPr="002657AA">
        <w:rPr>
          <w:i/>
          <w:lang w:val="en-US"/>
        </w:rPr>
        <w:tab/>
        <w:t>Noting</w:t>
      </w:r>
      <w:r w:rsidRPr="002657AA">
        <w:rPr>
          <w:lang w:val="en-US"/>
        </w:rPr>
        <w:t xml:space="preserve"> that the Executive Committee will evaluate progress in implementing its five-year rolling workplan in 2020 and at regular intervals at its subsequent meetings, </w:t>
      </w:r>
    </w:p>
    <w:p w14:paraId="1B872FD4" w14:textId="77777777" w:rsidR="002657AA" w:rsidRPr="002657AA" w:rsidRDefault="002657AA" w:rsidP="002657AA">
      <w:pPr>
        <w:tabs>
          <w:tab w:val="left" w:pos="1701"/>
        </w:tabs>
        <w:spacing w:after="120"/>
        <w:ind w:left="1135" w:right="1134"/>
        <w:jc w:val="both"/>
      </w:pPr>
      <w:r w:rsidRPr="002657AA">
        <w:rPr>
          <w:i/>
        </w:rPr>
        <w:tab/>
        <w:t>Having considered</w:t>
      </w:r>
      <w:r w:rsidRPr="002657AA">
        <w:t xml:space="preserve"> the effectiveness and efficiency of the Warsaw International Mechanism, as well as barriers and gaps, challenges and opportunities, and lessons learned </w:t>
      </w:r>
      <w:r w:rsidRPr="002657AA">
        <w:lastRenderedPageBreak/>
        <w:t>in relation to the Mechanism, on the basis of the terms of reference for the 2019 review of the Mechanism,</w:t>
      </w:r>
      <w:r w:rsidRPr="00544CEC">
        <w:rPr>
          <w:sz w:val="18"/>
          <w:szCs w:val="18"/>
          <w:vertAlign w:val="superscript"/>
        </w:rPr>
        <w:footnoteReference w:id="5"/>
      </w:r>
      <w:r w:rsidRPr="00544CEC">
        <w:rPr>
          <w:sz w:val="18"/>
          <w:szCs w:val="18"/>
        </w:rPr>
        <w:t xml:space="preserve"> </w:t>
      </w:r>
    </w:p>
    <w:p w14:paraId="2C428C18" w14:textId="01F98C2B" w:rsidR="002657AA" w:rsidRPr="005B4016" w:rsidRDefault="00356A49" w:rsidP="00356A49">
      <w:pPr>
        <w:pStyle w:val="RegSingleTxtG"/>
        <w:ind w:left="1134"/>
        <w:rPr>
          <w:lang w:val="en-US"/>
        </w:rPr>
      </w:pPr>
      <w:r w:rsidRPr="005B4016">
        <w:rPr>
          <w:lang w:val="en-US"/>
        </w:rPr>
        <w:t>1.</w:t>
      </w:r>
      <w:r w:rsidRPr="005B4016">
        <w:rPr>
          <w:lang w:val="en-US"/>
        </w:rPr>
        <w:tab/>
      </w:r>
      <w:r w:rsidR="002657AA" w:rsidRPr="005B4016">
        <w:rPr>
          <w:i/>
          <w:lang w:val="en-US"/>
        </w:rPr>
        <w:t>Welcomes</w:t>
      </w:r>
      <w:r w:rsidR="002657AA" w:rsidRPr="005B4016">
        <w:rPr>
          <w:lang w:val="en-US"/>
        </w:rPr>
        <w:t xml:space="preserve"> the report of the Executive Committee of the Warsaw International Mechanism for Loss and Damage associated with Climate Change Impacts, including the recommendations contained therein;</w:t>
      </w:r>
      <w:r w:rsidR="002657AA" w:rsidRPr="00544CEC">
        <w:rPr>
          <w:sz w:val="18"/>
          <w:szCs w:val="18"/>
          <w:vertAlign w:val="superscript"/>
          <w:lang w:val="en-US"/>
        </w:rPr>
        <w:footnoteReference w:id="6"/>
      </w:r>
    </w:p>
    <w:p w14:paraId="1005316A" w14:textId="5A2614D1" w:rsidR="002657AA" w:rsidRPr="002657AA" w:rsidRDefault="00356A49" w:rsidP="00356A49">
      <w:pPr>
        <w:pStyle w:val="RegSingleTxtG"/>
        <w:ind w:left="1134"/>
        <w:rPr>
          <w:i/>
        </w:rPr>
      </w:pPr>
      <w:r w:rsidRPr="002657AA">
        <w:t>2.</w:t>
      </w:r>
      <w:r w:rsidRPr="002657AA">
        <w:tab/>
      </w:r>
      <w:r w:rsidR="002657AA" w:rsidRPr="002657AA">
        <w:rPr>
          <w:i/>
        </w:rPr>
        <w:t xml:space="preserve">Also welcomes </w:t>
      </w:r>
      <w:r w:rsidR="002657AA" w:rsidRPr="002657AA">
        <w:t xml:space="preserve">the adoption of the </w:t>
      </w:r>
      <w:r w:rsidR="002657AA" w:rsidRPr="002657AA">
        <w:rPr>
          <w:lang w:val="en-US"/>
        </w:rPr>
        <w:t>plans</w:t>
      </w:r>
      <w:r w:rsidR="002657AA" w:rsidRPr="002657AA">
        <w:t xml:space="preserve"> of action of the task force on displacement and the technical expert group on comprehensive risk management by the Executive Committee during its 10</w:t>
      </w:r>
      <w:r w:rsidR="002657AA" w:rsidRPr="002657AA">
        <w:rPr>
          <w:vertAlign w:val="superscript"/>
        </w:rPr>
        <w:t>th</w:t>
      </w:r>
      <w:r w:rsidR="002657AA" w:rsidRPr="002657AA">
        <w:t xml:space="preserve"> meeting; </w:t>
      </w:r>
    </w:p>
    <w:p w14:paraId="324567EE" w14:textId="16BC8AD0" w:rsidR="002657AA" w:rsidRPr="002657AA" w:rsidRDefault="00356A49" w:rsidP="00356A49">
      <w:pPr>
        <w:pStyle w:val="RegSingleTxtG"/>
        <w:ind w:left="1134"/>
        <w:rPr>
          <w:i/>
        </w:rPr>
      </w:pPr>
      <w:r w:rsidRPr="002657AA">
        <w:t>3.</w:t>
      </w:r>
      <w:r w:rsidRPr="002657AA">
        <w:tab/>
      </w:r>
      <w:r w:rsidR="002657AA" w:rsidRPr="002657AA">
        <w:rPr>
          <w:i/>
        </w:rPr>
        <w:t>Appreciates</w:t>
      </w:r>
      <w:r w:rsidR="002657AA" w:rsidRPr="002657AA">
        <w:t xml:space="preserve"> the contribution of all organizations and experts to the work of the Executive Committee, the </w:t>
      </w:r>
      <w:r w:rsidR="00294274">
        <w:t>t</w:t>
      </w:r>
      <w:r w:rsidR="002657AA" w:rsidRPr="002657AA">
        <w:t xml:space="preserve">ask </w:t>
      </w:r>
      <w:r w:rsidR="00294274">
        <w:t>f</w:t>
      </w:r>
      <w:r w:rsidR="002657AA" w:rsidRPr="002657AA">
        <w:t xml:space="preserve">orce on </w:t>
      </w:r>
      <w:r w:rsidR="00294274">
        <w:t>d</w:t>
      </w:r>
      <w:r w:rsidR="002657AA" w:rsidRPr="002657AA">
        <w:t xml:space="preserve">isplacement and the </w:t>
      </w:r>
      <w:r w:rsidR="00294274">
        <w:t>t</w:t>
      </w:r>
      <w:r w:rsidR="002657AA" w:rsidRPr="002657AA">
        <w:t xml:space="preserve">echnical </w:t>
      </w:r>
      <w:r w:rsidR="00294274">
        <w:t>e</w:t>
      </w:r>
      <w:r w:rsidR="002657AA" w:rsidRPr="002657AA">
        <w:t xml:space="preserve">xpert </w:t>
      </w:r>
      <w:r w:rsidR="00294274">
        <w:t>g</w:t>
      </w:r>
      <w:r w:rsidR="002657AA" w:rsidRPr="002657AA">
        <w:t xml:space="preserve">roup on </w:t>
      </w:r>
      <w:r w:rsidR="00294274">
        <w:t>c</w:t>
      </w:r>
      <w:r w:rsidR="002657AA" w:rsidRPr="002657AA">
        <w:t xml:space="preserve">omprehensive </w:t>
      </w:r>
      <w:r w:rsidR="00294274">
        <w:t>r</w:t>
      </w:r>
      <w:r w:rsidR="002657AA" w:rsidRPr="002657AA">
        <w:t xml:space="preserve">isk </w:t>
      </w:r>
      <w:r w:rsidR="00294274">
        <w:t>m</w:t>
      </w:r>
      <w:r w:rsidR="002657AA" w:rsidRPr="002657AA">
        <w:t>anagement;</w:t>
      </w:r>
    </w:p>
    <w:p w14:paraId="2BB0E6AF" w14:textId="72AA9FAC" w:rsidR="002657AA" w:rsidRPr="002657AA" w:rsidRDefault="00356A49" w:rsidP="00356A49">
      <w:pPr>
        <w:pStyle w:val="RegSingleTxtG"/>
        <w:ind w:left="1134"/>
        <w:rPr>
          <w:i/>
        </w:rPr>
      </w:pPr>
      <w:r w:rsidRPr="002657AA">
        <w:t>4.</w:t>
      </w:r>
      <w:r w:rsidRPr="002657AA">
        <w:tab/>
      </w:r>
      <w:r w:rsidR="002657AA" w:rsidRPr="002657AA">
        <w:rPr>
          <w:i/>
        </w:rPr>
        <w:t xml:space="preserve">Acknowledges </w:t>
      </w:r>
      <w:r w:rsidR="002657AA" w:rsidRPr="002657AA">
        <w:rPr>
          <w:lang w:val="en-US"/>
        </w:rPr>
        <w:t>the</w:t>
      </w:r>
      <w:r w:rsidR="002657AA" w:rsidRPr="002657AA">
        <w:t xml:space="preserve"> catalytic role </w:t>
      </w:r>
      <w:r w:rsidR="002657AA" w:rsidRPr="002657AA">
        <w:rPr>
          <w:lang w:val="en-US"/>
        </w:rPr>
        <w:t>of</w:t>
      </w:r>
      <w:r w:rsidR="002657AA" w:rsidRPr="002657AA">
        <w:t xml:space="preserve"> the Warsaw International Mechanism </w:t>
      </w:r>
      <w:r w:rsidR="002657AA" w:rsidRPr="002657AA">
        <w:rPr>
          <w:lang w:val="en-US"/>
        </w:rPr>
        <w:t>in mobilizing and connecting relevant stakeholders;</w:t>
      </w:r>
    </w:p>
    <w:p w14:paraId="3C8E9D84" w14:textId="592EC78F" w:rsidR="002657AA" w:rsidRPr="002657AA" w:rsidRDefault="00356A49" w:rsidP="00356A49">
      <w:pPr>
        <w:pStyle w:val="RegSingleTxtG"/>
        <w:ind w:left="1134"/>
        <w:rPr>
          <w:i/>
        </w:rPr>
      </w:pPr>
      <w:r w:rsidRPr="002657AA">
        <w:t>5.</w:t>
      </w:r>
      <w:r w:rsidRPr="002657AA">
        <w:tab/>
      </w:r>
      <w:r w:rsidR="002657AA" w:rsidRPr="002657AA">
        <w:rPr>
          <w:i/>
        </w:rPr>
        <w:t xml:space="preserve">Also acknowledges </w:t>
      </w:r>
      <w:r w:rsidR="002657AA" w:rsidRPr="002657AA">
        <w:t>the progress, achievements and successful practices</w:t>
      </w:r>
      <w:r w:rsidR="002657AA" w:rsidRPr="002657AA">
        <w:rPr>
          <w:i/>
        </w:rPr>
        <w:t xml:space="preserve"> </w:t>
      </w:r>
      <w:r w:rsidR="002657AA" w:rsidRPr="002657AA">
        <w:t>in implementing the Warsaw International Mechanism since 2013, while noting areas for improvement and shortcomings;</w:t>
      </w:r>
    </w:p>
    <w:p w14:paraId="463DB7E8" w14:textId="7071CF68" w:rsidR="002657AA" w:rsidRPr="002657AA" w:rsidRDefault="00356A49" w:rsidP="00356A49">
      <w:pPr>
        <w:pStyle w:val="RegSingleTxtG"/>
        <w:ind w:left="1134"/>
        <w:rPr>
          <w:i/>
        </w:rPr>
      </w:pPr>
      <w:r w:rsidRPr="002657AA">
        <w:t>6.</w:t>
      </w:r>
      <w:r w:rsidRPr="002657AA">
        <w:tab/>
      </w:r>
      <w:r w:rsidR="002657AA" w:rsidRPr="002657AA">
        <w:rPr>
          <w:i/>
        </w:rPr>
        <w:t>Further acknowledges</w:t>
      </w:r>
      <w:r w:rsidR="002657AA" w:rsidRPr="002657AA">
        <w:t xml:space="preserve"> that further </w:t>
      </w:r>
      <w:r w:rsidR="002657AA" w:rsidRPr="002657AA">
        <w:rPr>
          <w:lang w:val="en-US"/>
        </w:rPr>
        <w:t>work</w:t>
      </w:r>
      <w:r w:rsidR="002657AA" w:rsidRPr="002657AA">
        <w:t xml:space="preserve"> is needed to effectively operationalize the functions of the Warsaw International Mechanism as set out in decision 2/CP.19, paragraph 5;</w:t>
      </w:r>
    </w:p>
    <w:p w14:paraId="48C508C9" w14:textId="69AEC2BE" w:rsidR="002657AA" w:rsidRPr="002657AA" w:rsidRDefault="00356A49" w:rsidP="00356A49">
      <w:pPr>
        <w:pStyle w:val="RegSingleTxtG"/>
        <w:ind w:left="1134"/>
        <w:rPr>
          <w:i/>
        </w:rPr>
      </w:pPr>
      <w:r w:rsidRPr="002657AA">
        <w:t>7.</w:t>
      </w:r>
      <w:r w:rsidRPr="002657AA">
        <w:tab/>
      </w:r>
      <w:r w:rsidR="002657AA" w:rsidRPr="002657AA">
        <w:rPr>
          <w:i/>
        </w:rPr>
        <w:t xml:space="preserve">Agrees </w:t>
      </w:r>
      <w:r w:rsidR="002657AA" w:rsidRPr="002657AA">
        <w:t xml:space="preserve">that further guidance could </w:t>
      </w:r>
      <w:r w:rsidR="002657AA" w:rsidRPr="002657AA">
        <w:rPr>
          <w:lang w:val="en-US"/>
        </w:rPr>
        <w:t>contribute</w:t>
      </w:r>
      <w:r w:rsidR="002657AA" w:rsidRPr="002657AA">
        <w:t xml:space="preserve"> to improving the effectiveness and efficiency of the Warsaw International Mechanism, including its timeliness, relevance, visibility, coherence, complementarity, comprehensiveness, responsiveness and resourcing and the delivery and usefulness of its products and outputs;</w:t>
      </w:r>
    </w:p>
    <w:p w14:paraId="49EEE820" w14:textId="4377E591" w:rsidR="002657AA" w:rsidRPr="002657AA" w:rsidRDefault="00356A49" w:rsidP="00356A49">
      <w:pPr>
        <w:pStyle w:val="RegSingleTxtG"/>
        <w:ind w:left="1134"/>
        <w:rPr>
          <w:i/>
        </w:rPr>
      </w:pPr>
      <w:r w:rsidRPr="002657AA">
        <w:t>8.</w:t>
      </w:r>
      <w:r w:rsidRPr="002657AA">
        <w:tab/>
      </w:r>
      <w:r w:rsidR="002657AA" w:rsidRPr="002657AA">
        <w:rPr>
          <w:i/>
        </w:rPr>
        <w:t xml:space="preserve">Also agrees </w:t>
      </w:r>
      <w:r w:rsidR="002657AA" w:rsidRPr="002657AA">
        <w:t xml:space="preserve">that the best available science, particularly in reports of the Intergovernmental Panel on Climate Change, should </w:t>
      </w:r>
      <w:r w:rsidR="002657AA" w:rsidRPr="002657AA">
        <w:rPr>
          <w:lang w:val="en-US"/>
        </w:rPr>
        <w:t>inform</w:t>
      </w:r>
      <w:r w:rsidR="002657AA" w:rsidRPr="002657AA">
        <w:t xml:space="preserve"> approaches to averting, minimizing and addressing loss and damage associated with climate change impacts;</w:t>
      </w:r>
      <w:r w:rsidR="002657AA" w:rsidRPr="002657AA">
        <w:rPr>
          <w:i/>
        </w:rPr>
        <w:t xml:space="preserve"> </w:t>
      </w:r>
    </w:p>
    <w:p w14:paraId="6D4BFD0C" w14:textId="17D78E39" w:rsidR="002657AA" w:rsidRPr="002657AA" w:rsidRDefault="00356A49" w:rsidP="00356A49">
      <w:pPr>
        <w:pStyle w:val="RegSingleTxtG"/>
        <w:ind w:left="1134"/>
      </w:pPr>
      <w:r w:rsidRPr="002657AA">
        <w:t>9.</w:t>
      </w:r>
      <w:r w:rsidRPr="002657AA">
        <w:tab/>
      </w:r>
      <w:r w:rsidR="002657AA" w:rsidRPr="002657AA">
        <w:rPr>
          <w:i/>
        </w:rPr>
        <w:t xml:space="preserve">Recognizes </w:t>
      </w:r>
      <w:r w:rsidR="002657AA" w:rsidRPr="002657AA">
        <w:rPr>
          <w:lang w:val="en-US"/>
        </w:rPr>
        <w:t>the importance and value of indigenous, traditional and local knowledge</w:t>
      </w:r>
      <w:r w:rsidR="002657AA" w:rsidRPr="002657AA">
        <w:t>;</w:t>
      </w:r>
    </w:p>
    <w:p w14:paraId="1737A501" w14:textId="78816A4A" w:rsidR="002657AA" w:rsidRPr="002657AA" w:rsidRDefault="00356A49" w:rsidP="00356A49">
      <w:pPr>
        <w:pStyle w:val="RegSingleTxtG"/>
        <w:ind w:left="1134"/>
        <w:rPr>
          <w:i/>
        </w:rPr>
      </w:pPr>
      <w:r w:rsidRPr="002657AA">
        <w:t>10.</w:t>
      </w:r>
      <w:r w:rsidRPr="002657AA">
        <w:tab/>
      </w:r>
      <w:r w:rsidR="002657AA" w:rsidRPr="002657AA">
        <w:rPr>
          <w:i/>
        </w:rPr>
        <w:t xml:space="preserve">Also recognizes </w:t>
      </w:r>
      <w:r w:rsidR="002657AA" w:rsidRPr="002657AA">
        <w:rPr>
          <w:lang w:val="en-US"/>
        </w:rPr>
        <w:t>the need to enhance the relevance, usefulness and dissemination of the outputs of the Warsaw International Mechanism to enable Parties and stakeholders to easily use and integrate these outputs into planning and implementing approaches to averting, minimizing and addressing loss and damage</w:t>
      </w:r>
      <w:r w:rsidR="002657AA" w:rsidRPr="002657AA">
        <w:t>;</w:t>
      </w:r>
    </w:p>
    <w:p w14:paraId="4CC1E3B7" w14:textId="31508169" w:rsidR="002657AA" w:rsidRPr="002657AA" w:rsidRDefault="00356A49" w:rsidP="00356A49">
      <w:pPr>
        <w:pStyle w:val="RegSingleTxtG"/>
        <w:ind w:left="1134"/>
        <w:rPr>
          <w:i/>
        </w:rPr>
      </w:pPr>
      <w:r w:rsidRPr="002657AA">
        <w:t>11.</w:t>
      </w:r>
      <w:r w:rsidRPr="002657AA">
        <w:tab/>
      </w:r>
      <w:r w:rsidR="002657AA" w:rsidRPr="002657AA">
        <w:rPr>
          <w:i/>
          <w:lang w:val="en-NZ"/>
        </w:rPr>
        <w:t>Encourages</w:t>
      </w:r>
      <w:r w:rsidR="002657AA" w:rsidRPr="002657AA">
        <w:rPr>
          <w:lang w:val="en-NZ"/>
        </w:rPr>
        <w:t xml:space="preserve"> the Executive Committee to communicate its outputs in formats that are easy to translate, adapt and access in different </w:t>
      </w:r>
      <w:r w:rsidR="002657AA" w:rsidRPr="002657AA">
        <w:rPr>
          <w:lang w:val="en-US"/>
        </w:rPr>
        <w:t>contexts</w:t>
      </w:r>
      <w:r w:rsidR="002657AA" w:rsidRPr="002657AA">
        <w:rPr>
          <w:lang w:val="en-NZ"/>
        </w:rPr>
        <w:t xml:space="preserve"> and by different users;</w:t>
      </w:r>
    </w:p>
    <w:p w14:paraId="4549C0D7" w14:textId="5D94D231" w:rsidR="002657AA" w:rsidRPr="002657AA" w:rsidRDefault="00356A49" w:rsidP="00356A49">
      <w:pPr>
        <w:pStyle w:val="RegSingleTxtG"/>
        <w:ind w:left="1134"/>
        <w:rPr>
          <w:i/>
        </w:rPr>
      </w:pPr>
      <w:r w:rsidRPr="002657AA">
        <w:t>12.</w:t>
      </w:r>
      <w:r w:rsidRPr="002657AA">
        <w:tab/>
      </w:r>
      <w:r w:rsidR="002657AA" w:rsidRPr="002657AA">
        <w:rPr>
          <w:i/>
          <w:lang w:val="en-NZ"/>
        </w:rPr>
        <w:t xml:space="preserve">Requests </w:t>
      </w:r>
      <w:r w:rsidR="002657AA" w:rsidRPr="002657AA">
        <w:rPr>
          <w:lang w:val="en-NZ"/>
        </w:rPr>
        <w:t>the Executive Committee to identify modalities for fostering the sharing of relevant knowledge and experience among practitioners and vulnerable countries in an interactive and practical manner;</w:t>
      </w:r>
    </w:p>
    <w:p w14:paraId="3977DE62" w14:textId="0F196DC5" w:rsidR="002657AA" w:rsidRPr="002657AA" w:rsidRDefault="00356A49" w:rsidP="00356A49">
      <w:pPr>
        <w:pStyle w:val="RegSingleTxtG"/>
        <w:ind w:left="1134"/>
        <w:rPr>
          <w:i/>
        </w:rPr>
      </w:pPr>
      <w:r w:rsidRPr="002657AA">
        <w:t>13.</w:t>
      </w:r>
      <w:r w:rsidRPr="002657AA">
        <w:tab/>
      </w:r>
      <w:r w:rsidR="002657AA" w:rsidRPr="002657AA">
        <w:rPr>
          <w:i/>
          <w:lang w:val="en-NZ"/>
        </w:rPr>
        <w:t xml:space="preserve">Encourages </w:t>
      </w:r>
      <w:r w:rsidR="002657AA" w:rsidRPr="002657AA">
        <w:rPr>
          <w:lang w:val="en-NZ"/>
        </w:rPr>
        <w:t>Parties to establish a loss and damage contact point through their respective national focal point;</w:t>
      </w:r>
      <w:r w:rsidR="002657AA" w:rsidRPr="00544CEC">
        <w:rPr>
          <w:sz w:val="18"/>
          <w:szCs w:val="18"/>
          <w:vertAlign w:val="superscript"/>
          <w:lang w:val="en-NZ"/>
        </w:rPr>
        <w:footnoteReference w:id="7"/>
      </w:r>
    </w:p>
    <w:p w14:paraId="469B2D1E" w14:textId="0539A271" w:rsidR="002657AA" w:rsidRPr="002657AA" w:rsidRDefault="00356A49" w:rsidP="00356A49">
      <w:pPr>
        <w:pStyle w:val="RegSingleTxtG"/>
        <w:ind w:left="1134"/>
      </w:pPr>
      <w:r w:rsidRPr="002657AA">
        <w:t>14.</w:t>
      </w:r>
      <w:r w:rsidRPr="002657AA">
        <w:tab/>
      </w:r>
      <w:r w:rsidR="002657AA" w:rsidRPr="002657AA">
        <w:rPr>
          <w:i/>
        </w:rPr>
        <w:t xml:space="preserve">Invites </w:t>
      </w:r>
      <w:r w:rsidR="002657AA" w:rsidRPr="002657AA">
        <w:t xml:space="preserve">Parties to promote coherence in approaches to averting, minimizing and addressing loss and damage when formulating and </w:t>
      </w:r>
      <w:r w:rsidR="002657AA" w:rsidRPr="002657AA">
        <w:rPr>
          <w:lang w:val="en-US"/>
        </w:rPr>
        <w:t>implementing</w:t>
      </w:r>
      <w:r w:rsidR="002657AA" w:rsidRPr="002657AA">
        <w:t xml:space="preserve"> relevant national plans, strategies and frameworks, and creating enabling environments, including by considering future climate risk, reducing exposure and vulnerability, increasing resilience and coordinated action, and monitoring progress;</w:t>
      </w:r>
    </w:p>
    <w:p w14:paraId="4A1EB7BB" w14:textId="55900E73" w:rsidR="002657AA" w:rsidRPr="002657AA" w:rsidRDefault="00356A49" w:rsidP="00356A49">
      <w:pPr>
        <w:pStyle w:val="RegSingleTxtG"/>
        <w:ind w:left="1134"/>
        <w:rPr>
          <w:i/>
        </w:rPr>
      </w:pPr>
      <w:bookmarkStart w:id="6" w:name="_Hlk26492315"/>
      <w:r w:rsidRPr="002657AA">
        <w:t>15.</w:t>
      </w:r>
      <w:r w:rsidRPr="002657AA">
        <w:tab/>
      </w:r>
      <w:r w:rsidR="002657AA" w:rsidRPr="002657AA">
        <w:rPr>
          <w:i/>
        </w:rPr>
        <w:t xml:space="preserve">Recognizes </w:t>
      </w:r>
      <w:r w:rsidR="002657AA" w:rsidRPr="002657AA">
        <w:t>the</w:t>
      </w:r>
      <w:r w:rsidR="002657AA" w:rsidRPr="002657AA">
        <w:rPr>
          <w:i/>
          <w:iCs/>
        </w:rPr>
        <w:t xml:space="preserve"> </w:t>
      </w:r>
      <w:r w:rsidR="002657AA" w:rsidRPr="002657AA">
        <w:t xml:space="preserve">importance of particularly vulnerable developing countries and segments of the population that are already vulnerable owing to geography, socioeconomic status, livelihood, gender, age, indigenous or minority status, or disability, as well as the ecosystems they depend on, in the implementation of the Warsaw International Mechanism; </w:t>
      </w:r>
    </w:p>
    <w:bookmarkEnd w:id="6"/>
    <w:p w14:paraId="177B66FD" w14:textId="56CEC608" w:rsidR="002657AA" w:rsidRPr="002657AA" w:rsidRDefault="00356A49" w:rsidP="00356A49">
      <w:pPr>
        <w:pStyle w:val="RegSingleTxtG"/>
        <w:ind w:left="1134"/>
      </w:pPr>
      <w:r w:rsidRPr="002657AA">
        <w:lastRenderedPageBreak/>
        <w:t>16.</w:t>
      </w:r>
      <w:r w:rsidRPr="002657AA">
        <w:tab/>
      </w:r>
      <w:r w:rsidR="002657AA" w:rsidRPr="002657AA">
        <w:rPr>
          <w:i/>
        </w:rPr>
        <w:t>Encourages</w:t>
      </w:r>
      <w:r w:rsidR="002657AA" w:rsidRPr="002657AA">
        <w:t xml:space="preserve"> the Executive Committee to take into account when updating its five-year rolling workplan areas of work that may require short-, medium- and long-term consideration and efforts, including in relation to sustainable </w:t>
      </w:r>
      <w:r w:rsidR="002657AA" w:rsidRPr="002657AA">
        <w:rPr>
          <w:lang w:val="en-US"/>
        </w:rPr>
        <w:t>development</w:t>
      </w:r>
      <w:r w:rsidR="002657AA" w:rsidRPr="002657AA">
        <w:t xml:space="preserve"> and transformative change, in the context of the work of each of its thematic expert groups;</w:t>
      </w:r>
    </w:p>
    <w:p w14:paraId="742ABA85" w14:textId="2C807329" w:rsidR="002657AA" w:rsidRPr="002657AA" w:rsidRDefault="00356A49" w:rsidP="00356A49">
      <w:pPr>
        <w:pStyle w:val="RegSingleTxtG"/>
        <w:ind w:left="1134"/>
        <w:rPr>
          <w:i/>
        </w:rPr>
      </w:pPr>
      <w:r w:rsidRPr="002657AA">
        <w:t>17.</w:t>
      </w:r>
      <w:r w:rsidRPr="002657AA">
        <w:tab/>
      </w:r>
      <w:r w:rsidR="002657AA" w:rsidRPr="002657AA">
        <w:rPr>
          <w:i/>
          <w:lang w:val="en-US"/>
        </w:rPr>
        <w:t>Recognizes</w:t>
      </w:r>
      <w:r w:rsidR="002657AA" w:rsidRPr="002657AA">
        <w:rPr>
          <w:lang w:val="en-US"/>
        </w:rPr>
        <w:t xml:space="preserve"> the importance of integrating the consideration of approaches to averting, minimizing and addressing loss and damage associated with the adverse effects of climate change into relevant work under and outside the Convention and the Paris Agreement;</w:t>
      </w:r>
    </w:p>
    <w:p w14:paraId="26426C84" w14:textId="5B92DEF6" w:rsidR="002657AA" w:rsidRPr="002657AA" w:rsidRDefault="00356A49" w:rsidP="00356A49">
      <w:pPr>
        <w:pStyle w:val="RegSingleTxtG"/>
        <w:ind w:left="1134"/>
        <w:rPr>
          <w:i/>
        </w:rPr>
      </w:pPr>
      <w:r w:rsidRPr="002657AA">
        <w:t>18.</w:t>
      </w:r>
      <w:r w:rsidRPr="002657AA">
        <w:tab/>
      </w:r>
      <w:r w:rsidR="002657AA" w:rsidRPr="002657AA">
        <w:rPr>
          <w:i/>
          <w:lang w:val="en-US"/>
        </w:rPr>
        <w:t>Requests</w:t>
      </w:r>
      <w:r w:rsidR="002657AA" w:rsidRPr="002657AA">
        <w:rPr>
          <w:lang w:val="en-US"/>
        </w:rPr>
        <w:t xml:space="preserve"> the secretariat, under the guidance of the Executive Committee, to organize meetings in conjunction with relevant regional forums, engaging relevant constituted bodies, networks and work programmes under the Convention and the Paris Agreement, within their respective mandates and workplans and</w:t>
      </w:r>
      <w:r w:rsidR="002657AA" w:rsidRPr="002657AA" w:rsidDel="006F48C7">
        <w:rPr>
          <w:lang w:val="en-US"/>
        </w:rPr>
        <w:t xml:space="preserve"> </w:t>
      </w:r>
      <w:r w:rsidR="002657AA" w:rsidRPr="002657AA">
        <w:rPr>
          <w:lang w:val="en-US"/>
        </w:rPr>
        <w:t>in partnership with relevant organizations, to identify ways of integrating loss and damage into relevant work and guidelines, as appropriate;</w:t>
      </w:r>
    </w:p>
    <w:p w14:paraId="5D49C284" w14:textId="37CA00F1" w:rsidR="002657AA" w:rsidRPr="002657AA" w:rsidRDefault="00356A49" w:rsidP="00356A49">
      <w:pPr>
        <w:pStyle w:val="RegSingleTxtG"/>
        <w:ind w:left="1134"/>
        <w:rPr>
          <w:i/>
        </w:rPr>
      </w:pPr>
      <w:r w:rsidRPr="002657AA">
        <w:t>19.</w:t>
      </w:r>
      <w:r w:rsidRPr="002657AA">
        <w:tab/>
      </w:r>
      <w:r w:rsidR="002657AA" w:rsidRPr="002657AA">
        <w:rPr>
          <w:i/>
          <w:lang w:val="en-US"/>
        </w:rPr>
        <w:t>Encourages</w:t>
      </w:r>
      <w:r w:rsidR="002657AA" w:rsidRPr="002657AA">
        <w:rPr>
          <w:lang w:val="en-NZ"/>
        </w:rPr>
        <w:t xml:space="preserve"> relevant constituted bodies, </w:t>
      </w:r>
      <w:r w:rsidR="002657AA" w:rsidRPr="002657AA">
        <w:rPr>
          <w:lang w:val="en-US"/>
        </w:rPr>
        <w:t>networks</w:t>
      </w:r>
      <w:r w:rsidR="002657AA" w:rsidRPr="002657AA">
        <w:rPr>
          <w:lang w:val="en-NZ"/>
        </w:rPr>
        <w:t xml:space="preserve"> and work programmes under the Convention and the Paris Agreement, within their respective mandates and workplans and in collaboration with the Executive Committee, to integrate loss and damage, where appropriate, into their work;</w:t>
      </w:r>
    </w:p>
    <w:p w14:paraId="71B8357D" w14:textId="4914A350" w:rsidR="002657AA" w:rsidRPr="002657AA" w:rsidRDefault="00356A49" w:rsidP="00356A49">
      <w:pPr>
        <w:pStyle w:val="RegSingleTxtG"/>
        <w:ind w:left="1134"/>
        <w:rPr>
          <w:i/>
        </w:rPr>
      </w:pPr>
      <w:r w:rsidRPr="002657AA">
        <w:t>20.</w:t>
      </w:r>
      <w:r w:rsidRPr="002657AA">
        <w:tab/>
      </w:r>
      <w:r w:rsidR="002657AA" w:rsidRPr="002657AA">
        <w:rPr>
          <w:i/>
        </w:rPr>
        <w:t xml:space="preserve">Acknowledges </w:t>
      </w:r>
      <w:r w:rsidR="002657AA" w:rsidRPr="002657AA">
        <w:t xml:space="preserve">the importance of the involvement of and collaboration with relevant constituted bodies and expert groups, </w:t>
      </w:r>
      <w:r w:rsidR="002657AA" w:rsidRPr="002657AA">
        <w:rPr>
          <w:lang w:val="en-US"/>
        </w:rPr>
        <w:t>organizations</w:t>
      </w:r>
      <w:r w:rsidR="002657AA" w:rsidRPr="002657AA">
        <w:t xml:space="preserve"> and institutions, under and outside the Convention and the Paris Agreement, to enhance coordination, synergies and linkages;</w:t>
      </w:r>
    </w:p>
    <w:p w14:paraId="42E9000F" w14:textId="4A3E0A0E" w:rsidR="002657AA" w:rsidRPr="002657AA" w:rsidRDefault="00356A49" w:rsidP="00356A49">
      <w:pPr>
        <w:pStyle w:val="RegSingleTxtG"/>
        <w:ind w:left="1134"/>
        <w:rPr>
          <w:i/>
        </w:rPr>
      </w:pPr>
      <w:r w:rsidRPr="002657AA">
        <w:t>21.</w:t>
      </w:r>
      <w:r w:rsidRPr="002657AA">
        <w:tab/>
      </w:r>
      <w:r w:rsidR="002657AA" w:rsidRPr="002657AA">
        <w:rPr>
          <w:i/>
          <w:lang w:val="en-US"/>
        </w:rPr>
        <w:t xml:space="preserve">Requests </w:t>
      </w:r>
      <w:r w:rsidR="002657AA" w:rsidRPr="002657AA">
        <w:rPr>
          <w:lang w:val="en-US"/>
        </w:rPr>
        <w:t>the Executive Committee and its thematic expert groups, in undertaking their work, to draw upon the work of and involve, as appropriate, relevant constituted bodies, networks and work programmes, as appropriate;</w:t>
      </w:r>
    </w:p>
    <w:p w14:paraId="7FB41ED4" w14:textId="2E59E8A0" w:rsidR="002657AA" w:rsidRPr="002657AA" w:rsidRDefault="00356A49" w:rsidP="00356A49">
      <w:pPr>
        <w:pStyle w:val="RegSingleTxtG"/>
        <w:ind w:left="1134"/>
        <w:rPr>
          <w:i/>
        </w:rPr>
      </w:pPr>
      <w:r w:rsidRPr="002657AA">
        <w:t>22.</w:t>
      </w:r>
      <w:r w:rsidRPr="002657AA">
        <w:tab/>
      </w:r>
      <w:r w:rsidR="002657AA" w:rsidRPr="002657AA">
        <w:rPr>
          <w:i/>
          <w:lang w:val="en-US"/>
        </w:rPr>
        <w:t xml:space="preserve">Encourages </w:t>
      </w:r>
      <w:r w:rsidR="002657AA" w:rsidRPr="002657AA">
        <w:rPr>
          <w:lang w:val="en-US"/>
        </w:rPr>
        <w:t>the Executive Committee to draw upon the work, information and expertise of bodies under the Convention and the Paris Agreement, as well as on international processes, such as the 2030 Agenda for Sustainable Development and the Sendai Framework for Disaster Risk Reduction 2015–2030;</w:t>
      </w:r>
    </w:p>
    <w:p w14:paraId="3C0FB3FC" w14:textId="4CDF5202" w:rsidR="002657AA" w:rsidRPr="002657AA" w:rsidRDefault="00356A49" w:rsidP="00356A49">
      <w:pPr>
        <w:pStyle w:val="RegSingleTxtG"/>
        <w:ind w:left="1134"/>
        <w:rPr>
          <w:i/>
        </w:rPr>
      </w:pPr>
      <w:r w:rsidRPr="002657AA">
        <w:t>23.</w:t>
      </w:r>
      <w:r w:rsidRPr="002657AA">
        <w:tab/>
      </w:r>
      <w:r w:rsidR="002657AA" w:rsidRPr="002657AA">
        <w:rPr>
          <w:i/>
        </w:rPr>
        <w:t xml:space="preserve">Invites </w:t>
      </w:r>
      <w:r w:rsidR="002657AA" w:rsidRPr="002657AA">
        <w:t>the Executive Committee, acknowledging</w:t>
      </w:r>
      <w:r w:rsidR="002657AA" w:rsidRPr="002657AA">
        <w:rPr>
          <w:i/>
        </w:rPr>
        <w:t xml:space="preserve"> </w:t>
      </w:r>
      <w:r w:rsidR="002657AA" w:rsidRPr="002657AA">
        <w:t xml:space="preserve">the need to strengthen risk assessment, to engage relevant experts and collect and </w:t>
      </w:r>
      <w:r w:rsidR="002657AA" w:rsidRPr="002657AA">
        <w:rPr>
          <w:lang w:val="en-US"/>
        </w:rPr>
        <w:t>disseminate</w:t>
      </w:r>
      <w:r w:rsidR="002657AA" w:rsidRPr="002657AA">
        <w:t xml:space="preserve"> information on methodologies available for integrating long-term assessment, including those associated with the quantification of risks, into comprehensive climate risk management approaches, including national and subnational assessment and planning processes;</w:t>
      </w:r>
    </w:p>
    <w:p w14:paraId="4178A5E2" w14:textId="5872F2F4" w:rsidR="002657AA" w:rsidRPr="002657AA" w:rsidRDefault="00356A49" w:rsidP="00356A49">
      <w:pPr>
        <w:pStyle w:val="RegSingleTxtG"/>
        <w:ind w:left="1134"/>
      </w:pPr>
      <w:r w:rsidRPr="002657AA">
        <w:t>24.</w:t>
      </w:r>
      <w:r w:rsidRPr="002657AA">
        <w:tab/>
      </w:r>
      <w:r w:rsidR="002657AA" w:rsidRPr="002657AA">
        <w:rPr>
          <w:i/>
        </w:rPr>
        <w:t xml:space="preserve">Stresses </w:t>
      </w:r>
      <w:r w:rsidR="002657AA" w:rsidRPr="002657AA">
        <w:t xml:space="preserve">the importance of enhancing the work on </w:t>
      </w:r>
      <w:r w:rsidR="002657AA" w:rsidRPr="002657AA">
        <w:rPr>
          <w:lang w:val="en-US"/>
        </w:rPr>
        <w:t>slow</w:t>
      </w:r>
      <w:r w:rsidR="002657AA" w:rsidRPr="002657AA">
        <w:t xml:space="preserve"> onset events and non-economic losses associated with climate change impacts;</w:t>
      </w:r>
    </w:p>
    <w:p w14:paraId="4C80B90D" w14:textId="505498B3" w:rsidR="002657AA" w:rsidRPr="002657AA" w:rsidRDefault="00356A49" w:rsidP="00356A49">
      <w:pPr>
        <w:pStyle w:val="RegSingleTxtG"/>
        <w:ind w:left="1134"/>
      </w:pPr>
      <w:r w:rsidRPr="002657AA">
        <w:t>25.</w:t>
      </w:r>
      <w:r w:rsidRPr="002657AA">
        <w:tab/>
      </w:r>
      <w:r w:rsidR="002657AA" w:rsidRPr="002657AA">
        <w:rPr>
          <w:i/>
        </w:rPr>
        <w:t xml:space="preserve">Requests </w:t>
      </w:r>
      <w:r w:rsidR="002657AA" w:rsidRPr="002657AA">
        <w:t xml:space="preserve">the Executive Committee to revise the terms of reference for and launch the expert groups on slow onset events and non-economic </w:t>
      </w:r>
      <w:r w:rsidR="002657AA" w:rsidRPr="002657AA">
        <w:rPr>
          <w:lang w:val="en-US"/>
        </w:rPr>
        <w:t>losses</w:t>
      </w:r>
      <w:r w:rsidR="002657AA" w:rsidRPr="002657AA">
        <w:t>, taking into account the broad range of issues covered by the relevant strategic workstreams, which may need to be addressed using a sequential approach;</w:t>
      </w:r>
    </w:p>
    <w:p w14:paraId="0147FB6C" w14:textId="4C7219CD" w:rsidR="002657AA" w:rsidRPr="002657AA" w:rsidRDefault="00356A49" w:rsidP="00356A49">
      <w:pPr>
        <w:pStyle w:val="RegSingleTxtG"/>
        <w:ind w:left="1134"/>
      </w:pPr>
      <w:r w:rsidRPr="002657AA">
        <w:t>26.</w:t>
      </w:r>
      <w:r w:rsidRPr="002657AA">
        <w:tab/>
      </w:r>
      <w:r w:rsidR="002657AA" w:rsidRPr="002657AA">
        <w:rPr>
          <w:i/>
        </w:rPr>
        <w:t xml:space="preserve">Also requests </w:t>
      </w:r>
      <w:r w:rsidR="002657AA" w:rsidRPr="002657AA">
        <w:t xml:space="preserve">the Executive Committee and its thematic expert groups to develop technical guides within their work on their respective </w:t>
      </w:r>
      <w:r w:rsidR="002657AA" w:rsidRPr="002657AA">
        <w:rPr>
          <w:lang w:val="en-US"/>
        </w:rPr>
        <w:t>thematic</w:t>
      </w:r>
      <w:r w:rsidR="002657AA" w:rsidRPr="002657AA">
        <w:t xml:space="preserve"> areas, avoiding duplication of work across workstreams, which include</w:t>
      </w:r>
      <w:r w:rsidR="002657AA" w:rsidRPr="002657AA" w:rsidDel="00894019">
        <w:t xml:space="preserve"> </w:t>
      </w:r>
      <w:r w:rsidR="002657AA" w:rsidRPr="002657AA">
        <w:t xml:space="preserve">sections on </w:t>
      </w:r>
      <w:r w:rsidR="002657AA" w:rsidRPr="002657AA" w:rsidDel="00894019">
        <w:t>the following</w:t>
      </w:r>
      <w:r w:rsidR="002657AA" w:rsidRPr="002657AA">
        <w:t>:</w:t>
      </w:r>
    </w:p>
    <w:p w14:paraId="41850D97" w14:textId="573CA426" w:rsidR="002657AA" w:rsidRPr="002657AA" w:rsidRDefault="00356A49" w:rsidP="00356A49">
      <w:pPr>
        <w:pStyle w:val="RegSingleTxtG2"/>
        <w:tabs>
          <w:tab w:val="left" w:pos="1702"/>
        </w:tabs>
        <w:ind w:left="1134" w:firstLine="567"/>
      </w:pPr>
      <w:r w:rsidRPr="002657AA">
        <w:rPr>
          <w:szCs w:val="28"/>
        </w:rPr>
        <w:t>(a)</w:t>
      </w:r>
      <w:r w:rsidRPr="002657AA">
        <w:rPr>
          <w:szCs w:val="28"/>
        </w:rPr>
        <w:tab/>
      </w:r>
      <w:r w:rsidR="002657AA" w:rsidRPr="002657AA">
        <w:t>Risk assessments, including long-term risk assessments, of climate change impacts;</w:t>
      </w:r>
    </w:p>
    <w:p w14:paraId="28672BE8" w14:textId="09E5FD8C" w:rsidR="002657AA" w:rsidRPr="002657AA" w:rsidRDefault="00356A49" w:rsidP="00356A49">
      <w:pPr>
        <w:pStyle w:val="RegSingleTxtG2"/>
        <w:tabs>
          <w:tab w:val="left" w:pos="1702"/>
        </w:tabs>
        <w:ind w:left="1134" w:firstLine="567"/>
      </w:pPr>
      <w:r w:rsidRPr="002657AA">
        <w:rPr>
          <w:szCs w:val="28"/>
        </w:rPr>
        <w:t>(b)</w:t>
      </w:r>
      <w:r w:rsidRPr="002657AA">
        <w:rPr>
          <w:szCs w:val="28"/>
        </w:rPr>
        <w:tab/>
      </w:r>
      <w:r w:rsidR="002657AA" w:rsidRPr="002657AA">
        <w:t>Approaches to averting, minimizing and addressing loss and damage associated with the risk assessments referred to in paragraph 26(a) above;</w:t>
      </w:r>
    </w:p>
    <w:p w14:paraId="190C1E41" w14:textId="3CB514A6" w:rsidR="002657AA" w:rsidRPr="002657AA" w:rsidRDefault="00356A49" w:rsidP="00356A49">
      <w:pPr>
        <w:pStyle w:val="RegSingleTxtG2"/>
        <w:tabs>
          <w:tab w:val="left" w:pos="1702"/>
        </w:tabs>
        <w:ind w:left="1134" w:firstLine="567"/>
      </w:pPr>
      <w:r w:rsidRPr="002657AA">
        <w:rPr>
          <w:szCs w:val="28"/>
        </w:rPr>
        <w:t>(c)</w:t>
      </w:r>
      <w:r w:rsidRPr="002657AA">
        <w:rPr>
          <w:szCs w:val="28"/>
        </w:rPr>
        <w:tab/>
      </w:r>
      <w:r w:rsidR="002657AA" w:rsidRPr="002657AA">
        <w:t>Resources available for supporting such approaches;</w:t>
      </w:r>
    </w:p>
    <w:p w14:paraId="00F15538" w14:textId="7A161874" w:rsidR="002657AA" w:rsidRPr="002657AA" w:rsidRDefault="00356A49" w:rsidP="00356A49">
      <w:pPr>
        <w:pStyle w:val="RegSingleTxtG2"/>
        <w:tabs>
          <w:tab w:val="left" w:pos="1702"/>
        </w:tabs>
        <w:ind w:left="1134" w:firstLine="567"/>
      </w:pPr>
      <w:r w:rsidRPr="002657AA">
        <w:rPr>
          <w:szCs w:val="28"/>
        </w:rPr>
        <w:t>(d)</w:t>
      </w:r>
      <w:r w:rsidRPr="002657AA">
        <w:rPr>
          <w:szCs w:val="28"/>
        </w:rPr>
        <w:tab/>
      </w:r>
      <w:r w:rsidR="002657AA" w:rsidRPr="002657AA">
        <w:t>Monitoring systems for assessing the effectiveness of these approaches;</w:t>
      </w:r>
    </w:p>
    <w:p w14:paraId="455F0243" w14:textId="3A2D6204" w:rsidR="002657AA" w:rsidRPr="002657AA" w:rsidRDefault="00356A49" w:rsidP="00356A49">
      <w:pPr>
        <w:pStyle w:val="RegSingleTxtG"/>
        <w:ind w:left="1134"/>
        <w:rPr>
          <w:i/>
        </w:rPr>
      </w:pPr>
      <w:r w:rsidRPr="002657AA">
        <w:t>27.</w:t>
      </w:r>
      <w:r w:rsidRPr="002657AA">
        <w:tab/>
      </w:r>
      <w:r w:rsidR="002657AA" w:rsidRPr="002657AA">
        <w:rPr>
          <w:i/>
        </w:rPr>
        <w:t xml:space="preserve">Invites </w:t>
      </w:r>
      <w:r w:rsidR="002657AA" w:rsidRPr="002657AA">
        <w:t xml:space="preserve">relevant organizations and other stakeholders to collaborate with the Executive Committee, including through strategic partnerships, in developing and disseminating products that support national focal points, loss and damage contact points and other relevant entities in raising awareness of </w:t>
      </w:r>
      <w:r w:rsidR="002657AA" w:rsidRPr="002657AA">
        <w:rPr>
          <w:lang w:val="en-US"/>
        </w:rPr>
        <w:t>averting</w:t>
      </w:r>
      <w:r w:rsidR="002657AA" w:rsidRPr="002657AA">
        <w:t>, minimizing and addressing loss and damage associated with climate change impacts;</w:t>
      </w:r>
    </w:p>
    <w:p w14:paraId="68E691AA" w14:textId="1682FCEA" w:rsidR="002657AA" w:rsidRPr="002657AA" w:rsidRDefault="00356A49" w:rsidP="00356A49">
      <w:pPr>
        <w:pStyle w:val="RegSingleTxtG"/>
        <w:ind w:left="1134"/>
        <w:rPr>
          <w:i/>
        </w:rPr>
      </w:pPr>
      <w:r w:rsidRPr="002657AA">
        <w:lastRenderedPageBreak/>
        <w:t>28.</w:t>
      </w:r>
      <w:r w:rsidRPr="002657AA">
        <w:tab/>
      </w:r>
      <w:r w:rsidR="002657AA" w:rsidRPr="002657AA">
        <w:rPr>
          <w:i/>
        </w:rPr>
        <w:t xml:space="preserve">Encourages </w:t>
      </w:r>
      <w:r w:rsidR="002657AA" w:rsidRPr="002657AA">
        <w:t xml:space="preserve">the Executive Committee, Parties, relevant constituted bodies and organizations under and outside the Convention and the Paris Agreement and other relevant stakeholders to facilitate or enhance research on, and share good </w:t>
      </w:r>
      <w:r w:rsidR="002657AA" w:rsidRPr="002657AA">
        <w:rPr>
          <w:lang w:val="en-US"/>
        </w:rPr>
        <w:t>practices</w:t>
      </w:r>
      <w:r w:rsidR="002657AA" w:rsidRPr="002657AA">
        <w:t xml:space="preserve"> for, averting, minimizing and addressing loss and damage, including long-term risk assessment and risk communication;</w:t>
      </w:r>
    </w:p>
    <w:p w14:paraId="706F1D71" w14:textId="6A59EA6B" w:rsidR="002657AA" w:rsidRPr="002657AA" w:rsidRDefault="00356A49" w:rsidP="00356A49">
      <w:pPr>
        <w:pStyle w:val="RegSingleTxtG"/>
        <w:ind w:left="1134"/>
        <w:rPr>
          <w:i/>
        </w:rPr>
      </w:pPr>
      <w:r w:rsidRPr="002657AA">
        <w:t>29.</w:t>
      </w:r>
      <w:r w:rsidRPr="002657AA">
        <w:tab/>
      </w:r>
      <w:r w:rsidR="002657AA" w:rsidRPr="002657AA">
        <w:rPr>
          <w:i/>
        </w:rPr>
        <w:t xml:space="preserve">Requests </w:t>
      </w:r>
      <w:r w:rsidR="002657AA" w:rsidRPr="002657AA">
        <w:t xml:space="preserve">the Executive Committee, in collaboration </w:t>
      </w:r>
      <w:r w:rsidR="002657AA" w:rsidRPr="002657AA">
        <w:rPr>
          <w:lang w:val="en-US"/>
        </w:rPr>
        <w:t>with</w:t>
      </w:r>
      <w:r w:rsidR="002657AA" w:rsidRPr="002657AA">
        <w:t xml:space="preserve"> relevant organizations, to foster public education and awareness-raising efforts at the regional, national and local level, including efforts with a capacity-building component;</w:t>
      </w:r>
    </w:p>
    <w:p w14:paraId="71C96D76" w14:textId="50EB34EB" w:rsidR="002657AA" w:rsidRPr="002657AA" w:rsidRDefault="00356A49" w:rsidP="00356A49">
      <w:pPr>
        <w:pStyle w:val="RegSingleTxtG"/>
        <w:ind w:left="1134"/>
        <w:rPr>
          <w:i/>
        </w:rPr>
      </w:pPr>
      <w:r w:rsidRPr="002657AA">
        <w:t>30.</w:t>
      </w:r>
      <w:r w:rsidRPr="002657AA">
        <w:tab/>
      </w:r>
      <w:r w:rsidR="002657AA" w:rsidRPr="002657AA">
        <w:rPr>
          <w:i/>
        </w:rPr>
        <w:t xml:space="preserve">Recognizes </w:t>
      </w:r>
      <w:r w:rsidR="002657AA" w:rsidRPr="002657AA">
        <w:t xml:space="preserve">the importance of scaling up the mobilization of resources to support efforts to avert, minimize and address loss and damage </w:t>
      </w:r>
      <w:r w:rsidR="002657AA" w:rsidRPr="002657AA">
        <w:rPr>
          <w:lang w:val="en-US"/>
        </w:rPr>
        <w:t>associated</w:t>
      </w:r>
      <w:r w:rsidR="002657AA" w:rsidRPr="002657AA">
        <w:t xml:space="preserve"> with the adverse effects of climate change;</w:t>
      </w:r>
    </w:p>
    <w:p w14:paraId="577939FB" w14:textId="3C457D78" w:rsidR="002657AA" w:rsidRPr="002657AA" w:rsidRDefault="00356A49" w:rsidP="00356A49">
      <w:pPr>
        <w:pStyle w:val="RegSingleTxtG"/>
        <w:ind w:left="1134"/>
        <w:rPr>
          <w:i/>
        </w:rPr>
      </w:pPr>
      <w:r w:rsidRPr="002657AA">
        <w:t>31.</w:t>
      </w:r>
      <w:r w:rsidRPr="002657AA">
        <w:tab/>
      </w:r>
      <w:r w:rsidR="002657AA" w:rsidRPr="002657AA">
        <w:rPr>
          <w:i/>
        </w:rPr>
        <w:t xml:space="preserve">Also recognizes </w:t>
      </w:r>
      <w:r w:rsidR="002657AA" w:rsidRPr="002657AA">
        <w:t>the urgency of enhancing the mobilization of action and support, including finance, technology and capacity-building, for developing countries that are particularly vulnerable to the adverse effects of climate change for averting, minimizing and addressing loss and damage associated with the adverse effects of climate change;</w:t>
      </w:r>
    </w:p>
    <w:p w14:paraId="60B24499" w14:textId="3B04A548" w:rsidR="002657AA" w:rsidRPr="002657AA" w:rsidRDefault="00356A49" w:rsidP="00356A49">
      <w:pPr>
        <w:pStyle w:val="RegSingleTxtG"/>
        <w:ind w:left="1134"/>
        <w:rPr>
          <w:i/>
        </w:rPr>
      </w:pPr>
      <w:r w:rsidRPr="002657AA">
        <w:t>32.</w:t>
      </w:r>
      <w:r w:rsidRPr="002657AA">
        <w:tab/>
      </w:r>
      <w:r w:rsidR="002657AA" w:rsidRPr="002657AA">
        <w:rPr>
          <w:i/>
        </w:rPr>
        <w:t>Urges</w:t>
      </w:r>
      <w:r w:rsidR="002657AA" w:rsidRPr="002657AA">
        <w:t xml:space="preserve"> the scaling-up of action and support, as appropriate, including finance, technology and capacity-building, for developing countries </w:t>
      </w:r>
      <w:r w:rsidR="002657AA" w:rsidRPr="002657AA">
        <w:rPr>
          <w:lang w:val="en-US"/>
        </w:rPr>
        <w:t>that</w:t>
      </w:r>
      <w:r w:rsidR="002657AA" w:rsidRPr="002657AA">
        <w:t xml:space="preserve"> are particularly vulnerable to the adverse effects of climate change for averting, minimizing and addressing loss and damage associated with the adverse effects of climate change;</w:t>
      </w:r>
    </w:p>
    <w:p w14:paraId="31FE896F" w14:textId="4B8150C6" w:rsidR="002657AA" w:rsidRPr="002657AA" w:rsidRDefault="00356A49" w:rsidP="00356A49">
      <w:pPr>
        <w:pStyle w:val="RegSingleTxtG"/>
        <w:ind w:left="1134"/>
        <w:rPr>
          <w:i/>
        </w:rPr>
      </w:pPr>
      <w:r w:rsidRPr="002657AA">
        <w:t>33.</w:t>
      </w:r>
      <w:r w:rsidRPr="002657AA">
        <w:tab/>
      </w:r>
      <w:r w:rsidR="002657AA" w:rsidRPr="002657AA">
        <w:rPr>
          <w:i/>
        </w:rPr>
        <w:t xml:space="preserve">Also urges </w:t>
      </w:r>
      <w:r w:rsidR="002657AA" w:rsidRPr="002657AA">
        <w:t xml:space="preserve">private and non-governmental organizations, funds and other stakeholders to scale up action and support, as appropriate, including finance, technology and capacity-building, for developing countries that are </w:t>
      </w:r>
      <w:r w:rsidR="002657AA" w:rsidRPr="002657AA">
        <w:rPr>
          <w:lang w:val="en-US"/>
        </w:rPr>
        <w:t>particularly</w:t>
      </w:r>
      <w:r w:rsidR="002657AA" w:rsidRPr="002657AA">
        <w:t xml:space="preserve"> vulnerable to the adverse effects of climate change for averting, minimizing and addressing loss and damage associated with the adverse effects of climate change;</w:t>
      </w:r>
      <w:r w:rsidR="002657AA" w:rsidRPr="002657AA">
        <w:rPr>
          <w:i/>
        </w:rPr>
        <w:t xml:space="preserve"> </w:t>
      </w:r>
    </w:p>
    <w:p w14:paraId="0CEB37BA" w14:textId="56F68CB8" w:rsidR="002657AA" w:rsidRPr="002657AA" w:rsidRDefault="00356A49" w:rsidP="00356A49">
      <w:pPr>
        <w:pStyle w:val="RegSingleTxtG"/>
        <w:ind w:left="1134"/>
      </w:pPr>
      <w:r w:rsidRPr="002657AA">
        <w:t>34.</w:t>
      </w:r>
      <w:r w:rsidRPr="002657AA">
        <w:tab/>
      </w:r>
      <w:r w:rsidR="002657AA" w:rsidRPr="002657AA">
        <w:rPr>
          <w:i/>
        </w:rPr>
        <w:t xml:space="preserve">Acknowledges </w:t>
      </w:r>
      <w:r w:rsidR="002657AA" w:rsidRPr="002657AA">
        <w:t xml:space="preserve">the wide variety of sources, public and private, bilateral and multilateral, including alternative sources of finance, relevant </w:t>
      </w:r>
      <w:r w:rsidR="002657AA" w:rsidRPr="002657AA">
        <w:rPr>
          <w:lang w:val="en-US"/>
        </w:rPr>
        <w:t>to</w:t>
      </w:r>
      <w:r w:rsidR="002657AA" w:rsidRPr="002657AA">
        <w:t xml:space="preserve"> supporting approaches to avert, minimize and address loss and damage associated with the adverse effects of climate change; </w:t>
      </w:r>
    </w:p>
    <w:p w14:paraId="36C58A3A" w14:textId="6C38B7F8" w:rsidR="002657AA" w:rsidRPr="002657AA" w:rsidRDefault="00356A49" w:rsidP="00356A49">
      <w:pPr>
        <w:pStyle w:val="RegSingleTxtG"/>
        <w:ind w:left="1134"/>
      </w:pPr>
      <w:r w:rsidRPr="002657AA">
        <w:t>35.</w:t>
      </w:r>
      <w:r w:rsidRPr="002657AA">
        <w:tab/>
      </w:r>
      <w:r w:rsidR="002657AA" w:rsidRPr="002657AA">
        <w:rPr>
          <w:i/>
        </w:rPr>
        <w:t xml:space="preserve">Urges </w:t>
      </w:r>
      <w:r w:rsidR="002657AA" w:rsidRPr="002657AA">
        <w:t>the broad range of bodies, organizations and funds under and outside the Convention and the Paris Agreement to scale up support, including finance, technology and capacity-building, for developing countries that are particularly vulnerable to the adverse effects of climate change for averting, minimizing and addressing loss and damage associated with the adverse effects of climate change;</w:t>
      </w:r>
    </w:p>
    <w:p w14:paraId="53549AA0" w14:textId="3ABFD41A" w:rsidR="002657AA" w:rsidRPr="002657AA" w:rsidRDefault="00356A49" w:rsidP="00356A49">
      <w:pPr>
        <w:pStyle w:val="RegSingleTxtG"/>
        <w:ind w:left="1134"/>
      </w:pPr>
      <w:r w:rsidRPr="002657AA">
        <w:t>36.</w:t>
      </w:r>
      <w:r w:rsidRPr="002657AA">
        <w:tab/>
      </w:r>
      <w:r w:rsidR="002657AA" w:rsidRPr="002657AA">
        <w:rPr>
          <w:i/>
        </w:rPr>
        <w:t xml:space="preserve">Invites </w:t>
      </w:r>
      <w:r w:rsidR="002657AA" w:rsidRPr="002657AA">
        <w:t xml:space="preserve">Parties to make use of available support relevant for averting, minimizing and addressing impacts related to extreme weather events, slow onset events, non-economic losses and human mobility and for comprehensive risk management from a wide variety of sources, public and private, domestic bilateral </w:t>
      </w:r>
      <w:r w:rsidR="002657AA" w:rsidRPr="002657AA">
        <w:rPr>
          <w:lang w:val="en-US"/>
        </w:rPr>
        <w:t>and</w:t>
      </w:r>
      <w:r w:rsidR="002657AA" w:rsidRPr="002657AA">
        <w:t xml:space="preserve"> multilateral, under and outside the Convention and the Paris Agreement, including through the operating entities of the Financial Mechanism, as appropriate, to </w:t>
      </w:r>
      <w:r w:rsidR="00387A94">
        <w:t>the</w:t>
      </w:r>
      <w:r w:rsidR="002657AA" w:rsidRPr="002657AA">
        <w:t xml:space="preserve"> extent consistent with their mandates;</w:t>
      </w:r>
    </w:p>
    <w:p w14:paraId="6FBCD7DF" w14:textId="4156D1EA" w:rsidR="002657AA" w:rsidRPr="002657AA" w:rsidRDefault="00356A49" w:rsidP="00356A49">
      <w:pPr>
        <w:pStyle w:val="RegSingleTxtG"/>
        <w:ind w:left="1134"/>
        <w:rPr>
          <w:lang w:val="en-US"/>
        </w:rPr>
      </w:pPr>
      <w:r w:rsidRPr="002657AA">
        <w:rPr>
          <w:lang w:val="en-US"/>
        </w:rPr>
        <w:t>37.</w:t>
      </w:r>
      <w:r w:rsidRPr="002657AA">
        <w:rPr>
          <w:lang w:val="en-US"/>
        </w:rPr>
        <w:tab/>
      </w:r>
      <w:r w:rsidR="002657AA" w:rsidRPr="002657AA">
        <w:rPr>
          <w:i/>
          <w:lang w:val="en-US"/>
        </w:rPr>
        <w:t>Requests</w:t>
      </w:r>
      <w:r w:rsidR="002657AA" w:rsidRPr="002657AA">
        <w:rPr>
          <w:lang w:val="en-US"/>
        </w:rPr>
        <w:t xml:space="preserve"> the Executive Committee to further engage and strengthen its dialogue with the Standing Committee on Finance by providing input in line with decision 2/CP.19, paragraph 5(c)(ii), to the Standing Committee on Finance when, in accordance with its mandate, it provides information, recommendations and draft guidance relating to the operating entities of the financial mechanisms under the Convention and the Paris Agreement, as appropriate;</w:t>
      </w:r>
    </w:p>
    <w:p w14:paraId="3AB2677E" w14:textId="4C505843" w:rsidR="002657AA" w:rsidRPr="002657AA" w:rsidRDefault="00356A49" w:rsidP="00356A49">
      <w:pPr>
        <w:pStyle w:val="RegSingleTxtG"/>
        <w:ind w:left="1134"/>
        <w:rPr>
          <w:lang w:val="en-US"/>
        </w:rPr>
      </w:pPr>
      <w:r w:rsidRPr="002657AA">
        <w:rPr>
          <w:lang w:val="en-US"/>
        </w:rPr>
        <w:t>38.</w:t>
      </w:r>
      <w:r w:rsidRPr="002657AA">
        <w:rPr>
          <w:lang w:val="en-US"/>
        </w:rPr>
        <w:tab/>
      </w:r>
      <w:r w:rsidR="002657AA" w:rsidRPr="002657AA">
        <w:rPr>
          <w:i/>
          <w:lang w:val="en-US"/>
        </w:rPr>
        <w:t xml:space="preserve">Takes note </w:t>
      </w:r>
      <w:r w:rsidR="002657AA" w:rsidRPr="002657AA">
        <w:rPr>
          <w:lang w:val="en-US"/>
        </w:rPr>
        <w:t xml:space="preserve">of decision </w:t>
      </w:r>
      <w:r w:rsidR="00C4546D">
        <w:rPr>
          <w:lang w:val="en-US"/>
        </w:rPr>
        <w:t>6</w:t>
      </w:r>
      <w:r w:rsidR="002657AA" w:rsidRPr="002657AA" w:rsidDel="0038043F">
        <w:rPr>
          <w:lang w:val="en-US"/>
        </w:rPr>
        <w:t>/</w:t>
      </w:r>
      <w:r w:rsidR="002657AA" w:rsidRPr="002657AA">
        <w:rPr>
          <w:lang w:val="en-US"/>
        </w:rPr>
        <w:t xml:space="preserve">CMA.2, paragraph 8, whereby the Conference of the Parties serving as the meeting of the Parties to the Paris Agreement invited the Board of the Green Climate Fund to continue providing financial resources for activities relevant to averting, minimizing and addressing loss and damage in developing country Parties, to the extent consistent with the existing investment, results framework and funding windows and structures of the Green Climate Fund, and to facilitate efficient access in this regard, and in </w:t>
      </w:r>
      <w:r w:rsidR="002657AA" w:rsidRPr="002657AA">
        <w:rPr>
          <w:lang w:val="en-US"/>
        </w:rPr>
        <w:lastRenderedPageBreak/>
        <w:t>this context to take into account the strategic workstreams of the five-year rolling workplan of the Executive Committee;</w:t>
      </w:r>
      <w:r w:rsidR="002657AA" w:rsidRPr="0081157D">
        <w:rPr>
          <w:sz w:val="18"/>
          <w:szCs w:val="18"/>
          <w:vertAlign w:val="superscript"/>
          <w:lang w:val="en-US"/>
        </w:rPr>
        <w:footnoteReference w:id="8"/>
      </w:r>
    </w:p>
    <w:p w14:paraId="693932C0" w14:textId="3210DF39" w:rsidR="002657AA" w:rsidRPr="002657AA" w:rsidRDefault="00356A49" w:rsidP="00356A49">
      <w:pPr>
        <w:pStyle w:val="RegSingleTxtG"/>
        <w:ind w:left="1134"/>
        <w:rPr>
          <w:lang w:val="en-US"/>
        </w:rPr>
      </w:pPr>
      <w:r w:rsidRPr="002657AA">
        <w:rPr>
          <w:lang w:val="en-US"/>
        </w:rPr>
        <w:t>39.</w:t>
      </w:r>
      <w:r w:rsidRPr="002657AA">
        <w:rPr>
          <w:lang w:val="en-US"/>
        </w:rPr>
        <w:tab/>
      </w:r>
      <w:r w:rsidR="002657AA" w:rsidRPr="002657AA">
        <w:rPr>
          <w:i/>
          <w:lang w:val="en-US"/>
        </w:rPr>
        <w:t>Requests</w:t>
      </w:r>
      <w:r w:rsidR="002657AA" w:rsidRPr="002657AA">
        <w:rPr>
          <w:lang w:val="en-US"/>
        </w:rPr>
        <w:t xml:space="preserve"> the Executive Committee, in collaboration with the Green Climate Fund, as an operating entity of the Financial Mechanism, to clarify how developing country Parties may access funding from the Green Climate Fund for the development of funding proposals related to the strategic workstreams of the five-year rolling workplan of the Executive Committee, consistently with paragraph 38 above, and to include information thereon in its annual reports; </w:t>
      </w:r>
    </w:p>
    <w:p w14:paraId="525CD1C1" w14:textId="7410581A" w:rsidR="002657AA" w:rsidRPr="002657AA" w:rsidRDefault="00356A49" w:rsidP="00356A49">
      <w:pPr>
        <w:pStyle w:val="RegSingleTxtG"/>
        <w:ind w:left="1134"/>
      </w:pPr>
      <w:r w:rsidRPr="002657AA">
        <w:t>40.</w:t>
      </w:r>
      <w:r w:rsidRPr="002657AA">
        <w:tab/>
      </w:r>
      <w:r w:rsidR="002657AA" w:rsidRPr="002657AA">
        <w:rPr>
          <w:i/>
        </w:rPr>
        <w:t xml:space="preserve">Also requests </w:t>
      </w:r>
      <w:r w:rsidR="002657AA" w:rsidRPr="002657AA">
        <w:t xml:space="preserve">the Executive Committee to establish, by the end of 2020, in accordance with its procedures and mandate, an expert group pursuant to decision 2/CP.19, paragraph 5(c), drawing on the work of and involving, as </w:t>
      </w:r>
      <w:r w:rsidR="002657AA" w:rsidRPr="002657AA">
        <w:rPr>
          <w:lang w:val="en-US"/>
        </w:rPr>
        <w:t>appropriate</w:t>
      </w:r>
      <w:r w:rsidR="002657AA" w:rsidRPr="002657AA">
        <w:t xml:space="preserve">, existing bodies, organizations, networks and experts under and outside the Convention and the Paris Agreement, ensuring a fair, equitable and balanced representation within the group; </w:t>
      </w:r>
    </w:p>
    <w:p w14:paraId="4DE7C96E" w14:textId="1568E470" w:rsidR="002657AA" w:rsidRPr="002657AA" w:rsidRDefault="00356A49" w:rsidP="00356A49">
      <w:pPr>
        <w:pStyle w:val="RegSingleTxtG"/>
        <w:ind w:left="1134"/>
      </w:pPr>
      <w:r w:rsidRPr="002657AA">
        <w:t>41.</w:t>
      </w:r>
      <w:r w:rsidRPr="002657AA">
        <w:tab/>
      </w:r>
      <w:r w:rsidR="002657AA" w:rsidRPr="002657AA">
        <w:rPr>
          <w:i/>
        </w:rPr>
        <w:t>Decides</w:t>
      </w:r>
      <w:r w:rsidR="002657AA" w:rsidRPr="002657AA">
        <w:t xml:space="preserve"> that the expert group referred to in </w:t>
      </w:r>
      <w:r w:rsidR="002657AA" w:rsidRPr="002657AA">
        <w:rPr>
          <w:lang w:val="en-US"/>
        </w:rPr>
        <w:t>paragraph</w:t>
      </w:r>
      <w:r w:rsidR="002657AA" w:rsidRPr="002657AA">
        <w:t xml:space="preserve"> 40 above shall develop a focused plan of action, while avoiding duplication of existing efforts, at its first meeting to take place in 2020, on the following: </w:t>
      </w:r>
    </w:p>
    <w:p w14:paraId="50276584" w14:textId="2F0CB42D" w:rsidR="002657AA" w:rsidRPr="002657AA" w:rsidRDefault="00356A49" w:rsidP="00356A49">
      <w:pPr>
        <w:pStyle w:val="RegSingleTxtG2"/>
        <w:tabs>
          <w:tab w:val="left" w:pos="1702"/>
        </w:tabs>
        <w:ind w:left="1134" w:firstLine="567"/>
      </w:pPr>
      <w:r w:rsidRPr="002657AA">
        <w:rPr>
          <w:szCs w:val="28"/>
        </w:rPr>
        <w:t>(a)</w:t>
      </w:r>
      <w:r w:rsidRPr="002657AA">
        <w:rPr>
          <w:szCs w:val="28"/>
        </w:rPr>
        <w:tab/>
      </w:r>
      <w:r w:rsidR="002657AA" w:rsidRPr="002657AA">
        <w:t>The activities referred to in paragraphs 37 and 39 above;</w:t>
      </w:r>
    </w:p>
    <w:p w14:paraId="126E49A7" w14:textId="38DA7023" w:rsidR="002657AA" w:rsidRPr="002657AA" w:rsidRDefault="00356A49" w:rsidP="00356A49">
      <w:pPr>
        <w:pStyle w:val="RegSingleTxtG2"/>
        <w:tabs>
          <w:tab w:val="left" w:pos="1702"/>
        </w:tabs>
        <w:ind w:left="1134" w:firstLine="567"/>
      </w:pPr>
      <w:r w:rsidRPr="002657AA">
        <w:rPr>
          <w:szCs w:val="28"/>
        </w:rPr>
        <w:t>(b)</w:t>
      </w:r>
      <w:r w:rsidRPr="002657AA">
        <w:rPr>
          <w:szCs w:val="28"/>
        </w:rPr>
        <w:tab/>
      </w:r>
      <w:r w:rsidR="002657AA" w:rsidRPr="002657AA">
        <w:t>The collection, compilation and dissemination of information on the available sources of support under and outside the Convention and the Paris Agreement for activities relevant to averting, minimizing and addressing loss and damage in developing country Parties;</w:t>
      </w:r>
    </w:p>
    <w:p w14:paraId="2C0C5732" w14:textId="59980A92" w:rsidR="002657AA" w:rsidRPr="002657AA" w:rsidRDefault="00356A49" w:rsidP="00356A49">
      <w:pPr>
        <w:pStyle w:val="RegSingleTxtG2"/>
        <w:tabs>
          <w:tab w:val="left" w:pos="1702"/>
        </w:tabs>
        <w:ind w:left="1134" w:firstLine="567"/>
      </w:pPr>
      <w:r w:rsidRPr="002657AA">
        <w:rPr>
          <w:szCs w:val="28"/>
        </w:rPr>
        <w:t>(c)</w:t>
      </w:r>
      <w:r w:rsidRPr="002657AA">
        <w:rPr>
          <w:szCs w:val="28"/>
        </w:rPr>
        <w:tab/>
      </w:r>
      <w:r w:rsidR="002657AA" w:rsidRPr="002657AA">
        <w:t>Collaboration with the thematic expert groups of the Executive Committee to undertake the work referred to in paragraph 26 above;</w:t>
      </w:r>
    </w:p>
    <w:p w14:paraId="7079F699" w14:textId="3F9887A1" w:rsidR="002657AA" w:rsidRPr="002657AA" w:rsidRDefault="00356A49" w:rsidP="00356A49">
      <w:pPr>
        <w:pStyle w:val="RegSingleTxtG2"/>
        <w:tabs>
          <w:tab w:val="left" w:pos="1702"/>
        </w:tabs>
        <w:ind w:left="1134" w:firstLine="567"/>
      </w:pPr>
      <w:r w:rsidRPr="002657AA">
        <w:rPr>
          <w:szCs w:val="28"/>
        </w:rPr>
        <w:t>(d)</w:t>
      </w:r>
      <w:r w:rsidRPr="002657AA">
        <w:rPr>
          <w:szCs w:val="28"/>
        </w:rPr>
        <w:tab/>
      </w:r>
      <w:r w:rsidR="002657AA" w:rsidRPr="002657AA">
        <w:t>Collaboration with relevant bodies and organizations under and outside the Convention and the Paris Agreement pursuant to decision 2/CP.19, paragraph 5(c)(iii);</w:t>
      </w:r>
    </w:p>
    <w:p w14:paraId="11F638D5" w14:textId="61922B6B" w:rsidR="002657AA" w:rsidRPr="002657AA" w:rsidRDefault="00356A49" w:rsidP="00356A49">
      <w:pPr>
        <w:pStyle w:val="RegSingleTxtG2"/>
        <w:tabs>
          <w:tab w:val="left" w:pos="1702"/>
        </w:tabs>
        <w:ind w:left="1134" w:firstLine="567"/>
      </w:pPr>
      <w:r w:rsidRPr="002657AA">
        <w:rPr>
          <w:szCs w:val="28"/>
        </w:rPr>
        <w:t>(e)</w:t>
      </w:r>
      <w:r w:rsidRPr="002657AA">
        <w:rPr>
          <w:szCs w:val="28"/>
        </w:rPr>
        <w:tab/>
      </w:r>
      <w:r w:rsidR="002657AA" w:rsidRPr="002657AA">
        <w:t xml:space="preserve">The organization of events in conjunction with relevant meetings and conferences, including the NAP Expo and regional events, to share information and experience relating to accessing available sources of support for averting, minimizing and addressing loss and damage associated with the adverse effects of climate change, in collaboration with relevant constituted bodies and organizations under and outside the Convention and the Paris Agreement, as appropriate; </w:t>
      </w:r>
    </w:p>
    <w:p w14:paraId="2DEEF090" w14:textId="16E4C625" w:rsidR="002657AA" w:rsidRPr="002657AA" w:rsidRDefault="00356A49" w:rsidP="00356A49">
      <w:pPr>
        <w:pStyle w:val="RegSingleTxtG2"/>
        <w:tabs>
          <w:tab w:val="left" w:pos="1702"/>
        </w:tabs>
        <w:ind w:left="1134" w:firstLine="567"/>
      </w:pPr>
      <w:r w:rsidRPr="002657AA">
        <w:rPr>
          <w:szCs w:val="28"/>
        </w:rPr>
        <w:t>(f)</w:t>
      </w:r>
      <w:r w:rsidRPr="002657AA">
        <w:rPr>
          <w:szCs w:val="28"/>
        </w:rPr>
        <w:tab/>
      </w:r>
      <w:r w:rsidR="002657AA" w:rsidRPr="002657AA">
        <w:t>The analysis and identification of enabling conditions for effective implementation of risk transfer facilities and social protection schemes in the context of comprehensive risk management, as appropriate;</w:t>
      </w:r>
    </w:p>
    <w:p w14:paraId="428F8C18" w14:textId="4CE561C6" w:rsidR="002657AA" w:rsidRPr="002657AA" w:rsidRDefault="00356A49" w:rsidP="00356A49">
      <w:pPr>
        <w:pStyle w:val="RegSingleTxtG"/>
        <w:ind w:left="1134"/>
      </w:pPr>
      <w:r w:rsidRPr="002657AA">
        <w:t>42.</w:t>
      </w:r>
      <w:r w:rsidRPr="002657AA">
        <w:tab/>
      </w:r>
      <w:r w:rsidR="002657AA" w:rsidRPr="002657AA">
        <w:rPr>
          <w:i/>
        </w:rPr>
        <w:t>Recognizes</w:t>
      </w:r>
      <w:r w:rsidR="002657AA" w:rsidRPr="002657AA">
        <w:t xml:space="preserve"> the importance of building the capacity, and enhancing the facilitation, of the provision of technical support to developing countries for approaches to averting, minimizing and addressing loss and damage associated with the adverse effects of climate change;</w:t>
      </w:r>
    </w:p>
    <w:p w14:paraId="17FE4F03" w14:textId="507252F5" w:rsidR="002657AA" w:rsidRPr="002657AA" w:rsidRDefault="00356A49" w:rsidP="00356A49">
      <w:pPr>
        <w:pStyle w:val="RegSingleTxtG"/>
        <w:ind w:left="1134"/>
      </w:pPr>
      <w:r w:rsidRPr="002657AA">
        <w:t>43.</w:t>
      </w:r>
      <w:r w:rsidRPr="002657AA">
        <w:tab/>
      </w:r>
      <w:r w:rsidR="002657AA" w:rsidRPr="002657AA">
        <w:rPr>
          <w:i/>
        </w:rPr>
        <w:t>Establishes</w:t>
      </w:r>
      <w:r w:rsidR="002657AA" w:rsidRPr="002657AA">
        <w:t xml:space="preserve">, as part of the Warsaw International Mechanism, the Santiago network for averting, minimizing and addressing loss and </w:t>
      </w:r>
      <w:r w:rsidR="002657AA" w:rsidRPr="002657AA">
        <w:rPr>
          <w:lang w:val="en-US"/>
        </w:rPr>
        <w:t>damage</w:t>
      </w:r>
      <w:r w:rsidR="002657AA" w:rsidRPr="002657AA">
        <w:t xml:space="preserve"> associated with the adverse effects of climate change to catalyse the technical assistance of relevant organizations, bodies, networks and experts for the implementation of relevant approaches at the local, national and regional level in developing countries that are particularly vulnerable to the adverse effects of climate change;</w:t>
      </w:r>
    </w:p>
    <w:p w14:paraId="1229D4D9" w14:textId="0E8CF3D1" w:rsidR="002657AA" w:rsidRPr="002657AA" w:rsidRDefault="00356A49" w:rsidP="00356A49">
      <w:pPr>
        <w:pStyle w:val="RegSingleTxtG"/>
        <w:ind w:left="1134"/>
      </w:pPr>
      <w:r w:rsidRPr="002657AA">
        <w:t>44.</w:t>
      </w:r>
      <w:r w:rsidRPr="002657AA">
        <w:tab/>
      </w:r>
      <w:r w:rsidR="002657AA" w:rsidRPr="002657AA">
        <w:rPr>
          <w:i/>
        </w:rPr>
        <w:t>Invites</w:t>
      </w:r>
      <w:r w:rsidR="002657AA" w:rsidRPr="002657AA">
        <w:t xml:space="preserve"> the organizations, bodies, networks and experts referred to in paragraph 43 above engaged in providing technical assistance to developing countries to report on their progress to the Executive Committee;</w:t>
      </w:r>
    </w:p>
    <w:p w14:paraId="69D7497E" w14:textId="2C8F3FBD" w:rsidR="002657AA" w:rsidRPr="002657AA" w:rsidRDefault="00356A49" w:rsidP="00356A49">
      <w:pPr>
        <w:pStyle w:val="RegSingleTxtG"/>
        <w:ind w:left="1134"/>
        <w:rPr>
          <w:i/>
        </w:rPr>
      </w:pPr>
      <w:r w:rsidRPr="002657AA">
        <w:t>45.</w:t>
      </w:r>
      <w:r w:rsidRPr="002657AA">
        <w:tab/>
      </w:r>
      <w:r w:rsidR="002657AA" w:rsidRPr="002657AA">
        <w:rPr>
          <w:i/>
        </w:rPr>
        <w:t>Requests</w:t>
      </w:r>
      <w:r w:rsidR="002657AA" w:rsidRPr="002657AA">
        <w:t xml:space="preserve"> the Executive Committee to include relevant information from the organizations, bodies, networks and experts that have </w:t>
      </w:r>
      <w:r w:rsidR="002657AA" w:rsidRPr="002657AA">
        <w:rPr>
          <w:lang w:val="en-US"/>
        </w:rPr>
        <w:t>reported</w:t>
      </w:r>
      <w:r w:rsidR="002657AA" w:rsidRPr="002657AA">
        <w:t xml:space="preserve"> on their progress, as referred to in paragraph 44 above, in its annual reports;</w:t>
      </w:r>
    </w:p>
    <w:p w14:paraId="032B5D9D" w14:textId="171570A6" w:rsidR="002657AA" w:rsidRPr="002657AA" w:rsidRDefault="00356A49" w:rsidP="00356A49">
      <w:pPr>
        <w:pStyle w:val="RegSingleTxtG"/>
        <w:ind w:left="1134"/>
      </w:pPr>
      <w:r w:rsidRPr="002657AA">
        <w:lastRenderedPageBreak/>
        <w:t>46.</w:t>
      </w:r>
      <w:r w:rsidRPr="002657AA">
        <w:tab/>
      </w:r>
      <w:r w:rsidR="002657AA" w:rsidRPr="002657AA">
        <w:rPr>
          <w:i/>
        </w:rPr>
        <w:t xml:space="preserve">Recommends </w:t>
      </w:r>
      <w:r w:rsidR="002657AA" w:rsidRPr="002657AA">
        <w:t>that</w:t>
      </w:r>
      <w:r w:rsidR="002657AA" w:rsidRPr="002657AA">
        <w:rPr>
          <w:i/>
        </w:rPr>
        <w:t xml:space="preserve"> </w:t>
      </w:r>
      <w:r w:rsidR="002657AA" w:rsidRPr="002657AA">
        <w:t xml:space="preserve">the next review of the Warsaw </w:t>
      </w:r>
      <w:r w:rsidR="002657AA" w:rsidRPr="002657AA">
        <w:rPr>
          <w:lang w:val="en-US"/>
        </w:rPr>
        <w:t>International</w:t>
      </w:r>
      <w:r w:rsidR="002657AA" w:rsidRPr="002657AA">
        <w:t xml:space="preserve"> Mechanism be held in 2024 and every five years thereafter as follows:</w:t>
      </w:r>
    </w:p>
    <w:p w14:paraId="31B306A9" w14:textId="0178EC7F" w:rsidR="002657AA" w:rsidRPr="002657AA" w:rsidRDefault="00356A49" w:rsidP="00356A49">
      <w:pPr>
        <w:pStyle w:val="RegSingleTxtG2"/>
        <w:tabs>
          <w:tab w:val="left" w:pos="1702"/>
        </w:tabs>
        <w:ind w:left="1134" w:firstLine="567"/>
      </w:pPr>
      <w:r w:rsidRPr="002657AA">
        <w:rPr>
          <w:szCs w:val="28"/>
        </w:rPr>
        <w:t>(a)</w:t>
      </w:r>
      <w:r w:rsidRPr="002657AA">
        <w:rPr>
          <w:szCs w:val="28"/>
        </w:rPr>
        <w:tab/>
      </w:r>
      <w:r w:rsidR="002657AA" w:rsidRPr="002657AA">
        <w:t>The</w:t>
      </w:r>
      <w:r w:rsidR="002657AA" w:rsidRPr="002657AA">
        <w:rPr>
          <w:i/>
        </w:rPr>
        <w:t xml:space="preserve"> </w:t>
      </w:r>
      <w:r w:rsidR="002657AA" w:rsidRPr="002657AA">
        <w:t>subsidiary bodies will develop terms of reference for each review at their sessions immediately before the sessions at which they will undertake a review;</w:t>
      </w:r>
    </w:p>
    <w:p w14:paraId="3C1344D5" w14:textId="0DEE13C4" w:rsidR="002657AA" w:rsidRPr="002657AA" w:rsidRDefault="00356A49" w:rsidP="00356A49">
      <w:pPr>
        <w:pStyle w:val="RegSingleTxtG2"/>
        <w:tabs>
          <w:tab w:val="left" w:pos="1702"/>
        </w:tabs>
        <w:ind w:left="1134" w:firstLine="567"/>
      </w:pPr>
      <w:r w:rsidRPr="002657AA">
        <w:rPr>
          <w:szCs w:val="28"/>
        </w:rPr>
        <w:t>(b)</w:t>
      </w:r>
      <w:r w:rsidRPr="002657AA">
        <w:rPr>
          <w:szCs w:val="28"/>
        </w:rPr>
        <w:tab/>
      </w:r>
      <w:r w:rsidR="002657AA" w:rsidRPr="002657AA">
        <w:t>The</w:t>
      </w:r>
      <w:r w:rsidR="002657AA" w:rsidRPr="002657AA">
        <w:rPr>
          <w:i/>
        </w:rPr>
        <w:t xml:space="preserve"> </w:t>
      </w:r>
      <w:r w:rsidR="002657AA" w:rsidRPr="002657AA">
        <w:t>subsidiary bodies will undertake future reviews of the Warsaw International Mechanism and forward the outputs of the reviews to the governing body or bodies;</w:t>
      </w:r>
      <w:r w:rsidR="002657AA" w:rsidRPr="002F796E">
        <w:rPr>
          <w:sz w:val="18"/>
          <w:szCs w:val="18"/>
          <w:vertAlign w:val="superscript"/>
        </w:rPr>
        <w:footnoteReference w:id="9"/>
      </w:r>
    </w:p>
    <w:p w14:paraId="4A447C24" w14:textId="75D52B61" w:rsidR="002657AA" w:rsidRPr="002657AA" w:rsidRDefault="00356A49" w:rsidP="00356A49">
      <w:pPr>
        <w:pStyle w:val="RegSingleTxtG"/>
        <w:ind w:left="1134"/>
      </w:pPr>
      <w:r w:rsidRPr="002657AA">
        <w:t>47.</w:t>
      </w:r>
      <w:r w:rsidRPr="002657AA">
        <w:tab/>
      </w:r>
      <w:r w:rsidR="002657AA" w:rsidRPr="002657AA">
        <w:rPr>
          <w:i/>
        </w:rPr>
        <w:t>Notes</w:t>
      </w:r>
      <w:r w:rsidR="002657AA" w:rsidRPr="002657AA">
        <w:t xml:space="preserve"> that considerations related to the governance of the Warsaw International Mechanism will continue at its third session (</w:t>
      </w:r>
      <w:r w:rsidR="002657AA" w:rsidRPr="002657AA">
        <w:rPr>
          <w:lang w:val="en-US"/>
        </w:rPr>
        <w:t>November</w:t>
      </w:r>
      <w:r w:rsidR="002657AA" w:rsidRPr="002657AA">
        <w:t xml:space="preserve"> 2020);</w:t>
      </w:r>
      <w:r w:rsidR="002657AA" w:rsidRPr="002F796E">
        <w:rPr>
          <w:sz w:val="18"/>
          <w:szCs w:val="18"/>
          <w:vertAlign w:val="superscript"/>
        </w:rPr>
        <w:footnoteReference w:id="10"/>
      </w:r>
    </w:p>
    <w:p w14:paraId="405B45F9" w14:textId="78BFEC32" w:rsidR="002657AA" w:rsidRPr="002657AA" w:rsidRDefault="00356A49" w:rsidP="00356A49">
      <w:pPr>
        <w:pStyle w:val="RegSingleTxtG"/>
        <w:ind w:left="1134"/>
      </w:pPr>
      <w:r w:rsidRPr="002657AA">
        <w:t>48.</w:t>
      </w:r>
      <w:r w:rsidRPr="002657AA">
        <w:tab/>
      </w:r>
      <w:r w:rsidR="002657AA" w:rsidRPr="002657AA">
        <w:rPr>
          <w:i/>
        </w:rPr>
        <w:t>Encourages</w:t>
      </w:r>
      <w:r w:rsidR="002657AA" w:rsidRPr="002657AA">
        <w:t xml:space="preserve"> Parties to make available sufficient resources for the successful and timely implementation of the five-year </w:t>
      </w:r>
      <w:r w:rsidR="002657AA" w:rsidRPr="002657AA">
        <w:rPr>
          <w:lang w:val="en-US"/>
        </w:rPr>
        <w:t>rolling</w:t>
      </w:r>
      <w:r w:rsidR="002657AA" w:rsidRPr="002657AA">
        <w:t xml:space="preserve"> workplan of the Executive Committee; </w:t>
      </w:r>
    </w:p>
    <w:p w14:paraId="08983395" w14:textId="73D9773A" w:rsidR="002657AA" w:rsidRPr="002657AA" w:rsidRDefault="00356A49" w:rsidP="00356A49">
      <w:pPr>
        <w:pStyle w:val="RegSingleTxtG"/>
        <w:ind w:left="1134"/>
      </w:pPr>
      <w:r w:rsidRPr="002657AA">
        <w:t>49.</w:t>
      </w:r>
      <w:r w:rsidRPr="002657AA">
        <w:tab/>
      </w:r>
      <w:r w:rsidR="002657AA" w:rsidRPr="002657AA">
        <w:rPr>
          <w:i/>
          <w:iCs/>
        </w:rPr>
        <w:t>Takes note</w:t>
      </w:r>
      <w:r w:rsidR="002657AA" w:rsidRPr="002657AA">
        <w:t xml:space="preserve"> of the estimated budgetary implications of the activities to be undertaken by the secretariat referred to in this </w:t>
      </w:r>
      <w:r w:rsidR="002657AA" w:rsidRPr="002657AA">
        <w:rPr>
          <w:lang w:val="en-US"/>
        </w:rPr>
        <w:t>decision</w:t>
      </w:r>
      <w:r w:rsidR="002657AA" w:rsidRPr="002657AA">
        <w:t xml:space="preserve">; </w:t>
      </w:r>
    </w:p>
    <w:p w14:paraId="51FF919A" w14:textId="36479986" w:rsidR="002657AA" w:rsidRPr="002657AA" w:rsidRDefault="00356A49" w:rsidP="00356A49">
      <w:pPr>
        <w:pStyle w:val="RegSingleTxtG"/>
        <w:ind w:left="1134"/>
      </w:pPr>
      <w:r w:rsidRPr="002657AA">
        <w:t>50.</w:t>
      </w:r>
      <w:r w:rsidRPr="002657AA">
        <w:tab/>
      </w:r>
      <w:r w:rsidR="002657AA" w:rsidRPr="002657AA">
        <w:rPr>
          <w:i/>
        </w:rPr>
        <w:t>Requests</w:t>
      </w:r>
      <w:r w:rsidR="002657AA" w:rsidRPr="002657AA">
        <w:t xml:space="preserve"> that the actions of the </w:t>
      </w:r>
      <w:r w:rsidR="002657AA" w:rsidRPr="002657AA">
        <w:rPr>
          <w:lang w:val="en-US"/>
        </w:rPr>
        <w:t>secretariat</w:t>
      </w:r>
      <w:r w:rsidR="002657AA" w:rsidRPr="002657AA">
        <w:t xml:space="preserve"> called for in this decision be undertaken subject to the availability of financial resources.</w:t>
      </w:r>
    </w:p>
    <w:p w14:paraId="54819CCE" w14:textId="77777777" w:rsidR="005B4016" w:rsidRDefault="005B4016" w:rsidP="001F75FA">
      <w:pPr>
        <w:pStyle w:val="RegSingleTxtG"/>
        <w:ind w:left="1134"/>
        <w:jc w:val="right"/>
        <w:rPr>
          <w:i/>
        </w:rPr>
      </w:pPr>
      <w:r>
        <w:rPr>
          <w:i/>
        </w:rPr>
        <w:t>8</w:t>
      </w:r>
      <w:r w:rsidRPr="002657AA">
        <w:rPr>
          <w:i/>
          <w:vertAlign w:val="superscript"/>
        </w:rPr>
        <w:t>th</w:t>
      </w:r>
      <w:r>
        <w:rPr>
          <w:i/>
        </w:rPr>
        <w:t xml:space="preserve"> plenary meeting</w:t>
      </w:r>
      <w:r>
        <w:rPr>
          <w:i/>
        </w:rPr>
        <w:br/>
        <w:t>15 December 2019</w:t>
      </w:r>
    </w:p>
    <w:p w14:paraId="6DFFE3D2" w14:textId="77777777" w:rsidR="00417F0F" w:rsidRDefault="00417F0F" w:rsidP="002657AA">
      <w:pPr>
        <w:pStyle w:val="RegSingleTxtG"/>
        <w:ind w:left="1134"/>
        <w:jc w:val="left"/>
        <w:sectPr w:rsidR="00417F0F" w:rsidSect="006B523B">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p>
    <w:p w14:paraId="0CD3DC8A" w14:textId="14675E90" w:rsidR="00417F0F" w:rsidRDefault="00417F0F" w:rsidP="00417F0F">
      <w:pPr>
        <w:pStyle w:val="HChG"/>
        <w:spacing w:before="320"/>
      </w:pPr>
      <w:r>
        <w:lastRenderedPageBreak/>
        <w:tab/>
      </w:r>
      <w:r>
        <w:tab/>
      </w:r>
      <w:bookmarkStart w:id="7" w:name="D3"/>
      <w:r>
        <w:t xml:space="preserve">Decision </w:t>
      </w:r>
      <w:r w:rsidR="00A61965">
        <w:t>3</w:t>
      </w:r>
      <w:r>
        <w:t>/CMA.2</w:t>
      </w:r>
      <w:bookmarkEnd w:id="7"/>
    </w:p>
    <w:p w14:paraId="36C04751" w14:textId="77777777" w:rsidR="00417F0F" w:rsidRPr="003B392F" w:rsidRDefault="00417F0F" w:rsidP="00417F0F">
      <w:pPr>
        <w:pStyle w:val="HChG"/>
        <w:spacing w:before="280" w:after="200"/>
        <w:ind w:firstLine="0"/>
      </w:pPr>
      <w:r>
        <w:t xml:space="preserve">Initial </w:t>
      </w:r>
      <w:r w:rsidRPr="002E29CE">
        <w:t xml:space="preserve">institutional arrangements for capacity-building </w:t>
      </w:r>
      <w:r>
        <w:t>under the Paris Agreement</w:t>
      </w:r>
    </w:p>
    <w:p w14:paraId="097CB636" w14:textId="77777777" w:rsidR="00417F0F" w:rsidRPr="0000132D" w:rsidRDefault="00417F0F" w:rsidP="00417F0F">
      <w:pPr>
        <w:spacing w:after="120"/>
        <w:ind w:left="1134" w:right="1229" w:firstLine="720"/>
        <w:jc w:val="both"/>
      </w:pPr>
      <w:r w:rsidRPr="00E079C1">
        <w:rPr>
          <w:i/>
        </w:rPr>
        <w:t>The Conference of the Parties serving as the meeting of the Parties to the Paris Agreement</w:t>
      </w:r>
      <w:r>
        <w:t>,</w:t>
      </w:r>
    </w:p>
    <w:p w14:paraId="1066E98C" w14:textId="77777777" w:rsidR="00417F0F" w:rsidRPr="00E079C1" w:rsidRDefault="00417F0F" w:rsidP="00417F0F">
      <w:pPr>
        <w:spacing w:after="120"/>
        <w:ind w:left="981" w:right="1229" w:firstLine="720"/>
        <w:jc w:val="both"/>
      </w:pPr>
      <w:r w:rsidRPr="00E079C1">
        <w:rPr>
          <w:i/>
          <w:iCs/>
        </w:rPr>
        <w:t xml:space="preserve">Recalling </w:t>
      </w:r>
      <w:r w:rsidRPr="00E079C1">
        <w:t>Article</w:t>
      </w:r>
      <w:r>
        <w:t>s</w:t>
      </w:r>
      <w:r w:rsidRPr="00E079C1">
        <w:t xml:space="preserve"> 11</w:t>
      </w:r>
      <w:r>
        <w:t xml:space="preserve"> and 19 </w:t>
      </w:r>
      <w:r w:rsidRPr="00E079C1">
        <w:t>of the Paris Agreement</w:t>
      </w:r>
      <w:r>
        <w:t>,</w:t>
      </w:r>
    </w:p>
    <w:p w14:paraId="571A4E9D" w14:textId="77777777" w:rsidR="00417F0F" w:rsidRPr="00214C64" w:rsidRDefault="00417F0F" w:rsidP="00417F0F">
      <w:pPr>
        <w:spacing w:after="120"/>
        <w:ind w:left="981" w:right="1229" w:firstLine="720"/>
        <w:jc w:val="both"/>
      </w:pPr>
      <w:r>
        <w:rPr>
          <w:i/>
          <w:iCs/>
        </w:rPr>
        <w:t xml:space="preserve">Also recalling </w:t>
      </w:r>
      <w:r w:rsidRPr="00214C64">
        <w:rPr>
          <w:iCs/>
        </w:rPr>
        <w:t xml:space="preserve">decision 3/CMA.1, paragraphs </w:t>
      </w:r>
      <w:r>
        <w:rPr>
          <w:iCs/>
        </w:rPr>
        <w:t>11–13,</w:t>
      </w:r>
    </w:p>
    <w:p w14:paraId="2746C410" w14:textId="77777777" w:rsidR="00417F0F" w:rsidRDefault="00417F0F" w:rsidP="00417F0F">
      <w:pPr>
        <w:spacing w:after="120"/>
        <w:ind w:left="981" w:right="1229" w:firstLine="720"/>
        <w:jc w:val="both"/>
      </w:pPr>
      <w:r>
        <w:rPr>
          <w:i/>
          <w:iCs/>
        </w:rPr>
        <w:t>Further r</w:t>
      </w:r>
      <w:r w:rsidRPr="00E079C1">
        <w:rPr>
          <w:i/>
          <w:iCs/>
        </w:rPr>
        <w:t>ecalling</w:t>
      </w:r>
      <w:r>
        <w:t xml:space="preserve"> decision 1/CP.21, paragraph 81,</w:t>
      </w:r>
    </w:p>
    <w:p w14:paraId="60DC6A49" w14:textId="6E7FC223" w:rsidR="00417F0F" w:rsidRDefault="00356A49" w:rsidP="00356A49">
      <w:pPr>
        <w:pStyle w:val="RegSingleTxtG"/>
        <w:spacing w:before="120"/>
        <w:ind w:left="1135"/>
      </w:pPr>
      <w:r>
        <w:t>1.</w:t>
      </w:r>
      <w:r>
        <w:tab/>
      </w:r>
      <w:r w:rsidR="00417F0F" w:rsidRPr="004B0B3F">
        <w:rPr>
          <w:i/>
        </w:rPr>
        <w:t xml:space="preserve">Recognizes </w:t>
      </w:r>
      <w:r w:rsidR="00417F0F" w:rsidRPr="004B0B3F">
        <w:t>the importance of capacity-building under the Paris Agreement for enhancing the capacity and ability of developing country Parties, in particular those with the least capacity and those that are particularly vulnerable to the adverse effects of climate change, to take effective climate action;</w:t>
      </w:r>
    </w:p>
    <w:p w14:paraId="02E64F82" w14:textId="1D66094E" w:rsidR="00417F0F" w:rsidRPr="004B0B3F" w:rsidRDefault="00356A49" w:rsidP="00356A49">
      <w:pPr>
        <w:pStyle w:val="RegSingleTxtG"/>
        <w:spacing w:before="120"/>
        <w:ind w:left="1135"/>
      </w:pPr>
      <w:r w:rsidRPr="004B0B3F">
        <w:t>2.</w:t>
      </w:r>
      <w:r w:rsidRPr="004B0B3F">
        <w:tab/>
      </w:r>
      <w:r w:rsidR="00417F0F" w:rsidRPr="004B0B3F">
        <w:rPr>
          <w:i/>
        </w:rPr>
        <w:t xml:space="preserve">Also recognizes </w:t>
      </w:r>
      <w:r w:rsidR="00417F0F" w:rsidRPr="004B0B3F">
        <w:t>that capacity-building efforts and activities take place under a range of constituted bodies under the Convention and the Paris Agreement, in line with their respective mandates</w:t>
      </w:r>
      <w:r w:rsidR="00417F0F">
        <w:t>,</w:t>
      </w:r>
      <w:r w:rsidR="00417F0F" w:rsidRPr="004B0B3F">
        <w:t xml:space="preserve"> as well as by various bodies and actors outside the Convention and the Paris Agreement;</w:t>
      </w:r>
    </w:p>
    <w:p w14:paraId="5884F1A9" w14:textId="791B0A46" w:rsidR="00417F0F" w:rsidRDefault="00356A49" w:rsidP="00356A49">
      <w:pPr>
        <w:pStyle w:val="RegSingleTxtG"/>
        <w:spacing w:before="120"/>
        <w:ind w:left="1135"/>
      </w:pPr>
      <w:r>
        <w:t>3.</w:t>
      </w:r>
      <w:r>
        <w:tab/>
      </w:r>
      <w:r w:rsidR="00417F0F" w:rsidRPr="00093293">
        <w:rPr>
          <w:i/>
        </w:rPr>
        <w:t xml:space="preserve">Decides </w:t>
      </w:r>
      <w:r w:rsidR="00417F0F" w:rsidRPr="00093293">
        <w:t>that the Paris Committee on Capacity-building shall serve the Paris Agreement in accordance with its mandate</w:t>
      </w:r>
      <w:r w:rsidR="00417F0F">
        <w:rPr>
          <w:rStyle w:val="FootnoteReference"/>
        </w:rPr>
        <w:footnoteReference w:id="11"/>
      </w:r>
      <w:r w:rsidR="00417F0F" w:rsidRPr="00093293">
        <w:t xml:space="preserve"> and terms of reference</w:t>
      </w:r>
      <w:r w:rsidR="00417F0F">
        <w:t>;</w:t>
      </w:r>
      <w:r w:rsidR="00417F0F">
        <w:rPr>
          <w:rStyle w:val="FootnoteReference"/>
        </w:rPr>
        <w:footnoteReference w:id="12"/>
      </w:r>
    </w:p>
    <w:p w14:paraId="7F37CC84" w14:textId="2FDE2AC1" w:rsidR="00417F0F" w:rsidRDefault="00356A49" w:rsidP="00356A49">
      <w:pPr>
        <w:pStyle w:val="RegSingleTxtG"/>
        <w:spacing w:before="120"/>
        <w:ind w:left="1135"/>
      </w:pPr>
      <w:r>
        <w:t>4.</w:t>
      </w:r>
      <w:r>
        <w:tab/>
      </w:r>
      <w:r w:rsidR="00417F0F">
        <w:rPr>
          <w:i/>
        </w:rPr>
        <w:t>Also d</w:t>
      </w:r>
      <w:r w:rsidR="00417F0F" w:rsidRPr="00093293">
        <w:rPr>
          <w:i/>
        </w:rPr>
        <w:t xml:space="preserve">ecides </w:t>
      </w:r>
      <w:r w:rsidR="00417F0F" w:rsidRPr="00093293">
        <w:t xml:space="preserve">that the priority areas and activities of the </w:t>
      </w:r>
      <w:r w:rsidR="00417F0F">
        <w:t>Paris Committee on Capacity-building</w:t>
      </w:r>
      <w:r w:rsidR="00417F0F" w:rsidRPr="00093293">
        <w:t xml:space="preserve"> </w:t>
      </w:r>
      <w:r w:rsidR="00417F0F">
        <w:t xml:space="preserve">are those </w:t>
      </w:r>
      <w:r w:rsidR="00417F0F" w:rsidRPr="00093293">
        <w:t xml:space="preserve">contained in decision </w:t>
      </w:r>
      <w:r w:rsidR="00003982">
        <w:t>9</w:t>
      </w:r>
      <w:r w:rsidR="00417F0F" w:rsidRPr="00093293">
        <w:t>/CP.25;</w:t>
      </w:r>
    </w:p>
    <w:p w14:paraId="1AADD8EB" w14:textId="55C634A3" w:rsidR="00417F0F" w:rsidRPr="004B0B3F" w:rsidRDefault="00356A49" w:rsidP="00356A49">
      <w:pPr>
        <w:pStyle w:val="RegSingleTxtG"/>
        <w:spacing w:before="120"/>
        <w:ind w:left="1135"/>
      </w:pPr>
      <w:r w:rsidRPr="004B0B3F">
        <w:t>5.</w:t>
      </w:r>
      <w:r w:rsidRPr="004B0B3F">
        <w:tab/>
      </w:r>
      <w:r w:rsidR="00417F0F" w:rsidRPr="004B0B3F">
        <w:rPr>
          <w:i/>
        </w:rPr>
        <w:t xml:space="preserve">Invites </w:t>
      </w:r>
      <w:r w:rsidR="00417F0F" w:rsidRPr="004B0B3F">
        <w:t>the Paris Committee on Capacity-building to work closely with other constituted bodies under the Convention and the Paris Agreement to address gaps and needs, both current and emerging, in implementing capacity-building in developing countries and to enhance the coherence and coordination of capacity-building in accordance with the relevant mandates and activities of those bodies;</w:t>
      </w:r>
    </w:p>
    <w:p w14:paraId="1A6777AE" w14:textId="1445D342" w:rsidR="00417F0F" w:rsidRDefault="00356A49" w:rsidP="00356A49">
      <w:pPr>
        <w:pStyle w:val="RegSingleTxtG"/>
        <w:spacing w:before="120"/>
        <w:ind w:left="1135"/>
      </w:pPr>
      <w:r>
        <w:t>6.</w:t>
      </w:r>
      <w:r>
        <w:tab/>
      </w:r>
      <w:r w:rsidR="00417F0F" w:rsidRPr="004B0B3F">
        <w:rPr>
          <w:i/>
        </w:rPr>
        <w:t>Requests</w:t>
      </w:r>
      <w:r w:rsidR="00417F0F" w:rsidRPr="004B0B3F">
        <w:t xml:space="preserve"> the secretariat</w:t>
      </w:r>
      <w:r w:rsidR="00417F0F">
        <w:t xml:space="preserve"> to include,</w:t>
      </w:r>
      <w:r w:rsidR="00417F0F" w:rsidRPr="004B0B3F">
        <w:t xml:space="preserve"> in its annual compilation and synthesis report on the capacity-building work of bodies established under the Convention and </w:t>
      </w:r>
      <w:r w:rsidR="00417F0F">
        <w:t>its</w:t>
      </w:r>
      <w:r w:rsidR="00417F0F" w:rsidRPr="004B0B3F">
        <w:t xml:space="preserve"> Kyoto Protocol, information on </w:t>
      </w:r>
      <w:r w:rsidR="00417F0F">
        <w:t xml:space="preserve">work on issues pertaining to </w:t>
      </w:r>
      <w:r w:rsidR="00417F0F" w:rsidRPr="004B0B3F">
        <w:t>capacity-building under the Paris Agreement undertaken by bodies serving the Paris Agreement;</w:t>
      </w:r>
    </w:p>
    <w:p w14:paraId="0E670C8E" w14:textId="41667FE9" w:rsidR="00417F0F" w:rsidRPr="0075416F" w:rsidRDefault="00356A49" w:rsidP="00356A49">
      <w:pPr>
        <w:pStyle w:val="RegSingleTxtG"/>
        <w:spacing w:before="120"/>
        <w:ind w:left="1135"/>
      </w:pPr>
      <w:r w:rsidRPr="0075416F">
        <w:t>7.</w:t>
      </w:r>
      <w:r w:rsidRPr="0075416F">
        <w:tab/>
      </w:r>
      <w:r w:rsidR="00417F0F" w:rsidRPr="004B0B3F">
        <w:rPr>
          <w:i/>
        </w:rPr>
        <w:t xml:space="preserve">Decides </w:t>
      </w:r>
      <w:r w:rsidR="00417F0F" w:rsidRPr="004B0B3F">
        <w:t xml:space="preserve">that inputs </w:t>
      </w:r>
      <w:r w:rsidR="00417F0F">
        <w:t>to</w:t>
      </w:r>
      <w:r w:rsidR="00417F0F" w:rsidRPr="004B0B3F">
        <w:t xml:space="preserve"> the </w:t>
      </w:r>
      <w:r w:rsidR="00417F0F">
        <w:t>work of the Paris Committee on Capacity-building</w:t>
      </w:r>
      <w:r w:rsidR="00417F0F" w:rsidRPr="004B0B3F">
        <w:t xml:space="preserve"> on issues pertaining to capacity-building under the Paris Agreement may include</w:t>
      </w:r>
      <w:r w:rsidR="00417F0F">
        <w:t>,</w:t>
      </w:r>
      <w:r w:rsidR="00417F0F" w:rsidRPr="004B0B3F">
        <w:t xml:space="preserve"> inter alia, submissions, information reported through the enhanced transparency framework, and, as appropriate, the compilation and synthesis report referred to in paragraph </w:t>
      </w:r>
      <w:r w:rsidR="00417F0F" w:rsidRPr="005C2E48">
        <w:t>6</w:t>
      </w:r>
      <w:r w:rsidR="00417F0F" w:rsidRPr="004B0B3F">
        <w:t xml:space="preserve"> above, reports on the Durban Forum and the capacity-building portal</w:t>
      </w:r>
      <w:r w:rsidR="00417F0F">
        <w:t>;</w:t>
      </w:r>
    </w:p>
    <w:p w14:paraId="22595BDC" w14:textId="469AF2EE" w:rsidR="00417F0F" w:rsidRPr="00365E16" w:rsidRDefault="00356A49" w:rsidP="00356A49">
      <w:pPr>
        <w:pStyle w:val="RegSingleTxtG"/>
        <w:spacing w:before="120"/>
        <w:ind w:left="1134"/>
      </w:pPr>
      <w:r w:rsidRPr="00365E16">
        <w:t>8.</w:t>
      </w:r>
      <w:r w:rsidRPr="00365E16">
        <w:tab/>
      </w:r>
      <w:r w:rsidR="00417F0F" w:rsidRPr="00365E16">
        <w:rPr>
          <w:i/>
        </w:rPr>
        <w:t xml:space="preserve">Confirms </w:t>
      </w:r>
      <w:r w:rsidR="00417F0F" w:rsidRPr="004B0B3F">
        <w:t xml:space="preserve">that the </w:t>
      </w:r>
      <w:r w:rsidR="00417F0F">
        <w:t>Paris Committee on Capacity-building</w:t>
      </w:r>
      <w:r w:rsidR="00417F0F" w:rsidRPr="004B0B3F">
        <w:t xml:space="preserve"> shall report to both the C</w:t>
      </w:r>
      <w:r w:rsidR="00417F0F">
        <w:t xml:space="preserve">onference of the Parties </w:t>
      </w:r>
      <w:r w:rsidR="00417F0F" w:rsidRPr="004B0B3F">
        <w:t>and the C</w:t>
      </w:r>
      <w:r w:rsidR="00417F0F">
        <w:t>onference of the Parties serving as the meeting of the Parties to the Paris Agreement</w:t>
      </w:r>
      <w:r w:rsidR="00417F0F" w:rsidRPr="004B0B3F">
        <w:t xml:space="preserve"> through its annual technical progress report</w:t>
      </w:r>
      <w:r w:rsidR="00417F0F" w:rsidRPr="00365E16">
        <w:rPr>
          <w:i/>
        </w:rPr>
        <w:t>.</w:t>
      </w:r>
    </w:p>
    <w:p w14:paraId="0949B78B" w14:textId="77777777" w:rsidR="00417F0F" w:rsidRDefault="00417F0F" w:rsidP="001F75FA">
      <w:pPr>
        <w:pStyle w:val="RegSingleTxtG"/>
        <w:ind w:left="1134"/>
        <w:jc w:val="right"/>
        <w:rPr>
          <w:i/>
        </w:rPr>
      </w:pPr>
      <w:r w:rsidRPr="00B755C5">
        <w:rPr>
          <w:i/>
        </w:rPr>
        <w:t>7</w:t>
      </w:r>
      <w:r w:rsidRPr="00B755C5">
        <w:rPr>
          <w:i/>
          <w:vertAlign w:val="superscript"/>
        </w:rPr>
        <w:t>t</w:t>
      </w:r>
      <w:r w:rsidRPr="00365E16">
        <w:rPr>
          <w:i/>
          <w:vertAlign w:val="superscript"/>
        </w:rPr>
        <w:t>h</w:t>
      </w:r>
      <w:r w:rsidRPr="00365E16">
        <w:rPr>
          <w:i/>
        </w:rPr>
        <w:t xml:space="preserve"> </w:t>
      </w:r>
      <w:r w:rsidRPr="00365E16">
        <w:rPr>
          <w:i/>
          <w:lang w:eastAsia="en-US"/>
        </w:rPr>
        <w:t>plenary</w:t>
      </w:r>
      <w:r w:rsidRPr="00365E16">
        <w:rPr>
          <w:i/>
        </w:rPr>
        <w:t xml:space="preserve"> meeting</w:t>
      </w:r>
      <w:r w:rsidRPr="00365E16">
        <w:rPr>
          <w:i/>
        </w:rPr>
        <w:br/>
        <w:t>12 December 2019</w:t>
      </w:r>
    </w:p>
    <w:p w14:paraId="5925CA35" w14:textId="4068A333" w:rsidR="00417F0F" w:rsidRDefault="00417F0F" w:rsidP="00417F0F">
      <w:pPr>
        <w:pStyle w:val="RegSingleTxtG"/>
        <w:spacing w:before="80"/>
        <w:ind w:left="1134"/>
        <w:jc w:val="right"/>
        <w:rPr>
          <w:i/>
        </w:rPr>
        <w:sectPr w:rsidR="00417F0F" w:rsidSect="006B523B">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58BD3A31" w14:textId="46AE43A5" w:rsidR="00B44B73" w:rsidRDefault="005B4016" w:rsidP="00B44B73">
      <w:pPr>
        <w:pStyle w:val="HChG"/>
      </w:pPr>
      <w:r>
        <w:lastRenderedPageBreak/>
        <w:tab/>
      </w:r>
      <w:r>
        <w:tab/>
      </w:r>
      <w:bookmarkStart w:id="8" w:name="D4"/>
      <w:r w:rsidR="00B44B73">
        <w:t>Decision 4/C</w:t>
      </w:r>
      <w:r w:rsidR="00FF6F6A">
        <w:t>MA</w:t>
      </w:r>
      <w:r w:rsidR="00B44B73">
        <w:t>.2</w:t>
      </w:r>
      <w:bookmarkEnd w:id="8"/>
    </w:p>
    <w:p w14:paraId="6E6E4091" w14:textId="77777777" w:rsidR="00B44B73" w:rsidRDefault="00B44B73" w:rsidP="00B44B73">
      <w:pPr>
        <w:pStyle w:val="HChG"/>
      </w:pPr>
      <w:r>
        <w:tab/>
      </w:r>
      <w:r>
        <w:tab/>
      </w:r>
      <w:bookmarkStart w:id="9" w:name="_Hlk27656741"/>
      <w:r w:rsidRPr="00E26C9B">
        <w:t xml:space="preserve">Workplan of the forum on the impact of the implementation of response measures and its Katowice Committee of Experts on the Impacts of the Implementation of Response Measures </w:t>
      </w:r>
      <w:bookmarkEnd w:id="9"/>
    </w:p>
    <w:p w14:paraId="16AFED05" w14:textId="75820EDB" w:rsidR="00B44B73" w:rsidRPr="00E26C9B" w:rsidRDefault="00B44B73" w:rsidP="00B44B73">
      <w:pPr>
        <w:pStyle w:val="RegSingleTxtG"/>
        <w:ind w:left="1134"/>
      </w:pPr>
      <w:r>
        <w:tab/>
      </w:r>
      <w:r w:rsidRPr="00E26C9B">
        <w:rPr>
          <w:b/>
        </w:rPr>
        <w:tab/>
      </w:r>
      <w:r w:rsidRPr="00E26C9B">
        <w:rPr>
          <w:i/>
        </w:rPr>
        <w:t>The Conference of the Parties</w:t>
      </w:r>
      <w:r>
        <w:rPr>
          <w:i/>
        </w:rPr>
        <w:t xml:space="preserve">, </w:t>
      </w:r>
      <w:r w:rsidRPr="00E26C9B">
        <w:rPr>
          <w:i/>
        </w:rPr>
        <w:t>the Conference of the Parties serving as the meeting of the Parties to the Kyoto Protocol</w:t>
      </w:r>
      <w:r>
        <w:rPr>
          <w:i/>
        </w:rPr>
        <w:t>, and</w:t>
      </w:r>
      <w:r w:rsidRPr="00E26C9B">
        <w:rPr>
          <w:i/>
        </w:rPr>
        <w:t xml:space="preserve"> the Conference of the Parties serving as the meeting of the Parties to the Paris Agreement</w:t>
      </w:r>
      <w:r w:rsidRPr="00E26C9B">
        <w:t xml:space="preserve">, </w:t>
      </w:r>
    </w:p>
    <w:p w14:paraId="7624937B" w14:textId="7D6E01DE" w:rsidR="00B44B73" w:rsidRPr="00915395" w:rsidRDefault="00B44B73" w:rsidP="00B44B73">
      <w:pPr>
        <w:pStyle w:val="RegSingleTxtG"/>
        <w:ind w:left="1134"/>
      </w:pPr>
      <w:r w:rsidRPr="00FE3211">
        <w:rPr>
          <w:i/>
          <w:sz w:val="22"/>
          <w:szCs w:val="24"/>
        </w:rPr>
        <w:tab/>
      </w:r>
      <w:r w:rsidRPr="003F7FC0">
        <w:rPr>
          <w:i/>
        </w:rPr>
        <w:t>Recalling</w:t>
      </w:r>
      <w:r w:rsidRPr="00FE3211">
        <w:rPr>
          <w:i/>
          <w:sz w:val="22"/>
          <w:szCs w:val="24"/>
        </w:rPr>
        <w:t xml:space="preserve"> </w:t>
      </w:r>
      <w:r w:rsidRPr="00915395">
        <w:t>decisions 7/</w:t>
      </w:r>
      <w:r w:rsidR="00F140F2" w:rsidRPr="00915395">
        <w:t>CP.24</w:t>
      </w:r>
      <w:r w:rsidRPr="00915395">
        <w:t xml:space="preserve">, 3/CMP.14 and 7/CMA.1, </w:t>
      </w:r>
    </w:p>
    <w:p w14:paraId="743ADE80" w14:textId="1D399F24" w:rsidR="00B44B73" w:rsidRPr="00915395" w:rsidRDefault="00356A49" w:rsidP="00356A49">
      <w:pPr>
        <w:pStyle w:val="RegSingleTxtG"/>
        <w:ind w:left="1134"/>
      </w:pPr>
      <w:r w:rsidRPr="00915395">
        <w:t>1.</w:t>
      </w:r>
      <w:r w:rsidRPr="00915395">
        <w:tab/>
      </w:r>
      <w:r w:rsidR="00B44B73" w:rsidRPr="004B0811">
        <w:rPr>
          <w:i/>
        </w:rPr>
        <w:t>Welcome</w:t>
      </w:r>
      <w:r w:rsidR="00B44B73" w:rsidRPr="00915395">
        <w:t xml:space="preserve"> the annual report of the Katowice Committee of Experts on the Impacts of the Implementation of Response Measures</w:t>
      </w:r>
      <w:r w:rsidR="00B44B73" w:rsidRPr="003F7FC0">
        <w:rPr>
          <w:rStyle w:val="FootnoteReference"/>
          <w:szCs w:val="18"/>
        </w:rPr>
        <w:footnoteReference w:id="13"/>
      </w:r>
      <w:r w:rsidR="00B44B73" w:rsidRPr="00915395">
        <w:t xml:space="preserve"> and its progress in supporting the work of the forum on the impact of the implementation of response measures;</w:t>
      </w:r>
    </w:p>
    <w:p w14:paraId="1176C86B" w14:textId="77C6B5CE" w:rsidR="00B44B73" w:rsidRPr="00915395" w:rsidRDefault="00356A49" w:rsidP="00356A49">
      <w:pPr>
        <w:pStyle w:val="RegSingleTxtG"/>
        <w:ind w:left="1134"/>
      </w:pPr>
      <w:r w:rsidRPr="00915395">
        <w:t>2.</w:t>
      </w:r>
      <w:r w:rsidRPr="00915395">
        <w:tab/>
      </w:r>
      <w:r w:rsidR="00B44B73" w:rsidRPr="00915395">
        <w:rPr>
          <w:i/>
        </w:rPr>
        <w:t>Adopt</w:t>
      </w:r>
      <w:r w:rsidR="00B44B73" w:rsidRPr="00915395">
        <w:t xml:space="preserve"> the rules of procedure of the </w:t>
      </w:r>
      <w:r w:rsidR="00B44B73">
        <w:t>Katowice Committee on Impacts</w:t>
      </w:r>
      <w:r w:rsidR="00B44B73" w:rsidRPr="00915395">
        <w:t xml:space="preserve"> as contained in annex I;</w:t>
      </w:r>
    </w:p>
    <w:p w14:paraId="14F3645A" w14:textId="40A0E6E5" w:rsidR="00B44B73" w:rsidRPr="00915395" w:rsidRDefault="00356A49" w:rsidP="00356A49">
      <w:pPr>
        <w:pStyle w:val="RegSingleTxtG"/>
        <w:ind w:left="1134"/>
      </w:pPr>
      <w:r w:rsidRPr="00915395">
        <w:t>3.</w:t>
      </w:r>
      <w:r w:rsidRPr="00915395">
        <w:tab/>
      </w:r>
      <w:r w:rsidR="00B44B73" w:rsidRPr="00915395">
        <w:rPr>
          <w:i/>
        </w:rPr>
        <w:t xml:space="preserve">Adopt </w:t>
      </w:r>
      <w:r w:rsidR="00B44B73" w:rsidRPr="00915395">
        <w:t xml:space="preserve">the workplan of the forum on the impact of the implementation of response measures and its </w:t>
      </w:r>
      <w:r w:rsidR="00B44B73">
        <w:t>Katowice Committee on Impacts</w:t>
      </w:r>
      <w:r w:rsidR="00B44B73" w:rsidRPr="00915395">
        <w:t xml:space="preserve"> as contained in annex II;</w:t>
      </w:r>
    </w:p>
    <w:p w14:paraId="585D7C01" w14:textId="5A13B202" w:rsidR="00B44B73" w:rsidRPr="00915395" w:rsidRDefault="00356A49" w:rsidP="00356A49">
      <w:pPr>
        <w:pStyle w:val="RegSingleTxtG"/>
        <w:ind w:left="1134"/>
      </w:pPr>
      <w:r w:rsidRPr="00915395">
        <w:t>4.</w:t>
      </w:r>
      <w:r w:rsidRPr="00915395">
        <w:tab/>
      </w:r>
      <w:r w:rsidR="00B44B73" w:rsidRPr="00915395">
        <w:rPr>
          <w:i/>
        </w:rPr>
        <w:t xml:space="preserve">Decide </w:t>
      </w:r>
      <w:r w:rsidR="00B44B73" w:rsidRPr="00915395">
        <w:t xml:space="preserve">that the forum on the impact of the implementation of response measures, in the context of the implementation of the workplan, may consider, as needed, additional modalities for the workplan activities, consistent with the modalities identified in </w:t>
      </w:r>
      <w:r w:rsidR="00B44B73">
        <w:t xml:space="preserve">decision </w:t>
      </w:r>
      <w:r w:rsidR="00B44B73" w:rsidRPr="00915395">
        <w:t xml:space="preserve">7/CMA.1, and recommend such additional modalities for the workplan for consideration and adoption by the </w:t>
      </w:r>
      <w:r w:rsidR="00C90202">
        <w:t>s</w:t>
      </w:r>
      <w:r w:rsidR="00B44B73">
        <w:t xml:space="preserve">ubsidiary </w:t>
      </w:r>
      <w:r w:rsidR="00C90202">
        <w:t>b</w:t>
      </w:r>
      <w:r w:rsidR="00B44B73">
        <w:t>odies</w:t>
      </w:r>
      <w:r w:rsidR="00B44B73" w:rsidRPr="00915395">
        <w:t>;</w:t>
      </w:r>
    </w:p>
    <w:p w14:paraId="156B0BC1" w14:textId="10A30C18" w:rsidR="00B44B73" w:rsidRPr="00915395" w:rsidRDefault="00356A49" w:rsidP="00356A49">
      <w:pPr>
        <w:pStyle w:val="RegSingleTxtG"/>
        <w:ind w:left="1134"/>
      </w:pPr>
      <w:r w:rsidRPr="00915395">
        <w:t>5.</w:t>
      </w:r>
      <w:r w:rsidRPr="00915395">
        <w:tab/>
      </w:r>
      <w:r w:rsidR="00B44B73" w:rsidRPr="00915395">
        <w:rPr>
          <w:i/>
        </w:rPr>
        <w:t>Recall</w:t>
      </w:r>
      <w:r w:rsidR="00B44B73" w:rsidRPr="00915395">
        <w:t xml:space="preserve"> paragraph 12 of decision 7/CMA.1, which provides that the forum on the impact of the implementation of response measures shall provide recommendations for consideration by the subsidiary bodies with a view to the subsidiary bodies recommending actions to the Conference of the Parties, </w:t>
      </w:r>
      <w:r w:rsidR="00B44B73" w:rsidRPr="00915395" w:rsidDel="00830027">
        <w:t xml:space="preserve">the Conference of the Parties serving as the meeting of the Parties to the Kyoto Protocol and </w:t>
      </w:r>
      <w:r w:rsidR="00B44B73" w:rsidRPr="00915395">
        <w:t>the Conference of the Parties serving as the meeting of the Parties to the Paris Agreement</w:t>
      </w:r>
      <w:r w:rsidR="00B44B73">
        <w:t xml:space="preserve"> </w:t>
      </w:r>
      <w:r w:rsidR="00B44B73" w:rsidRPr="00915395">
        <w:t>for consideration and adoption;</w:t>
      </w:r>
    </w:p>
    <w:p w14:paraId="46AEB957" w14:textId="13B1374C" w:rsidR="00B44B73" w:rsidRPr="00915395" w:rsidRDefault="00356A49" w:rsidP="00356A49">
      <w:pPr>
        <w:pStyle w:val="RegSingleTxtG"/>
        <w:ind w:left="1134"/>
      </w:pPr>
      <w:r w:rsidRPr="00915395">
        <w:t>6.</w:t>
      </w:r>
      <w:r w:rsidRPr="00915395">
        <w:tab/>
      </w:r>
      <w:r w:rsidR="00B44B73" w:rsidRPr="00915395">
        <w:rPr>
          <w:i/>
        </w:rPr>
        <w:t xml:space="preserve">Request </w:t>
      </w:r>
      <w:r w:rsidR="00B44B73" w:rsidRPr="00915395">
        <w:t xml:space="preserve">the forum on the impact of the implementation of response measures to continue considering the </w:t>
      </w:r>
      <w:r w:rsidR="00B44B73">
        <w:t>f</w:t>
      </w:r>
      <w:r w:rsidR="00B44B73" w:rsidRPr="00915395">
        <w:t>irst annual report</w:t>
      </w:r>
      <w:r w:rsidR="00B44B73">
        <w:t xml:space="preserve"> of the Katowice Committee on Impacts,</w:t>
      </w:r>
      <w:r w:rsidR="00B44B73" w:rsidRPr="00915395">
        <w:t xml:space="preserve"> including the recommendations and considerations contained therein</w:t>
      </w:r>
      <w:r w:rsidR="00B44B73">
        <w:t>,</w:t>
      </w:r>
      <w:r w:rsidR="00B44B73" w:rsidRPr="00915395">
        <w:t xml:space="preserve"> at the fifty-sixth session</w:t>
      </w:r>
      <w:r w:rsidR="00B44B73">
        <w:t>s</w:t>
      </w:r>
      <w:r w:rsidR="00B44B73" w:rsidRPr="00915395">
        <w:t xml:space="preserve"> of the subsidiary bodies (June 202</w:t>
      </w:r>
      <w:r w:rsidR="00B44B73">
        <w:t>2</w:t>
      </w:r>
      <w:r w:rsidR="00B44B73" w:rsidRPr="00915395">
        <w:t>) with a view to providing recommendations for consideration and adoption by the C</w:t>
      </w:r>
      <w:r w:rsidR="00B44B73">
        <w:t>onference of the Parties</w:t>
      </w:r>
      <w:r w:rsidR="00B44B73" w:rsidRPr="00915395">
        <w:t>,</w:t>
      </w:r>
      <w:r w:rsidR="00B44B73">
        <w:t xml:space="preserve"> the Conference of the Parties serving as the meeting of the Parties to the Kyoto Protocol and the</w:t>
      </w:r>
      <w:r w:rsidR="00B44B73" w:rsidRPr="00915395">
        <w:t xml:space="preserve"> C</w:t>
      </w:r>
      <w:r w:rsidR="00B44B73">
        <w:t>onference of the Parties serving as the meeting of the Parties to the Paris Agreement</w:t>
      </w:r>
      <w:r w:rsidR="00B44B73" w:rsidRPr="00915395">
        <w:t xml:space="preserve"> </w:t>
      </w:r>
      <w:r w:rsidR="00B44B73">
        <w:t>at</w:t>
      </w:r>
      <w:r w:rsidR="00B44B73" w:rsidRPr="00915395">
        <w:t xml:space="preserve"> the</w:t>
      </w:r>
      <w:r w:rsidR="00B44B73">
        <w:t>ir</w:t>
      </w:r>
      <w:r w:rsidR="00B44B73" w:rsidRPr="00915395">
        <w:t xml:space="preserve"> next session</w:t>
      </w:r>
      <w:r w:rsidR="00B44B73">
        <w:t>s</w:t>
      </w:r>
      <w:r w:rsidR="00B44B73" w:rsidRPr="00915395">
        <w:t xml:space="preserve">; </w:t>
      </w:r>
    </w:p>
    <w:p w14:paraId="38090A5C" w14:textId="7184EE27" w:rsidR="00B44B73" w:rsidRPr="00915395" w:rsidRDefault="00356A49" w:rsidP="00356A49">
      <w:pPr>
        <w:pStyle w:val="RegSingleTxtG"/>
        <w:ind w:left="1134"/>
      </w:pPr>
      <w:r w:rsidRPr="00915395">
        <w:t>7.</w:t>
      </w:r>
      <w:r w:rsidRPr="00915395">
        <w:tab/>
      </w:r>
      <w:r w:rsidR="00B44B73">
        <w:rPr>
          <w:i/>
        </w:rPr>
        <w:t>Also r</w:t>
      </w:r>
      <w:r w:rsidR="00B44B73" w:rsidRPr="00915395">
        <w:rPr>
          <w:i/>
        </w:rPr>
        <w:t>equest</w:t>
      </w:r>
      <w:r w:rsidR="00B44B73" w:rsidRPr="00915395">
        <w:t xml:space="preserve"> the secretariat to support the implementation of the workplan of the forum on the impact of the implementation of response measures and its </w:t>
      </w:r>
      <w:r w:rsidR="00B44B73">
        <w:t>Katowice Committee on Impacts</w:t>
      </w:r>
      <w:r w:rsidR="00B44B73" w:rsidRPr="00915395">
        <w:t xml:space="preserve"> referred to in paragraph 3 above;</w:t>
      </w:r>
    </w:p>
    <w:p w14:paraId="4DDF3766" w14:textId="6CB832E2" w:rsidR="00B44B73" w:rsidRPr="00915395" w:rsidRDefault="00356A49" w:rsidP="00356A49">
      <w:pPr>
        <w:pStyle w:val="RegSingleTxtG"/>
        <w:ind w:left="1134"/>
      </w:pPr>
      <w:r w:rsidRPr="00915395">
        <w:t>8.</w:t>
      </w:r>
      <w:r w:rsidRPr="00915395">
        <w:tab/>
      </w:r>
      <w:r w:rsidR="00B44B73" w:rsidRPr="00915395">
        <w:rPr>
          <w:i/>
        </w:rPr>
        <w:t>Take</w:t>
      </w:r>
      <w:r w:rsidR="00B44B73" w:rsidRPr="00915395">
        <w:t xml:space="preserve"> </w:t>
      </w:r>
      <w:r w:rsidR="00B44B73" w:rsidRPr="00CB4733">
        <w:rPr>
          <w:i/>
        </w:rPr>
        <w:t>note</w:t>
      </w:r>
      <w:r w:rsidR="00B44B73" w:rsidRPr="00915395">
        <w:t xml:space="preserve"> of the estimated budgetary implications of the activities to be undertaken by the secretariat referred to in paragraph 3 above;</w:t>
      </w:r>
    </w:p>
    <w:p w14:paraId="075D24F1" w14:textId="4515B471" w:rsidR="00B44B73" w:rsidRPr="00915395" w:rsidRDefault="00356A49" w:rsidP="00356A49">
      <w:pPr>
        <w:pStyle w:val="RegSingleTxtG"/>
        <w:ind w:left="1134"/>
      </w:pPr>
      <w:r w:rsidRPr="00915395">
        <w:t>9.</w:t>
      </w:r>
      <w:r w:rsidRPr="00915395">
        <w:tab/>
      </w:r>
      <w:r w:rsidR="00B44B73" w:rsidRPr="00915395">
        <w:rPr>
          <w:i/>
        </w:rPr>
        <w:t>Request</w:t>
      </w:r>
      <w:r w:rsidR="00B44B73" w:rsidRPr="00915395">
        <w:t xml:space="preserve"> that the actions of the secretariat called for in th</w:t>
      </w:r>
      <w:r w:rsidR="00B44B73">
        <w:t>is</w:t>
      </w:r>
      <w:r w:rsidR="00B44B73" w:rsidRPr="00915395">
        <w:t xml:space="preserve"> decision be undertaken subject to the availability of financial resources.</w:t>
      </w:r>
    </w:p>
    <w:p w14:paraId="24265E61" w14:textId="77777777" w:rsidR="008B4F8F" w:rsidRDefault="008B4F8F" w:rsidP="00B44B73">
      <w:pPr>
        <w:keepNext/>
        <w:keepLines/>
        <w:spacing w:before="240" w:after="120" w:line="240" w:lineRule="exact"/>
        <w:ind w:right="1134"/>
        <w:rPr>
          <w:b/>
          <w:sz w:val="28"/>
          <w:szCs w:val="28"/>
        </w:rPr>
        <w:sectPr w:rsidR="008B4F8F" w:rsidSect="006B523B">
          <w:headerReference w:type="even" r:id="rId31"/>
          <w:headerReference w:type="default" r:id="rId32"/>
          <w:footerReference w:type="even" r:id="rId33"/>
          <w:footerReference w:type="default" r:id="rId34"/>
          <w:footnotePr>
            <w:numRestart w:val="eachSect"/>
          </w:footnotePr>
          <w:pgSz w:w="11906" w:h="16838" w:code="9"/>
          <w:pgMar w:top="1417" w:right="1134" w:bottom="1134" w:left="1134" w:header="850" w:footer="567" w:gutter="0"/>
          <w:cols w:space="708"/>
          <w:docGrid w:linePitch="360"/>
        </w:sectPr>
      </w:pPr>
    </w:p>
    <w:p w14:paraId="1B5EDFB6" w14:textId="35F57215" w:rsidR="00B44B73" w:rsidRPr="003318D0" w:rsidRDefault="00B44B73" w:rsidP="00B44B73">
      <w:pPr>
        <w:keepNext/>
        <w:keepLines/>
        <w:spacing w:before="240" w:after="120" w:line="240" w:lineRule="exact"/>
        <w:ind w:right="1134"/>
        <w:rPr>
          <w:b/>
          <w:sz w:val="28"/>
          <w:szCs w:val="28"/>
        </w:rPr>
      </w:pPr>
      <w:r>
        <w:rPr>
          <w:b/>
          <w:sz w:val="28"/>
          <w:szCs w:val="28"/>
        </w:rPr>
        <w:lastRenderedPageBreak/>
        <w:t>A</w:t>
      </w:r>
      <w:r w:rsidRPr="003318D0">
        <w:rPr>
          <w:b/>
          <w:sz w:val="28"/>
          <w:szCs w:val="28"/>
        </w:rPr>
        <w:t>nnex</w:t>
      </w:r>
      <w:r>
        <w:rPr>
          <w:b/>
          <w:sz w:val="28"/>
          <w:szCs w:val="28"/>
        </w:rPr>
        <w:t xml:space="preserve"> I</w:t>
      </w:r>
    </w:p>
    <w:p w14:paraId="21B8F866" w14:textId="44CEB8FC" w:rsidR="00B44B73" w:rsidRPr="008B2EFE" w:rsidRDefault="00B44B73" w:rsidP="00B44B73">
      <w:pPr>
        <w:pStyle w:val="HChG"/>
        <w:rPr>
          <w:b w:val="0"/>
          <w:bCs/>
        </w:rPr>
      </w:pPr>
      <w:r>
        <w:tab/>
      </w:r>
      <w:r>
        <w:tab/>
        <w:t>R</w:t>
      </w:r>
      <w:r w:rsidRPr="00201E3B">
        <w:t xml:space="preserve">ules of procedure of the Katowice Committee </w:t>
      </w:r>
      <w:r w:rsidRPr="00434598">
        <w:t xml:space="preserve">of Experts </w:t>
      </w:r>
      <w:r>
        <w:t xml:space="preserve">on the Impacts </w:t>
      </w:r>
      <w:r w:rsidRPr="00434598">
        <w:t xml:space="preserve">of the </w:t>
      </w:r>
      <w:r>
        <w:t>I</w:t>
      </w:r>
      <w:r w:rsidRPr="00434598">
        <w:t xml:space="preserve">mplementation of </w:t>
      </w:r>
      <w:r>
        <w:t>R</w:t>
      </w:r>
      <w:r w:rsidRPr="00434598">
        <w:t xml:space="preserve">esponse </w:t>
      </w:r>
      <w:r>
        <w:t>M</w:t>
      </w:r>
      <w:r w:rsidRPr="00434598">
        <w:t>easures</w:t>
      </w:r>
    </w:p>
    <w:p w14:paraId="501E2C22" w14:textId="648107D0" w:rsidR="00B44B73" w:rsidRPr="008B2EFE" w:rsidRDefault="00356A49" w:rsidP="00356A49">
      <w:pPr>
        <w:pStyle w:val="RegHChG"/>
        <w:tabs>
          <w:tab w:val="left" w:pos="1135"/>
        </w:tabs>
        <w:ind w:left="1135" w:hanging="454"/>
      </w:pPr>
      <w:r w:rsidRPr="008B2EFE">
        <w:t>I.</w:t>
      </w:r>
      <w:r w:rsidRPr="008B2EFE">
        <w:tab/>
      </w:r>
      <w:r w:rsidR="00B44B73" w:rsidRPr="008B2EFE">
        <w:t>Scope</w:t>
      </w:r>
    </w:p>
    <w:p w14:paraId="308FEE57" w14:textId="41513C3F" w:rsidR="00B44B73" w:rsidRDefault="00356A49" w:rsidP="00356A49">
      <w:pPr>
        <w:pStyle w:val="RegSingleTxtG"/>
        <w:ind w:left="1134"/>
      </w:pPr>
      <w:r>
        <w:t>1.</w:t>
      </w:r>
      <w:r>
        <w:tab/>
      </w:r>
      <w:r w:rsidR="00B44B73" w:rsidRPr="008B2EFE">
        <w:t xml:space="preserve">These rules of procedure shall apply to the </w:t>
      </w:r>
      <w:r w:rsidR="00B44B73" w:rsidRPr="00D242B2">
        <w:t>K</w:t>
      </w:r>
      <w:r w:rsidR="00B44B73">
        <w:t>atowice Committee of Experts on the Impacts of the Implementation of Response Measures (K</w:t>
      </w:r>
      <w:r w:rsidR="00B44B73" w:rsidRPr="00D242B2">
        <w:t>CI</w:t>
      </w:r>
      <w:r w:rsidR="00B44B73">
        <w:t xml:space="preserve">) </w:t>
      </w:r>
      <w:r w:rsidR="00B44B73" w:rsidRPr="008B2EFE">
        <w:t xml:space="preserve">in accordance with decision </w:t>
      </w:r>
      <w:r w:rsidR="00B44B73" w:rsidRPr="005E2489">
        <w:t>7/CMA.1</w:t>
      </w:r>
      <w:r w:rsidR="00B44B73">
        <w:t xml:space="preserve"> and its annex.</w:t>
      </w:r>
    </w:p>
    <w:p w14:paraId="1CB75F37" w14:textId="010F4185" w:rsidR="00B44B73" w:rsidRDefault="00356A49" w:rsidP="00356A49">
      <w:pPr>
        <w:pStyle w:val="RegHChG"/>
        <w:tabs>
          <w:tab w:val="left" w:pos="1135"/>
        </w:tabs>
        <w:ind w:left="1135" w:hanging="454"/>
      </w:pPr>
      <w:r>
        <w:t>II.</w:t>
      </w:r>
      <w:r>
        <w:tab/>
      </w:r>
      <w:r w:rsidR="00B44B73">
        <w:t>Mandate</w:t>
      </w:r>
    </w:p>
    <w:p w14:paraId="41CC9221" w14:textId="37242795" w:rsidR="00B44B73" w:rsidRDefault="00356A49" w:rsidP="00356A49">
      <w:pPr>
        <w:pStyle w:val="RegSingleTxtG"/>
        <w:ind w:left="1134"/>
      </w:pPr>
      <w:r>
        <w:t>2.</w:t>
      </w:r>
      <w:r>
        <w:tab/>
      </w:r>
      <w:r w:rsidR="00B44B73" w:rsidRPr="008B2EFE">
        <w:t xml:space="preserve">The </w:t>
      </w:r>
      <w:r w:rsidR="00B44B73" w:rsidRPr="00915395">
        <w:t>C</w:t>
      </w:r>
      <w:r w:rsidR="00B44B73">
        <w:t>onference of the Parties serving as the meeting of the Parties to the Paris Agreement</w:t>
      </w:r>
      <w:r w:rsidR="00B44B73" w:rsidRPr="00915395">
        <w:t xml:space="preserve"> </w:t>
      </w:r>
      <w:r w:rsidR="00B44B73">
        <w:t>(</w:t>
      </w:r>
      <w:r w:rsidR="00B44B73" w:rsidRPr="008B2EFE">
        <w:t>CMA</w:t>
      </w:r>
      <w:r w:rsidR="00B44B73">
        <w:t>)</w:t>
      </w:r>
      <w:r w:rsidR="00B44B73" w:rsidRPr="008B2EFE">
        <w:t>, by decision 7/CMA.1</w:t>
      </w:r>
      <w:r w:rsidR="00B44B73">
        <w:t>,</w:t>
      </w:r>
      <w:r w:rsidR="00B44B73" w:rsidRPr="008B2EFE">
        <w:t xml:space="preserve"> decided </w:t>
      </w:r>
      <w:r w:rsidR="00B44B73">
        <w:t xml:space="preserve">to establish the </w:t>
      </w:r>
      <w:r w:rsidR="00B44B73" w:rsidRPr="008B2EFE">
        <w:t xml:space="preserve">KCI </w:t>
      </w:r>
      <w:r w:rsidR="00B44B73">
        <w:t>to support the work of the forum on the impact of the implementation of response measures in implementing its work programme and operating in accordance with the terms of reference</w:t>
      </w:r>
      <w:r w:rsidR="00B44B73" w:rsidRPr="008B2EFE">
        <w:t xml:space="preserve"> contained in the </w:t>
      </w:r>
      <w:r w:rsidR="00B44B73">
        <w:t>a</w:t>
      </w:r>
      <w:r w:rsidR="00B44B73" w:rsidRPr="008B2EFE">
        <w:t>nnex to that decision.</w:t>
      </w:r>
      <w:r w:rsidR="00B44B73">
        <w:t xml:space="preserve"> </w:t>
      </w:r>
    </w:p>
    <w:p w14:paraId="600ECAF6" w14:textId="68FC6E66" w:rsidR="00B44B73" w:rsidRDefault="00356A49" w:rsidP="00356A49">
      <w:pPr>
        <w:pStyle w:val="RegSingleTxtG"/>
        <w:ind w:left="1134"/>
      </w:pPr>
      <w:r>
        <w:t>3.</w:t>
      </w:r>
      <w:r>
        <w:tab/>
      </w:r>
      <w:r w:rsidR="00B44B73">
        <w:t>The forum and the KCI may use the following modalities, as appropriate and as decided on a case-by-case basis,</w:t>
      </w:r>
      <w:r w:rsidR="00B44B73" w:rsidDel="00387512">
        <w:t xml:space="preserve"> </w:t>
      </w:r>
      <w:r w:rsidR="00B44B73">
        <w:t>to carry out the work programme of the forum:</w:t>
      </w:r>
    </w:p>
    <w:p w14:paraId="328D2A71" w14:textId="76DBCAB5" w:rsidR="00B44B73" w:rsidRDefault="00356A49" w:rsidP="00356A49">
      <w:pPr>
        <w:pStyle w:val="RegSingleTxtG2"/>
        <w:tabs>
          <w:tab w:val="left" w:pos="1702"/>
        </w:tabs>
        <w:ind w:left="1134" w:firstLine="567"/>
      </w:pPr>
      <w:r>
        <w:rPr>
          <w:szCs w:val="28"/>
        </w:rPr>
        <w:t>(a)</w:t>
      </w:r>
      <w:r>
        <w:rPr>
          <w:szCs w:val="28"/>
        </w:rPr>
        <w:tab/>
      </w:r>
      <w:r w:rsidR="00B44B73">
        <w:t>Building awareness and enhancing information-sharing through the exchange and sharing of experience and best practices;</w:t>
      </w:r>
    </w:p>
    <w:p w14:paraId="6CA1FA2E" w14:textId="2314FA87" w:rsidR="00B44B73" w:rsidRDefault="00356A49" w:rsidP="00356A49">
      <w:pPr>
        <w:pStyle w:val="RegSingleTxtG2"/>
        <w:tabs>
          <w:tab w:val="left" w:pos="1702"/>
        </w:tabs>
        <w:ind w:left="1134" w:firstLine="567"/>
      </w:pPr>
      <w:r>
        <w:rPr>
          <w:szCs w:val="28"/>
        </w:rPr>
        <w:t>(b)</w:t>
      </w:r>
      <w:r>
        <w:rPr>
          <w:szCs w:val="28"/>
        </w:rPr>
        <w:tab/>
      </w:r>
      <w:r w:rsidR="00B44B73">
        <w:t>Preparing technical papers, case studies, specific examples and guidelines;</w:t>
      </w:r>
    </w:p>
    <w:p w14:paraId="1D079B58" w14:textId="51F0EF31" w:rsidR="00B44B73" w:rsidRDefault="00356A49" w:rsidP="00356A49">
      <w:pPr>
        <w:pStyle w:val="RegSingleTxtG2"/>
        <w:tabs>
          <w:tab w:val="left" w:pos="1702"/>
        </w:tabs>
        <w:ind w:left="1134" w:firstLine="567"/>
      </w:pPr>
      <w:r>
        <w:rPr>
          <w:szCs w:val="28"/>
        </w:rPr>
        <w:t>(c)</w:t>
      </w:r>
      <w:r>
        <w:rPr>
          <w:szCs w:val="28"/>
        </w:rPr>
        <w:tab/>
      </w:r>
      <w:r w:rsidR="00B44B73">
        <w:t>Receiving inputs from experts, practitioners and relevant organizations;</w:t>
      </w:r>
    </w:p>
    <w:p w14:paraId="47DF3059" w14:textId="4E8EA8DC" w:rsidR="00B44B73" w:rsidRDefault="00356A49" w:rsidP="00356A49">
      <w:pPr>
        <w:pStyle w:val="RegSingleTxtG2"/>
        <w:tabs>
          <w:tab w:val="left" w:pos="1702"/>
        </w:tabs>
        <w:ind w:left="1134" w:firstLine="567"/>
      </w:pPr>
      <w:r>
        <w:rPr>
          <w:szCs w:val="28"/>
        </w:rPr>
        <w:t>(d)</w:t>
      </w:r>
      <w:r>
        <w:rPr>
          <w:szCs w:val="28"/>
        </w:rPr>
        <w:tab/>
      </w:r>
      <w:r w:rsidR="00B44B73">
        <w:t>Organizing workshops.</w:t>
      </w:r>
    </w:p>
    <w:p w14:paraId="584E94B5" w14:textId="2F0E3186" w:rsidR="00B44B73" w:rsidRPr="008B2EFE" w:rsidRDefault="00356A49" w:rsidP="00356A49">
      <w:pPr>
        <w:pStyle w:val="RegHChG"/>
        <w:tabs>
          <w:tab w:val="left" w:pos="1135"/>
        </w:tabs>
        <w:ind w:left="1135" w:hanging="454"/>
      </w:pPr>
      <w:r w:rsidRPr="008B2EFE">
        <w:t>III.</w:t>
      </w:r>
      <w:r w:rsidRPr="008B2EFE">
        <w:tab/>
      </w:r>
      <w:r w:rsidR="00B44B73" w:rsidRPr="008B2EFE">
        <w:t>Members</w:t>
      </w:r>
    </w:p>
    <w:p w14:paraId="59ABBD71" w14:textId="60DA3ACA" w:rsidR="00B44B73" w:rsidRDefault="00356A49" w:rsidP="00356A49">
      <w:pPr>
        <w:pStyle w:val="RegSingleTxtG"/>
        <w:ind w:left="1134"/>
      </w:pPr>
      <w:r>
        <w:t>4.</w:t>
      </w:r>
      <w:r>
        <w:tab/>
      </w:r>
      <w:r w:rsidR="00B44B73">
        <w:t>The CMA, by decision 7/CMA.1, decided that the KCI shall be composed of 14 members, of which:</w:t>
      </w:r>
    </w:p>
    <w:p w14:paraId="2C8F8227" w14:textId="7B2BF81C" w:rsidR="00B44B73" w:rsidRDefault="00356A49" w:rsidP="00356A49">
      <w:pPr>
        <w:pStyle w:val="RegSingleTxtG2"/>
        <w:tabs>
          <w:tab w:val="left" w:pos="1702"/>
        </w:tabs>
        <w:ind w:left="1134" w:firstLine="567"/>
      </w:pPr>
      <w:r>
        <w:rPr>
          <w:szCs w:val="28"/>
        </w:rPr>
        <w:t>(a)</w:t>
      </w:r>
      <w:r>
        <w:rPr>
          <w:szCs w:val="28"/>
        </w:rPr>
        <w:tab/>
      </w:r>
      <w:r w:rsidR="00B44B73">
        <w:t>Two members from each of the five United Nations regional groups;</w:t>
      </w:r>
    </w:p>
    <w:p w14:paraId="1880CD70" w14:textId="6C0E49A4" w:rsidR="00B44B73" w:rsidRDefault="00356A49" w:rsidP="00356A49">
      <w:pPr>
        <w:pStyle w:val="RegSingleTxtG2"/>
        <w:tabs>
          <w:tab w:val="left" w:pos="1702"/>
        </w:tabs>
        <w:ind w:left="1134" w:firstLine="567"/>
      </w:pPr>
      <w:r>
        <w:rPr>
          <w:szCs w:val="28"/>
        </w:rPr>
        <w:t>(b)</w:t>
      </w:r>
      <w:r>
        <w:rPr>
          <w:szCs w:val="28"/>
        </w:rPr>
        <w:tab/>
      </w:r>
      <w:r w:rsidR="00B44B73">
        <w:t>One member from the least developed countries;</w:t>
      </w:r>
    </w:p>
    <w:p w14:paraId="20560F2A" w14:textId="676014E3" w:rsidR="00B44B73" w:rsidRDefault="00356A49" w:rsidP="00356A49">
      <w:pPr>
        <w:pStyle w:val="RegSingleTxtG2"/>
        <w:tabs>
          <w:tab w:val="left" w:pos="1702"/>
        </w:tabs>
        <w:ind w:left="1134" w:firstLine="567"/>
      </w:pPr>
      <w:r>
        <w:rPr>
          <w:szCs w:val="28"/>
        </w:rPr>
        <w:t>(c)</w:t>
      </w:r>
      <w:r>
        <w:rPr>
          <w:szCs w:val="28"/>
        </w:rPr>
        <w:tab/>
      </w:r>
      <w:r w:rsidR="00B44B73">
        <w:t>One member from the small island developing States;</w:t>
      </w:r>
    </w:p>
    <w:p w14:paraId="2090910E" w14:textId="450B8E54" w:rsidR="00B44B73" w:rsidRDefault="00356A49" w:rsidP="00356A49">
      <w:pPr>
        <w:pStyle w:val="RegSingleTxtG2"/>
        <w:tabs>
          <w:tab w:val="left" w:pos="1702"/>
        </w:tabs>
        <w:ind w:left="1134" w:firstLine="567"/>
      </w:pPr>
      <w:r>
        <w:rPr>
          <w:szCs w:val="28"/>
        </w:rPr>
        <w:t>(d)</w:t>
      </w:r>
      <w:r>
        <w:rPr>
          <w:szCs w:val="28"/>
        </w:rPr>
        <w:tab/>
      </w:r>
      <w:r w:rsidR="00B44B73">
        <w:t>Two members from relevant intergovernmental organizations.</w:t>
      </w:r>
      <w:r w:rsidR="00B44B73">
        <w:rPr>
          <w:rStyle w:val="FootnoteReference"/>
        </w:rPr>
        <w:footnoteReference w:id="14"/>
      </w:r>
      <w:r w:rsidR="00B44B73">
        <w:t xml:space="preserve"> </w:t>
      </w:r>
    </w:p>
    <w:p w14:paraId="651994E9" w14:textId="5A13CF7B" w:rsidR="00B44B73" w:rsidRDefault="00356A49" w:rsidP="00356A49">
      <w:pPr>
        <w:pStyle w:val="RegSingleTxtG"/>
        <w:ind w:left="1134"/>
      </w:pPr>
      <w:r>
        <w:t>5.</w:t>
      </w:r>
      <w:r>
        <w:tab/>
      </w:r>
      <w:r w:rsidR="00B44B73">
        <w:t>By the same decision, the CMA also decided that members shall be nominated by their respective groups.</w:t>
      </w:r>
      <w:r w:rsidR="00B44B73" w:rsidRPr="00141554">
        <w:t xml:space="preserve"> </w:t>
      </w:r>
      <w:r w:rsidR="00B44B73">
        <w:t>Groups are encouraged to nominate members taking into account the goal of achieving gender balance. The Chairs of the Subsidiary Body for Scientific and Technological Advice (SBSTA) and the Subsidiary Body for Implementation</w:t>
      </w:r>
      <w:r w:rsidR="00B44B73" w:rsidRPr="00915395">
        <w:t xml:space="preserve"> </w:t>
      </w:r>
      <w:r w:rsidR="00B44B73">
        <w:t>(SBI) shall be notified of these appointments.</w:t>
      </w:r>
      <w:r w:rsidR="00B44B73">
        <w:rPr>
          <w:rStyle w:val="FootnoteReference"/>
        </w:rPr>
        <w:footnoteReference w:id="15"/>
      </w:r>
      <w:r w:rsidR="00B44B73">
        <w:t xml:space="preserve"> </w:t>
      </w:r>
    </w:p>
    <w:p w14:paraId="21728BC8" w14:textId="57D67A04" w:rsidR="00B44B73" w:rsidRDefault="00356A49" w:rsidP="00356A49">
      <w:pPr>
        <w:pStyle w:val="RegSingleTxtG"/>
        <w:ind w:left="1134"/>
      </w:pPr>
      <w:r>
        <w:t>6.</w:t>
      </w:r>
      <w:r>
        <w:tab/>
      </w:r>
      <w:r w:rsidR="00B44B73">
        <w:t>The CMA also decided that members shall serve in their expert capacity and should have relevant qualifications and expertise in the technical and socioeconomic fields related to the areas of the work programme of the forum.</w:t>
      </w:r>
      <w:r w:rsidR="00B44B73">
        <w:rPr>
          <w:rStyle w:val="FootnoteReference"/>
        </w:rPr>
        <w:footnoteReference w:id="16"/>
      </w:r>
    </w:p>
    <w:p w14:paraId="42694907" w14:textId="7B99D6E8" w:rsidR="00B44B73" w:rsidRDefault="00356A49" w:rsidP="00356A49">
      <w:pPr>
        <w:pStyle w:val="RegSingleTxtG"/>
        <w:ind w:left="1134"/>
      </w:pPr>
      <w:r>
        <w:t>7.</w:t>
      </w:r>
      <w:r>
        <w:tab/>
      </w:r>
      <w:r w:rsidR="00B44B73">
        <w:t>Further, the CMA decided that members shall serve a term of two years and be eligible to serve a maximum of two consecutive terms in office.</w:t>
      </w:r>
      <w:r w:rsidR="00B44B73">
        <w:rPr>
          <w:rStyle w:val="FootnoteReference"/>
        </w:rPr>
        <w:footnoteReference w:id="17"/>
      </w:r>
    </w:p>
    <w:p w14:paraId="5C23756C" w14:textId="5390F87E" w:rsidR="00B44B73" w:rsidRPr="008D0349" w:rsidRDefault="00356A49" w:rsidP="00356A49">
      <w:pPr>
        <w:pStyle w:val="RegSingleTxtG"/>
        <w:ind w:left="1134"/>
      </w:pPr>
      <w:r w:rsidRPr="008D0349">
        <w:lastRenderedPageBreak/>
        <w:t>8.</w:t>
      </w:r>
      <w:r w:rsidRPr="008D0349">
        <w:tab/>
      </w:r>
      <w:r w:rsidR="00B44B73" w:rsidRPr="008D0349">
        <w:t xml:space="preserve">The term of office of a member shall </w:t>
      </w:r>
      <w:r w:rsidR="00B44B73">
        <w:t>commence</w:t>
      </w:r>
      <w:r w:rsidR="00B44B73" w:rsidRPr="008D0349">
        <w:t xml:space="preserve"> at the first meeting of the KCI in the calendar year</w:t>
      </w:r>
      <w:r w:rsidR="00B44B73" w:rsidRPr="00B664BE">
        <w:t xml:space="preserve"> </w:t>
      </w:r>
      <w:r w:rsidR="00B44B73" w:rsidRPr="00735C0B">
        <w:t xml:space="preserve">of </w:t>
      </w:r>
      <w:r w:rsidR="00B44B73">
        <w:t>their</w:t>
      </w:r>
      <w:r w:rsidR="00B44B73" w:rsidRPr="008D0349">
        <w:t xml:space="preserve"> appointment and end immediately before the first meeting of the KCI </w:t>
      </w:r>
      <w:r w:rsidR="00B44B73">
        <w:t xml:space="preserve">in the calendar year </w:t>
      </w:r>
      <w:r w:rsidR="00B44B73" w:rsidRPr="00682707">
        <w:t xml:space="preserve">after </w:t>
      </w:r>
      <w:r w:rsidR="00B44B73">
        <w:t>their</w:t>
      </w:r>
      <w:r w:rsidR="00B44B73" w:rsidRPr="00682707">
        <w:t xml:space="preserve"> second </w:t>
      </w:r>
      <w:r w:rsidR="00B44B73" w:rsidRPr="008D0349">
        <w:t>calendar year</w:t>
      </w:r>
      <w:r w:rsidR="00B44B73" w:rsidRPr="00682707">
        <w:t xml:space="preserve"> in office.</w:t>
      </w:r>
    </w:p>
    <w:p w14:paraId="575C8EF1" w14:textId="3EBF7FA7" w:rsidR="00B44B73" w:rsidRDefault="00356A49" w:rsidP="00356A49">
      <w:pPr>
        <w:pStyle w:val="RegSingleTxtG"/>
        <w:ind w:left="1134"/>
      </w:pPr>
      <w:r>
        <w:t>9.</w:t>
      </w:r>
      <w:r>
        <w:tab/>
      </w:r>
      <w:r w:rsidR="00B44B73">
        <w:t>If a member of the KCI resigns or is otherwise unable to complete the assigned term of office or to perform the functions of that office, the KCI shall request the group that nominated the member to nominate another member for the remainder of the unexpired term, in which case the appointment shall count as one term. In such a case, the KCI shall notify the Chairs of the SBSTA and the SBI.</w:t>
      </w:r>
    </w:p>
    <w:p w14:paraId="14E4A42C" w14:textId="56B37C97" w:rsidR="00B44B73" w:rsidRPr="008B2EFE" w:rsidRDefault="00356A49" w:rsidP="00356A49">
      <w:pPr>
        <w:pStyle w:val="RegSingleTxtG"/>
        <w:ind w:left="1134"/>
      </w:pPr>
      <w:r w:rsidRPr="008B2EFE">
        <w:t>10.</w:t>
      </w:r>
      <w:r w:rsidRPr="008B2EFE">
        <w:tab/>
      </w:r>
      <w:r w:rsidR="00B44B73" w:rsidRPr="008B2EFE">
        <w:t xml:space="preserve">If a member is unable to participate in two consecutive meetings of the KCI </w:t>
      </w:r>
      <w:r w:rsidR="00B44B73">
        <w:t>or</w:t>
      </w:r>
      <w:r w:rsidR="00B44B73" w:rsidRPr="008B2EFE">
        <w:t xml:space="preserve"> unable to perform the functions and tasks set by the KCI, the </w:t>
      </w:r>
      <w:r w:rsidR="00B44B73">
        <w:t>C</w:t>
      </w:r>
      <w:r w:rsidR="00B44B73" w:rsidRPr="008B2EFE">
        <w:t>o-</w:t>
      </w:r>
      <w:r w:rsidR="00B44B73">
        <w:t>C</w:t>
      </w:r>
      <w:r w:rsidR="00B44B73" w:rsidRPr="008B2EFE">
        <w:t xml:space="preserve">hairs </w:t>
      </w:r>
      <w:r w:rsidR="00B44B73">
        <w:t xml:space="preserve">of the KCI </w:t>
      </w:r>
      <w:r w:rsidR="00B44B73" w:rsidRPr="008B2EFE">
        <w:t xml:space="preserve">will bring this matter to the attention of the KCI and seek clarification from the group that nominated that member on the status of </w:t>
      </w:r>
      <w:r w:rsidR="00B44B73">
        <w:t>their</w:t>
      </w:r>
      <w:r w:rsidR="00B44B73" w:rsidRPr="008B2EFE">
        <w:t xml:space="preserve"> membership.</w:t>
      </w:r>
    </w:p>
    <w:p w14:paraId="227ADFB0" w14:textId="4B2E9FC1" w:rsidR="00B44B73" w:rsidRPr="008B2EFE" w:rsidRDefault="00356A49" w:rsidP="00356A49">
      <w:pPr>
        <w:pStyle w:val="RegHChG"/>
        <w:tabs>
          <w:tab w:val="left" w:pos="1135"/>
        </w:tabs>
        <w:ind w:left="1135" w:hanging="454"/>
      </w:pPr>
      <w:r w:rsidRPr="008B2EFE">
        <w:t>IV.</w:t>
      </w:r>
      <w:r w:rsidRPr="008B2EFE">
        <w:tab/>
      </w:r>
      <w:r w:rsidR="00B44B73" w:rsidRPr="008B2EFE">
        <w:t>Co-</w:t>
      </w:r>
      <w:r w:rsidR="00B44B73">
        <w:t>C</w:t>
      </w:r>
      <w:r w:rsidR="00B44B73" w:rsidRPr="008B2EFE">
        <w:t xml:space="preserve">hairs </w:t>
      </w:r>
    </w:p>
    <w:p w14:paraId="5EE42326" w14:textId="57AAB6AB" w:rsidR="00B44B73" w:rsidRDefault="00356A49" w:rsidP="00356A49">
      <w:pPr>
        <w:pStyle w:val="RegSingleTxtG"/>
        <w:ind w:left="1134"/>
      </w:pPr>
      <w:r>
        <w:t>11.</w:t>
      </w:r>
      <w:r>
        <w:tab/>
      </w:r>
      <w:r w:rsidR="00B44B73">
        <w:t>The CMA decided that t</w:t>
      </w:r>
      <w:r w:rsidR="00B44B73" w:rsidRPr="008B2EFE">
        <w:t>he KCI shall elect, on a consensus basis, two members from amon</w:t>
      </w:r>
      <w:r w:rsidR="00B44B73">
        <w:t>g its members to serve as Co-C</w:t>
      </w:r>
      <w:r w:rsidR="00B44B73" w:rsidRPr="008B2EFE">
        <w:t xml:space="preserve">hairs for a term of two </w:t>
      </w:r>
      <w:r w:rsidR="00B44B73">
        <w:t>years each,</w:t>
      </w:r>
      <w:r w:rsidR="00B44B73" w:rsidRPr="00184FEF">
        <w:t xml:space="preserve"> </w:t>
      </w:r>
      <w:r w:rsidR="00B44B73">
        <w:t>taking into account the need to ensure equitable geographical representation.</w:t>
      </w:r>
      <w:r w:rsidR="00B44B73" w:rsidRPr="00C11253">
        <w:rPr>
          <w:rStyle w:val="FootnoteReference"/>
        </w:rPr>
        <w:footnoteReference w:id="18"/>
      </w:r>
    </w:p>
    <w:p w14:paraId="71255C31" w14:textId="5EF0D1BA" w:rsidR="00B44B73" w:rsidRDefault="00356A49" w:rsidP="00356A49">
      <w:pPr>
        <w:pStyle w:val="RegSingleTxtG"/>
        <w:ind w:left="1134"/>
      </w:pPr>
      <w:r>
        <w:t>12.</w:t>
      </w:r>
      <w:r>
        <w:tab/>
      </w:r>
      <w:r w:rsidR="00B44B73">
        <w:t>The CMA also decided that if one of the Co-Chairs is temporarily unable to fulfil the obligations of the office, another member designated by the KCI shall serve as Co-Chair.</w:t>
      </w:r>
      <w:r w:rsidR="00B44B73" w:rsidRPr="00C11253">
        <w:rPr>
          <w:rStyle w:val="FootnoteReference"/>
        </w:rPr>
        <w:footnoteReference w:id="19"/>
      </w:r>
    </w:p>
    <w:p w14:paraId="414EB983" w14:textId="59CB14FB" w:rsidR="00B44B73" w:rsidRDefault="00356A49" w:rsidP="00356A49">
      <w:pPr>
        <w:pStyle w:val="RegSingleTxtG"/>
        <w:ind w:left="1134"/>
      </w:pPr>
      <w:r>
        <w:t>13.</w:t>
      </w:r>
      <w:r>
        <w:tab/>
      </w:r>
      <w:r w:rsidR="00B44B73">
        <w:t>If one of the Co-Chairs is unable to complete the term of office, the KCI shall elect a replacement from among its members of the relevant group of the incumbent Co-Chair, if available, to complete that term of office.</w:t>
      </w:r>
    </w:p>
    <w:p w14:paraId="042FBE38" w14:textId="03406E10" w:rsidR="00B44B73" w:rsidRDefault="00356A49" w:rsidP="00356A49">
      <w:pPr>
        <w:pStyle w:val="RegSingleTxtG"/>
        <w:ind w:left="1134"/>
      </w:pPr>
      <w:r>
        <w:t>14.</w:t>
      </w:r>
      <w:r>
        <w:tab/>
      </w:r>
      <w:r w:rsidR="00B44B73" w:rsidRPr="008B2EFE">
        <w:t xml:space="preserve">The </w:t>
      </w:r>
      <w:r w:rsidR="00B44B73">
        <w:t>C</w:t>
      </w:r>
      <w:r w:rsidR="00B44B73" w:rsidRPr="008B2EFE">
        <w:t>o-</w:t>
      </w:r>
      <w:r w:rsidR="00B44B73">
        <w:t>C</w:t>
      </w:r>
      <w:r w:rsidR="00B44B73" w:rsidRPr="008B2EFE">
        <w:t>hairs shall collaborate in chairing meetings of the KCI and in</w:t>
      </w:r>
      <w:r w:rsidR="00B44B73">
        <w:t xml:space="preserve"> facilitating </w:t>
      </w:r>
      <w:r w:rsidR="00B44B73" w:rsidRPr="008B2EFE">
        <w:t xml:space="preserve">the work of the </w:t>
      </w:r>
      <w:r w:rsidR="00B44B73">
        <w:t xml:space="preserve">KCI </w:t>
      </w:r>
      <w:r w:rsidR="00B44B73" w:rsidRPr="008B2EFE">
        <w:t>throughout the year</w:t>
      </w:r>
      <w:r w:rsidR="00B44B73">
        <w:t xml:space="preserve">, in accordance with the workplan of the forum and its KCI, </w:t>
      </w:r>
      <w:r w:rsidR="00B44B73" w:rsidRPr="008B2EFE">
        <w:t>to ensure coherence between meetings.</w:t>
      </w:r>
    </w:p>
    <w:p w14:paraId="36A125D6" w14:textId="73AE5D5B" w:rsidR="00B44B73" w:rsidRPr="008B2EFE" w:rsidRDefault="00356A49" w:rsidP="00356A49">
      <w:pPr>
        <w:pStyle w:val="RegSingleTxtG"/>
        <w:ind w:left="1134"/>
      </w:pPr>
      <w:r w:rsidRPr="008B2EFE">
        <w:t>15.</w:t>
      </w:r>
      <w:r w:rsidRPr="008B2EFE">
        <w:tab/>
      </w:r>
      <w:r w:rsidR="00B44B73">
        <w:t>Following the completion of the Co-Chairs’ two-year term of office, the KCI shall nominate two</w:t>
      </w:r>
      <w:r w:rsidR="00B44B73" w:rsidRPr="008B2EFE">
        <w:t xml:space="preserve"> members </w:t>
      </w:r>
      <w:r w:rsidR="00B44B73">
        <w:t>as</w:t>
      </w:r>
      <w:r w:rsidR="00B44B73" w:rsidRPr="008B2EFE">
        <w:t xml:space="preserve"> </w:t>
      </w:r>
      <w:r w:rsidR="00B44B73">
        <w:t>C</w:t>
      </w:r>
      <w:r w:rsidR="00B44B73" w:rsidRPr="008B2EFE">
        <w:t>o-</w:t>
      </w:r>
      <w:r w:rsidR="00B44B73">
        <w:t>C</w:t>
      </w:r>
      <w:r w:rsidR="00B44B73" w:rsidRPr="008B2EFE">
        <w:t xml:space="preserve">hairs </w:t>
      </w:r>
      <w:r w:rsidR="00B44B73">
        <w:t>to serve the next two-year term of office.</w:t>
      </w:r>
    </w:p>
    <w:p w14:paraId="5F35651F" w14:textId="3CCBDB71" w:rsidR="00B44B73" w:rsidRPr="00A860C9" w:rsidRDefault="00356A49" w:rsidP="00356A49">
      <w:pPr>
        <w:pStyle w:val="RegSingleTxtG"/>
        <w:ind w:left="1134"/>
      </w:pPr>
      <w:r w:rsidRPr="00A860C9">
        <w:t>16.</w:t>
      </w:r>
      <w:r w:rsidRPr="00A860C9">
        <w:tab/>
      </w:r>
      <w:r w:rsidR="00B44B73" w:rsidRPr="00A860C9">
        <w:t>The C</w:t>
      </w:r>
      <w:r w:rsidR="00B44B73" w:rsidRPr="00623DF0">
        <w:t>o-C</w:t>
      </w:r>
      <w:r w:rsidR="00B44B73">
        <w:t>hairs shall</w:t>
      </w:r>
      <w:r w:rsidR="00B44B73" w:rsidRPr="00623DF0">
        <w:t xml:space="preserve"> declare the opening and closing of meeting</w:t>
      </w:r>
      <w:r w:rsidR="00B44B73">
        <w:t>s of the KCI</w:t>
      </w:r>
      <w:r w:rsidR="00B44B73" w:rsidRPr="00623DF0">
        <w:t xml:space="preserve">, ensure the observance of these rules of procedure </w:t>
      </w:r>
      <w:r w:rsidR="00B44B73" w:rsidRPr="00A860C9">
        <w:t>and rule on points of order</w:t>
      </w:r>
      <w:r w:rsidR="00B44B73">
        <w:t>.</w:t>
      </w:r>
    </w:p>
    <w:p w14:paraId="1E75430F" w14:textId="0659C449" w:rsidR="00B44B73" w:rsidRPr="008B2EFE" w:rsidRDefault="00356A49" w:rsidP="00356A49">
      <w:pPr>
        <w:pStyle w:val="RegSingleTxtG"/>
        <w:ind w:left="1134"/>
      </w:pPr>
      <w:r w:rsidRPr="008B2EFE">
        <w:t>17.</w:t>
      </w:r>
      <w:r w:rsidRPr="008B2EFE">
        <w:tab/>
      </w:r>
      <w:r w:rsidR="00B44B73" w:rsidRPr="008B2EFE">
        <w:t xml:space="preserve">The </w:t>
      </w:r>
      <w:r w:rsidR="00B44B73">
        <w:t>C</w:t>
      </w:r>
      <w:r w:rsidR="00B44B73" w:rsidRPr="008B2EFE">
        <w:t>o-</w:t>
      </w:r>
      <w:r w:rsidR="00B44B73">
        <w:t>C</w:t>
      </w:r>
      <w:r w:rsidR="00B44B73" w:rsidRPr="008B2EFE">
        <w:t xml:space="preserve">hairs shall call upon speakers </w:t>
      </w:r>
      <w:r w:rsidR="00B44B73">
        <w:t xml:space="preserve">at meetings of the KCI </w:t>
      </w:r>
      <w:r w:rsidR="00B44B73" w:rsidRPr="008B2EFE">
        <w:t xml:space="preserve">in the order in which they signify their desire to speak. The secretariat shall maintain a list of speakers. The </w:t>
      </w:r>
      <w:r w:rsidR="00B44B73">
        <w:t>C</w:t>
      </w:r>
      <w:r w:rsidR="00B44B73" w:rsidRPr="008B2EFE">
        <w:t>o-</w:t>
      </w:r>
      <w:r w:rsidR="00B44B73">
        <w:t>C</w:t>
      </w:r>
      <w:r w:rsidR="00B44B73" w:rsidRPr="008B2EFE">
        <w:t xml:space="preserve">hairs may call a speaker to order if </w:t>
      </w:r>
      <w:r w:rsidR="00B44B73">
        <w:t>their</w:t>
      </w:r>
      <w:r w:rsidR="00B44B73" w:rsidRPr="008B2EFE">
        <w:t xml:space="preserve"> remarks are not relevant to the subject under discussion. </w:t>
      </w:r>
    </w:p>
    <w:p w14:paraId="139A6667" w14:textId="6E8BDAE7" w:rsidR="00B44B73" w:rsidRPr="008B2EFE" w:rsidRDefault="00356A49" w:rsidP="00356A49">
      <w:pPr>
        <w:pStyle w:val="RegSingleTxtG"/>
        <w:ind w:left="1134"/>
      </w:pPr>
      <w:r w:rsidRPr="008B2EFE">
        <w:t>18.</w:t>
      </w:r>
      <w:r w:rsidRPr="008B2EFE">
        <w:tab/>
      </w:r>
      <w:r w:rsidR="00B44B73" w:rsidRPr="008B2EFE">
        <w:t xml:space="preserve">The KCI may further define additional roles and responsibilities for the </w:t>
      </w:r>
      <w:r w:rsidR="00B44B73">
        <w:t>C</w:t>
      </w:r>
      <w:r w:rsidR="00B44B73" w:rsidRPr="008B2EFE">
        <w:t>o-</w:t>
      </w:r>
      <w:r w:rsidR="00B44B73">
        <w:t>C</w:t>
      </w:r>
      <w:r w:rsidR="00B44B73" w:rsidRPr="008B2EFE">
        <w:t>hairs.</w:t>
      </w:r>
    </w:p>
    <w:p w14:paraId="255729A1" w14:textId="44619487" w:rsidR="00B44B73" w:rsidRPr="008B2EFE" w:rsidRDefault="00356A49" w:rsidP="00356A49">
      <w:pPr>
        <w:pStyle w:val="RegSingleTxtG"/>
        <w:ind w:left="1134"/>
      </w:pPr>
      <w:r w:rsidRPr="008B2EFE">
        <w:t>19.</w:t>
      </w:r>
      <w:r w:rsidRPr="008B2EFE">
        <w:tab/>
      </w:r>
      <w:r w:rsidR="00B44B73">
        <w:t>In exercising their functions, t</w:t>
      </w:r>
      <w:r w:rsidR="00B44B73" w:rsidRPr="008B2EFE">
        <w:t xml:space="preserve">he </w:t>
      </w:r>
      <w:r w:rsidR="00B44B73">
        <w:t>C</w:t>
      </w:r>
      <w:r w:rsidR="00B44B73" w:rsidRPr="008B2EFE">
        <w:t>o-</w:t>
      </w:r>
      <w:r w:rsidR="00B44B73">
        <w:t>C</w:t>
      </w:r>
      <w:r w:rsidR="00B44B73" w:rsidRPr="008B2EFE">
        <w:t>hairs</w:t>
      </w:r>
      <w:r w:rsidR="00B44B73">
        <w:t xml:space="preserve"> shall </w:t>
      </w:r>
      <w:r w:rsidR="00B44B73" w:rsidRPr="008B2EFE">
        <w:t>remain under the authority of the KCI.</w:t>
      </w:r>
    </w:p>
    <w:p w14:paraId="1BE4BF69" w14:textId="06389966" w:rsidR="00B44B73" w:rsidRPr="008B2EFE" w:rsidRDefault="00356A49" w:rsidP="00356A49">
      <w:pPr>
        <w:pStyle w:val="RegHChG"/>
        <w:tabs>
          <w:tab w:val="left" w:pos="1135"/>
        </w:tabs>
        <w:ind w:left="1135" w:hanging="454"/>
      </w:pPr>
      <w:r w:rsidRPr="008B2EFE">
        <w:t>V.</w:t>
      </w:r>
      <w:r w:rsidRPr="008B2EFE">
        <w:tab/>
      </w:r>
      <w:r w:rsidR="00B44B73" w:rsidRPr="008B2EFE">
        <w:t>Secretariat</w:t>
      </w:r>
    </w:p>
    <w:p w14:paraId="318FE248" w14:textId="327323FE" w:rsidR="00B44B73" w:rsidRPr="00C65904" w:rsidRDefault="00356A49" w:rsidP="00356A49">
      <w:pPr>
        <w:pStyle w:val="RegSingleTxtG"/>
        <w:ind w:left="1134"/>
      </w:pPr>
      <w:r w:rsidRPr="00C65904">
        <w:t>20.</w:t>
      </w:r>
      <w:r w:rsidRPr="00C65904">
        <w:tab/>
      </w:r>
      <w:r w:rsidR="00B44B73" w:rsidRPr="008B2EFE">
        <w:t>The secretariat shall support and facilitate the work of the KCI</w:t>
      </w:r>
      <w:r w:rsidR="00B44B73">
        <w:t xml:space="preserve">, by: </w:t>
      </w:r>
    </w:p>
    <w:p w14:paraId="77E8B467" w14:textId="572B47ED" w:rsidR="00B44B73" w:rsidRDefault="00356A49" w:rsidP="00356A49">
      <w:pPr>
        <w:pStyle w:val="RegSingleTxtG2"/>
        <w:tabs>
          <w:tab w:val="left" w:pos="1702"/>
        </w:tabs>
        <w:ind w:left="1134" w:firstLine="567"/>
      </w:pPr>
      <w:r>
        <w:rPr>
          <w:szCs w:val="28"/>
        </w:rPr>
        <w:t>(a)</w:t>
      </w:r>
      <w:r>
        <w:rPr>
          <w:szCs w:val="28"/>
        </w:rPr>
        <w:tab/>
      </w:r>
      <w:r w:rsidR="00B44B73">
        <w:t>Making the necessary arrangements for the meetings of the KCI, including announcing meetings, issuing invitations, making the necessary travel arrangements for members eligible for funding for their participation in meetings and making available relevant documents for meetings;</w:t>
      </w:r>
    </w:p>
    <w:p w14:paraId="355DC1DD" w14:textId="1989D133" w:rsidR="00B44B73" w:rsidRPr="008B2EFE" w:rsidRDefault="00356A49" w:rsidP="00356A49">
      <w:pPr>
        <w:pStyle w:val="RegSingleTxtG2"/>
        <w:tabs>
          <w:tab w:val="left" w:pos="1702"/>
        </w:tabs>
        <w:ind w:left="1134" w:firstLine="567"/>
      </w:pPr>
      <w:r w:rsidRPr="008B2EFE">
        <w:rPr>
          <w:szCs w:val="28"/>
        </w:rPr>
        <w:t>(b)</w:t>
      </w:r>
      <w:r w:rsidRPr="008B2EFE">
        <w:rPr>
          <w:szCs w:val="28"/>
        </w:rPr>
        <w:tab/>
      </w:r>
      <w:r w:rsidR="00B44B73" w:rsidRPr="008B2EFE">
        <w:t>Maintain</w:t>
      </w:r>
      <w:r w:rsidR="00B44B73">
        <w:t>ing</w:t>
      </w:r>
      <w:r w:rsidR="00B44B73" w:rsidRPr="008B2EFE">
        <w:t xml:space="preserve"> meeting records and arrang</w:t>
      </w:r>
      <w:r w:rsidR="00B44B73">
        <w:t>ing</w:t>
      </w:r>
      <w:r w:rsidR="00B44B73" w:rsidRPr="008B2EFE">
        <w:t xml:space="preserve"> for the storage and preservation of documents of meetings</w:t>
      </w:r>
      <w:r w:rsidR="00B44B73">
        <w:t xml:space="preserve"> of the KCI</w:t>
      </w:r>
      <w:r w:rsidR="00B44B73" w:rsidRPr="008B2EFE">
        <w:t>;</w:t>
      </w:r>
    </w:p>
    <w:p w14:paraId="68E30B3B" w14:textId="2B5C9340" w:rsidR="00B44B73" w:rsidRPr="008B2EFE" w:rsidRDefault="00356A49" w:rsidP="00356A49">
      <w:pPr>
        <w:pStyle w:val="RegSingleTxtG2"/>
        <w:tabs>
          <w:tab w:val="left" w:pos="1702"/>
        </w:tabs>
        <w:ind w:left="1134" w:firstLine="567"/>
      </w:pPr>
      <w:r w:rsidRPr="008B2EFE">
        <w:rPr>
          <w:szCs w:val="28"/>
        </w:rPr>
        <w:lastRenderedPageBreak/>
        <w:t>(c)</w:t>
      </w:r>
      <w:r w:rsidRPr="008B2EFE">
        <w:rPr>
          <w:szCs w:val="28"/>
        </w:rPr>
        <w:tab/>
      </w:r>
      <w:r w:rsidR="00B44B73">
        <w:t>Making documents of meetings of the KCI available to the public, unless otherwise decided by the KCI.</w:t>
      </w:r>
    </w:p>
    <w:p w14:paraId="6932CF5E" w14:textId="7F1A347D" w:rsidR="00B44B73" w:rsidRPr="008B2EFE" w:rsidRDefault="00356A49" w:rsidP="00356A49">
      <w:pPr>
        <w:pStyle w:val="RegSingleTxtG"/>
        <w:ind w:left="1134"/>
      </w:pPr>
      <w:r w:rsidRPr="008B2EFE">
        <w:t>21.</w:t>
      </w:r>
      <w:r w:rsidRPr="008B2EFE">
        <w:tab/>
      </w:r>
      <w:r w:rsidR="00B44B73" w:rsidRPr="008B2EFE">
        <w:t>The secretariat shall</w:t>
      </w:r>
      <w:r w:rsidR="00B44B73">
        <w:t xml:space="preserve"> assist the KCI in tracking its actions, in accordance with the workplan of the </w:t>
      </w:r>
      <w:r w:rsidR="00B44B73" w:rsidRPr="002022D1">
        <w:t xml:space="preserve">forum and its </w:t>
      </w:r>
      <w:r w:rsidR="00B44B73" w:rsidRPr="00C10811">
        <w:t>KCI</w:t>
      </w:r>
      <w:r w:rsidR="00B44B73">
        <w:t>,</w:t>
      </w:r>
      <w:r w:rsidR="00B44B73" w:rsidRPr="00C10811">
        <w:t xml:space="preserve"> in its annual report</w:t>
      </w:r>
      <w:r w:rsidR="00B44B73">
        <w:t>.</w:t>
      </w:r>
    </w:p>
    <w:p w14:paraId="5D4A296E" w14:textId="68A4388C" w:rsidR="00B44B73" w:rsidRDefault="00356A49" w:rsidP="00356A49">
      <w:pPr>
        <w:pStyle w:val="RegSingleTxtG"/>
        <w:ind w:left="1134"/>
      </w:pPr>
      <w:r>
        <w:t>22.</w:t>
      </w:r>
      <w:r>
        <w:tab/>
      </w:r>
      <w:r w:rsidR="00B44B73" w:rsidRPr="008B2EFE">
        <w:t>In addition, the secretariat shall perform any other functions assigned</w:t>
      </w:r>
      <w:r w:rsidR="00B44B73">
        <w:t xml:space="preserve"> by the KCI, in accordance with the workplan of the </w:t>
      </w:r>
      <w:r w:rsidR="00B44B73" w:rsidRPr="002022D1">
        <w:t>forum and its KCI.</w:t>
      </w:r>
      <w:r w:rsidR="00B44B73">
        <w:t xml:space="preserve"> </w:t>
      </w:r>
    </w:p>
    <w:p w14:paraId="01244A77" w14:textId="1C9A5B10" w:rsidR="00B44B73" w:rsidRPr="008B2EFE" w:rsidRDefault="00356A49" w:rsidP="00356A49">
      <w:pPr>
        <w:pStyle w:val="RegHChG"/>
        <w:tabs>
          <w:tab w:val="left" w:pos="1135"/>
        </w:tabs>
        <w:ind w:left="1135" w:hanging="454"/>
      </w:pPr>
      <w:r w:rsidRPr="008B2EFE">
        <w:t>VI.</w:t>
      </w:r>
      <w:r w:rsidRPr="008B2EFE">
        <w:tab/>
      </w:r>
      <w:r w:rsidR="00B44B73" w:rsidRPr="008B2EFE">
        <w:t>Meetings</w:t>
      </w:r>
    </w:p>
    <w:p w14:paraId="6849611D" w14:textId="269AD2EB" w:rsidR="00B44B73" w:rsidRDefault="00356A49" w:rsidP="00356A49">
      <w:pPr>
        <w:pStyle w:val="RegSingleTxtG"/>
        <w:ind w:left="1134"/>
      </w:pPr>
      <w:r>
        <w:t>23.</w:t>
      </w:r>
      <w:r>
        <w:tab/>
      </w:r>
      <w:r w:rsidR="00B44B73">
        <w:t xml:space="preserve">The KCI shall meet twice per year, for two days per meeting, </w:t>
      </w:r>
      <w:r w:rsidR="00B44B73" w:rsidRPr="008B2EFE">
        <w:t xml:space="preserve">in conjunction with the </w:t>
      </w:r>
      <w:r w:rsidR="00B44B73">
        <w:t xml:space="preserve">sessions of the </w:t>
      </w:r>
      <w:r w:rsidR="00B44B73" w:rsidRPr="008B2EFE">
        <w:t>subsidiary bod</w:t>
      </w:r>
      <w:r w:rsidR="00B44B73">
        <w:t>ies.</w:t>
      </w:r>
    </w:p>
    <w:p w14:paraId="621F83FB" w14:textId="38015807" w:rsidR="00B44B73" w:rsidRDefault="00356A49" w:rsidP="00356A49">
      <w:pPr>
        <w:pStyle w:val="RegSingleTxtG"/>
        <w:ind w:left="1134"/>
      </w:pPr>
      <w:r>
        <w:t>24.</w:t>
      </w:r>
      <w:r>
        <w:tab/>
      </w:r>
      <w:r w:rsidR="00B44B73">
        <w:t>At least nine members of the KCI must be present to constitute a quorum.</w:t>
      </w:r>
    </w:p>
    <w:p w14:paraId="6E170F72" w14:textId="33E6CADD" w:rsidR="00B44B73" w:rsidRDefault="00356A49" w:rsidP="00356A49">
      <w:pPr>
        <w:pStyle w:val="RegSingleTxtG"/>
        <w:ind w:left="1134"/>
      </w:pPr>
      <w:r>
        <w:t>25.</w:t>
      </w:r>
      <w:r>
        <w:tab/>
      </w:r>
      <w:r w:rsidR="00B44B73" w:rsidRPr="008B2EFE">
        <w:t>Members are requested to confirm their attendance at meetings of the KCI as early</w:t>
      </w:r>
      <w:r w:rsidR="00B44B73">
        <w:t xml:space="preserve"> </w:t>
      </w:r>
      <w:r w:rsidR="00B44B73" w:rsidRPr="008B2EFE">
        <w:t>as possible</w:t>
      </w:r>
      <w:r w:rsidR="00B44B73">
        <w:t>,</w:t>
      </w:r>
      <w:r w:rsidR="00B44B73" w:rsidRPr="008B2EFE">
        <w:t xml:space="preserve"> and at least four weeks prior to a meeting for members eligible for funding for</w:t>
      </w:r>
      <w:r w:rsidR="00B44B73">
        <w:t xml:space="preserve"> </w:t>
      </w:r>
      <w:r w:rsidR="00B44B73" w:rsidRPr="008B2EFE">
        <w:t>their participation</w:t>
      </w:r>
      <w:r w:rsidR="00B44B73">
        <w:t>,</w:t>
      </w:r>
      <w:r w:rsidR="00B44B73" w:rsidRPr="008B2EFE">
        <w:t xml:space="preserve"> to enable sufficient time for the secretariat to make the necessary travel</w:t>
      </w:r>
      <w:r w:rsidR="00B44B73">
        <w:t xml:space="preserve"> </w:t>
      </w:r>
      <w:r w:rsidR="00B44B73" w:rsidRPr="008B2EFE">
        <w:t>arrangements.</w:t>
      </w:r>
    </w:p>
    <w:p w14:paraId="05B86B66" w14:textId="5631145B" w:rsidR="00B44B73" w:rsidRDefault="00356A49" w:rsidP="00356A49">
      <w:pPr>
        <w:pStyle w:val="RegSingleTxtG"/>
        <w:ind w:left="1134"/>
      </w:pPr>
      <w:r>
        <w:t>26.</w:t>
      </w:r>
      <w:r>
        <w:tab/>
      </w:r>
      <w:r w:rsidR="00B44B73">
        <w:t>Should technical and financial resources permit, open meetings of the KCI shall be webcast through the UNFCCC website.</w:t>
      </w:r>
    </w:p>
    <w:p w14:paraId="0EFCD996" w14:textId="57D9B63D" w:rsidR="00B44B73" w:rsidRPr="008B2EFE" w:rsidRDefault="00356A49" w:rsidP="00356A49">
      <w:pPr>
        <w:pStyle w:val="RegSingleTxtG"/>
        <w:ind w:left="1134"/>
      </w:pPr>
      <w:r w:rsidRPr="008B2EFE">
        <w:t>27.</w:t>
      </w:r>
      <w:r w:rsidRPr="008B2EFE">
        <w:tab/>
      </w:r>
      <w:r w:rsidR="00B44B73">
        <w:t>At each of its meetings, the KCI shall propose the dates of its next meeting. The Co-Chairs will agree the dates of the next meeting in consultation with the secretariat.</w:t>
      </w:r>
    </w:p>
    <w:p w14:paraId="15340572" w14:textId="1CD2A391" w:rsidR="00B44B73" w:rsidRPr="008B2EFE" w:rsidRDefault="00356A49" w:rsidP="00356A49">
      <w:pPr>
        <w:pStyle w:val="RegHChG"/>
        <w:tabs>
          <w:tab w:val="left" w:pos="1135"/>
        </w:tabs>
        <w:ind w:left="1135" w:hanging="454"/>
      </w:pPr>
      <w:r w:rsidRPr="008B2EFE">
        <w:t>VII.</w:t>
      </w:r>
      <w:r w:rsidRPr="008B2EFE">
        <w:tab/>
      </w:r>
      <w:r w:rsidR="00B44B73" w:rsidRPr="008B2EFE">
        <w:t>Agenda and documentation for meetings</w:t>
      </w:r>
    </w:p>
    <w:p w14:paraId="07C19180" w14:textId="023DEDA6" w:rsidR="00B44B73" w:rsidRDefault="00356A49" w:rsidP="00356A49">
      <w:pPr>
        <w:pStyle w:val="RegSingleTxtG"/>
        <w:ind w:left="1134"/>
      </w:pPr>
      <w:r>
        <w:t>28.</w:t>
      </w:r>
      <w:r>
        <w:tab/>
      </w:r>
      <w:r w:rsidR="00B44B73" w:rsidRPr="008B2EFE">
        <w:t xml:space="preserve">The </w:t>
      </w:r>
      <w:r w:rsidR="00B44B73">
        <w:t>C</w:t>
      </w:r>
      <w:r w:rsidR="00B44B73" w:rsidRPr="008B2EFE">
        <w:t>o-</w:t>
      </w:r>
      <w:r w:rsidR="00B44B73">
        <w:t>C</w:t>
      </w:r>
      <w:r w:rsidR="00B44B73" w:rsidRPr="008B2EFE">
        <w:t xml:space="preserve">hairs, assisted by the secretariat, </w:t>
      </w:r>
      <w:r w:rsidR="00B44B73">
        <w:t xml:space="preserve">shall </w:t>
      </w:r>
      <w:r w:rsidR="00B44B73" w:rsidRPr="008B2EFE">
        <w:t>prepare the provisional</w:t>
      </w:r>
      <w:r w:rsidR="00B44B73">
        <w:t xml:space="preserve"> agenda and provisional annotated</w:t>
      </w:r>
      <w:r w:rsidR="00B44B73" w:rsidRPr="008B2EFE">
        <w:t xml:space="preserve"> agenda for each meeting</w:t>
      </w:r>
      <w:r w:rsidR="00B44B73">
        <w:t xml:space="preserve"> of the KCI in accordance with the </w:t>
      </w:r>
      <w:r w:rsidR="00B44B73" w:rsidRPr="00B00BC6">
        <w:t xml:space="preserve">workplan of the </w:t>
      </w:r>
      <w:r w:rsidR="00B44B73" w:rsidRPr="002022D1">
        <w:t>forum and its KCI</w:t>
      </w:r>
      <w:r w:rsidR="00B44B73">
        <w:t xml:space="preserve">. The Co-Chairs will prepare a report on the meeting, to be agreed by members, and this will be made available on the UNFCCC website. The Co-Chairs will report back to the forum on the meeting of the KCI. </w:t>
      </w:r>
    </w:p>
    <w:p w14:paraId="27F79FFC" w14:textId="65D39D14" w:rsidR="00B44B73" w:rsidRDefault="00356A49" w:rsidP="00356A49">
      <w:pPr>
        <w:pStyle w:val="RegSingleTxtG"/>
        <w:ind w:left="1134"/>
      </w:pPr>
      <w:r>
        <w:t>29.</w:t>
      </w:r>
      <w:r>
        <w:tab/>
      </w:r>
      <w:r w:rsidR="00B44B73">
        <w:t xml:space="preserve">The provisional agenda and provisional annotated agenda for each meeting shall be transmitted to the members of the KCI at least four weeks in advance of the meeting. </w:t>
      </w:r>
    </w:p>
    <w:p w14:paraId="61C16122" w14:textId="267807E5" w:rsidR="00B44B73" w:rsidRDefault="00356A49" w:rsidP="00356A49">
      <w:pPr>
        <w:pStyle w:val="RegSingleTxtG"/>
        <w:ind w:left="1134"/>
      </w:pPr>
      <w:r>
        <w:t>30.</w:t>
      </w:r>
      <w:r>
        <w:tab/>
      </w:r>
      <w:r w:rsidR="00B44B73">
        <w:t xml:space="preserve">Members may propose additions or changes to the provisional agenda and provisional annotated agenda, in writing, to the secretariat within one week of receiving the documents, and these additions or changes shall be considered for a revised provisional agenda and provisional annotated agenda by the secretariat in agreement with the Co-Chairs. </w:t>
      </w:r>
    </w:p>
    <w:p w14:paraId="52B84658" w14:textId="33F0584B" w:rsidR="00B44B73" w:rsidRPr="008B2EFE" w:rsidRDefault="00356A49" w:rsidP="00356A49">
      <w:pPr>
        <w:pStyle w:val="RegSingleTxtG"/>
        <w:ind w:left="1134"/>
      </w:pPr>
      <w:r w:rsidRPr="008B2EFE">
        <w:t>31.</w:t>
      </w:r>
      <w:r w:rsidRPr="008B2EFE">
        <w:tab/>
      </w:r>
      <w:r w:rsidR="00B44B73" w:rsidRPr="008B2EFE">
        <w:t xml:space="preserve">The secretariat shall transmit the provisional </w:t>
      </w:r>
      <w:r w:rsidR="00B44B73">
        <w:t xml:space="preserve">agenda and provisional </w:t>
      </w:r>
      <w:r w:rsidR="00B44B73" w:rsidRPr="008B2EFE">
        <w:t>annotated agenda and</w:t>
      </w:r>
      <w:r w:rsidR="00B44B73">
        <w:t xml:space="preserve"> </w:t>
      </w:r>
      <w:r w:rsidR="00B44B73" w:rsidRPr="008B2EFE">
        <w:t xml:space="preserve">any supporting documentation to the </w:t>
      </w:r>
      <w:r w:rsidR="00B44B73" w:rsidRPr="00483AEE">
        <w:t>members at least two weeks prior to</w:t>
      </w:r>
      <w:r w:rsidR="00B44B73" w:rsidRPr="008B2EFE">
        <w:t xml:space="preserve"> </w:t>
      </w:r>
      <w:r w:rsidR="00B44B73">
        <w:t>a</w:t>
      </w:r>
      <w:r w:rsidR="00B44B73" w:rsidRPr="008B2EFE">
        <w:t xml:space="preserve"> meeting. Documents may be transmitted after that date with the approval of the </w:t>
      </w:r>
      <w:r w:rsidR="00B44B73">
        <w:t>C</w:t>
      </w:r>
      <w:r w:rsidR="00B44B73" w:rsidRPr="008B2EFE">
        <w:t>o-</w:t>
      </w:r>
      <w:r w:rsidR="00B44B73">
        <w:t>C</w:t>
      </w:r>
      <w:r w:rsidR="00B44B73" w:rsidRPr="008B2EFE">
        <w:t xml:space="preserve">hairs. </w:t>
      </w:r>
    </w:p>
    <w:p w14:paraId="026F7484" w14:textId="78A38348" w:rsidR="00B44B73" w:rsidRDefault="00356A49" w:rsidP="00356A49">
      <w:pPr>
        <w:pStyle w:val="RegSingleTxtG"/>
        <w:ind w:left="1134"/>
      </w:pPr>
      <w:r>
        <w:t>32.</w:t>
      </w:r>
      <w:r>
        <w:tab/>
      </w:r>
      <w:r w:rsidR="00B44B73" w:rsidRPr="008B2EFE">
        <w:t xml:space="preserve">Documents for a meeting shall be published on the UNFCCC </w:t>
      </w:r>
      <w:r w:rsidR="00B44B73" w:rsidRPr="00BF4A2E">
        <w:t>website at least two</w:t>
      </w:r>
      <w:r w:rsidR="00B44B73" w:rsidRPr="008B2EFE">
        <w:t xml:space="preserve"> weeks prior to that meeting</w:t>
      </w:r>
      <w:r w:rsidR="00B44B73">
        <w:t>,</w:t>
      </w:r>
      <w:r w:rsidR="00B44B73" w:rsidRPr="004F0EA8">
        <w:t xml:space="preserve"> </w:t>
      </w:r>
      <w:r w:rsidR="00B44B73">
        <w:t>to the extent possible.</w:t>
      </w:r>
      <w:r w:rsidR="00B44B73" w:rsidRPr="00E11F80">
        <w:t xml:space="preserve"> </w:t>
      </w:r>
    </w:p>
    <w:p w14:paraId="08D59791" w14:textId="5EB248E6" w:rsidR="00B44B73" w:rsidRDefault="00356A49" w:rsidP="00356A49">
      <w:pPr>
        <w:pStyle w:val="RegSingleTxtG"/>
        <w:ind w:left="1134"/>
      </w:pPr>
      <w:r>
        <w:t>33.</w:t>
      </w:r>
      <w:r>
        <w:tab/>
      </w:r>
      <w:r w:rsidR="00B44B73" w:rsidRPr="008B2EFE">
        <w:t>The KCI shall, at the beginning of each meeting, adopt the agenda</w:t>
      </w:r>
      <w:r w:rsidR="00B44B73">
        <w:t xml:space="preserve"> for that meeting.</w:t>
      </w:r>
    </w:p>
    <w:p w14:paraId="05243E38" w14:textId="21DE0D55" w:rsidR="00B44B73" w:rsidRDefault="00356A49" w:rsidP="00356A49">
      <w:pPr>
        <w:pStyle w:val="RegSingleTxtG"/>
        <w:ind w:left="1134"/>
      </w:pPr>
      <w:r>
        <w:t>34.</w:t>
      </w:r>
      <w:r>
        <w:tab/>
      </w:r>
      <w:r w:rsidR="00B44B73">
        <w:t>The CMA decided that members of the KCI shall prepare an annual report for consideration by the forum with a view to making recommendations for consideration by the SBSTA and the SBI, which, in turn, are to recommend actions to the Conference of the Parties (COP), the Conference of the Parties serving as the meeting of the Parties to the Kyoto Protocol (CMP)</w:t>
      </w:r>
      <w:r w:rsidR="00B44B73" w:rsidDel="0089053E">
        <w:t xml:space="preserve"> and the CMA</w:t>
      </w:r>
      <w:r w:rsidR="00B44B73">
        <w:t xml:space="preserve"> for their consideration and adoption.</w:t>
      </w:r>
      <w:r w:rsidR="00B44B73" w:rsidRPr="00C11253">
        <w:rPr>
          <w:rStyle w:val="FootnoteReference"/>
        </w:rPr>
        <w:footnoteReference w:id="20"/>
      </w:r>
      <w:r w:rsidR="00B44B73" w:rsidRPr="00A14222">
        <w:t xml:space="preserve"> </w:t>
      </w:r>
    </w:p>
    <w:p w14:paraId="5A7398B7" w14:textId="345AFE64" w:rsidR="00B44B73" w:rsidRDefault="00356A49" w:rsidP="00356A49">
      <w:pPr>
        <w:pStyle w:val="RegSingleTxtG"/>
        <w:ind w:left="1134"/>
      </w:pPr>
      <w:r>
        <w:t>35.</w:t>
      </w:r>
      <w:r>
        <w:tab/>
      </w:r>
      <w:r w:rsidR="00B44B73" w:rsidRPr="00C82070">
        <w:t>This annual report shall be made available on the UNFCCC website</w:t>
      </w:r>
      <w:r w:rsidR="00B44B73" w:rsidRPr="00725CE2">
        <w:t xml:space="preserve"> b</w:t>
      </w:r>
      <w:r w:rsidR="00AB120F">
        <w:t>efore</w:t>
      </w:r>
      <w:r w:rsidR="00B44B73" w:rsidRPr="00725CE2">
        <w:t xml:space="preserve"> the </w:t>
      </w:r>
      <w:r w:rsidR="00B44B73" w:rsidRPr="00C82070">
        <w:t xml:space="preserve">relevant </w:t>
      </w:r>
      <w:r w:rsidR="00B44B73">
        <w:t>sessions</w:t>
      </w:r>
      <w:r w:rsidR="00B44B73" w:rsidRPr="00C82070">
        <w:t xml:space="preserve"> of the</w:t>
      </w:r>
      <w:r w:rsidR="00B44B73">
        <w:t xml:space="preserve"> COP, the CMP</w:t>
      </w:r>
      <w:r w:rsidR="00B44B73" w:rsidRPr="00C82070" w:rsidDel="00897261">
        <w:t xml:space="preserve"> and the </w:t>
      </w:r>
      <w:r w:rsidR="00B44B73" w:rsidDel="00897261">
        <w:t>CMA</w:t>
      </w:r>
      <w:r w:rsidR="00B44B73" w:rsidRPr="00C82070">
        <w:t>.</w:t>
      </w:r>
    </w:p>
    <w:p w14:paraId="1FB67FC6" w14:textId="4AAEF0DC" w:rsidR="00B44B73" w:rsidRPr="003A58A0" w:rsidRDefault="00356A49" w:rsidP="00356A49">
      <w:pPr>
        <w:pStyle w:val="RegHChG"/>
        <w:tabs>
          <w:tab w:val="left" w:pos="1135"/>
        </w:tabs>
        <w:ind w:left="1135" w:hanging="454"/>
      </w:pPr>
      <w:r w:rsidRPr="003A58A0">
        <w:lastRenderedPageBreak/>
        <w:t>VIII.</w:t>
      </w:r>
      <w:r w:rsidRPr="003A58A0">
        <w:tab/>
      </w:r>
      <w:r w:rsidR="00B44B73" w:rsidRPr="003A58A0">
        <w:t>Decision-making</w:t>
      </w:r>
    </w:p>
    <w:p w14:paraId="375092F7" w14:textId="28E09488" w:rsidR="00B44B73" w:rsidRDefault="00356A49" w:rsidP="00356A49">
      <w:pPr>
        <w:pStyle w:val="RegSingleTxtG"/>
        <w:ind w:left="1134"/>
      </w:pPr>
      <w:r>
        <w:t>36.</w:t>
      </w:r>
      <w:r>
        <w:tab/>
      </w:r>
      <w:r w:rsidR="00B44B73" w:rsidRPr="007D637C">
        <w:t>The CMA decided</w:t>
      </w:r>
      <w:r w:rsidR="00B44B73">
        <w:t xml:space="preserve"> that the KCI shall operate on the basis of consensus of its members.</w:t>
      </w:r>
      <w:r w:rsidR="00B44B73" w:rsidRPr="00C11253">
        <w:rPr>
          <w:rStyle w:val="FootnoteReference"/>
        </w:rPr>
        <w:footnoteReference w:id="21"/>
      </w:r>
    </w:p>
    <w:p w14:paraId="2922E4E0" w14:textId="15C45AEB" w:rsidR="00B44B73" w:rsidRDefault="00356A49" w:rsidP="00356A49">
      <w:pPr>
        <w:pStyle w:val="RegSingleTxtG"/>
        <w:ind w:left="1134"/>
      </w:pPr>
      <w:r>
        <w:t>37.</w:t>
      </w:r>
      <w:r>
        <w:tab/>
      </w:r>
      <w:r w:rsidR="00B44B73">
        <w:t xml:space="preserve">The KCI may use electronic means to facilitate its work, as appropriate and in accordance with the workplan of </w:t>
      </w:r>
      <w:r w:rsidR="00B44B73" w:rsidRPr="00B00BC6">
        <w:t xml:space="preserve">the </w:t>
      </w:r>
      <w:r w:rsidR="00B44B73" w:rsidRPr="00180763">
        <w:t>forum and its KCI.</w:t>
      </w:r>
    </w:p>
    <w:p w14:paraId="3AB3225E" w14:textId="306B0C51" w:rsidR="00B44B73" w:rsidRPr="003A58A0" w:rsidRDefault="00356A49" w:rsidP="00356A49">
      <w:pPr>
        <w:pStyle w:val="RegHChG"/>
        <w:tabs>
          <w:tab w:val="left" w:pos="1135"/>
        </w:tabs>
        <w:ind w:left="1135" w:hanging="454"/>
      </w:pPr>
      <w:r w:rsidRPr="003A58A0">
        <w:t>IX.</w:t>
      </w:r>
      <w:r w:rsidRPr="003A58A0">
        <w:tab/>
      </w:r>
      <w:r w:rsidR="00B44B73" w:rsidRPr="003A58A0">
        <w:t>Working language</w:t>
      </w:r>
    </w:p>
    <w:p w14:paraId="053A4472" w14:textId="2E69EB0D" w:rsidR="00B44B73" w:rsidRPr="003A58A0" w:rsidRDefault="00356A49" w:rsidP="00356A49">
      <w:pPr>
        <w:pStyle w:val="RegSingleTxtG"/>
        <w:ind w:left="1134"/>
        <w:rPr>
          <w:bCs/>
        </w:rPr>
      </w:pPr>
      <w:r w:rsidRPr="003A58A0">
        <w:rPr>
          <w:bCs/>
        </w:rPr>
        <w:t>38.</w:t>
      </w:r>
      <w:r w:rsidRPr="003A58A0">
        <w:rPr>
          <w:bCs/>
        </w:rPr>
        <w:tab/>
      </w:r>
      <w:r w:rsidR="00B44B73" w:rsidRPr="003A58A0">
        <w:t>The working language of the KCI shall be English.</w:t>
      </w:r>
    </w:p>
    <w:p w14:paraId="27608A27" w14:textId="33ED3729" w:rsidR="00B44B73" w:rsidRPr="003A58A0" w:rsidRDefault="00356A49" w:rsidP="00356A49">
      <w:pPr>
        <w:pStyle w:val="RegHChG"/>
        <w:tabs>
          <w:tab w:val="left" w:pos="1135"/>
        </w:tabs>
        <w:ind w:left="1135" w:hanging="454"/>
      </w:pPr>
      <w:r w:rsidRPr="003A58A0">
        <w:t>X.</w:t>
      </w:r>
      <w:r w:rsidRPr="003A58A0">
        <w:tab/>
      </w:r>
      <w:r w:rsidR="00B44B73" w:rsidRPr="003A58A0">
        <w:t>Participation of expert advisers in meetings</w:t>
      </w:r>
    </w:p>
    <w:p w14:paraId="3DA0D19C" w14:textId="271A3843" w:rsidR="00B44B73" w:rsidRDefault="00356A49" w:rsidP="00356A49">
      <w:pPr>
        <w:pStyle w:val="RegSingleTxtG"/>
        <w:ind w:left="1134"/>
      </w:pPr>
      <w:r>
        <w:t>39.</w:t>
      </w:r>
      <w:r>
        <w:tab/>
      </w:r>
      <w:r w:rsidR="00B44B73">
        <w:t>The KCI, in performing its mandate, should draw upon outside expertise at its meetings.</w:t>
      </w:r>
    </w:p>
    <w:p w14:paraId="5D962689" w14:textId="591C2091" w:rsidR="00B44B73" w:rsidRPr="00121BC2" w:rsidRDefault="00356A49" w:rsidP="00356A49">
      <w:pPr>
        <w:pStyle w:val="RegSingleTxtG"/>
        <w:ind w:left="1134"/>
      </w:pPr>
      <w:r w:rsidRPr="00121BC2">
        <w:t>40.</w:t>
      </w:r>
      <w:r w:rsidRPr="00121BC2">
        <w:tab/>
      </w:r>
      <w:r w:rsidR="00B44B73" w:rsidRPr="00121BC2">
        <w:t xml:space="preserve">The </w:t>
      </w:r>
      <w:r w:rsidR="00B44B73">
        <w:t>C</w:t>
      </w:r>
      <w:r w:rsidR="00B44B73" w:rsidRPr="00121BC2">
        <w:t>o-</w:t>
      </w:r>
      <w:r w:rsidR="00B44B73">
        <w:t>C</w:t>
      </w:r>
      <w:r w:rsidR="00B44B73" w:rsidRPr="00121BC2">
        <w:t>hairs may, in consultation with the KCI, invite representatives of international organizations</w:t>
      </w:r>
      <w:r w:rsidR="00B44B73">
        <w:t>,</w:t>
      </w:r>
      <w:r w:rsidR="00B44B73" w:rsidRPr="00121BC2">
        <w:t xml:space="preserve"> the private sector</w:t>
      </w:r>
      <w:r w:rsidR="00B44B73">
        <w:t>, academia</w:t>
      </w:r>
      <w:r w:rsidR="00B44B73" w:rsidRPr="00121BC2">
        <w:t xml:space="preserve"> and</w:t>
      </w:r>
      <w:r w:rsidR="00B44B73">
        <w:t>/or</w:t>
      </w:r>
      <w:r w:rsidR="00B44B73" w:rsidRPr="00121BC2">
        <w:t xml:space="preserve"> civil society to participate in a meeting of the KCI as expert advisers on specific issues under consideration at </w:t>
      </w:r>
      <w:r w:rsidR="00B44B73">
        <w:t>the</w:t>
      </w:r>
      <w:r w:rsidR="00B44B73" w:rsidRPr="00121BC2">
        <w:t xml:space="preserve"> meeting.</w:t>
      </w:r>
    </w:p>
    <w:p w14:paraId="64513FF1" w14:textId="6333E66F" w:rsidR="00B44B73" w:rsidRPr="00495E2F" w:rsidRDefault="00356A49" w:rsidP="00356A49">
      <w:pPr>
        <w:pStyle w:val="RegHChG"/>
        <w:tabs>
          <w:tab w:val="left" w:pos="1135"/>
        </w:tabs>
        <w:ind w:left="1135" w:hanging="454"/>
        <w:rPr>
          <w:bCs/>
        </w:rPr>
      </w:pPr>
      <w:r w:rsidRPr="00495E2F">
        <w:rPr>
          <w:bCs/>
        </w:rPr>
        <w:t>XI.</w:t>
      </w:r>
      <w:r w:rsidRPr="00495E2F">
        <w:rPr>
          <w:bCs/>
        </w:rPr>
        <w:tab/>
      </w:r>
      <w:r w:rsidR="00B44B73" w:rsidRPr="003A58A0">
        <w:t>Participation of observers</w:t>
      </w:r>
    </w:p>
    <w:p w14:paraId="1C0EE927" w14:textId="27AE4258" w:rsidR="00B44B73" w:rsidRDefault="00356A49" w:rsidP="00356A49">
      <w:pPr>
        <w:pStyle w:val="RegSingleTxtG"/>
        <w:ind w:left="1134"/>
      </w:pPr>
      <w:r>
        <w:t>41.</w:t>
      </w:r>
      <w:r>
        <w:tab/>
      </w:r>
      <w:r w:rsidR="00B44B73">
        <w:rPr>
          <w:rFonts w:eastAsia="Times New Roman"/>
        </w:rPr>
        <w:t>The CMA decided</w:t>
      </w:r>
      <w:r w:rsidR="00B44B73">
        <w:t xml:space="preserve"> that meetings of the KCI shall be open to attendance as observers by all Parties and accredited observer organizations, unless otherwise decided by the KCI.</w:t>
      </w:r>
      <w:r w:rsidR="00B44B73" w:rsidRPr="00C11253">
        <w:rPr>
          <w:rStyle w:val="FootnoteReference"/>
        </w:rPr>
        <w:footnoteReference w:id="22"/>
      </w:r>
      <w:r w:rsidR="00B44B73">
        <w:t xml:space="preserve"> </w:t>
      </w:r>
    </w:p>
    <w:p w14:paraId="03134687" w14:textId="74602667" w:rsidR="00B44B73" w:rsidRPr="003E345D" w:rsidRDefault="00356A49" w:rsidP="00356A49">
      <w:pPr>
        <w:pStyle w:val="RegSingleTxtG"/>
        <w:ind w:left="1134"/>
      </w:pPr>
      <w:r w:rsidRPr="003E345D">
        <w:t>42.</w:t>
      </w:r>
      <w:r w:rsidRPr="003E345D">
        <w:tab/>
      </w:r>
      <w:r w:rsidR="00B44B73" w:rsidRPr="003E345D">
        <w:t xml:space="preserve">The KCI may decide </w:t>
      </w:r>
      <w:r w:rsidR="00B44B73">
        <w:t>to close</w:t>
      </w:r>
      <w:r w:rsidR="00B44B73" w:rsidRPr="003E345D">
        <w:t xml:space="preserve"> a meeting or part thereof to observers</w:t>
      </w:r>
      <w:r w:rsidR="00B44B73">
        <w:t xml:space="preserve"> at any time</w:t>
      </w:r>
      <w:r w:rsidR="00B44B73" w:rsidRPr="003E345D">
        <w:t>.</w:t>
      </w:r>
    </w:p>
    <w:p w14:paraId="158555DA" w14:textId="54705455" w:rsidR="00B44B73" w:rsidRPr="003E345D" w:rsidRDefault="00356A49" w:rsidP="00356A49">
      <w:pPr>
        <w:pStyle w:val="RegSingleTxtG"/>
        <w:ind w:left="1134"/>
      </w:pPr>
      <w:r w:rsidRPr="003E345D">
        <w:t>43.</w:t>
      </w:r>
      <w:r w:rsidRPr="003E345D">
        <w:tab/>
      </w:r>
      <w:r w:rsidR="00B44B73" w:rsidRPr="003E345D">
        <w:t xml:space="preserve">The secretariat shall </w:t>
      </w:r>
      <w:r w:rsidR="00B44B73">
        <w:t>make the dates and venues of the meetings available</w:t>
      </w:r>
      <w:r w:rsidR="00B44B73" w:rsidRPr="003E345D">
        <w:t xml:space="preserve"> </w:t>
      </w:r>
      <w:r w:rsidR="00B44B73">
        <w:t xml:space="preserve">to the public to enable participation by observers. </w:t>
      </w:r>
    </w:p>
    <w:p w14:paraId="373B5780" w14:textId="361B67F8" w:rsidR="00B44B73" w:rsidRPr="008B2EFE" w:rsidRDefault="00356A49" w:rsidP="00356A49">
      <w:pPr>
        <w:pStyle w:val="RegSingleTxtG"/>
        <w:ind w:left="1134"/>
      </w:pPr>
      <w:r w:rsidRPr="008B2EFE">
        <w:t>44.</w:t>
      </w:r>
      <w:r w:rsidRPr="008B2EFE">
        <w:tab/>
      </w:r>
      <w:r w:rsidR="00B44B73" w:rsidRPr="008B2EFE">
        <w:t>Observers</w:t>
      </w:r>
      <w:r w:rsidR="00B44B73">
        <w:t xml:space="preserve"> may</w:t>
      </w:r>
      <w:r w:rsidR="00B44B73" w:rsidRPr="008B2EFE">
        <w:t xml:space="preserve">, with the agreement of the KCI, be invited to address the KCI on matters under consideration by the KCI. The </w:t>
      </w:r>
      <w:r w:rsidR="00B44B73">
        <w:t>C</w:t>
      </w:r>
      <w:r w:rsidR="00B44B73" w:rsidRPr="008B2EFE">
        <w:t>o-</w:t>
      </w:r>
      <w:r w:rsidR="00B44B73">
        <w:t>C</w:t>
      </w:r>
      <w:r w:rsidR="00B44B73" w:rsidRPr="008B2EFE">
        <w:t xml:space="preserve">hairs shall notify the KCI one week in advance of the meeting of </w:t>
      </w:r>
      <w:r w:rsidR="00B44B73">
        <w:t>any</w:t>
      </w:r>
      <w:r w:rsidR="00B44B73" w:rsidRPr="008B2EFE">
        <w:t xml:space="preserve"> proposed interventions by observers.</w:t>
      </w:r>
    </w:p>
    <w:p w14:paraId="7A98A908" w14:textId="4953FCF0" w:rsidR="00B44B73" w:rsidRDefault="00356A49" w:rsidP="00356A49">
      <w:pPr>
        <w:pStyle w:val="RegSingleTxtG"/>
        <w:ind w:left="1134"/>
      </w:pPr>
      <w:r>
        <w:t>45.</w:t>
      </w:r>
      <w:r>
        <w:tab/>
      </w:r>
      <w:r w:rsidR="00B44B73">
        <w:t xml:space="preserve">The KCI may request </w:t>
      </w:r>
      <w:r w:rsidR="00B44B73" w:rsidRPr="008B2EFE">
        <w:t>intervention</w:t>
      </w:r>
      <w:r w:rsidR="00B44B73">
        <w:t>s</w:t>
      </w:r>
      <w:r w:rsidR="00B44B73" w:rsidRPr="008B2EFE">
        <w:t xml:space="preserve"> </w:t>
      </w:r>
      <w:r w:rsidR="00B44B73">
        <w:t xml:space="preserve">from observers throughout the meeting, as appropriate. </w:t>
      </w:r>
    </w:p>
    <w:p w14:paraId="4D998873" w14:textId="2E2129F9" w:rsidR="00B44B73" w:rsidRPr="003A58A0" w:rsidRDefault="00356A49" w:rsidP="00356A49">
      <w:pPr>
        <w:pStyle w:val="RegHChG"/>
        <w:tabs>
          <w:tab w:val="left" w:pos="1135"/>
        </w:tabs>
        <w:ind w:left="1135" w:hanging="454"/>
      </w:pPr>
      <w:r w:rsidRPr="003A58A0">
        <w:t>XII.</w:t>
      </w:r>
      <w:r w:rsidRPr="003A58A0">
        <w:tab/>
      </w:r>
      <w:r w:rsidR="00B44B73" w:rsidRPr="003A58A0">
        <w:t>Use of electronic means of communication</w:t>
      </w:r>
    </w:p>
    <w:p w14:paraId="16147707" w14:textId="11380B96" w:rsidR="00B44B73" w:rsidRDefault="00356A49" w:rsidP="00356A49">
      <w:pPr>
        <w:pStyle w:val="RegSingleTxtG"/>
        <w:ind w:left="1134"/>
      </w:pPr>
      <w:r>
        <w:t>46.</w:t>
      </w:r>
      <w:r>
        <w:tab/>
      </w:r>
      <w:r w:rsidR="00B44B73" w:rsidRPr="004E115A">
        <w:t>The KCI shall</w:t>
      </w:r>
      <w:r w:rsidR="00B44B73">
        <w:t xml:space="preserve"> </w:t>
      </w:r>
      <w:r w:rsidR="00B44B73" w:rsidRPr="004E115A">
        <w:t>use electronic means of communication to facilitate intersessional work</w:t>
      </w:r>
      <w:r w:rsidR="00B44B73">
        <w:rPr>
          <w:rFonts w:eastAsia="Times New Roman"/>
        </w:rPr>
        <w:t xml:space="preserve">, as appropriate and in accordance with the workplan of the </w:t>
      </w:r>
      <w:r w:rsidR="00B44B73" w:rsidRPr="002022D1">
        <w:rPr>
          <w:rFonts w:eastAsia="Times New Roman"/>
        </w:rPr>
        <w:t>forum and its KCI</w:t>
      </w:r>
      <w:r w:rsidR="00B44B73" w:rsidRPr="002022D1">
        <w:t>. The secretariat shall ensure that a secure and dedicated web interface is e</w:t>
      </w:r>
      <w:r w:rsidR="00B44B73" w:rsidRPr="004E115A">
        <w:t>stablished and maintained to facilitate the work of the KCI.</w:t>
      </w:r>
    </w:p>
    <w:p w14:paraId="2A26F374" w14:textId="2D939140" w:rsidR="00B44B73" w:rsidRPr="00725CE2" w:rsidRDefault="00356A49" w:rsidP="00356A49">
      <w:pPr>
        <w:pStyle w:val="RegHChG"/>
        <w:tabs>
          <w:tab w:val="left" w:pos="1135"/>
        </w:tabs>
        <w:ind w:left="1135" w:hanging="454"/>
      </w:pPr>
      <w:r w:rsidRPr="00725CE2">
        <w:t>XIII.</w:t>
      </w:r>
      <w:r w:rsidRPr="00725CE2">
        <w:tab/>
      </w:r>
      <w:r w:rsidR="00B44B73" w:rsidRPr="000D4DCA">
        <w:t>Working groups</w:t>
      </w:r>
    </w:p>
    <w:p w14:paraId="33566D8D" w14:textId="50F04BAA" w:rsidR="00B44B73" w:rsidRPr="001D0924" w:rsidRDefault="00356A49" w:rsidP="00356A49">
      <w:pPr>
        <w:pStyle w:val="RegSingleTxtG"/>
        <w:ind w:left="1134"/>
      </w:pPr>
      <w:r w:rsidRPr="001D0924">
        <w:t>47.</w:t>
      </w:r>
      <w:r w:rsidRPr="001D0924">
        <w:tab/>
      </w:r>
      <w:r w:rsidR="00B44B73" w:rsidRPr="001D0924">
        <w:t xml:space="preserve">The KCI may establish working groups among its members to support the forum in performing its functions. </w:t>
      </w:r>
      <w:r w:rsidR="00B44B73">
        <w:t xml:space="preserve">The working groups may receive inputs from experts, practitioners and relevant organizations in accordance with the workplan of </w:t>
      </w:r>
      <w:r w:rsidR="00B44B73" w:rsidRPr="002022D1">
        <w:t>the forum and its KCI and</w:t>
      </w:r>
      <w:r w:rsidR="00B44B73">
        <w:t xml:space="preserve"> in line with paragraphs 39–40 above.</w:t>
      </w:r>
    </w:p>
    <w:p w14:paraId="15B58DD8" w14:textId="5F4ABAE2" w:rsidR="00B44B73" w:rsidRPr="00A95971" w:rsidRDefault="00356A49" w:rsidP="00356A49">
      <w:pPr>
        <w:pStyle w:val="RegHChG"/>
        <w:tabs>
          <w:tab w:val="left" w:pos="1135"/>
        </w:tabs>
        <w:ind w:left="1135" w:hanging="454"/>
        <w:rPr>
          <w:b w:val="0"/>
        </w:rPr>
      </w:pPr>
      <w:r w:rsidRPr="00A95971">
        <w:lastRenderedPageBreak/>
        <w:t>XIV.</w:t>
      </w:r>
      <w:r w:rsidRPr="00A95971">
        <w:tab/>
      </w:r>
      <w:r w:rsidR="00B44B73" w:rsidRPr="00A95971">
        <w:t>Workplan</w:t>
      </w:r>
    </w:p>
    <w:p w14:paraId="710F6637" w14:textId="37CA19C0" w:rsidR="00B44B73" w:rsidRPr="00A95971" w:rsidRDefault="00356A49" w:rsidP="00356A49">
      <w:pPr>
        <w:pStyle w:val="RegSingleTxtG"/>
        <w:ind w:left="1134"/>
      </w:pPr>
      <w:r w:rsidRPr="00A95971">
        <w:t>48.</w:t>
      </w:r>
      <w:r w:rsidRPr="00A95971">
        <w:tab/>
      </w:r>
      <w:r w:rsidR="00B44B73">
        <w:t xml:space="preserve">The KCI will support the work of the forum in line with the workplan of the forum </w:t>
      </w:r>
      <w:r w:rsidR="00B44B73" w:rsidRPr="002022D1">
        <w:t>and its KCI.</w:t>
      </w:r>
    </w:p>
    <w:p w14:paraId="76D14882" w14:textId="1AB1F329" w:rsidR="00B44B73" w:rsidRPr="00495E2F" w:rsidRDefault="00356A49" w:rsidP="00356A49">
      <w:pPr>
        <w:pStyle w:val="RegHChG"/>
        <w:tabs>
          <w:tab w:val="left" w:pos="1135"/>
        </w:tabs>
        <w:ind w:left="1135" w:hanging="454"/>
      </w:pPr>
      <w:r w:rsidRPr="00495E2F">
        <w:t>XV.</w:t>
      </w:r>
      <w:r w:rsidRPr="00495E2F">
        <w:tab/>
      </w:r>
      <w:r w:rsidR="00B44B73" w:rsidRPr="00495E2F">
        <w:t>Amendments to the rules of procedure</w:t>
      </w:r>
    </w:p>
    <w:p w14:paraId="55D79F3B" w14:textId="5E9F2742" w:rsidR="00B44B73" w:rsidRPr="00A14222" w:rsidRDefault="00356A49" w:rsidP="00356A49">
      <w:pPr>
        <w:pStyle w:val="RegSingleTxtG"/>
        <w:ind w:left="1134"/>
      </w:pPr>
      <w:r w:rsidRPr="00A14222">
        <w:t>49.</w:t>
      </w:r>
      <w:r w:rsidRPr="00A14222">
        <w:tab/>
      </w:r>
      <w:r w:rsidR="00B44B73">
        <w:t>The KCI may recommend amendments to these rules of procedure for consideration by the forum and approval by the subsidiary bodies.</w:t>
      </w:r>
    </w:p>
    <w:p w14:paraId="4C048BF3" w14:textId="7E31FC0B" w:rsidR="00B44B73" w:rsidRPr="00495E2F" w:rsidRDefault="00356A49" w:rsidP="00356A49">
      <w:pPr>
        <w:pStyle w:val="RegSingleTxtG"/>
        <w:ind w:left="1134"/>
      </w:pPr>
      <w:r w:rsidRPr="00495E2F">
        <w:t>50.</w:t>
      </w:r>
      <w:r w:rsidRPr="00495E2F">
        <w:tab/>
      </w:r>
      <w:r w:rsidR="00B44B73" w:rsidRPr="00495E2F">
        <w:t>Proposals and amendments to proposals for the rules of procedure may be introduced and submitted to the secretariat in writing by</w:t>
      </w:r>
      <w:r w:rsidR="00B44B73">
        <w:t xml:space="preserve"> KCI</w:t>
      </w:r>
      <w:r w:rsidR="00B44B73" w:rsidRPr="00495E2F">
        <w:t xml:space="preserve"> members; such proposals and amendments shall be circulated for consideration by all members of the KCI. </w:t>
      </w:r>
    </w:p>
    <w:p w14:paraId="6579CA3C" w14:textId="1B96AB2F" w:rsidR="00B44B73" w:rsidRDefault="00356A49" w:rsidP="00356A49">
      <w:pPr>
        <w:pStyle w:val="RegSingleTxtG"/>
        <w:ind w:left="1134"/>
      </w:pPr>
      <w:r>
        <w:t>51.</w:t>
      </w:r>
      <w:r>
        <w:tab/>
      </w:r>
      <w:r w:rsidR="00B44B73">
        <w:t>N</w:t>
      </w:r>
      <w:r w:rsidR="00B44B73" w:rsidRPr="00495E2F">
        <w:t xml:space="preserve">o proposal for the rules of procedure shall be discussed or put forward for a decision at any meeting unless copies have been circulated to the </w:t>
      </w:r>
      <w:r w:rsidR="00B44B73">
        <w:t xml:space="preserve">KCI </w:t>
      </w:r>
      <w:r w:rsidR="00B44B73" w:rsidRPr="00495E2F">
        <w:t>members no later than</w:t>
      </w:r>
      <w:r w:rsidR="00B44B73">
        <w:t xml:space="preserve"> </w:t>
      </w:r>
      <w:r w:rsidR="00B44B73">
        <w:rPr>
          <w:rFonts w:eastAsia="Times New Roman"/>
        </w:rPr>
        <w:t xml:space="preserve">two weeks </w:t>
      </w:r>
      <w:r w:rsidR="00B44B73">
        <w:t>before</w:t>
      </w:r>
      <w:r w:rsidR="00B44B73" w:rsidRPr="00495E2F">
        <w:t xml:space="preserve"> the meeting.</w:t>
      </w:r>
    </w:p>
    <w:p w14:paraId="0C503B4A" w14:textId="109E14F5" w:rsidR="00B44B73" w:rsidRPr="00725CE2" w:rsidRDefault="00356A49" w:rsidP="00356A49">
      <w:pPr>
        <w:pStyle w:val="RegHChG"/>
        <w:tabs>
          <w:tab w:val="left" w:pos="1135"/>
        </w:tabs>
        <w:ind w:left="1135" w:hanging="454"/>
        <w:rPr>
          <w:b w:val="0"/>
          <w:lang w:val="en-US" w:eastAsia="en-US"/>
        </w:rPr>
      </w:pPr>
      <w:r w:rsidRPr="00725CE2">
        <w:rPr>
          <w:lang w:val="en-US" w:eastAsia="en-US"/>
        </w:rPr>
        <w:t>XVI.</w:t>
      </w:r>
      <w:r w:rsidRPr="00725CE2">
        <w:rPr>
          <w:lang w:val="en-US" w:eastAsia="en-US"/>
        </w:rPr>
        <w:tab/>
      </w:r>
      <w:r w:rsidR="00B44B73">
        <w:rPr>
          <w:lang w:val="en-US" w:eastAsia="en-US"/>
        </w:rPr>
        <w:t xml:space="preserve">Overriding </w:t>
      </w:r>
      <w:r w:rsidR="00B44B73" w:rsidRPr="00A14222">
        <w:t>authority</w:t>
      </w:r>
      <w:r w:rsidR="00B44B73">
        <w:rPr>
          <w:lang w:val="en-US" w:eastAsia="en-US"/>
        </w:rPr>
        <w:t xml:space="preserve"> of the Convention, the Kyoto Protocol and the Paris Agreement</w:t>
      </w:r>
    </w:p>
    <w:p w14:paraId="7CFF310A" w14:textId="2D28C86F" w:rsidR="00B44B73" w:rsidRDefault="00356A49" w:rsidP="00356A49">
      <w:pPr>
        <w:pStyle w:val="RegSingleTxtG"/>
        <w:ind w:left="1134"/>
        <w:rPr>
          <w:lang w:val="en-US" w:eastAsia="en-US"/>
        </w:rPr>
      </w:pPr>
      <w:r>
        <w:rPr>
          <w:lang w:val="en-US" w:eastAsia="en-US"/>
        </w:rPr>
        <w:t>52.</w:t>
      </w:r>
      <w:r>
        <w:rPr>
          <w:lang w:val="en-US" w:eastAsia="en-US"/>
        </w:rPr>
        <w:tab/>
      </w:r>
      <w:r w:rsidR="00B44B73" w:rsidRPr="00E20F35">
        <w:rPr>
          <w:lang w:val="en-US" w:eastAsia="en-US"/>
        </w:rPr>
        <w:t>In the event of a conflict between any provision of these rules and any provis</w:t>
      </w:r>
      <w:r w:rsidR="00B44B73">
        <w:rPr>
          <w:lang w:val="en-US" w:eastAsia="en-US"/>
        </w:rPr>
        <w:t>i</w:t>
      </w:r>
      <w:r w:rsidR="00B44B73" w:rsidRPr="00E20F35">
        <w:rPr>
          <w:lang w:val="en-US" w:eastAsia="en-US"/>
        </w:rPr>
        <w:t>on of the Convention, the Kyoto Protocol</w:t>
      </w:r>
      <w:r w:rsidR="00B44B73" w:rsidRPr="00A41693">
        <w:rPr>
          <w:lang w:val="en-US" w:eastAsia="en-US"/>
        </w:rPr>
        <w:t xml:space="preserve"> or the Paris Agreement, </w:t>
      </w:r>
      <w:r w:rsidR="00B44B73">
        <w:rPr>
          <w:lang w:val="en-US" w:eastAsia="en-US"/>
        </w:rPr>
        <w:t xml:space="preserve">the provision of </w:t>
      </w:r>
      <w:r w:rsidR="00B44B73" w:rsidRPr="00A41693">
        <w:rPr>
          <w:lang w:val="en-US" w:eastAsia="en-US"/>
        </w:rPr>
        <w:t xml:space="preserve">the Convention, the Kyoto Protocol </w:t>
      </w:r>
      <w:r w:rsidR="00B44B73">
        <w:rPr>
          <w:lang w:val="en-US" w:eastAsia="en-US"/>
        </w:rPr>
        <w:t>or the Paris Agreement shall take precedence.</w:t>
      </w:r>
    </w:p>
    <w:p w14:paraId="7286AA04" w14:textId="77777777" w:rsidR="00B44B73" w:rsidDel="00F869C9" w:rsidRDefault="00B44B73" w:rsidP="00B44B73">
      <w:pPr>
        <w:pStyle w:val="HChG"/>
        <w:rPr>
          <w:b w:val="0"/>
          <w:sz w:val="26"/>
          <w:lang w:val="en-US"/>
        </w:rPr>
        <w:sectPr w:rsidR="00B44B73" w:rsidDel="00F869C9" w:rsidSect="006B523B">
          <w:headerReference w:type="even" r:id="rId35"/>
          <w:headerReference w:type="default" r:id="rId36"/>
          <w:footerReference w:type="even" r:id="rId37"/>
          <w:footerReference w:type="default" r:id="rId38"/>
          <w:footnotePr>
            <w:numRestart w:val="eachSect"/>
          </w:footnotePr>
          <w:pgSz w:w="11906" w:h="16838" w:code="9"/>
          <w:pgMar w:top="1417" w:right="1134" w:bottom="1134" w:left="1134" w:header="850" w:footer="567" w:gutter="0"/>
          <w:cols w:space="708"/>
          <w:docGrid w:linePitch="360"/>
        </w:sectPr>
      </w:pPr>
    </w:p>
    <w:p w14:paraId="54B953C2" w14:textId="5A231C16" w:rsidR="00B44B73" w:rsidRPr="007857BE" w:rsidRDefault="00B44B73" w:rsidP="00B44B73">
      <w:pPr>
        <w:pStyle w:val="HChG"/>
        <w:rPr>
          <w:lang w:val="en-US"/>
        </w:rPr>
      </w:pPr>
      <w:r w:rsidRPr="007857BE">
        <w:rPr>
          <w:lang w:val="en-US"/>
        </w:rPr>
        <w:lastRenderedPageBreak/>
        <w:t xml:space="preserve">Annex </w:t>
      </w:r>
      <w:r>
        <w:rPr>
          <w:lang w:val="en-US"/>
        </w:rPr>
        <w:t>II</w:t>
      </w:r>
    </w:p>
    <w:p w14:paraId="64CF2EBD" w14:textId="1F46AA5D" w:rsidR="00B44B73" w:rsidRPr="007857BE" w:rsidRDefault="00B44B73" w:rsidP="00B44B73">
      <w:pPr>
        <w:pStyle w:val="HChG"/>
        <w:rPr>
          <w:lang w:val="en-US"/>
        </w:rPr>
      </w:pPr>
      <w:r>
        <w:rPr>
          <w:lang w:val="en-US"/>
        </w:rPr>
        <w:tab/>
      </w:r>
      <w:r>
        <w:rPr>
          <w:lang w:val="en-US"/>
        </w:rPr>
        <w:tab/>
      </w:r>
      <w:r w:rsidRPr="007857BE">
        <w:rPr>
          <w:lang w:val="en-US"/>
        </w:rPr>
        <w:t xml:space="preserve">Workplan of the </w:t>
      </w:r>
      <w:r w:rsidRPr="00434598">
        <w:t xml:space="preserve">forum on the impact of the implementation of response measures and its Katowice Committee of Experts on the </w:t>
      </w:r>
      <w:r>
        <w:t>I</w:t>
      </w:r>
      <w:r w:rsidRPr="00434598">
        <w:t xml:space="preserve">mpacts of the </w:t>
      </w:r>
      <w:r>
        <w:t>I</w:t>
      </w:r>
      <w:r w:rsidRPr="00434598">
        <w:t xml:space="preserve">mplementation of </w:t>
      </w:r>
      <w:r>
        <w:t>R</w:t>
      </w:r>
      <w:r w:rsidRPr="00434598">
        <w:t xml:space="preserve">esponse </w:t>
      </w:r>
      <w:r>
        <w:t>M</w:t>
      </w:r>
      <w:r w:rsidRPr="00434598">
        <w:t>easures</w:t>
      </w:r>
      <w:r w:rsidR="00DB3FCD" w:rsidRPr="00AA2543">
        <w:rPr>
          <w:rStyle w:val="FootnoteReference"/>
          <w:sz w:val="24"/>
        </w:rPr>
        <w:footnoteReference w:id="23"/>
      </w:r>
    </w:p>
    <w:p w14:paraId="7B40ECC3" w14:textId="3C12FFD0" w:rsidR="00B44B73" w:rsidRPr="00552391" w:rsidRDefault="00B44B73" w:rsidP="00DE78EC">
      <w:pPr>
        <w:pStyle w:val="RegSingleTxtG"/>
        <w:ind w:left="1134" w:firstLine="567"/>
      </w:pPr>
      <w:r w:rsidRPr="00552391">
        <w:t>The Conference of the Parties, the Conference of the Parties serving as the meeting of the Parties to the Kyoto Protocol and the Conference of the Parties serving as the meeting of the Parties to the Paris Agreement recall</w:t>
      </w:r>
      <w:r>
        <w:t>:</w:t>
      </w:r>
    </w:p>
    <w:p w14:paraId="04C7E875" w14:textId="03E617B9" w:rsidR="00B44B73" w:rsidRPr="004F2FD4" w:rsidRDefault="00356A49" w:rsidP="00356A49">
      <w:pPr>
        <w:pStyle w:val="RegSingleTxtG2"/>
        <w:ind w:left="1134" w:firstLine="567"/>
        <w:rPr>
          <w:lang w:val="en-US"/>
        </w:rPr>
      </w:pPr>
      <w:r w:rsidRPr="004F2FD4">
        <w:rPr>
          <w:szCs w:val="28"/>
          <w:lang w:val="en-US"/>
        </w:rPr>
        <w:t>(a)</w:t>
      </w:r>
      <w:r w:rsidRPr="004F2FD4">
        <w:rPr>
          <w:szCs w:val="28"/>
          <w:lang w:val="en-US"/>
        </w:rPr>
        <w:tab/>
      </w:r>
      <w:r w:rsidR="00B44B73" w:rsidRPr="00D00838">
        <w:rPr>
          <w:lang w:val="en-US"/>
        </w:rPr>
        <w:t>D</w:t>
      </w:r>
      <w:r w:rsidR="00B44B73" w:rsidRPr="004F2FD4">
        <w:rPr>
          <w:lang w:val="en-US"/>
        </w:rPr>
        <w:t xml:space="preserve">ecision 7/CMA.1, paragraph 12, in </w:t>
      </w:r>
      <w:r w:rsidR="00B44B73" w:rsidRPr="00552391">
        <w:rPr>
          <w:lang w:val="en-US"/>
        </w:rPr>
        <w:t>which</w:t>
      </w:r>
      <w:r w:rsidR="00B44B73" w:rsidRPr="004F2FD4">
        <w:rPr>
          <w:lang w:val="en-US"/>
        </w:rPr>
        <w:t xml:space="preserve"> it was decided that the forum on the impact of the implementation of response measures shall </w:t>
      </w:r>
      <w:r w:rsidR="00B44B73" w:rsidRPr="00E930DB">
        <w:rPr>
          <w:lang w:val="en-US"/>
        </w:rPr>
        <w:t xml:space="preserve">provide recommendations for consideration by the subsidiary bodies with a view to the subsidiary bodies recommending actions </w:t>
      </w:r>
      <w:r w:rsidR="00B44B73" w:rsidRPr="004F2FD4">
        <w:rPr>
          <w:lang w:val="en-US"/>
        </w:rPr>
        <w:t>to the Conference of the Parties, the Conference of the Parties serving as the meeting of the Parties to the Kyoto Protocol and the Conference of the Parties serving as the meeting of the Parties to the Paris Agreement for consideration and adoption</w:t>
      </w:r>
      <w:r w:rsidR="009A2B1B">
        <w:rPr>
          <w:lang w:val="en-US"/>
        </w:rPr>
        <w:t>;</w:t>
      </w:r>
    </w:p>
    <w:p w14:paraId="042D8E79" w14:textId="6D69837C" w:rsidR="00B44B73" w:rsidRPr="00B566B4" w:rsidRDefault="00356A49" w:rsidP="00356A49">
      <w:pPr>
        <w:pStyle w:val="RegSingleTxtG2"/>
        <w:ind w:left="1134" w:firstLine="567"/>
        <w:rPr>
          <w:lang w:val="en-US"/>
        </w:rPr>
      </w:pPr>
      <w:r w:rsidRPr="00B566B4">
        <w:rPr>
          <w:szCs w:val="28"/>
          <w:lang w:val="en-US"/>
        </w:rPr>
        <w:t>(b)</w:t>
      </w:r>
      <w:r w:rsidRPr="00B566B4">
        <w:rPr>
          <w:szCs w:val="28"/>
          <w:lang w:val="en-US"/>
        </w:rPr>
        <w:tab/>
      </w:r>
      <w:r w:rsidR="00B44B73" w:rsidRPr="005578DE">
        <w:rPr>
          <w:lang w:val="en-US"/>
        </w:rPr>
        <w:t>D</w:t>
      </w:r>
      <w:r w:rsidR="00B44B73" w:rsidRPr="00B566B4">
        <w:rPr>
          <w:lang w:val="en-US"/>
        </w:rPr>
        <w:t>ecision 7/CMA.1</w:t>
      </w:r>
      <w:r w:rsidR="00B44B73">
        <w:rPr>
          <w:lang w:val="en-US"/>
        </w:rPr>
        <w:t>,</w:t>
      </w:r>
      <w:r w:rsidR="00B44B73" w:rsidRPr="00B566B4">
        <w:rPr>
          <w:lang w:val="en-US"/>
        </w:rPr>
        <w:t xml:space="preserve"> annex</w:t>
      </w:r>
      <w:r w:rsidR="00B44B73">
        <w:rPr>
          <w:lang w:val="en-US"/>
        </w:rPr>
        <w:t>,</w:t>
      </w:r>
      <w:r w:rsidR="00B44B73" w:rsidRPr="00B566B4">
        <w:rPr>
          <w:lang w:val="en-US"/>
        </w:rPr>
        <w:t xml:space="preserve"> para</w:t>
      </w:r>
      <w:r w:rsidR="00B44B73">
        <w:rPr>
          <w:lang w:val="en-US"/>
        </w:rPr>
        <w:t>graph</w:t>
      </w:r>
      <w:r w:rsidR="00B44B73" w:rsidRPr="00B566B4">
        <w:rPr>
          <w:lang w:val="en-US"/>
        </w:rPr>
        <w:t xml:space="preserve"> 4(j)</w:t>
      </w:r>
      <w:r w:rsidR="00B44B73">
        <w:rPr>
          <w:lang w:val="en-US"/>
        </w:rPr>
        <w:t>,</w:t>
      </w:r>
      <w:r w:rsidR="00B44B73" w:rsidRPr="00B566B4">
        <w:rPr>
          <w:lang w:val="en-US"/>
        </w:rPr>
        <w:t xml:space="preserve"> </w:t>
      </w:r>
      <w:r w:rsidR="00B44B73">
        <w:rPr>
          <w:lang w:val="en-US"/>
        </w:rPr>
        <w:t xml:space="preserve">in </w:t>
      </w:r>
      <w:r w:rsidR="00B44B73" w:rsidRPr="00B566B4">
        <w:rPr>
          <w:lang w:val="en-US"/>
        </w:rPr>
        <w:t>which</w:t>
      </w:r>
      <w:r w:rsidR="00B44B73">
        <w:rPr>
          <w:lang w:val="en-US"/>
        </w:rPr>
        <w:t xml:space="preserve"> it was</w:t>
      </w:r>
      <w:r w:rsidR="00B44B73" w:rsidRPr="00B566B4">
        <w:rPr>
          <w:lang w:val="en-US"/>
        </w:rPr>
        <w:t xml:space="preserve"> decided that the members of the </w:t>
      </w:r>
      <w:r w:rsidR="00B44B73" w:rsidRPr="00552391">
        <w:rPr>
          <w:lang w:val="en-US"/>
        </w:rPr>
        <w:t>Katowice Committee of Experts on the Impacts of the Implementation of Response Measures (</w:t>
      </w:r>
      <w:r w:rsidR="00B44B73" w:rsidRPr="00B566B4">
        <w:rPr>
          <w:lang w:val="en-US"/>
        </w:rPr>
        <w:t>KCI</w:t>
      </w:r>
      <w:r w:rsidR="00B44B73">
        <w:rPr>
          <w:lang w:val="en-US"/>
        </w:rPr>
        <w:t>)</w:t>
      </w:r>
      <w:r w:rsidR="00B44B73" w:rsidRPr="00B566B4">
        <w:rPr>
          <w:lang w:val="en-US"/>
        </w:rPr>
        <w:t xml:space="preserve"> shall prepare an annual report for </w:t>
      </w:r>
      <w:r w:rsidR="00B44B73">
        <w:rPr>
          <w:lang w:val="en-US"/>
        </w:rPr>
        <w:t xml:space="preserve">consideration by </w:t>
      </w:r>
      <w:r w:rsidR="00B44B73" w:rsidRPr="00B566B4">
        <w:rPr>
          <w:lang w:val="en-US"/>
        </w:rPr>
        <w:t xml:space="preserve">the forum with </w:t>
      </w:r>
      <w:r w:rsidR="00B44B73">
        <w:rPr>
          <w:lang w:val="en-US"/>
        </w:rPr>
        <w:t>a</w:t>
      </w:r>
      <w:r w:rsidR="00B44B73" w:rsidRPr="00B566B4">
        <w:rPr>
          <w:lang w:val="en-US"/>
        </w:rPr>
        <w:t xml:space="preserve"> view to making recommendations to the Conference of the Parties, the Conference of the Parties serving as the meeting of the Parties to the Kyoto Protocol and the Conference of the Parties serving as the meeting of the Parties to the Paris Agreement</w:t>
      </w:r>
      <w:r w:rsidR="009A2B1B">
        <w:rPr>
          <w:lang w:val="en-US"/>
        </w:rPr>
        <w:t>;</w:t>
      </w:r>
    </w:p>
    <w:p w14:paraId="62BF73BF" w14:textId="14005FD7" w:rsidR="00B44B73" w:rsidRDefault="00356A49" w:rsidP="00356A49">
      <w:pPr>
        <w:pStyle w:val="RegSingleTxtG2"/>
        <w:ind w:left="1134" w:firstLine="567"/>
        <w:rPr>
          <w:lang w:val="en-US"/>
        </w:rPr>
      </w:pPr>
      <w:r>
        <w:rPr>
          <w:szCs w:val="28"/>
          <w:lang w:val="en-US"/>
        </w:rPr>
        <w:t>(c)</w:t>
      </w:r>
      <w:r>
        <w:rPr>
          <w:szCs w:val="28"/>
          <w:lang w:val="en-US"/>
        </w:rPr>
        <w:tab/>
      </w:r>
      <w:r w:rsidR="00B44B73" w:rsidRPr="005578DE">
        <w:rPr>
          <w:lang w:val="en-US"/>
        </w:rPr>
        <w:t>D</w:t>
      </w:r>
      <w:r w:rsidR="00B44B73" w:rsidRPr="00B566B4">
        <w:rPr>
          <w:lang w:val="en-US"/>
        </w:rPr>
        <w:t>ecision 7/CMA.1</w:t>
      </w:r>
      <w:r w:rsidR="00B44B73">
        <w:rPr>
          <w:lang w:val="en-US"/>
        </w:rPr>
        <w:t>,</w:t>
      </w:r>
      <w:r w:rsidR="00B44B73" w:rsidRPr="00B566B4">
        <w:rPr>
          <w:lang w:val="en-US"/>
        </w:rPr>
        <w:t xml:space="preserve"> annex</w:t>
      </w:r>
      <w:r w:rsidR="00B44B73">
        <w:rPr>
          <w:lang w:val="en-US"/>
        </w:rPr>
        <w:t>,</w:t>
      </w:r>
      <w:r w:rsidR="00B44B73" w:rsidRPr="00B566B4">
        <w:rPr>
          <w:lang w:val="en-US"/>
        </w:rPr>
        <w:t xml:space="preserve"> para</w:t>
      </w:r>
      <w:r w:rsidR="00B44B73">
        <w:rPr>
          <w:lang w:val="en-US"/>
        </w:rPr>
        <w:t>graph</w:t>
      </w:r>
      <w:r w:rsidR="00B44B73" w:rsidRPr="00B566B4">
        <w:rPr>
          <w:lang w:val="en-US"/>
        </w:rPr>
        <w:t xml:space="preserve"> 5</w:t>
      </w:r>
      <w:r w:rsidR="00B44B73">
        <w:rPr>
          <w:lang w:val="en-US"/>
        </w:rPr>
        <w:t>,</w:t>
      </w:r>
      <w:r w:rsidR="00B44B73" w:rsidRPr="00B566B4">
        <w:rPr>
          <w:lang w:val="en-US"/>
        </w:rPr>
        <w:t xml:space="preserve"> </w:t>
      </w:r>
      <w:r w:rsidR="00B44B73">
        <w:rPr>
          <w:lang w:val="en-US"/>
        </w:rPr>
        <w:t>in</w:t>
      </w:r>
      <w:r w:rsidR="00B44B73" w:rsidRPr="00B566B4">
        <w:rPr>
          <w:lang w:val="en-US"/>
        </w:rPr>
        <w:t xml:space="preserve"> which </w:t>
      </w:r>
      <w:r w:rsidR="00B44B73">
        <w:rPr>
          <w:lang w:val="en-US"/>
        </w:rPr>
        <w:t xml:space="preserve">it was </w:t>
      </w:r>
      <w:r w:rsidR="00B44B73" w:rsidRPr="00B566B4">
        <w:rPr>
          <w:lang w:val="en-US"/>
        </w:rPr>
        <w:t xml:space="preserve">decided that the forum and </w:t>
      </w:r>
      <w:r w:rsidR="00B44B73">
        <w:rPr>
          <w:lang w:val="en-US"/>
        </w:rPr>
        <w:t xml:space="preserve">its </w:t>
      </w:r>
      <w:r w:rsidR="00B44B73" w:rsidRPr="00B566B4">
        <w:rPr>
          <w:lang w:val="en-US"/>
        </w:rPr>
        <w:t xml:space="preserve">KCI may use the following modalities, as appropriate and as decided on a case-by-case basis, in order to carry out the work </w:t>
      </w:r>
      <w:proofErr w:type="spellStart"/>
      <w:r w:rsidR="00B44B73" w:rsidRPr="00B566B4">
        <w:rPr>
          <w:lang w:val="en-US"/>
        </w:rPr>
        <w:t>programme</w:t>
      </w:r>
      <w:proofErr w:type="spellEnd"/>
      <w:r w:rsidR="00B44B73" w:rsidRPr="00B566B4">
        <w:rPr>
          <w:lang w:val="en-US"/>
        </w:rPr>
        <w:t xml:space="preserve"> of the forum:</w:t>
      </w:r>
    </w:p>
    <w:p w14:paraId="65C864A4" w14:textId="396C8A3F" w:rsidR="00B44B73" w:rsidRPr="00FF70D8" w:rsidRDefault="00356A49" w:rsidP="00356A49">
      <w:pPr>
        <w:pStyle w:val="RegSingleTxtG2"/>
        <w:ind w:left="1701"/>
        <w:rPr>
          <w:lang w:val="en-US"/>
        </w:rPr>
      </w:pPr>
      <w:r w:rsidRPr="00FF70D8">
        <w:rPr>
          <w:lang w:val="en-US"/>
        </w:rPr>
        <w:t>(</w:t>
      </w:r>
      <w:proofErr w:type="spellStart"/>
      <w:r w:rsidRPr="00FF70D8">
        <w:rPr>
          <w:lang w:val="en-US"/>
        </w:rPr>
        <w:t>i</w:t>
      </w:r>
      <w:proofErr w:type="spellEnd"/>
      <w:r w:rsidRPr="00FF70D8">
        <w:rPr>
          <w:lang w:val="en-US"/>
        </w:rPr>
        <w:t>)</w:t>
      </w:r>
      <w:r w:rsidRPr="00FF70D8">
        <w:rPr>
          <w:lang w:val="en-US"/>
        </w:rPr>
        <w:tab/>
      </w:r>
      <w:r w:rsidR="00B44B73" w:rsidRPr="00FF70D8">
        <w:rPr>
          <w:lang w:val="en-US"/>
        </w:rPr>
        <w:t>Building awareness and enhancing information-sharing through the exchange and sharing of experience and best practices;</w:t>
      </w:r>
    </w:p>
    <w:p w14:paraId="53C9C3E4" w14:textId="48F350B8" w:rsidR="00B44B73" w:rsidRPr="00FF70D8" w:rsidRDefault="00356A49" w:rsidP="00356A49">
      <w:pPr>
        <w:pStyle w:val="RegSingleTxtG2"/>
        <w:ind w:left="1701"/>
        <w:rPr>
          <w:lang w:val="en-US"/>
        </w:rPr>
      </w:pPr>
      <w:r w:rsidRPr="00FF70D8">
        <w:rPr>
          <w:lang w:val="en-US"/>
        </w:rPr>
        <w:t>(ii)</w:t>
      </w:r>
      <w:r w:rsidRPr="00FF70D8">
        <w:rPr>
          <w:lang w:val="en-US"/>
        </w:rPr>
        <w:tab/>
      </w:r>
      <w:r w:rsidR="00B44B73" w:rsidRPr="00FF70D8">
        <w:rPr>
          <w:lang w:val="en-US"/>
        </w:rPr>
        <w:t>Preparing technical papers, case studies, concrete examples and guidelines;</w:t>
      </w:r>
    </w:p>
    <w:p w14:paraId="7E6CD346" w14:textId="2673F10D" w:rsidR="00B44B73" w:rsidRPr="00FF70D8" w:rsidRDefault="00356A49" w:rsidP="00356A49">
      <w:pPr>
        <w:pStyle w:val="RegSingleTxtG2"/>
        <w:ind w:left="1701"/>
        <w:rPr>
          <w:lang w:val="en-US"/>
        </w:rPr>
      </w:pPr>
      <w:r w:rsidRPr="00FF70D8">
        <w:rPr>
          <w:lang w:val="en-US"/>
        </w:rPr>
        <w:t>(iii)</w:t>
      </w:r>
      <w:r w:rsidRPr="00FF70D8">
        <w:rPr>
          <w:lang w:val="en-US"/>
        </w:rPr>
        <w:tab/>
      </w:r>
      <w:r w:rsidR="00B44B73" w:rsidRPr="00FF70D8">
        <w:rPr>
          <w:lang w:val="en-US"/>
        </w:rPr>
        <w:t>Receiving input from experts, practitioners and relevant organizations;</w:t>
      </w:r>
    </w:p>
    <w:p w14:paraId="2FF20F47" w14:textId="14AF5C48" w:rsidR="00B44B73" w:rsidRPr="005F3400" w:rsidRDefault="00356A49" w:rsidP="00356A49">
      <w:pPr>
        <w:pStyle w:val="RegSingleTxtG2"/>
        <w:ind w:left="1701"/>
        <w:rPr>
          <w:lang w:val="en-US"/>
        </w:rPr>
      </w:pPr>
      <w:r w:rsidRPr="005F3400">
        <w:rPr>
          <w:lang w:val="en-US"/>
        </w:rPr>
        <w:t>(iv)</w:t>
      </w:r>
      <w:r w:rsidRPr="005F3400">
        <w:rPr>
          <w:lang w:val="en-US"/>
        </w:rPr>
        <w:tab/>
      </w:r>
      <w:r w:rsidR="00B44B73" w:rsidRPr="00FF70D8">
        <w:rPr>
          <w:lang w:val="en-US"/>
        </w:rPr>
        <w:t>Organizing workshops</w:t>
      </w:r>
      <w:r w:rsidR="00865411" w:rsidRPr="002E0E55">
        <w:rPr>
          <w:lang w:val="en-US"/>
        </w:rPr>
        <w:t>;</w:t>
      </w:r>
    </w:p>
    <w:p w14:paraId="7440F187" w14:textId="39A5475C" w:rsidR="00B44B73" w:rsidRPr="00B566B4" w:rsidRDefault="00356A49" w:rsidP="00356A49">
      <w:pPr>
        <w:pStyle w:val="RegSingleTxtG2"/>
        <w:ind w:left="1134" w:firstLine="567"/>
        <w:rPr>
          <w:lang w:val="en-US"/>
        </w:rPr>
      </w:pPr>
      <w:r w:rsidRPr="00B566B4">
        <w:rPr>
          <w:szCs w:val="28"/>
          <w:lang w:val="en-US"/>
        </w:rPr>
        <w:t>(d)</w:t>
      </w:r>
      <w:r w:rsidRPr="00B566B4">
        <w:rPr>
          <w:szCs w:val="28"/>
          <w:lang w:val="en-US"/>
        </w:rPr>
        <w:tab/>
      </w:r>
      <w:r w:rsidR="00B44B73" w:rsidRPr="005578DE">
        <w:rPr>
          <w:lang w:val="en-US"/>
        </w:rPr>
        <w:t>D</w:t>
      </w:r>
      <w:r w:rsidR="00B44B73" w:rsidRPr="00B566B4">
        <w:rPr>
          <w:lang w:val="en-US"/>
        </w:rPr>
        <w:t>ecision 7/CMA.1</w:t>
      </w:r>
      <w:r w:rsidR="00B44B73">
        <w:rPr>
          <w:lang w:val="en-US"/>
        </w:rPr>
        <w:t>,</w:t>
      </w:r>
      <w:r w:rsidR="00B44B73" w:rsidRPr="00B566B4">
        <w:rPr>
          <w:lang w:val="en-US"/>
        </w:rPr>
        <w:t xml:space="preserve"> para</w:t>
      </w:r>
      <w:r w:rsidR="00B44B73">
        <w:rPr>
          <w:lang w:val="en-US"/>
        </w:rPr>
        <w:t>graph</w:t>
      </w:r>
      <w:r w:rsidR="00B44B73" w:rsidRPr="00B566B4">
        <w:rPr>
          <w:lang w:val="en-US"/>
        </w:rPr>
        <w:t xml:space="preserve"> </w:t>
      </w:r>
      <w:r w:rsidR="00B44B73">
        <w:rPr>
          <w:lang w:val="en-US"/>
        </w:rPr>
        <w:t>10</w:t>
      </w:r>
      <w:r w:rsidR="00374E5D">
        <w:rPr>
          <w:lang w:val="en-US"/>
        </w:rPr>
        <w:t>,</w:t>
      </w:r>
      <w:r w:rsidR="00B44B73">
        <w:rPr>
          <w:lang w:val="en-US"/>
        </w:rPr>
        <w:t xml:space="preserve"> in which </w:t>
      </w:r>
      <w:r w:rsidR="00B44B73" w:rsidRPr="00B566B4">
        <w:rPr>
          <w:lang w:val="en-US"/>
        </w:rPr>
        <w:t xml:space="preserve">the </w:t>
      </w:r>
      <w:r w:rsidR="00B44B73">
        <w:rPr>
          <w:lang w:val="en-US"/>
        </w:rPr>
        <w:t>s</w:t>
      </w:r>
      <w:r w:rsidR="00B44B73" w:rsidRPr="00B566B4">
        <w:rPr>
          <w:lang w:val="en-US"/>
        </w:rPr>
        <w:t xml:space="preserve">ubsidiary </w:t>
      </w:r>
      <w:r w:rsidR="00B44B73">
        <w:rPr>
          <w:lang w:val="en-US"/>
        </w:rPr>
        <w:t>b</w:t>
      </w:r>
      <w:r w:rsidR="00B44B73" w:rsidRPr="00B566B4">
        <w:rPr>
          <w:lang w:val="en-US"/>
        </w:rPr>
        <w:t xml:space="preserve">odies </w:t>
      </w:r>
      <w:r w:rsidR="00B44B73">
        <w:rPr>
          <w:lang w:val="en-US"/>
        </w:rPr>
        <w:t>were</w:t>
      </w:r>
      <w:r w:rsidR="00B44B73" w:rsidRPr="00B566B4">
        <w:rPr>
          <w:lang w:val="en-US"/>
        </w:rPr>
        <w:t xml:space="preserve"> requested to conduct a </w:t>
      </w:r>
      <w:r w:rsidR="00B44B73">
        <w:rPr>
          <w:lang w:val="en-US"/>
        </w:rPr>
        <w:t>mid</w:t>
      </w:r>
      <w:r w:rsidR="00B44B73" w:rsidRPr="00B566B4">
        <w:rPr>
          <w:lang w:val="en-US"/>
        </w:rPr>
        <w:t xml:space="preserve">term review of the </w:t>
      </w:r>
      <w:r w:rsidR="00B44B73">
        <w:rPr>
          <w:lang w:val="en-US"/>
        </w:rPr>
        <w:t>work</w:t>
      </w:r>
      <w:r w:rsidR="00B44B73" w:rsidRPr="00B566B4">
        <w:rPr>
          <w:lang w:val="en-US"/>
        </w:rPr>
        <w:t>plan of the forum</w:t>
      </w:r>
      <w:r w:rsidR="009A2B1B">
        <w:rPr>
          <w:lang w:val="en-US"/>
        </w:rPr>
        <w:t>;</w:t>
      </w:r>
    </w:p>
    <w:p w14:paraId="386D5437" w14:textId="7A877520" w:rsidR="002A0C3E" w:rsidRPr="002A0C3E" w:rsidRDefault="00356A49" w:rsidP="00356A49">
      <w:pPr>
        <w:pStyle w:val="RegSingleTxtG2"/>
        <w:ind w:left="1134" w:firstLine="567"/>
        <w:rPr>
          <w:lang w:val="en-US"/>
        </w:rPr>
      </w:pPr>
      <w:r w:rsidRPr="002A0C3E">
        <w:rPr>
          <w:szCs w:val="28"/>
          <w:lang w:val="en-US"/>
        </w:rPr>
        <w:t>(e)</w:t>
      </w:r>
      <w:r w:rsidRPr="002A0C3E">
        <w:rPr>
          <w:szCs w:val="28"/>
          <w:lang w:val="en-US"/>
        </w:rPr>
        <w:tab/>
      </w:r>
      <w:r w:rsidR="00B44B73" w:rsidRPr="00015C9A">
        <w:rPr>
          <w:lang w:val="en-US"/>
        </w:rPr>
        <w:t xml:space="preserve">Decision 7/CMA.1, paragraph 9, in </w:t>
      </w:r>
      <w:r w:rsidR="00B44B73" w:rsidRPr="002A0C3E">
        <w:rPr>
          <w:lang w:val="en-US"/>
        </w:rPr>
        <w:t>which</w:t>
      </w:r>
      <w:r w:rsidR="00B44B73" w:rsidRPr="00015C9A">
        <w:rPr>
          <w:lang w:val="en-US"/>
        </w:rPr>
        <w:t xml:space="preserve"> it was decided that the forum shall develop and recommend a six-year workplan in line with the forum’s functions, work </w:t>
      </w:r>
      <w:proofErr w:type="spellStart"/>
      <w:r w:rsidR="00B44B73" w:rsidRPr="00015C9A">
        <w:rPr>
          <w:lang w:val="en-US"/>
        </w:rPr>
        <w:t>programme</w:t>
      </w:r>
      <w:proofErr w:type="spellEnd"/>
      <w:r w:rsidR="00B44B73" w:rsidRPr="00015C9A">
        <w:rPr>
          <w:lang w:val="en-US"/>
        </w:rPr>
        <w:t xml:space="preserve"> and modalities taking into account relevant policy issues of concern to Parties.</w:t>
      </w:r>
      <w:r w:rsidR="00B44B73" w:rsidRPr="00015C9A">
        <w:rPr>
          <w:i/>
          <w:lang w:val="en-US"/>
        </w:rPr>
        <w:t xml:space="preserve"> </w:t>
      </w:r>
    </w:p>
    <w:p w14:paraId="2B382A7C" w14:textId="40AB0089" w:rsidR="006F2072" w:rsidRPr="00015C9A" w:rsidRDefault="00700C82" w:rsidP="002A0C3E">
      <w:pPr>
        <w:rPr>
          <w:lang w:val="en-US"/>
        </w:rPr>
        <w:sectPr w:rsidR="006F2072" w:rsidRPr="00015C9A" w:rsidSect="006B523B">
          <w:headerReference w:type="even" r:id="rId39"/>
          <w:headerReference w:type="default" r:id="rId40"/>
          <w:footerReference w:type="default" r:id="rId41"/>
          <w:footnotePr>
            <w:numRestart w:val="eachSect"/>
          </w:footnotePr>
          <w:pgSz w:w="11906" w:h="16838" w:code="9"/>
          <w:pgMar w:top="1417" w:right="1134" w:bottom="1134" w:left="1134" w:header="850" w:footer="567" w:gutter="0"/>
          <w:cols w:space="708"/>
          <w:docGrid w:linePitch="360"/>
        </w:sectPr>
      </w:pPr>
      <w:r w:rsidRPr="00015C9A">
        <w:rPr>
          <w:lang w:val="en-US"/>
        </w:rPr>
        <w:tab/>
      </w:r>
    </w:p>
    <w:p w14:paraId="37FAC01A" w14:textId="1DD95D53" w:rsidR="00B44B73" w:rsidRPr="0086568D" w:rsidRDefault="006F2072" w:rsidP="00D36C69">
      <w:pPr>
        <w:pStyle w:val="H23G"/>
        <w:tabs>
          <w:tab w:val="left" w:pos="13750"/>
        </w:tabs>
        <w:ind w:left="0" w:right="537" w:firstLine="0"/>
        <w:rPr>
          <w:lang w:val="en-US"/>
        </w:rPr>
      </w:pPr>
      <w:r>
        <w:rPr>
          <w:lang w:val="en-US"/>
        </w:rPr>
        <w:lastRenderedPageBreak/>
        <w:tab/>
      </w:r>
      <w:r w:rsidR="00B44B73" w:rsidRPr="0086568D">
        <w:rPr>
          <w:lang w:val="en-US"/>
        </w:rPr>
        <w:t xml:space="preserve">Workplan of the forum on the impact of the implementation of response measures and its </w:t>
      </w:r>
      <w:r w:rsidR="00B44B73" w:rsidRPr="0086568D">
        <w:t>Katowice Committee of Experts on the Impacts of the Implementation of Response Measures</w:t>
      </w:r>
      <w:r w:rsidR="00B44B73" w:rsidRPr="0086568D">
        <w:rPr>
          <w:lang w:val="en-US"/>
        </w:rPr>
        <w:t xml:space="preserve"> (for the fifty-second to sixty-third sessions of the subsidiary bodies)</w:t>
      </w:r>
    </w:p>
    <w:tbl>
      <w:tblPr>
        <w:tblStyle w:val="TableGrid"/>
        <w:tblW w:w="13892"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851"/>
        <w:gridCol w:w="4678"/>
        <w:gridCol w:w="2409"/>
        <w:gridCol w:w="993"/>
        <w:gridCol w:w="4961"/>
      </w:tblGrid>
      <w:tr w:rsidR="00B44B73" w:rsidRPr="00AC7487" w14:paraId="35557F61" w14:textId="77777777" w:rsidTr="00D36C69">
        <w:trPr>
          <w:trHeight w:val="240"/>
          <w:tblHeader/>
        </w:trPr>
        <w:tc>
          <w:tcPr>
            <w:tcW w:w="851" w:type="dxa"/>
            <w:tcBorders>
              <w:top w:val="single" w:sz="4" w:space="0" w:color="auto"/>
              <w:bottom w:val="single" w:sz="12" w:space="0" w:color="auto"/>
            </w:tcBorders>
            <w:shd w:val="clear" w:color="auto" w:fill="auto"/>
            <w:vAlign w:val="bottom"/>
          </w:tcPr>
          <w:p w14:paraId="29A872B3" w14:textId="0C0F0E2F" w:rsidR="00B44B73" w:rsidRPr="00AC7487" w:rsidRDefault="00D41F7D" w:rsidP="006A6183">
            <w:pPr>
              <w:suppressAutoHyphens w:val="0"/>
              <w:spacing w:before="80" w:after="80" w:line="200" w:lineRule="exact"/>
              <w:rPr>
                <w:i/>
                <w:sz w:val="16"/>
                <w:lang w:val="en-US"/>
              </w:rPr>
            </w:pPr>
            <w:r>
              <w:rPr>
                <w:i/>
                <w:sz w:val="16"/>
                <w:lang w:val="en-US"/>
              </w:rPr>
              <w:t>Activity n</w:t>
            </w:r>
            <w:r w:rsidR="00B017AF">
              <w:rPr>
                <w:i/>
                <w:sz w:val="16"/>
                <w:lang w:val="en-US"/>
              </w:rPr>
              <w:t>umber</w:t>
            </w:r>
            <w:r w:rsidR="0069359C">
              <w:rPr>
                <w:i/>
                <w:sz w:val="16"/>
                <w:lang w:val="en-US"/>
              </w:rPr>
              <w:t xml:space="preserve"> </w:t>
            </w:r>
            <w:r w:rsidR="0028032A">
              <w:rPr>
                <w:i/>
                <w:sz w:val="16"/>
                <w:vertAlign w:val="superscript"/>
                <w:lang w:val="en-US"/>
              </w:rPr>
              <w:t>a</w:t>
            </w:r>
          </w:p>
        </w:tc>
        <w:tc>
          <w:tcPr>
            <w:tcW w:w="4678" w:type="dxa"/>
            <w:tcBorders>
              <w:top w:val="single" w:sz="4" w:space="0" w:color="auto"/>
              <w:bottom w:val="single" w:sz="12" w:space="0" w:color="auto"/>
            </w:tcBorders>
            <w:shd w:val="clear" w:color="auto" w:fill="auto"/>
            <w:vAlign w:val="bottom"/>
            <w:hideMark/>
          </w:tcPr>
          <w:p w14:paraId="3E44FAEB" w14:textId="77777777" w:rsidR="00B44B73" w:rsidRPr="00AC7487" w:rsidRDefault="00B44B73" w:rsidP="006A6183">
            <w:pPr>
              <w:suppressAutoHyphens w:val="0"/>
              <w:spacing w:before="80" w:after="80" w:line="200" w:lineRule="exact"/>
              <w:rPr>
                <w:i/>
                <w:sz w:val="16"/>
                <w:lang w:val="en-US"/>
              </w:rPr>
            </w:pPr>
            <w:r w:rsidRPr="00AC7487">
              <w:rPr>
                <w:i/>
                <w:sz w:val="16"/>
                <w:lang w:val="en-US"/>
              </w:rPr>
              <w:t>Activity</w:t>
            </w:r>
          </w:p>
        </w:tc>
        <w:tc>
          <w:tcPr>
            <w:tcW w:w="2409" w:type="dxa"/>
            <w:tcBorders>
              <w:top w:val="single" w:sz="4" w:space="0" w:color="auto"/>
              <w:bottom w:val="single" w:sz="12" w:space="0" w:color="auto"/>
            </w:tcBorders>
            <w:shd w:val="clear" w:color="auto" w:fill="auto"/>
            <w:vAlign w:val="bottom"/>
            <w:hideMark/>
          </w:tcPr>
          <w:p w14:paraId="775AE48E" w14:textId="77777777" w:rsidR="00B44B73" w:rsidRPr="00AC7487" w:rsidRDefault="00B44B73" w:rsidP="006A6183">
            <w:pPr>
              <w:suppressAutoHyphens w:val="0"/>
              <w:spacing w:before="80" w:after="80" w:line="200" w:lineRule="exact"/>
              <w:rPr>
                <w:i/>
                <w:sz w:val="16"/>
                <w:lang w:val="en-US"/>
              </w:rPr>
            </w:pPr>
            <w:r w:rsidRPr="00AC7487">
              <w:rPr>
                <w:i/>
                <w:sz w:val="16"/>
                <w:lang w:val="en-US"/>
              </w:rPr>
              <w:t>Estimated timeline</w:t>
            </w:r>
            <w:r>
              <w:rPr>
                <w:i/>
                <w:sz w:val="16"/>
                <w:lang w:val="en-US"/>
              </w:rPr>
              <w:t xml:space="preserve"> for implementation</w:t>
            </w:r>
          </w:p>
        </w:tc>
        <w:tc>
          <w:tcPr>
            <w:tcW w:w="993" w:type="dxa"/>
            <w:tcBorders>
              <w:top w:val="single" w:sz="4" w:space="0" w:color="auto"/>
              <w:bottom w:val="single" w:sz="12" w:space="0" w:color="auto"/>
            </w:tcBorders>
            <w:shd w:val="clear" w:color="auto" w:fill="auto"/>
            <w:vAlign w:val="bottom"/>
            <w:hideMark/>
          </w:tcPr>
          <w:p w14:paraId="74FF1DF5" w14:textId="77777777" w:rsidR="00B44B73" w:rsidRPr="00AC7487" w:rsidRDefault="00B44B73" w:rsidP="006A6183">
            <w:pPr>
              <w:suppressAutoHyphens w:val="0"/>
              <w:spacing w:before="80" w:after="80" w:line="200" w:lineRule="exact"/>
              <w:rPr>
                <w:i/>
                <w:sz w:val="16"/>
                <w:lang w:val="en-US"/>
              </w:rPr>
            </w:pPr>
            <w:r w:rsidRPr="00AC7487">
              <w:rPr>
                <w:i/>
                <w:sz w:val="16"/>
                <w:lang w:val="en-US"/>
              </w:rPr>
              <w:t>Responsible actor</w:t>
            </w:r>
          </w:p>
        </w:tc>
        <w:tc>
          <w:tcPr>
            <w:tcW w:w="4961" w:type="dxa"/>
            <w:tcBorders>
              <w:top w:val="single" w:sz="4" w:space="0" w:color="auto"/>
              <w:bottom w:val="single" w:sz="12" w:space="0" w:color="auto"/>
            </w:tcBorders>
            <w:shd w:val="clear" w:color="auto" w:fill="auto"/>
            <w:vAlign w:val="bottom"/>
          </w:tcPr>
          <w:p w14:paraId="7A2D424D" w14:textId="77777777" w:rsidR="00B44B73" w:rsidRPr="00AC7487" w:rsidRDefault="00B44B73" w:rsidP="006A6183">
            <w:pPr>
              <w:suppressAutoHyphens w:val="0"/>
              <w:spacing w:before="80" w:after="80" w:line="200" w:lineRule="exact"/>
              <w:rPr>
                <w:i/>
                <w:sz w:val="16"/>
                <w:lang w:val="en-US"/>
              </w:rPr>
            </w:pPr>
            <w:r w:rsidRPr="00AC7487">
              <w:rPr>
                <w:i/>
                <w:sz w:val="16"/>
                <w:lang w:val="en-US"/>
              </w:rPr>
              <w:t>Modalities/</w:t>
            </w:r>
            <w:r>
              <w:rPr>
                <w:i/>
                <w:sz w:val="16"/>
                <w:lang w:val="en-US"/>
              </w:rPr>
              <w:t>o</w:t>
            </w:r>
            <w:r w:rsidRPr="00AC7487">
              <w:rPr>
                <w:i/>
                <w:sz w:val="16"/>
                <w:lang w:val="en-US"/>
              </w:rPr>
              <w:t>utputs</w:t>
            </w:r>
          </w:p>
        </w:tc>
      </w:tr>
      <w:tr w:rsidR="00B44B73" w:rsidRPr="00AC7487" w14:paraId="6728B9A9" w14:textId="77777777" w:rsidTr="00D36C69">
        <w:trPr>
          <w:trHeight w:val="240"/>
        </w:trPr>
        <w:tc>
          <w:tcPr>
            <w:tcW w:w="851" w:type="dxa"/>
            <w:tcBorders>
              <w:top w:val="single" w:sz="12" w:space="0" w:color="auto"/>
              <w:bottom w:val="single" w:sz="4" w:space="0" w:color="auto"/>
            </w:tcBorders>
            <w:shd w:val="clear" w:color="auto" w:fill="auto"/>
          </w:tcPr>
          <w:p w14:paraId="2C048C5F" w14:textId="77777777" w:rsidR="00B44B73" w:rsidRPr="00AC7487" w:rsidRDefault="00B44B73" w:rsidP="006A6183">
            <w:pPr>
              <w:suppressAutoHyphens w:val="0"/>
              <w:spacing w:before="40" w:after="120" w:line="220" w:lineRule="exact"/>
              <w:ind w:right="175"/>
              <w:rPr>
                <w:lang w:val="en-US"/>
              </w:rPr>
            </w:pPr>
            <w:r w:rsidRPr="00AC7487">
              <w:rPr>
                <w:lang w:val="en-US"/>
              </w:rPr>
              <w:t>a</w:t>
            </w:r>
          </w:p>
        </w:tc>
        <w:tc>
          <w:tcPr>
            <w:tcW w:w="4678" w:type="dxa"/>
            <w:tcBorders>
              <w:top w:val="single" w:sz="12" w:space="0" w:color="auto"/>
              <w:bottom w:val="single" w:sz="4" w:space="0" w:color="auto"/>
            </w:tcBorders>
            <w:shd w:val="clear" w:color="auto" w:fill="auto"/>
          </w:tcPr>
          <w:p w14:paraId="4589F413" w14:textId="77777777" w:rsidR="00B44B73" w:rsidRPr="00AC7487" w:rsidRDefault="00B44B73" w:rsidP="00D36C69">
            <w:pPr>
              <w:suppressAutoHyphens w:val="0"/>
              <w:spacing w:before="80" w:after="120" w:line="220" w:lineRule="exact"/>
              <w:ind w:left="-5" w:right="33"/>
              <w:rPr>
                <w:lang w:val="en-US"/>
              </w:rPr>
            </w:pPr>
            <w:r w:rsidRPr="00AC7487">
              <w:rPr>
                <w:lang w:val="en-US"/>
              </w:rPr>
              <w:t>Provide capacity</w:t>
            </w:r>
            <w:r>
              <w:rPr>
                <w:lang w:val="en-US"/>
              </w:rPr>
              <w:t>-</w:t>
            </w:r>
            <w:r w:rsidRPr="00AC7487">
              <w:rPr>
                <w:lang w:val="en-US"/>
              </w:rPr>
              <w:t xml:space="preserve">building to </w:t>
            </w:r>
            <w:r>
              <w:rPr>
                <w:lang w:val="en-US"/>
              </w:rPr>
              <w:t>the C</w:t>
            </w:r>
            <w:r w:rsidRPr="00AC7487">
              <w:rPr>
                <w:lang w:val="en-US"/>
              </w:rPr>
              <w:t>hairs and members of UNFCCC constituted bodies and technical teams of the secretariat on how to integrate gender considerations into their respective areas of work and on meeting the goal of gender balance</w:t>
            </w:r>
            <w:r w:rsidRPr="00AC7487">
              <w:rPr>
                <w:shd w:val="clear" w:color="auto" w:fill="FFFFFF" w:themeFill="background1"/>
                <w:lang w:val="en-US"/>
              </w:rPr>
              <w:t xml:space="preserve"> </w:t>
            </w:r>
            <w:r w:rsidRPr="00AC7487">
              <w:rPr>
                <w:lang w:val="en-US"/>
              </w:rPr>
              <w:t>(</w:t>
            </w:r>
            <w:r>
              <w:rPr>
                <w:lang w:val="en-US"/>
              </w:rPr>
              <w:t>d</w:t>
            </w:r>
            <w:r w:rsidRPr="00AC7487">
              <w:rPr>
                <w:lang w:val="en-US"/>
              </w:rPr>
              <w:t>ecision 3/CP.23)</w:t>
            </w:r>
          </w:p>
        </w:tc>
        <w:tc>
          <w:tcPr>
            <w:tcW w:w="2409" w:type="dxa"/>
            <w:tcBorders>
              <w:top w:val="single" w:sz="12" w:space="0" w:color="auto"/>
              <w:bottom w:val="single" w:sz="4" w:space="0" w:color="auto"/>
            </w:tcBorders>
            <w:shd w:val="clear" w:color="auto" w:fill="auto"/>
          </w:tcPr>
          <w:p w14:paraId="58655564" w14:textId="4653065B" w:rsidR="00B44B73" w:rsidRPr="00AC7487" w:rsidRDefault="00B44B73" w:rsidP="006A6183">
            <w:pPr>
              <w:suppressAutoHyphens w:val="0"/>
              <w:spacing w:before="80" w:after="120" w:line="220" w:lineRule="exact"/>
              <w:rPr>
                <w:lang w:val="en-US"/>
              </w:rPr>
            </w:pPr>
            <w:r w:rsidRPr="00AC7487">
              <w:rPr>
                <w:lang w:val="en-US"/>
              </w:rPr>
              <w:t>SB 52</w:t>
            </w:r>
            <w:r>
              <w:rPr>
                <w:lang w:val="en-US"/>
              </w:rPr>
              <w:t xml:space="preserve"> (</w:t>
            </w:r>
            <w:r w:rsidR="000B0132">
              <w:rPr>
                <w:lang w:val="en-US"/>
              </w:rPr>
              <w:t xml:space="preserve">June </w:t>
            </w:r>
            <w:r>
              <w:rPr>
                <w:lang w:val="en-US"/>
              </w:rPr>
              <w:t>2020)</w:t>
            </w:r>
          </w:p>
        </w:tc>
        <w:tc>
          <w:tcPr>
            <w:tcW w:w="993" w:type="dxa"/>
            <w:tcBorders>
              <w:top w:val="single" w:sz="12" w:space="0" w:color="auto"/>
              <w:bottom w:val="single" w:sz="4" w:space="0" w:color="auto"/>
            </w:tcBorders>
            <w:shd w:val="clear" w:color="auto" w:fill="auto"/>
          </w:tcPr>
          <w:p w14:paraId="4289CB06" w14:textId="77777777" w:rsidR="00B44B73" w:rsidRPr="00AC7487" w:rsidRDefault="00B44B73" w:rsidP="006A6183">
            <w:pPr>
              <w:suppressAutoHyphens w:val="0"/>
              <w:spacing w:before="80" w:after="120" w:line="220" w:lineRule="exact"/>
              <w:rPr>
                <w:lang w:val="en-US"/>
              </w:rPr>
            </w:pPr>
            <w:r w:rsidRPr="00AC7487">
              <w:rPr>
                <w:lang w:val="en-US"/>
              </w:rPr>
              <w:t>KCI</w:t>
            </w:r>
          </w:p>
        </w:tc>
        <w:tc>
          <w:tcPr>
            <w:tcW w:w="4961" w:type="dxa"/>
            <w:tcBorders>
              <w:top w:val="single" w:sz="12" w:space="0" w:color="auto"/>
              <w:bottom w:val="single" w:sz="4" w:space="0" w:color="auto"/>
            </w:tcBorders>
            <w:shd w:val="clear" w:color="auto" w:fill="auto"/>
          </w:tcPr>
          <w:p w14:paraId="3B3E7C06" w14:textId="77777777" w:rsidR="00B44B73" w:rsidRPr="00AC7487" w:rsidRDefault="00B44B73" w:rsidP="006A6183">
            <w:pPr>
              <w:suppressAutoHyphens w:val="0"/>
              <w:spacing w:before="80" w:after="120" w:line="220" w:lineRule="exact"/>
              <w:rPr>
                <w:lang w:val="en-US"/>
              </w:rPr>
            </w:pPr>
            <w:r w:rsidRPr="00AC7487">
              <w:rPr>
                <w:lang w:val="en-US"/>
              </w:rPr>
              <w:t>Workshop</w:t>
            </w:r>
          </w:p>
        </w:tc>
      </w:tr>
      <w:tr w:rsidR="00B44B73" w:rsidRPr="00AC7487" w14:paraId="1455DEA3" w14:textId="77777777" w:rsidTr="00D36C69">
        <w:trPr>
          <w:trHeight w:val="240"/>
        </w:trPr>
        <w:tc>
          <w:tcPr>
            <w:tcW w:w="851" w:type="dxa"/>
            <w:vMerge w:val="restart"/>
            <w:tcBorders>
              <w:top w:val="single" w:sz="4" w:space="0" w:color="auto"/>
              <w:bottom w:val="single" w:sz="4" w:space="0" w:color="auto"/>
            </w:tcBorders>
            <w:shd w:val="clear" w:color="auto" w:fill="auto"/>
          </w:tcPr>
          <w:p w14:paraId="20676D2D" w14:textId="77777777" w:rsidR="00B44B73" w:rsidRPr="00AC7487" w:rsidRDefault="00B44B73" w:rsidP="006A6183">
            <w:pPr>
              <w:suppressAutoHyphens w:val="0"/>
              <w:spacing w:before="40" w:after="120" w:line="220" w:lineRule="exact"/>
              <w:rPr>
                <w:lang w:val="en-US"/>
              </w:rPr>
            </w:pPr>
            <w:r w:rsidRPr="00AC7487">
              <w:rPr>
                <w:lang w:val="en-US"/>
              </w:rPr>
              <w:t>b</w:t>
            </w:r>
          </w:p>
        </w:tc>
        <w:tc>
          <w:tcPr>
            <w:tcW w:w="4678" w:type="dxa"/>
            <w:vMerge w:val="restart"/>
            <w:tcBorders>
              <w:top w:val="single" w:sz="4" w:space="0" w:color="auto"/>
              <w:bottom w:val="single" w:sz="4" w:space="0" w:color="auto"/>
            </w:tcBorders>
            <w:shd w:val="clear" w:color="auto" w:fill="auto"/>
          </w:tcPr>
          <w:p w14:paraId="3AD41696" w14:textId="44E95A74" w:rsidR="00B44B73" w:rsidRPr="00AC7487" w:rsidRDefault="00B44B73" w:rsidP="00D36C69">
            <w:pPr>
              <w:suppressAutoHyphens w:val="0"/>
              <w:spacing w:before="40" w:after="120" w:line="220" w:lineRule="exact"/>
              <w:ind w:left="-5" w:right="33"/>
              <w:rPr>
                <w:lang w:val="en-US"/>
              </w:rPr>
            </w:pPr>
            <w:r w:rsidRPr="00AC7487">
              <w:rPr>
                <w:lang w:val="en-US"/>
              </w:rPr>
              <w:t xml:space="preserve">Consideration of the KCI annual report by the forum </w:t>
            </w:r>
            <w:r w:rsidR="006F2072">
              <w:rPr>
                <w:lang w:val="en-US"/>
              </w:rPr>
              <w:t>on the impact of the implementation of response measures</w:t>
            </w:r>
            <w:r w:rsidRPr="00AC7487">
              <w:rPr>
                <w:lang w:val="en-US"/>
              </w:rPr>
              <w:t xml:space="preserve"> (decision 7/CMA.1</w:t>
            </w:r>
            <w:r>
              <w:rPr>
                <w:lang w:val="en-US"/>
              </w:rPr>
              <w:t>, annex, para. 4(j)</w:t>
            </w:r>
            <w:r w:rsidRPr="00AC7487">
              <w:rPr>
                <w:lang w:val="en-US"/>
              </w:rPr>
              <w:t>)</w:t>
            </w:r>
          </w:p>
        </w:tc>
        <w:tc>
          <w:tcPr>
            <w:tcW w:w="2409" w:type="dxa"/>
            <w:vMerge w:val="restart"/>
            <w:tcBorders>
              <w:top w:val="single" w:sz="4" w:space="0" w:color="auto"/>
              <w:bottom w:val="single" w:sz="4" w:space="0" w:color="auto"/>
            </w:tcBorders>
            <w:shd w:val="clear" w:color="auto" w:fill="auto"/>
          </w:tcPr>
          <w:p w14:paraId="75735E04" w14:textId="4A3C65BE" w:rsidR="00B44B73" w:rsidRPr="00AC7487" w:rsidRDefault="00B44B73" w:rsidP="006A6183">
            <w:pPr>
              <w:suppressAutoHyphens w:val="0"/>
              <w:spacing w:before="40" w:after="120" w:line="220" w:lineRule="exact"/>
              <w:rPr>
                <w:lang w:val="en-US"/>
              </w:rPr>
            </w:pPr>
            <w:r w:rsidRPr="00AC7487">
              <w:rPr>
                <w:lang w:val="en-US"/>
              </w:rPr>
              <w:t>SB 53</w:t>
            </w:r>
            <w:r>
              <w:rPr>
                <w:lang w:val="en-US"/>
              </w:rPr>
              <w:t xml:space="preserve"> (</w:t>
            </w:r>
            <w:r w:rsidR="00BD7A15">
              <w:rPr>
                <w:lang w:val="en-US"/>
              </w:rPr>
              <w:t xml:space="preserve">November </w:t>
            </w:r>
            <w:r>
              <w:rPr>
                <w:lang w:val="en-US"/>
              </w:rPr>
              <w:t>2020)</w:t>
            </w:r>
            <w:r w:rsidRPr="00AC7487">
              <w:rPr>
                <w:lang w:val="en-US"/>
              </w:rPr>
              <w:t xml:space="preserve">, </w:t>
            </w:r>
            <w:r>
              <w:rPr>
                <w:lang w:val="en-US"/>
              </w:rPr>
              <w:t xml:space="preserve">SB </w:t>
            </w:r>
            <w:r w:rsidRPr="00AC7487">
              <w:rPr>
                <w:lang w:val="en-US"/>
              </w:rPr>
              <w:t>55</w:t>
            </w:r>
            <w:r>
              <w:rPr>
                <w:lang w:val="en-US"/>
              </w:rPr>
              <w:t xml:space="preserve"> (</w:t>
            </w:r>
            <w:r w:rsidR="00C53ACC">
              <w:rPr>
                <w:lang w:val="en-US"/>
              </w:rPr>
              <w:t xml:space="preserve">November </w:t>
            </w:r>
            <w:r>
              <w:rPr>
                <w:lang w:val="en-US"/>
              </w:rPr>
              <w:t>2021)</w:t>
            </w:r>
            <w:r w:rsidRPr="00AC7487">
              <w:rPr>
                <w:lang w:val="en-US"/>
              </w:rPr>
              <w:t xml:space="preserve">, </w:t>
            </w:r>
            <w:r>
              <w:rPr>
                <w:lang w:val="en-US"/>
              </w:rPr>
              <w:t xml:space="preserve">SB </w:t>
            </w:r>
            <w:r w:rsidRPr="00AC7487">
              <w:rPr>
                <w:lang w:val="en-US"/>
              </w:rPr>
              <w:t>57</w:t>
            </w:r>
            <w:r>
              <w:rPr>
                <w:lang w:val="en-US"/>
              </w:rPr>
              <w:t xml:space="preserve"> (</w:t>
            </w:r>
            <w:r w:rsidR="00EA24BE">
              <w:rPr>
                <w:lang w:val="en-US"/>
              </w:rPr>
              <w:t xml:space="preserve">November </w:t>
            </w:r>
            <w:r>
              <w:rPr>
                <w:lang w:val="en-US"/>
              </w:rPr>
              <w:t>2022)</w:t>
            </w:r>
            <w:r w:rsidRPr="00AC7487">
              <w:rPr>
                <w:lang w:val="en-US"/>
              </w:rPr>
              <w:t xml:space="preserve">, </w:t>
            </w:r>
            <w:r>
              <w:rPr>
                <w:lang w:val="en-US"/>
              </w:rPr>
              <w:t xml:space="preserve">SB </w:t>
            </w:r>
            <w:r w:rsidRPr="00AC7487">
              <w:rPr>
                <w:lang w:val="en-US"/>
              </w:rPr>
              <w:t>59</w:t>
            </w:r>
            <w:r>
              <w:rPr>
                <w:lang w:val="en-US"/>
              </w:rPr>
              <w:t xml:space="preserve"> (</w:t>
            </w:r>
            <w:r w:rsidR="0019163C">
              <w:rPr>
                <w:lang w:val="en-US"/>
              </w:rPr>
              <w:t xml:space="preserve">November </w:t>
            </w:r>
            <w:r>
              <w:rPr>
                <w:lang w:val="en-US"/>
              </w:rPr>
              <w:t>2023)</w:t>
            </w:r>
            <w:r w:rsidRPr="00AC7487">
              <w:rPr>
                <w:lang w:val="en-US"/>
              </w:rPr>
              <w:t xml:space="preserve">, </w:t>
            </w:r>
            <w:r>
              <w:rPr>
                <w:lang w:val="en-US"/>
              </w:rPr>
              <w:t xml:space="preserve">SB </w:t>
            </w:r>
            <w:r w:rsidRPr="00AC7487">
              <w:rPr>
                <w:lang w:val="en-US"/>
              </w:rPr>
              <w:t xml:space="preserve">61 </w:t>
            </w:r>
            <w:r>
              <w:rPr>
                <w:lang w:val="en-US"/>
              </w:rPr>
              <w:t>(</w:t>
            </w:r>
            <w:r w:rsidR="00FF3EBA">
              <w:rPr>
                <w:lang w:val="en-US"/>
              </w:rPr>
              <w:t xml:space="preserve">November </w:t>
            </w:r>
            <w:r>
              <w:rPr>
                <w:lang w:val="en-US"/>
              </w:rPr>
              <w:t xml:space="preserve">2024) </w:t>
            </w:r>
            <w:r w:rsidRPr="00AC7487">
              <w:rPr>
                <w:lang w:val="en-US"/>
              </w:rPr>
              <w:t xml:space="preserve">and </w:t>
            </w:r>
            <w:r>
              <w:rPr>
                <w:lang w:val="en-US"/>
              </w:rPr>
              <w:t xml:space="preserve">SB </w:t>
            </w:r>
            <w:r w:rsidRPr="00AC7487">
              <w:rPr>
                <w:lang w:val="en-US"/>
              </w:rPr>
              <w:t>63</w:t>
            </w:r>
            <w:r>
              <w:rPr>
                <w:lang w:val="en-US"/>
              </w:rPr>
              <w:t xml:space="preserve"> (2025)</w:t>
            </w:r>
          </w:p>
        </w:tc>
        <w:tc>
          <w:tcPr>
            <w:tcW w:w="993" w:type="dxa"/>
            <w:tcBorders>
              <w:top w:val="single" w:sz="4" w:space="0" w:color="auto"/>
              <w:bottom w:val="single" w:sz="4" w:space="0" w:color="auto"/>
            </w:tcBorders>
            <w:shd w:val="clear" w:color="auto" w:fill="auto"/>
          </w:tcPr>
          <w:p w14:paraId="65EAC460"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7A7C79B4" w14:textId="77777777" w:rsidR="00B44B73" w:rsidRPr="00AC7487" w:rsidRDefault="00B44B73" w:rsidP="006A6183">
            <w:pPr>
              <w:suppressAutoHyphens w:val="0"/>
              <w:spacing w:before="40" w:after="120" w:line="220" w:lineRule="exact"/>
              <w:rPr>
                <w:lang w:val="en-US"/>
              </w:rPr>
            </w:pPr>
            <w:r w:rsidRPr="00AC7487">
              <w:rPr>
                <w:lang w:val="en-US"/>
              </w:rPr>
              <w:t>Prepar</w:t>
            </w:r>
            <w:r>
              <w:rPr>
                <w:lang w:val="en-US"/>
              </w:rPr>
              <w:t>e</w:t>
            </w:r>
            <w:r w:rsidRPr="00AC7487">
              <w:rPr>
                <w:lang w:val="en-US"/>
              </w:rPr>
              <w:t xml:space="preserve"> annual report</w:t>
            </w:r>
          </w:p>
        </w:tc>
      </w:tr>
      <w:tr w:rsidR="00B44B73" w:rsidRPr="00AC7487" w14:paraId="25D9E3E5" w14:textId="77777777" w:rsidTr="00D36C69">
        <w:trPr>
          <w:trHeight w:val="240"/>
        </w:trPr>
        <w:tc>
          <w:tcPr>
            <w:tcW w:w="851" w:type="dxa"/>
            <w:vMerge/>
            <w:tcBorders>
              <w:top w:val="single" w:sz="4" w:space="0" w:color="auto"/>
              <w:bottom w:val="single" w:sz="4" w:space="0" w:color="auto"/>
            </w:tcBorders>
            <w:shd w:val="clear" w:color="auto" w:fill="auto"/>
          </w:tcPr>
          <w:p w14:paraId="3D4ACA96" w14:textId="77777777" w:rsidR="00B44B73" w:rsidRPr="00AC7487" w:rsidRDefault="00B44B73" w:rsidP="006A6183">
            <w:pPr>
              <w:suppressAutoHyphens w:val="0"/>
              <w:spacing w:before="40" w:after="120" w:line="220" w:lineRule="exact"/>
              <w:rPr>
                <w:lang w:val="en-US"/>
              </w:rPr>
            </w:pPr>
          </w:p>
        </w:tc>
        <w:tc>
          <w:tcPr>
            <w:tcW w:w="4678" w:type="dxa"/>
            <w:vMerge/>
            <w:tcBorders>
              <w:top w:val="single" w:sz="4" w:space="0" w:color="auto"/>
              <w:bottom w:val="single" w:sz="4" w:space="0" w:color="auto"/>
            </w:tcBorders>
            <w:shd w:val="clear" w:color="auto" w:fill="auto"/>
          </w:tcPr>
          <w:p w14:paraId="794ABF3F"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single" w:sz="4" w:space="0" w:color="auto"/>
              <w:bottom w:val="single" w:sz="4" w:space="0" w:color="auto"/>
            </w:tcBorders>
            <w:shd w:val="clear" w:color="auto" w:fill="auto"/>
          </w:tcPr>
          <w:p w14:paraId="4397BD29"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2F40AFAD"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FA05B42" w14:textId="77777777" w:rsidR="00B44B73" w:rsidRPr="00AC7487" w:rsidRDefault="00B44B73" w:rsidP="006A6183">
            <w:pPr>
              <w:suppressAutoHyphens w:val="0"/>
              <w:spacing w:before="40" w:after="120" w:line="220" w:lineRule="exact"/>
              <w:rPr>
                <w:lang w:val="en-US"/>
              </w:rPr>
            </w:pPr>
            <w:r w:rsidRPr="00AC7487">
              <w:rPr>
                <w:lang w:val="en-US"/>
              </w:rPr>
              <w:t>Consider annual report</w:t>
            </w:r>
          </w:p>
        </w:tc>
      </w:tr>
      <w:tr w:rsidR="00B44B73" w:rsidRPr="00AC7487" w14:paraId="54426599" w14:textId="77777777" w:rsidTr="00D36C69">
        <w:trPr>
          <w:trHeight w:val="240"/>
        </w:trPr>
        <w:tc>
          <w:tcPr>
            <w:tcW w:w="851" w:type="dxa"/>
            <w:tcBorders>
              <w:top w:val="single" w:sz="4" w:space="0" w:color="auto"/>
              <w:bottom w:val="single" w:sz="4" w:space="0" w:color="auto"/>
            </w:tcBorders>
            <w:shd w:val="clear" w:color="auto" w:fill="auto"/>
          </w:tcPr>
          <w:p w14:paraId="330897C4" w14:textId="77777777" w:rsidR="00B44B73" w:rsidRPr="00AC7487" w:rsidRDefault="00B44B73" w:rsidP="006A6183">
            <w:pPr>
              <w:suppressAutoHyphens w:val="0"/>
              <w:spacing w:before="40" w:after="120" w:line="220" w:lineRule="exact"/>
              <w:rPr>
                <w:lang w:val="en-US"/>
              </w:rPr>
            </w:pPr>
            <w:r w:rsidRPr="00AC7487">
              <w:rPr>
                <w:lang w:val="en-US"/>
              </w:rPr>
              <w:t>c</w:t>
            </w:r>
          </w:p>
        </w:tc>
        <w:tc>
          <w:tcPr>
            <w:tcW w:w="4678" w:type="dxa"/>
            <w:tcBorders>
              <w:top w:val="single" w:sz="4" w:space="0" w:color="auto"/>
              <w:bottom w:val="single" w:sz="4" w:space="0" w:color="auto"/>
            </w:tcBorders>
            <w:shd w:val="clear" w:color="auto" w:fill="auto"/>
          </w:tcPr>
          <w:p w14:paraId="6BB3104B" w14:textId="77777777" w:rsidR="00B44B73" w:rsidRPr="00AC7487" w:rsidRDefault="00B44B73" w:rsidP="00D36C69">
            <w:pPr>
              <w:suppressAutoHyphens w:val="0"/>
              <w:spacing w:before="40" w:after="120" w:line="220" w:lineRule="exact"/>
              <w:ind w:left="-5" w:right="33"/>
              <w:rPr>
                <w:lang w:val="en-US"/>
              </w:rPr>
            </w:pPr>
            <w:r w:rsidRPr="00AC7487">
              <w:rPr>
                <w:lang w:val="en-US"/>
              </w:rPr>
              <w:t>Mid</w:t>
            </w:r>
            <w:r>
              <w:rPr>
                <w:lang w:val="en-US"/>
              </w:rPr>
              <w:t>term</w:t>
            </w:r>
            <w:r w:rsidRPr="00AC7487">
              <w:rPr>
                <w:lang w:val="en-US"/>
              </w:rPr>
              <w:t xml:space="preserve"> review of th</w:t>
            </w:r>
            <w:r>
              <w:rPr>
                <w:lang w:val="en-US"/>
              </w:rPr>
              <w:t>is</w:t>
            </w:r>
            <w:r w:rsidRPr="00AC7487">
              <w:rPr>
                <w:lang w:val="en-US"/>
              </w:rPr>
              <w:t xml:space="preserve"> workplan</w:t>
            </w:r>
            <w:r>
              <w:rPr>
                <w:lang w:val="en-US"/>
              </w:rPr>
              <w:t>,</w:t>
            </w:r>
            <w:r w:rsidRPr="00AC7487">
              <w:rPr>
                <w:lang w:val="en-US"/>
              </w:rPr>
              <w:t xml:space="preserve"> starting from </w:t>
            </w:r>
            <w:r>
              <w:rPr>
                <w:lang w:val="en-US"/>
              </w:rPr>
              <w:t>SB 56</w:t>
            </w:r>
            <w:r w:rsidRPr="00AC7487">
              <w:rPr>
                <w:lang w:val="en-US"/>
              </w:rPr>
              <w:t xml:space="preserve"> (June 2022) (</w:t>
            </w:r>
            <w:r>
              <w:rPr>
                <w:lang w:val="en-US"/>
              </w:rPr>
              <w:t>d</w:t>
            </w:r>
            <w:r w:rsidRPr="00AC7487">
              <w:rPr>
                <w:lang w:val="en-US"/>
              </w:rPr>
              <w:t>ecision 7/CMA.1, para</w:t>
            </w:r>
            <w:r>
              <w:rPr>
                <w:lang w:val="en-US"/>
              </w:rPr>
              <w:t>.</w:t>
            </w:r>
            <w:r w:rsidRPr="00AC7487">
              <w:rPr>
                <w:lang w:val="en-US"/>
              </w:rPr>
              <w:t xml:space="preserve"> 10)</w:t>
            </w:r>
          </w:p>
        </w:tc>
        <w:tc>
          <w:tcPr>
            <w:tcW w:w="2409" w:type="dxa"/>
            <w:tcBorders>
              <w:top w:val="single" w:sz="4" w:space="0" w:color="auto"/>
              <w:bottom w:val="single" w:sz="4" w:space="0" w:color="auto"/>
            </w:tcBorders>
            <w:shd w:val="clear" w:color="auto" w:fill="auto"/>
          </w:tcPr>
          <w:p w14:paraId="3CAFB9FA" w14:textId="47025A6C" w:rsidR="00B44B73" w:rsidRPr="00AC7487" w:rsidRDefault="00B44B73" w:rsidP="006A6183">
            <w:pPr>
              <w:suppressAutoHyphens w:val="0"/>
              <w:spacing w:before="40" w:after="120" w:line="220" w:lineRule="exact"/>
              <w:rPr>
                <w:lang w:val="en-US"/>
              </w:rPr>
            </w:pPr>
            <w:r w:rsidRPr="00AC7487">
              <w:rPr>
                <w:lang w:val="en-US"/>
              </w:rPr>
              <w:t>SB 56</w:t>
            </w:r>
          </w:p>
        </w:tc>
        <w:tc>
          <w:tcPr>
            <w:tcW w:w="993" w:type="dxa"/>
            <w:tcBorders>
              <w:top w:val="single" w:sz="4" w:space="0" w:color="auto"/>
              <w:bottom w:val="single" w:sz="4" w:space="0" w:color="auto"/>
            </w:tcBorders>
            <w:shd w:val="clear" w:color="auto" w:fill="auto"/>
          </w:tcPr>
          <w:p w14:paraId="5E0E083A" w14:textId="76499926"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B5E85DD" w14:textId="77777777" w:rsidR="00B44B73" w:rsidRPr="00AC7487" w:rsidRDefault="00B44B73" w:rsidP="006A6183">
            <w:pPr>
              <w:suppressAutoHyphens w:val="0"/>
              <w:spacing w:before="40" w:after="120" w:line="220" w:lineRule="exact"/>
              <w:rPr>
                <w:lang w:val="en-US"/>
              </w:rPr>
            </w:pPr>
            <w:r w:rsidRPr="00AC7487">
              <w:rPr>
                <w:lang w:val="en-US"/>
              </w:rPr>
              <w:t>Conclusions/draft decisions</w:t>
            </w:r>
          </w:p>
        </w:tc>
      </w:tr>
      <w:tr w:rsidR="00B44B73" w:rsidRPr="00AC7487" w14:paraId="722646EF" w14:textId="77777777" w:rsidTr="00D36C69">
        <w:trPr>
          <w:trHeight w:val="988"/>
        </w:trPr>
        <w:tc>
          <w:tcPr>
            <w:tcW w:w="851" w:type="dxa"/>
            <w:tcBorders>
              <w:top w:val="single" w:sz="4" w:space="0" w:color="auto"/>
              <w:bottom w:val="single" w:sz="4" w:space="0" w:color="auto"/>
            </w:tcBorders>
            <w:shd w:val="clear" w:color="auto" w:fill="auto"/>
          </w:tcPr>
          <w:p w14:paraId="12407128" w14:textId="77777777" w:rsidR="00B44B73" w:rsidRPr="00AC7487" w:rsidRDefault="00B44B73" w:rsidP="006A6183">
            <w:pPr>
              <w:suppressAutoHyphens w:val="0"/>
              <w:spacing w:before="40" w:after="120" w:line="220" w:lineRule="exact"/>
              <w:rPr>
                <w:lang w:val="en-US"/>
              </w:rPr>
            </w:pPr>
            <w:r w:rsidRPr="00AC7487">
              <w:rPr>
                <w:lang w:val="en-US"/>
              </w:rPr>
              <w:t>d</w:t>
            </w:r>
          </w:p>
        </w:tc>
        <w:tc>
          <w:tcPr>
            <w:tcW w:w="4678" w:type="dxa"/>
            <w:tcBorders>
              <w:top w:val="single" w:sz="4" w:space="0" w:color="auto"/>
              <w:bottom w:val="single" w:sz="4" w:space="0" w:color="auto"/>
            </w:tcBorders>
            <w:shd w:val="clear" w:color="auto" w:fill="auto"/>
          </w:tcPr>
          <w:p w14:paraId="4D41C573"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Prepare information for the technical assessment component of </w:t>
            </w:r>
            <w:r>
              <w:rPr>
                <w:lang w:val="en-US"/>
              </w:rPr>
              <w:t xml:space="preserve">the </w:t>
            </w:r>
            <w:r w:rsidRPr="00AC7487">
              <w:rPr>
                <w:lang w:val="en-US"/>
              </w:rPr>
              <w:t>global stocktake related to the impacts of the implementation of response measures (</w:t>
            </w:r>
            <w:r>
              <w:rPr>
                <w:lang w:val="en-US"/>
              </w:rPr>
              <w:t>d</w:t>
            </w:r>
            <w:r w:rsidRPr="00AC7487">
              <w:rPr>
                <w:lang w:val="en-US"/>
              </w:rPr>
              <w:t>ecision 19/CMA.1, paras</w:t>
            </w:r>
            <w:r>
              <w:rPr>
                <w:lang w:val="en-US"/>
              </w:rPr>
              <w:t>.</w:t>
            </w:r>
            <w:r w:rsidRPr="00AC7487">
              <w:rPr>
                <w:lang w:val="en-US"/>
              </w:rPr>
              <w:t xml:space="preserve"> 8 and 24)</w:t>
            </w:r>
          </w:p>
        </w:tc>
        <w:tc>
          <w:tcPr>
            <w:tcW w:w="2409" w:type="dxa"/>
            <w:tcBorders>
              <w:top w:val="single" w:sz="4" w:space="0" w:color="auto"/>
              <w:bottom w:val="single" w:sz="4" w:space="0" w:color="auto"/>
            </w:tcBorders>
            <w:shd w:val="clear" w:color="auto" w:fill="auto"/>
          </w:tcPr>
          <w:p w14:paraId="6F40B646" w14:textId="28286D1B" w:rsidR="00B44B73" w:rsidRPr="00AC7487" w:rsidRDefault="00B44B73" w:rsidP="006A6183">
            <w:pPr>
              <w:suppressAutoHyphens w:val="0"/>
              <w:spacing w:before="40" w:after="120" w:line="220" w:lineRule="exact"/>
              <w:rPr>
                <w:lang w:val="en-US"/>
              </w:rPr>
            </w:pPr>
            <w:r w:rsidRPr="00AC7487">
              <w:rPr>
                <w:lang w:val="en-US"/>
              </w:rPr>
              <w:t xml:space="preserve">SB 56 and </w:t>
            </w:r>
            <w:r>
              <w:rPr>
                <w:lang w:val="en-US"/>
              </w:rPr>
              <w:t xml:space="preserve">SB </w:t>
            </w:r>
            <w:r w:rsidRPr="00AC7487">
              <w:rPr>
                <w:lang w:val="en-US"/>
              </w:rPr>
              <w:t>57</w:t>
            </w:r>
          </w:p>
        </w:tc>
        <w:tc>
          <w:tcPr>
            <w:tcW w:w="993" w:type="dxa"/>
            <w:tcBorders>
              <w:top w:val="single" w:sz="4" w:space="0" w:color="auto"/>
              <w:bottom w:val="single" w:sz="4" w:space="0" w:color="auto"/>
            </w:tcBorders>
            <w:shd w:val="clear" w:color="auto" w:fill="auto"/>
          </w:tcPr>
          <w:p w14:paraId="209D920B"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7F87827" w14:textId="77777777" w:rsidR="00B44B73" w:rsidRPr="00AC7487" w:rsidRDefault="00B44B73" w:rsidP="006A6183">
            <w:pPr>
              <w:suppressAutoHyphens w:val="0"/>
              <w:spacing w:before="40" w:after="120" w:line="220" w:lineRule="exact"/>
              <w:rPr>
                <w:lang w:val="en-US"/>
              </w:rPr>
            </w:pPr>
            <w:r w:rsidRPr="00AC7487">
              <w:rPr>
                <w:lang w:val="en-US"/>
              </w:rPr>
              <w:t xml:space="preserve">Forward an outcome document for consideration </w:t>
            </w:r>
            <w:r>
              <w:rPr>
                <w:lang w:val="en-US"/>
              </w:rPr>
              <w:t>in</w:t>
            </w:r>
            <w:r w:rsidRPr="00AC7487">
              <w:rPr>
                <w:lang w:val="en-US"/>
              </w:rPr>
              <w:t xml:space="preserve"> the technical assessment of the </w:t>
            </w:r>
            <w:r>
              <w:rPr>
                <w:lang w:val="en-US"/>
              </w:rPr>
              <w:t>g</w:t>
            </w:r>
            <w:r w:rsidRPr="00AC7487">
              <w:rPr>
                <w:lang w:val="en-US"/>
              </w:rPr>
              <w:t xml:space="preserve">lobal </w:t>
            </w:r>
            <w:r>
              <w:rPr>
                <w:lang w:val="en-US"/>
              </w:rPr>
              <w:t>s</w:t>
            </w:r>
            <w:r w:rsidRPr="00AC7487">
              <w:rPr>
                <w:lang w:val="en-US"/>
              </w:rPr>
              <w:t>tocktake</w:t>
            </w:r>
          </w:p>
        </w:tc>
      </w:tr>
      <w:tr w:rsidR="00B44B73" w:rsidRPr="00AC7487" w14:paraId="1DCE6EA2" w14:textId="77777777" w:rsidTr="00D36C69">
        <w:trPr>
          <w:trHeight w:val="240"/>
        </w:trPr>
        <w:tc>
          <w:tcPr>
            <w:tcW w:w="851" w:type="dxa"/>
            <w:tcBorders>
              <w:top w:val="single" w:sz="4" w:space="0" w:color="auto"/>
              <w:bottom w:val="single" w:sz="4" w:space="0" w:color="auto"/>
            </w:tcBorders>
            <w:shd w:val="clear" w:color="auto" w:fill="auto"/>
          </w:tcPr>
          <w:p w14:paraId="417C25B3" w14:textId="77777777" w:rsidR="00B44B73" w:rsidRPr="00AC7487" w:rsidRDefault="00B44B73" w:rsidP="006A6183">
            <w:pPr>
              <w:suppressAutoHyphens w:val="0"/>
              <w:spacing w:before="40" w:after="120" w:line="220" w:lineRule="exact"/>
              <w:rPr>
                <w:lang w:val="en-US"/>
              </w:rPr>
            </w:pPr>
            <w:r w:rsidRPr="00AC7487">
              <w:rPr>
                <w:lang w:val="en-US"/>
              </w:rPr>
              <w:t>e</w:t>
            </w:r>
          </w:p>
        </w:tc>
        <w:tc>
          <w:tcPr>
            <w:tcW w:w="4678" w:type="dxa"/>
            <w:tcBorders>
              <w:top w:val="single" w:sz="4" w:space="0" w:color="auto"/>
              <w:bottom w:val="single" w:sz="4" w:space="0" w:color="auto"/>
            </w:tcBorders>
            <w:shd w:val="clear" w:color="auto" w:fill="auto"/>
          </w:tcPr>
          <w:p w14:paraId="52BF2D00" w14:textId="63E7EC81" w:rsidR="00B44B73" w:rsidRPr="00AC7487" w:rsidRDefault="00B44B73" w:rsidP="00D36C69">
            <w:pPr>
              <w:suppressAutoHyphens w:val="0"/>
              <w:spacing w:before="40" w:after="120" w:line="220" w:lineRule="exact"/>
              <w:ind w:left="-5" w:right="33"/>
              <w:rPr>
                <w:lang w:val="en-US"/>
              </w:rPr>
            </w:pPr>
            <w:r w:rsidRPr="00AC7487">
              <w:rPr>
                <w:lang w:val="en-US"/>
              </w:rPr>
              <w:t xml:space="preserve">Review </w:t>
            </w:r>
            <w:r>
              <w:rPr>
                <w:lang w:val="en-US"/>
              </w:rPr>
              <w:t xml:space="preserve">of the </w:t>
            </w:r>
            <w:r w:rsidRPr="00AC7487">
              <w:rPr>
                <w:lang w:val="en-US"/>
              </w:rPr>
              <w:t xml:space="preserve">functions, work </w:t>
            </w:r>
            <w:proofErr w:type="spellStart"/>
            <w:r w:rsidRPr="00AC7487">
              <w:rPr>
                <w:lang w:val="en-US"/>
              </w:rPr>
              <w:t>programme</w:t>
            </w:r>
            <w:proofErr w:type="spellEnd"/>
            <w:r w:rsidRPr="00AC7487">
              <w:rPr>
                <w:lang w:val="en-US"/>
              </w:rPr>
              <w:t xml:space="preserve"> and modalities of the forum at SB</w:t>
            </w:r>
            <w:r>
              <w:rPr>
                <w:lang w:val="en-US"/>
              </w:rPr>
              <w:t xml:space="preserve"> 59</w:t>
            </w:r>
            <w:r w:rsidRPr="00AC7487">
              <w:rPr>
                <w:lang w:val="en-US"/>
              </w:rPr>
              <w:t xml:space="preserve"> (</w:t>
            </w:r>
            <w:r>
              <w:rPr>
                <w:lang w:val="en-US"/>
              </w:rPr>
              <w:t>d</w:t>
            </w:r>
            <w:r w:rsidRPr="00AC7487">
              <w:rPr>
                <w:lang w:val="en-US"/>
              </w:rPr>
              <w:t>ecision 7/CMA.1, para</w:t>
            </w:r>
            <w:r>
              <w:rPr>
                <w:lang w:val="en-US"/>
              </w:rPr>
              <w:t>.</w:t>
            </w:r>
            <w:r w:rsidR="0028032A">
              <w:rPr>
                <w:lang w:val="en-US"/>
              </w:rPr>
              <w:t> </w:t>
            </w:r>
            <w:r w:rsidRPr="00AC7487">
              <w:rPr>
                <w:lang w:val="en-US"/>
              </w:rPr>
              <w:t>6)</w:t>
            </w:r>
          </w:p>
        </w:tc>
        <w:tc>
          <w:tcPr>
            <w:tcW w:w="2409" w:type="dxa"/>
            <w:tcBorders>
              <w:top w:val="single" w:sz="4" w:space="0" w:color="auto"/>
              <w:bottom w:val="single" w:sz="4" w:space="0" w:color="auto"/>
            </w:tcBorders>
            <w:shd w:val="clear" w:color="auto" w:fill="auto"/>
          </w:tcPr>
          <w:p w14:paraId="0B2E4533" w14:textId="20A7FFA7" w:rsidR="00B44B73" w:rsidRPr="00AC7487" w:rsidRDefault="00B44B73" w:rsidP="006A6183">
            <w:pPr>
              <w:suppressAutoHyphens w:val="0"/>
              <w:spacing w:before="40" w:after="120" w:line="220" w:lineRule="exact"/>
              <w:rPr>
                <w:lang w:val="en-US"/>
              </w:rPr>
            </w:pPr>
            <w:r w:rsidRPr="00AC7487">
              <w:rPr>
                <w:lang w:val="en-US"/>
              </w:rPr>
              <w:t xml:space="preserve">SB 58 </w:t>
            </w:r>
            <w:r>
              <w:rPr>
                <w:lang w:val="en-US"/>
              </w:rPr>
              <w:t>(</w:t>
            </w:r>
            <w:r w:rsidR="00FF3EBA">
              <w:rPr>
                <w:lang w:val="en-US"/>
              </w:rPr>
              <w:t xml:space="preserve">June </w:t>
            </w:r>
            <w:r>
              <w:rPr>
                <w:lang w:val="en-US"/>
              </w:rPr>
              <w:t xml:space="preserve">2023) </w:t>
            </w:r>
            <w:r w:rsidRPr="00AC7487">
              <w:rPr>
                <w:lang w:val="en-US"/>
              </w:rPr>
              <w:t xml:space="preserve">and </w:t>
            </w:r>
            <w:r w:rsidR="00FF3EBA">
              <w:rPr>
                <w:lang w:val="en-US"/>
              </w:rPr>
              <w:t>SB </w:t>
            </w:r>
            <w:r w:rsidRPr="00AC7487">
              <w:rPr>
                <w:lang w:val="en-US"/>
              </w:rPr>
              <w:t>59</w:t>
            </w:r>
          </w:p>
        </w:tc>
        <w:tc>
          <w:tcPr>
            <w:tcW w:w="993" w:type="dxa"/>
            <w:tcBorders>
              <w:top w:val="single" w:sz="4" w:space="0" w:color="auto"/>
              <w:bottom w:val="single" w:sz="4" w:space="0" w:color="auto"/>
            </w:tcBorders>
            <w:shd w:val="clear" w:color="auto" w:fill="auto"/>
          </w:tcPr>
          <w:p w14:paraId="09217419"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636F89E5" w14:textId="77777777" w:rsidR="00B44B73" w:rsidRPr="00AC7487" w:rsidRDefault="00B44B73" w:rsidP="006A6183">
            <w:pPr>
              <w:suppressAutoHyphens w:val="0"/>
              <w:spacing w:before="40" w:after="120" w:line="220" w:lineRule="exact"/>
              <w:rPr>
                <w:lang w:val="en-US"/>
              </w:rPr>
            </w:pPr>
            <w:r>
              <w:rPr>
                <w:lang w:val="en-US"/>
              </w:rPr>
              <w:t>Prepare g</w:t>
            </w:r>
            <w:r w:rsidRPr="00AC7487">
              <w:rPr>
                <w:lang w:val="en-US"/>
              </w:rPr>
              <w:t>uiding questions for the review</w:t>
            </w:r>
          </w:p>
          <w:p w14:paraId="4909F37A" w14:textId="77777777" w:rsidR="00B44B73" w:rsidRPr="00AC7487" w:rsidRDefault="00B44B73" w:rsidP="006A6183">
            <w:pPr>
              <w:suppressAutoHyphens w:val="0"/>
              <w:spacing w:before="40" w:after="120" w:line="220" w:lineRule="exact"/>
              <w:rPr>
                <w:lang w:val="en-US"/>
              </w:rPr>
            </w:pPr>
            <w:r w:rsidRPr="00AC7487">
              <w:rPr>
                <w:lang w:val="en-US"/>
              </w:rPr>
              <w:t>Receive and consider the review</w:t>
            </w:r>
          </w:p>
        </w:tc>
      </w:tr>
      <w:tr w:rsidR="00B44B73" w:rsidRPr="00AC7487" w14:paraId="0B4DA408" w14:textId="77777777" w:rsidTr="00D36C69">
        <w:trPr>
          <w:trHeight w:val="240"/>
        </w:trPr>
        <w:tc>
          <w:tcPr>
            <w:tcW w:w="851" w:type="dxa"/>
            <w:vMerge w:val="restart"/>
            <w:tcBorders>
              <w:top w:val="single" w:sz="4" w:space="0" w:color="auto"/>
            </w:tcBorders>
            <w:shd w:val="clear" w:color="auto" w:fill="auto"/>
          </w:tcPr>
          <w:p w14:paraId="1376F221" w14:textId="77777777" w:rsidR="00B44B73" w:rsidRPr="00AC7487" w:rsidRDefault="00B44B73" w:rsidP="006A6183">
            <w:pPr>
              <w:suppressAutoHyphens w:val="0"/>
              <w:spacing w:before="40" w:after="120" w:line="220" w:lineRule="exact"/>
              <w:rPr>
                <w:lang w:val="en-US"/>
              </w:rPr>
            </w:pPr>
            <w:r w:rsidRPr="00AC7487">
              <w:rPr>
                <w:lang w:val="en-US"/>
              </w:rPr>
              <w:t>1</w:t>
            </w:r>
          </w:p>
        </w:tc>
        <w:tc>
          <w:tcPr>
            <w:tcW w:w="4678" w:type="dxa"/>
            <w:vMerge w:val="restart"/>
            <w:tcBorders>
              <w:top w:val="single" w:sz="4" w:space="0" w:color="auto"/>
            </w:tcBorders>
            <w:shd w:val="clear" w:color="auto" w:fill="auto"/>
          </w:tcPr>
          <w:p w14:paraId="55339515" w14:textId="6E4D4C03" w:rsidR="00B44B73" w:rsidRPr="00AC7487" w:rsidRDefault="00B44B73" w:rsidP="00D36C69">
            <w:pPr>
              <w:pStyle w:val="FootnoteTable"/>
              <w:spacing w:before="40" w:after="120" w:line="240" w:lineRule="exact"/>
              <w:ind w:left="-6" w:right="34"/>
              <w:jc w:val="left"/>
              <w:rPr>
                <w:lang w:val="en-US"/>
              </w:rPr>
            </w:pPr>
            <w:r w:rsidRPr="006F2072">
              <w:rPr>
                <w:sz w:val="20"/>
                <w:lang w:val="en-US"/>
              </w:rPr>
              <w:t xml:space="preserve">Explore approaches to informing the development and implementation of </w:t>
            </w:r>
            <w:r w:rsidRPr="006F2072">
              <w:rPr>
                <w:sz w:val="20"/>
                <w:shd w:val="clear" w:color="auto" w:fill="FFFFFF" w:themeFill="background1"/>
                <w:lang w:val="en-US"/>
              </w:rPr>
              <w:t xml:space="preserve">climate change mitigation strategies, plans, policies and programmes, including </w:t>
            </w:r>
            <w:r w:rsidRPr="006F2072">
              <w:rPr>
                <w:sz w:val="20"/>
                <w:lang w:val="en-US"/>
              </w:rPr>
              <w:t>nationally determined contributions and/or</w:t>
            </w:r>
            <w:r w:rsidRPr="006F2072">
              <w:rPr>
                <w:sz w:val="20"/>
                <w:shd w:val="clear" w:color="auto" w:fill="FFFFFF" w:themeFill="background1"/>
                <w:lang w:val="en-US"/>
              </w:rPr>
              <w:t xml:space="preserve"> </w:t>
            </w:r>
            <w:r w:rsidRPr="006F2072">
              <w:rPr>
                <w:sz w:val="20"/>
                <w:lang w:val="en-US"/>
              </w:rPr>
              <w:t xml:space="preserve">long-term low greenhouse gas emission development strategies, that maximize the positive and minimize the negative </w:t>
            </w:r>
            <w:proofErr w:type="spellStart"/>
            <w:r w:rsidRPr="006F2072">
              <w:rPr>
                <w:sz w:val="20"/>
                <w:lang w:val="en-US"/>
              </w:rPr>
              <w:t>impacts</w:t>
            </w:r>
            <w:r w:rsidR="0028032A" w:rsidRPr="00D36C69">
              <w:rPr>
                <w:i/>
                <w:sz w:val="20"/>
                <w:vertAlign w:val="superscript"/>
                <w:lang w:val="en-US"/>
              </w:rPr>
              <w:t>b</w:t>
            </w:r>
            <w:proofErr w:type="spellEnd"/>
            <w:r w:rsidRPr="006F2072">
              <w:rPr>
                <w:sz w:val="20"/>
                <w:lang w:val="en-US"/>
              </w:rPr>
              <w:t xml:space="preserve"> of response measures</w:t>
            </w:r>
          </w:p>
        </w:tc>
        <w:tc>
          <w:tcPr>
            <w:tcW w:w="2409" w:type="dxa"/>
            <w:vMerge w:val="restart"/>
            <w:tcBorders>
              <w:top w:val="single" w:sz="4" w:space="0" w:color="auto"/>
              <w:bottom w:val="single" w:sz="4" w:space="0" w:color="auto"/>
            </w:tcBorders>
            <w:shd w:val="clear" w:color="auto" w:fill="auto"/>
          </w:tcPr>
          <w:p w14:paraId="77A5121B" w14:textId="5AB85125" w:rsidR="00B44B73" w:rsidRPr="00AC7487" w:rsidRDefault="00B44B73" w:rsidP="006A6183">
            <w:pPr>
              <w:suppressAutoHyphens w:val="0"/>
              <w:spacing w:before="40" w:after="120" w:line="220" w:lineRule="exact"/>
              <w:rPr>
                <w:lang w:val="en-US"/>
              </w:rPr>
            </w:pPr>
            <w:r w:rsidRPr="00AC7487">
              <w:rPr>
                <w:lang w:val="en-US"/>
              </w:rPr>
              <w:t>SB 52</w:t>
            </w:r>
          </w:p>
        </w:tc>
        <w:tc>
          <w:tcPr>
            <w:tcW w:w="993" w:type="dxa"/>
            <w:tcBorders>
              <w:top w:val="single" w:sz="4" w:space="0" w:color="auto"/>
              <w:bottom w:val="single" w:sz="4" w:space="0" w:color="auto"/>
            </w:tcBorders>
            <w:shd w:val="clear" w:color="auto" w:fill="auto"/>
          </w:tcPr>
          <w:p w14:paraId="12B48023"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1A4689A"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tc>
      </w:tr>
      <w:tr w:rsidR="00B44B73" w:rsidRPr="00AC7487" w14:paraId="0ABA8BFC" w14:textId="77777777" w:rsidTr="00D36C69">
        <w:trPr>
          <w:trHeight w:val="240"/>
        </w:trPr>
        <w:tc>
          <w:tcPr>
            <w:tcW w:w="851" w:type="dxa"/>
            <w:vMerge/>
            <w:tcBorders>
              <w:top w:val="nil"/>
              <w:bottom w:val="single" w:sz="4" w:space="0" w:color="auto"/>
            </w:tcBorders>
            <w:shd w:val="clear" w:color="auto" w:fill="auto"/>
          </w:tcPr>
          <w:p w14:paraId="3C9A7058"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0BD4A49B"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single" w:sz="4" w:space="0" w:color="auto"/>
              <w:bottom w:val="single" w:sz="4" w:space="0" w:color="auto"/>
            </w:tcBorders>
            <w:shd w:val="clear" w:color="auto" w:fill="auto"/>
          </w:tcPr>
          <w:p w14:paraId="77BB9078"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1559F416" w14:textId="49C704FE"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36F5BAD9"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0C0DDBEB" w14:textId="189A745D" w:rsidR="00B44B73" w:rsidRPr="00AC7487" w:rsidRDefault="00B44B73" w:rsidP="006A618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w:t>
            </w:r>
            <w:r>
              <w:rPr>
                <w:lang w:val="en-US"/>
              </w:rPr>
              <w:t>ing</w:t>
            </w:r>
            <w:r w:rsidRPr="00AC7487">
              <w:rPr>
                <w:lang w:val="en-US"/>
              </w:rPr>
              <w:t xml:space="preserve"> information</w:t>
            </w:r>
            <w:r>
              <w:rPr>
                <w:lang w:val="en-US"/>
              </w:rPr>
              <w:t>-</w:t>
            </w:r>
            <w:r w:rsidRPr="00AC7487">
              <w:rPr>
                <w:lang w:val="en-US"/>
              </w:rPr>
              <w:t>sharing through the exchange and sharing of experience and best practices</w:t>
            </w:r>
          </w:p>
        </w:tc>
      </w:tr>
      <w:tr w:rsidR="00B44B73" w:rsidRPr="00AC7487" w14:paraId="32AF092D" w14:textId="77777777" w:rsidTr="00D36C69">
        <w:trPr>
          <w:trHeight w:val="240"/>
        </w:trPr>
        <w:tc>
          <w:tcPr>
            <w:tcW w:w="851" w:type="dxa"/>
            <w:vMerge w:val="restart"/>
            <w:tcBorders>
              <w:top w:val="single" w:sz="4" w:space="0" w:color="auto"/>
            </w:tcBorders>
            <w:shd w:val="clear" w:color="auto" w:fill="auto"/>
          </w:tcPr>
          <w:p w14:paraId="3198EC35" w14:textId="77777777" w:rsidR="00B44B73" w:rsidRPr="00AC7487" w:rsidRDefault="00B44B73" w:rsidP="006A6183">
            <w:pPr>
              <w:suppressAutoHyphens w:val="0"/>
              <w:spacing w:before="40" w:after="120" w:line="220" w:lineRule="exact"/>
              <w:rPr>
                <w:lang w:val="en-US"/>
              </w:rPr>
            </w:pPr>
            <w:r w:rsidRPr="00AC7487">
              <w:rPr>
                <w:lang w:val="en-US"/>
              </w:rPr>
              <w:t>2</w:t>
            </w:r>
          </w:p>
        </w:tc>
        <w:tc>
          <w:tcPr>
            <w:tcW w:w="4678" w:type="dxa"/>
            <w:vMerge w:val="restart"/>
            <w:tcBorders>
              <w:top w:val="single" w:sz="4" w:space="0" w:color="auto"/>
            </w:tcBorders>
            <w:shd w:val="clear" w:color="auto" w:fill="auto"/>
          </w:tcPr>
          <w:p w14:paraId="52AA86CB" w14:textId="786ED4AC" w:rsidR="00B44B73" w:rsidRPr="00AC7487" w:rsidRDefault="00B44B73" w:rsidP="00D36C69">
            <w:pPr>
              <w:suppressAutoHyphens w:val="0"/>
              <w:spacing w:before="40" w:after="120" w:line="220" w:lineRule="exact"/>
              <w:ind w:left="-5" w:right="33"/>
              <w:rPr>
                <w:lang w:val="en-US"/>
              </w:rPr>
            </w:pPr>
            <w:r w:rsidRPr="00AC7487">
              <w:rPr>
                <w:lang w:val="en-US"/>
              </w:rPr>
              <w:t>Identify country-driven strategies and best practices on just transition of the work</w:t>
            </w:r>
            <w:r>
              <w:rPr>
                <w:lang w:val="en-US"/>
              </w:rPr>
              <w:t>force</w:t>
            </w:r>
            <w:r w:rsidRPr="00AC7487">
              <w:rPr>
                <w:lang w:val="en-US"/>
              </w:rPr>
              <w:t xml:space="preserve"> and creation of decent work and quality jobs and on economic diversification </w:t>
            </w:r>
            <w:r w:rsidRPr="00AC7487">
              <w:rPr>
                <w:lang w:val="en-US"/>
              </w:rPr>
              <w:lastRenderedPageBreak/>
              <w:t>and transformation focusing on challenges and opportunities from the implementation of low greenhouse gas emission policies and strategies towards the achievement of sustainable development</w:t>
            </w:r>
          </w:p>
        </w:tc>
        <w:tc>
          <w:tcPr>
            <w:tcW w:w="2409" w:type="dxa"/>
            <w:tcBorders>
              <w:top w:val="single" w:sz="4" w:space="0" w:color="auto"/>
            </w:tcBorders>
            <w:shd w:val="clear" w:color="auto" w:fill="auto"/>
          </w:tcPr>
          <w:p w14:paraId="2D43AF28" w14:textId="678DF256" w:rsidR="00B44B73" w:rsidRPr="00AC7487" w:rsidRDefault="00B44B73" w:rsidP="006A6183">
            <w:pPr>
              <w:suppressAutoHyphens w:val="0"/>
              <w:spacing w:before="40" w:after="120" w:line="220" w:lineRule="exact"/>
              <w:rPr>
                <w:lang w:val="en-US"/>
              </w:rPr>
            </w:pPr>
            <w:r w:rsidRPr="00AC7487">
              <w:rPr>
                <w:lang w:val="en-US"/>
              </w:rPr>
              <w:lastRenderedPageBreak/>
              <w:t xml:space="preserve">SB 54 </w:t>
            </w:r>
            <w:r>
              <w:rPr>
                <w:lang w:val="en-US"/>
              </w:rPr>
              <w:t>(</w:t>
            </w:r>
            <w:r w:rsidR="00FF3EBA">
              <w:rPr>
                <w:lang w:val="en-US"/>
              </w:rPr>
              <w:t xml:space="preserve">May–June </w:t>
            </w:r>
            <w:r>
              <w:rPr>
                <w:lang w:val="en-US"/>
              </w:rPr>
              <w:t xml:space="preserve">2021) </w:t>
            </w:r>
            <w:r w:rsidRPr="00AC7487">
              <w:rPr>
                <w:lang w:val="en-US"/>
              </w:rPr>
              <w:t xml:space="preserve">and </w:t>
            </w:r>
            <w:r>
              <w:rPr>
                <w:lang w:val="en-US"/>
              </w:rPr>
              <w:t xml:space="preserve">SB </w:t>
            </w:r>
            <w:r w:rsidRPr="00AC7487">
              <w:rPr>
                <w:lang w:val="en-US"/>
              </w:rPr>
              <w:t>58</w:t>
            </w:r>
          </w:p>
        </w:tc>
        <w:tc>
          <w:tcPr>
            <w:tcW w:w="993" w:type="dxa"/>
            <w:tcBorders>
              <w:top w:val="single" w:sz="4" w:space="0" w:color="auto"/>
              <w:bottom w:val="single" w:sz="4" w:space="0" w:color="auto"/>
            </w:tcBorders>
            <w:shd w:val="clear" w:color="auto" w:fill="auto"/>
          </w:tcPr>
          <w:p w14:paraId="18A35E56"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E66C3B0"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576E047D" w14:textId="77777777" w:rsidR="00B44B73" w:rsidRPr="00AC7487" w:rsidRDefault="00B44B73" w:rsidP="006A6183">
            <w:pPr>
              <w:suppressAutoHyphens w:val="0"/>
              <w:spacing w:before="40" w:after="120" w:line="220" w:lineRule="exact"/>
              <w:rPr>
                <w:lang w:val="en-US"/>
              </w:rPr>
            </w:pPr>
            <w:r w:rsidRPr="00AC7487">
              <w:rPr>
                <w:lang w:val="en-US"/>
              </w:rPr>
              <w:t>Concrete examples</w:t>
            </w:r>
          </w:p>
        </w:tc>
      </w:tr>
      <w:tr w:rsidR="00B44B73" w:rsidRPr="00AC7487" w14:paraId="1B1702BC" w14:textId="77777777" w:rsidTr="00D36C69">
        <w:trPr>
          <w:trHeight w:val="240"/>
        </w:trPr>
        <w:tc>
          <w:tcPr>
            <w:tcW w:w="851" w:type="dxa"/>
            <w:vMerge/>
            <w:tcBorders>
              <w:top w:val="nil"/>
              <w:bottom w:val="single" w:sz="4" w:space="0" w:color="auto"/>
            </w:tcBorders>
            <w:shd w:val="clear" w:color="auto" w:fill="auto"/>
          </w:tcPr>
          <w:p w14:paraId="7FFFCE0C"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1390A63C" w14:textId="77777777" w:rsidR="00B44B73" w:rsidRPr="00AC7487" w:rsidRDefault="00B44B73" w:rsidP="00D36C69">
            <w:pPr>
              <w:suppressAutoHyphens w:val="0"/>
              <w:spacing w:before="40" w:after="120" w:line="220" w:lineRule="exact"/>
              <w:ind w:left="-5" w:right="33"/>
              <w:rPr>
                <w:lang w:val="en-US"/>
              </w:rPr>
            </w:pPr>
          </w:p>
        </w:tc>
        <w:tc>
          <w:tcPr>
            <w:tcW w:w="2409" w:type="dxa"/>
            <w:tcBorders>
              <w:top w:val="nil"/>
              <w:bottom w:val="single" w:sz="4" w:space="0" w:color="auto"/>
            </w:tcBorders>
            <w:shd w:val="clear" w:color="auto" w:fill="auto"/>
          </w:tcPr>
          <w:p w14:paraId="2F4619A6" w14:textId="4B96BA7D" w:rsidR="00B44B73" w:rsidRPr="00AC7487" w:rsidRDefault="00B44B73" w:rsidP="006A6183">
            <w:pPr>
              <w:suppressAutoHyphens w:val="0"/>
              <w:spacing w:before="40" w:after="120" w:line="220" w:lineRule="exact"/>
              <w:rPr>
                <w:lang w:val="en-US"/>
              </w:rPr>
            </w:pPr>
            <w:r w:rsidRPr="00AC7487">
              <w:rPr>
                <w:lang w:val="en-US"/>
              </w:rPr>
              <w:t>SB 58</w:t>
            </w:r>
          </w:p>
        </w:tc>
        <w:tc>
          <w:tcPr>
            <w:tcW w:w="993" w:type="dxa"/>
            <w:tcBorders>
              <w:top w:val="single" w:sz="4" w:space="0" w:color="auto"/>
              <w:bottom w:val="single" w:sz="4" w:space="0" w:color="auto"/>
            </w:tcBorders>
            <w:shd w:val="clear" w:color="auto" w:fill="auto"/>
          </w:tcPr>
          <w:p w14:paraId="2F52C495"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54C425A" w14:textId="0B605F0C" w:rsidR="00B44B73" w:rsidRPr="00AC7487" w:rsidRDefault="00B44B73" w:rsidP="006A618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p w14:paraId="299A2F58" w14:textId="77777777" w:rsidR="00B44B73" w:rsidRPr="00AC7487" w:rsidRDefault="00B44B73" w:rsidP="006A6183">
            <w:pPr>
              <w:suppressAutoHyphens w:val="0"/>
              <w:spacing w:before="40" w:after="120" w:line="220" w:lineRule="exact"/>
              <w:rPr>
                <w:lang w:val="en-US"/>
              </w:rPr>
            </w:pPr>
            <w:r w:rsidRPr="00AC7487">
              <w:rPr>
                <w:lang w:val="en-US"/>
              </w:rPr>
              <w:t>In-session workshop</w:t>
            </w:r>
          </w:p>
        </w:tc>
      </w:tr>
      <w:tr w:rsidR="00B44B73" w:rsidRPr="00AC7487" w14:paraId="5875F8B6" w14:textId="77777777" w:rsidTr="00D36C69">
        <w:trPr>
          <w:trHeight w:val="240"/>
        </w:trPr>
        <w:tc>
          <w:tcPr>
            <w:tcW w:w="851" w:type="dxa"/>
            <w:vMerge w:val="restart"/>
            <w:tcBorders>
              <w:top w:val="single" w:sz="4" w:space="0" w:color="auto"/>
            </w:tcBorders>
            <w:shd w:val="clear" w:color="auto" w:fill="auto"/>
          </w:tcPr>
          <w:p w14:paraId="5CD0AFE0" w14:textId="77777777" w:rsidR="00B44B73" w:rsidRPr="00AC7487" w:rsidRDefault="00B44B73" w:rsidP="006A6183">
            <w:pPr>
              <w:suppressAutoHyphens w:val="0"/>
              <w:spacing w:before="40" w:after="120" w:line="220" w:lineRule="exact"/>
              <w:rPr>
                <w:lang w:val="en-US"/>
              </w:rPr>
            </w:pPr>
            <w:r w:rsidRPr="00AC7487">
              <w:rPr>
                <w:lang w:val="en-US"/>
              </w:rPr>
              <w:t>3</w:t>
            </w:r>
          </w:p>
        </w:tc>
        <w:tc>
          <w:tcPr>
            <w:tcW w:w="4678" w:type="dxa"/>
            <w:vMerge w:val="restart"/>
            <w:tcBorders>
              <w:top w:val="single" w:sz="4" w:space="0" w:color="auto"/>
            </w:tcBorders>
            <w:shd w:val="clear" w:color="auto" w:fill="auto"/>
          </w:tcPr>
          <w:p w14:paraId="4CF80C73" w14:textId="0D660E6A" w:rsidR="00B44B73" w:rsidRPr="00AC7487" w:rsidRDefault="00B44B73" w:rsidP="00D36C69">
            <w:pPr>
              <w:suppressAutoHyphens w:val="0"/>
              <w:spacing w:before="40" w:after="120" w:line="220" w:lineRule="exact"/>
              <w:ind w:left="-5" w:right="33"/>
              <w:rPr>
                <w:lang w:val="en-US"/>
              </w:rPr>
            </w:pPr>
            <w:r w:rsidRPr="00AC7487">
              <w:rPr>
                <w:lang w:val="en-US"/>
              </w:rPr>
              <w:t>Facilitate the development, enhancement, customization and use of tools and methodologies for modelling and assessing the impacts of the implementation of response measures</w:t>
            </w:r>
            <w:r>
              <w:rPr>
                <w:lang w:val="en-US"/>
              </w:rPr>
              <w:t>,</w:t>
            </w:r>
            <w:r w:rsidRPr="00AC7487">
              <w:rPr>
                <w:lang w:val="en-US"/>
              </w:rPr>
              <w:t xml:space="preserve"> including identifying and reviewing existing tools and approaches in data</w:t>
            </w:r>
            <w:r>
              <w:rPr>
                <w:lang w:val="en-US"/>
              </w:rPr>
              <w:t>-</w:t>
            </w:r>
            <w:r w:rsidRPr="00AC7487">
              <w:rPr>
                <w:lang w:val="en-US"/>
              </w:rPr>
              <w:t>poor environments, in consultation with technical experts, practitioners and other relevant stakeholders</w:t>
            </w:r>
          </w:p>
        </w:tc>
        <w:tc>
          <w:tcPr>
            <w:tcW w:w="2409" w:type="dxa"/>
            <w:vMerge w:val="restart"/>
            <w:tcBorders>
              <w:top w:val="single" w:sz="4" w:space="0" w:color="auto"/>
            </w:tcBorders>
            <w:shd w:val="clear" w:color="auto" w:fill="auto"/>
          </w:tcPr>
          <w:p w14:paraId="2398B134" w14:textId="51186E51" w:rsidR="00B44B73" w:rsidRPr="00AC7487" w:rsidRDefault="00B44B73" w:rsidP="006A6183">
            <w:pPr>
              <w:suppressAutoHyphens w:val="0"/>
              <w:spacing w:before="40" w:after="120" w:line="220" w:lineRule="exact"/>
              <w:rPr>
                <w:lang w:val="en-US"/>
              </w:rPr>
            </w:pPr>
            <w:r w:rsidRPr="00AC7487">
              <w:rPr>
                <w:lang w:val="en-US"/>
              </w:rPr>
              <w:t xml:space="preserve">SB 53 and onward, as decided by the </w:t>
            </w:r>
            <w:r>
              <w:rPr>
                <w:lang w:val="en-US"/>
              </w:rPr>
              <w:t>f</w:t>
            </w:r>
            <w:r w:rsidRPr="00AC7487">
              <w:rPr>
                <w:lang w:val="en-US"/>
              </w:rPr>
              <w:t>orum/KCI</w:t>
            </w:r>
          </w:p>
        </w:tc>
        <w:tc>
          <w:tcPr>
            <w:tcW w:w="993" w:type="dxa"/>
            <w:tcBorders>
              <w:top w:val="single" w:sz="4" w:space="0" w:color="auto"/>
              <w:bottom w:val="single" w:sz="4" w:space="0" w:color="auto"/>
            </w:tcBorders>
            <w:shd w:val="clear" w:color="auto" w:fill="auto"/>
          </w:tcPr>
          <w:p w14:paraId="33D2D2DC"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9F019E3"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4B1DFCBF" w14:textId="77777777" w:rsidR="00B44B73" w:rsidRPr="00AC7487" w:rsidRDefault="00B44B73" w:rsidP="006A6183">
            <w:pPr>
              <w:suppressAutoHyphens w:val="0"/>
              <w:spacing w:before="40" w:after="120" w:line="220" w:lineRule="exact"/>
              <w:rPr>
                <w:lang w:val="en-US"/>
              </w:rPr>
            </w:pPr>
            <w:r w:rsidRPr="00AC7487">
              <w:rPr>
                <w:lang w:val="en-US"/>
              </w:rPr>
              <w:t>Technical paper</w:t>
            </w:r>
          </w:p>
        </w:tc>
      </w:tr>
      <w:tr w:rsidR="00B44B73" w:rsidRPr="00AC7487" w14:paraId="1742D568" w14:textId="77777777" w:rsidTr="00D36C69">
        <w:trPr>
          <w:trHeight w:val="240"/>
        </w:trPr>
        <w:tc>
          <w:tcPr>
            <w:tcW w:w="851" w:type="dxa"/>
            <w:vMerge/>
            <w:tcBorders>
              <w:bottom w:val="single" w:sz="4" w:space="0" w:color="auto"/>
            </w:tcBorders>
            <w:shd w:val="clear" w:color="auto" w:fill="auto"/>
          </w:tcPr>
          <w:p w14:paraId="40D34957" w14:textId="77777777" w:rsidR="00B44B73" w:rsidRPr="00AC7487" w:rsidRDefault="00B44B73" w:rsidP="006A6183">
            <w:pPr>
              <w:suppressAutoHyphens w:val="0"/>
              <w:spacing w:before="40" w:after="120" w:line="220" w:lineRule="exact"/>
              <w:rPr>
                <w:lang w:val="en-US"/>
              </w:rPr>
            </w:pPr>
          </w:p>
        </w:tc>
        <w:tc>
          <w:tcPr>
            <w:tcW w:w="4678" w:type="dxa"/>
            <w:vMerge/>
            <w:tcBorders>
              <w:bottom w:val="single" w:sz="4" w:space="0" w:color="auto"/>
            </w:tcBorders>
            <w:shd w:val="clear" w:color="auto" w:fill="auto"/>
          </w:tcPr>
          <w:p w14:paraId="04B165AD"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bottom w:val="single" w:sz="4" w:space="0" w:color="auto"/>
            </w:tcBorders>
            <w:shd w:val="clear" w:color="auto" w:fill="auto"/>
          </w:tcPr>
          <w:p w14:paraId="249653DF"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361C6A6E"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7B2BBE52"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5831511D" w14:textId="6EEC9715" w:rsidR="00B44B73" w:rsidRPr="00AC7487" w:rsidRDefault="00B44B73" w:rsidP="006A618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p w14:paraId="7701B327" w14:textId="77777777" w:rsidR="00B44B73" w:rsidRPr="00AC7487" w:rsidRDefault="00B44B73" w:rsidP="006A6183">
            <w:pPr>
              <w:suppressAutoHyphens w:val="0"/>
              <w:spacing w:before="40" w:after="120" w:line="220" w:lineRule="exact"/>
              <w:rPr>
                <w:lang w:val="en-US"/>
              </w:rPr>
            </w:pPr>
            <w:r w:rsidRPr="00AC7487">
              <w:rPr>
                <w:lang w:val="en-US"/>
              </w:rPr>
              <w:t>Organizing a regional workshop</w:t>
            </w:r>
          </w:p>
        </w:tc>
      </w:tr>
      <w:tr w:rsidR="00B44B73" w:rsidRPr="00AC7487" w14:paraId="0B6CDEBE" w14:textId="77777777" w:rsidTr="00D36C69">
        <w:trPr>
          <w:trHeight w:val="240"/>
        </w:trPr>
        <w:tc>
          <w:tcPr>
            <w:tcW w:w="851" w:type="dxa"/>
            <w:vMerge w:val="restart"/>
            <w:tcBorders>
              <w:top w:val="single" w:sz="4" w:space="0" w:color="auto"/>
            </w:tcBorders>
            <w:shd w:val="clear" w:color="auto" w:fill="auto"/>
          </w:tcPr>
          <w:p w14:paraId="7A01C288" w14:textId="77777777" w:rsidR="00B44B73" w:rsidRPr="00AC7487" w:rsidRDefault="00B44B73" w:rsidP="006A6183">
            <w:pPr>
              <w:suppressAutoHyphens w:val="0"/>
              <w:spacing w:before="40" w:after="120" w:line="220" w:lineRule="exact"/>
              <w:rPr>
                <w:lang w:val="en-US"/>
              </w:rPr>
            </w:pPr>
            <w:r w:rsidRPr="00AC7487">
              <w:rPr>
                <w:lang w:val="en-US"/>
              </w:rPr>
              <w:t>4</w:t>
            </w:r>
          </w:p>
        </w:tc>
        <w:tc>
          <w:tcPr>
            <w:tcW w:w="4678" w:type="dxa"/>
            <w:vMerge w:val="restart"/>
            <w:tcBorders>
              <w:top w:val="single" w:sz="4" w:space="0" w:color="auto"/>
            </w:tcBorders>
            <w:shd w:val="clear" w:color="auto" w:fill="auto"/>
          </w:tcPr>
          <w:p w14:paraId="3090CDC0"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Enhance </w:t>
            </w:r>
            <w:r>
              <w:rPr>
                <w:lang w:val="en-US"/>
              </w:rPr>
              <w:t xml:space="preserve">the </w:t>
            </w:r>
            <w:r w:rsidRPr="00AC7487">
              <w:rPr>
                <w:lang w:val="en-US"/>
              </w:rPr>
              <w:t xml:space="preserve">capacity and understanding of Parties, through collaboration and input from stakeholders, on the assessment and analysis of the impacts of </w:t>
            </w:r>
            <w:r>
              <w:rPr>
                <w:lang w:val="en-US"/>
              </w:rPr>
              <w:t xml:space="preserve">the </w:t>
            </w:r>
            <w:r w:rsidRPr="00AC7487">
              <w:rPr>
                <w:lang w:val="en-US"/>
              </w:rPr>
              <w:t>implementation of response measures to facilitate the undertaking of economic diversification and transformation and just transition</w:t>
            </w:r>
          </w:p>
        </w:tc>
        <w:tc>
          <w:tcPr>
            <w:tcW w:w="2409" w:type="dxa"/>
            <w:vMerge w:val="restart"/>
            <w:tcBorders>
              <w:top w:val="single" w:sz="4" w:space="0" w:color="auto"/>
            </w:tcBorders>
            <w:shd w:val="clear" w:color="auto" w:fill="auto"/>
          </w:tcPr>
          <w:p w14:paraId="408E43EB" w14:textId="5C908F12" w:rsidR="00B44B73" w:rsidRPr="00AC7487" w:rsidRDefault="00B44B73" w:rsidP="006A6183">
            <w:pPr>
              <w:suppressAutoHyphens w:val="0"/>
              <w:spacing w:before="40" w:after="120" w:line="220" w:lineRule="exact"/>
              <w:rPr>
                <w:lang w:val="en-US"/>
              </w:rPr>
            </w:pPr>
            <w:r w:rsidRPr="00AC7487">
              <w:rPr>
                <w:lang w:val="en-US"/>
              </w:rPr>
              <w:t xml:space="preserve">SB 52 and </w:t>
            </w:r>
            <w:r>
              <w:rPr>
                <w:lang w:val="en-US"/>
              </w:rPr>
              <w:t xml:space="preserve">SB </w:t>
            </w:r>
            <w:r w:rsidRPr="00AC7487">
              <w:rPr>
                <w:lang w:val="en-US"/>
              </w:rPr>
              <w:t>63</w:t>
            </w:r>
          </w:p>
        </w:tc>
        <w:tc>
          <w:tcPr>
            <w:tcW w:w="993" w:type="dxa"/>
            <w:tcBorders>
              <w:top w:val="single" w:sz="4" w:space="0" w:color="auto"/>
              <w:bottom w:val="single" w:sz="4" w:space="0" w:color="auto"/>
            </w:tcBorders>
            <w:shd w:val="clear" w:color="auto" w:fill="auto"/>
          </w:tcPr>
          <w:p w14:paraId="2CD05A33"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50212979"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2340E3B8" w14:textId="77777777" w:rsidR="00B44B73" w:rsidRPr="00AC7487" w:rsidRDefault="00B44B73" w:rsidP="006A6183">
            <w:pPr>
              <w:suppressAutoHyphens w:val="0"/>
              <w:spacing w:before="40" w:after="120" w:line="220" w:lineRule="exact"/>
              <w:rPr>
                <w:lang w:val="en-US"/>
              </w:rPr>
            </w:pPr>
            <w:r w:rsidRPr="00AC7487">
              <w:rPr>
                <w:lang w:val="en-US"/>
              </w:rPr>
              <w:t>Technical paper</w:t>
            </w:r>
          </w:p>
        </w:tc>
      </w:tr>
      <w:tr w:rsidR="00B44B73" w:rsidRPr="00AC7487" w14:paraId="689746E9" w14:textId="77777777" w:rsidTr="00D36C69">
        <w:trPr>
          <w:trHeight w:val="240"/>
        </w:trPr>
        <w:tc>
          <w:tcPr>
            <w:tcW w:w="851" w:type="dxa"/>
            <w:vMerge/>
            <w:tcBorders>
              <w:bottom w:val="single" w:sz="4" w:space="0" w:color="auto"/>
            </w:tcBorders>
            <w:shd w:val="clear" w:color="auto" w:fill="auto"/>
          </w:tcPr>
          <w:p w14:paraId="6AA9CAC7"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0ED5377F"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24BEB8A3"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43BE1337"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6DF40230"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4504EA24" w14:textId="5B3CC8A0" w:rsidR="00B44B73" w:rsidRPr="00AC7487" w:rsidRDefault="00B44B73" w:rsidP="006A618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tc>
      </w:tr>
      <w:tr w:rsidR="00B44B73" w:rsidRPr="00AC7487" w14:paraId="108D7575" w14:textId="77777777" w:rsidTr="00D36C69">
        <w:trPr>
          <w:trHeight w:val="240"/>
        </w:trPr>
        <w:tc>
          <w:tcPr>
            <w:tcW w:w="851" w:type="dxa"/>
            <w:vMerge w:val="restart"/>
            <w:tcBorders>
              <w:top w:val="single" w:sz="4" w:space="0" w:color="auto"/>
            </w:tcBorders>
            <w:shd w:val="clear" w:color="auto" w:fill="auto"/>
          </w:tcPr>
          <w:p w14:paraId="0E883EB3" w14:textId="77777777" w:rsidR="00B44B73" w:rsidRPr="00AC7487" w:rsidRDefault="00B44B73" w:rsidP="006A6183">
            <w:pPr>
              <w:suppressAutoHyphens w:val="0"/>
              <w:spacing w:before="40" w:after="120" w:line="220" w:lineRule="exact"/>
              <w:rPr>
                <w:lang w:val="en-US"/>
              </w:rPr>
            </w:pPr>
            <w:r w:rsidRPr="00AC7487">
              <w:rPr>
                <w:lang w:val="en-US"/>
              </w:rPr>
              <w:t>5</w:t>
            </w:r>
          </w:p>
        </w:tc>
        <w:tc>
          <w:tcPr>
            <w:tcW w:w="4678" w:type="dxa"/>
            <w:vMerge w:val="restart"/>
            <w:tcBorders>
              <w:top w:val="single" w:sz="4" w:space="0" w:color="auto"/>
            </w:tcBorders>
            <w:shd w:val="clear" w:color="auto" w:fill="auto"/>
          </w:tcPr>
          <w:p w14:paraId="1BDA1BA4"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Build awareness and understanding of Parties and other stakeholders </w:t>
            </w:r>
            <w:r w:rsidRPr="00AC7487" w:rsidDel="00A57609">
              <w:rPr>
                <w:lang w:val="en-US"/>
              </w:rPr>
              <w:t>to</w:t>
            </w:r>
            <w:r w:rsidRPr="00AC7487">
              <w:rPr>
                <w:lang w:val="en-US"/>
              </w:rPr>
              <w:t xml:space="preserve"> assess the economic impacts of potential new industries and businesses resulting from the implementation of response measures with a view to maximizing the positive and minimizing the negative impacts of the implementation of response measures</w:t>
            </w:r>
          </w:p>
        </w:tc>
        <w:tc>
          <w:tcPr>
            <w:tcW w:w="2409" w:type="dxa"/>
            <w:vMerge w:val="restart"/>
            <w:tcBorders>
              <w:top w:val="single" w:sz="4" w:space="0" w:color="auto"/>
            </w:tcBorders>
            <w:shd w:val="clear" w:color="auto" w:fill="auto"/>
          </w:tcPr>
          <w:p w14:paraId="2FBE8B14" w14:textId="56BF32E8" w:rsidR="00B44B73" w:rsidRPr="00AC7487" w:rsidRDefault="00B44B73" w:rsidP="006A6183">
            <w:pPr>
              <w:suppressAutoHyphens w:val="0"/>
              <w:spacing w:before="40" w:after="120" w:line="220" w:lineRule="exact"/>
              <w:rPr>
                <w:lang w:val="en-US"/>
              </w:rPr>
            </w:pPr>
            <w:r w:rsidRPr="00AC7487">
              <w:rPr>
                <w:lang w:val="en-US"/>
              </w:rPr>
              <w:t>SB 57</w:t>
            </w:r>
          </w:p>
        </w:tc>
        <w:tc>
          <w:tcPr>
            <w:tcW w:w="993" w:type="dxa"/>
            <w:tcBorders>
              <w:top w:val="single" w:sz="4" w:space="0" w:color="auto"/>
              <w:bottom w:val="single" w:sz="4" w:space="0" w:color="auto"/>
            </w:tcBorders>
            <w:shd w:val="clear" w:color="auto" w:fill="auto"/>
          </w:tcPr>
          <w:p w14:paraId="3BEA5B8D"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28C70F88"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77ABB00A" w14:textId="77777777" w:rsidR="00B44B73" w:rsidRPr="00AC7487" w:rsidRDefault="00B44B73" w:rsidP="006A6183">
            <w:pPr>
              <w:suppressAutoHyphens w:val="0"/>
              <w:spacing w:before="40" w:after="120" w:line="220" w:lineRule="exact"/>
              <w:rPr>
                <w:lang w:val="en-US"/>
              </w:rPr>
            </w:pPr>
            <w:r w:rsidRPr="00AC7487">
              <w:rPr>
                <w:lang w:val="en-US"/>
              </w:rPr>
              <w:t>Technical paper</w:t>
            </w:r>
          </w:p>
        </w:tc>
      </w:tr>
      <w:tr w:rsidR="00B44B73" w:rsidRPr="00AC7487" w14:paraId="7FD16D5F" w14:textId="77777777" w:rsidTr="0028032A">
        <w:trPr>
          <w:trHeight w:val="240"/>
        </w:trPr>
        <w:tc>
          <w:tcPr>
            <w:tcW w:w="851" w:type="dxa"/>
            <w:vMerge/>
            <w:tcBorders>
              <w:bottom w:val="single" w:sz="4" w:space="0" w:color="auto"/>
            </w:tcBorders>
            <w:shd w:val="clear" w:color="auto" w:fill="auto"/>
          </w:tcPr>
          <w:p w14:paraId="1DDFCCDE" w14:textId="77777777" w:rsidR="00B44B73" w:rsidRPr="00AC7487" w:rsidRDefault="00B44B73" w:rsidP="006A6183">
            <w:pPr>
              <w:suppressAutoHyphens w:val="0"/>
              <w:spacing w:before="40" w:after="120" w:line="220" w:lineRule="exact"/>
              <w:rPr>
                <w:lang w:val="en-US"/>
              </w:rPr>
            </w:pPr>
          </w:p>
        </w:tc>
        <w:tc>
          <w:tcPr>
            <w:tcW w:w="4678" w:type="dxa"/>
            <w:vMerge/>
            <w:tcBorders>
              <w:bottom w:val="single" w:sz="4" w:space="0" w:color="auto"/>
            </w:tcBorders>
            <w:shd w:val="clear" w:color="auto" w:fill="auto"/>
          </w:tcPr>
          <w:p w14:paraId="2DC31F71"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bottom w:val="single" w:sz="4" w:space="0" w:color="auto"/>
            </w:tcBorders>
            <w:shd w:val="clear" w:color="auto" w:fill="auto"/>
          </w:tcPr>
          <w:p w14:paraId="3199EDC5"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79436F7C"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2B18EED8"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768FA59D" w14:textId="21B43E16" w:rsidR="00B44B73" w:rsidRPr="00AC7487" w:rsidRDefault="00B44B73" w:rsidP="006A618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tc>
      </w:tr>
      <w:tr w:rsidR="00B44B73" w:rsidRPr="00AC7487" w14:paraId="4D59BCDC" w14:textId="77777777" w:rsidTr="0028032A">
        <w:trPr>
          <w:trHeight w:val="240"/>
        </w:trPr>
        <w:tc>
          <w:tcPr>
            <w:tcW w:w="851" w:type="dxa"/>
            <w:vMerge w:val="restart"/>
            <w:tcBorders>
              <w:top w:val="single" w:sz="4" w:space="0" w:color="auto"/>
            </w:tcBorders>
            <w:shd w:val="clear" w:color="auto" w:fill="auto"/>
          </w:tcPr>
          <w:p w14:paraId="205DC0BD" w14:textId="77777777" w:rsidR="00B44B73" w:rsidRPr="00AC7487" w:rsidRDefault="00B44B73" w:rsidP="006A6183">
            <w:pPr>
              <w:suppressAutoHyphens w:val="0"/>
              <w:spacing w:before="40" w:after="120" w:line="220" w:lineRule="exact"/>
              <w:rPr>
                <w:lang w:val="en-US"/>
              </w:rPr>
            </w:pPr>
            <w:r w:rsidRPr="00AC7487">
              <w:rPr>
                <w:lang w:val="en-US"/>
              </w:rPr>
              <w:t>6</w:t>
            </w:r>
          </w:p>
        </w:tc>
        <w:tc>
          <w:tcPr>
            <w:tcW w:w="4678" w:type="dxa"/>
            <w:vMerge w:val="restart"/>
            <w:tcBorders>
              <w:top w:val="single" w:sz="4" w:space="0" w:color="auto"/>
            </w:tcBorders>
            <w:shd w:val="clear" w:color="auto" w:fill="auto"/>
          </w:tcPr>
          <w:p w14:paraId="47B7C370" w14:textId="77777777" w:rsidR="00B44B73" w:rsidRPr="00AC7487" w:rsidRDefault="00B44B73" w:rsidP="00D36C69">
            <w:pPr>
              <w:suppressAutoHyphens w:val="0"/>
              <w:spacing w:before="40" w:after="120" w:line="220" w:lineRule="exact"/>
              <w:ind w:left="-5" w:right="33"/>
              <w:rPr>
                <w:lang w:val="en-US"/>
              </w:rPr>
            </w:pPr>
            <w:r w:rsidRPr="00AC7487">
              <w:rPr>
                <w:lang w:val="en-US"/>
              </w:rPr>
              <w:t>Promote the availability and use of guidelines and policy frameworks to assist Parties in promoting just transition of the workforce and the creation of decent work and quality jobs within and across sectors, including training, retooling, retraining and reskilling systems and stakeholder engagement strategies</w:t>
            </w:r>
          </w:p>
        </w:tc>
        <w:tc>
          <w:tcPr>
            <w:tcW w:w="2409" w:type="dxa"/>
            <w:vMerge w:val="restart"/>
            <w:tcBorders>
              <w:top w:val="single" w:sz="4" w:space="0" w:color="auto"/>
            </w:tcBorders>
            <w:shd w:val="clear" w:color="auto" w:fill="auto"/>
          </w:tcPr>
          <w:p w14:paraId="6FD1830A" w14:textId="4A9CE4DA" w:rsidR="00B44B73" w:rsidRPr="00AC7487" w:rsidRDefault="00B44B73" w:rsidP="006A6183">
            <w:pPr>
              <w:suppressAutoHyphens w:val="0"/>
              <w:spacing w:before="40" w:after="120" w:line="220" w:lineRule="exact"/>
              <w:rPr>
                <w:lang w:val="en-US"/>
              </w:rPr>
            </w:pPr>
            <w:r w:rsidRPr="00AC7487">
              <w:rPr>
                <w:lang w:val="en-US"/>
              </w:rPr>
              <w:t>SB 60</w:t>
            </w:r>
            <w:r>
              <w:rPr>
                <w:lang w:val="en-US"/>
              </w:rPr>
              <w:t xml:space="preserve"> (</w:t>
            </w:r>
            <w:r w:rsidR="00FF3EBA">
              <w:rPr>
                <w:lang w:val="en-US"/>
              </w:rPr>
              <w:t xml:space="preserve">June </w:t>
            </w:r>
            <w:r>
              <w:rPr>
                <w:lang w:val="en-US"/>
              </w:rPr>
              <w:t>2024)</w:t>
            </w:r>
          </w:p>
        </w:tc>
        <w:tc>
          <w:tcPr>
            <w:tcW w:w="993" w:type="dxa"/>
            <w:tcBorders>
              <w:top w:val="single" w:sz="4" w:space="0" w:color="auto"/>
              <w:bottom w:val="single" w:sz="4" w:space="0" w:color="auto"/>
            </w:tcBorders>
            <w:shd w:val="clear" w:color="auto" w:fill="auto"/>
          </w:tcPr>
          <w:p w14:paraId="539D114A"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BAD2B0F"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tc>
      </w:tr>
      <w:tr w:rsidR="00B44B73" w:rsidRPr="00AC7487" w14:paraId="43E755C9" w14:textId="77777777" w:rsidTr="0028032A">
        <w:trPr>
          <w:trHeight w:val="240"/>
        </w:trPr>
        <w:tc>
          <w:tcPr>
            <w:tcW w:w="851" w:type="dxa"/>
            <w:vMerge/>
            <w:tcBorders>
              <w:top w:val="nil"/>
              <w:bottom w:val="single" w:sz="4" w:space="0" w:color="auto"/>
            </w:tcBorders>
            <w:shd w:val="clear" w:color="auto" w:fill="auto"/>
          </w:tcPr>
          <w:p w14:paraId="06AF18AB"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06521C4F"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1714C16B"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124CDAA0"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296BDACF"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29B5F0E5"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tc>
      </w:tr>
      <w:tr w:rsidR="00B44B73" w:rsidRPr="00AC7487" w14:paraId="4BBAEE9B" w14:textId="77777777" w:rsidTr="00D36C69">
        <w:trPr>
          <w:trHeight w:val="240"/>
        </w:trPr>
        <w:tc>
          <w:tcPr>
            <w:tcW w:w="851" w:type="dxa"/>
            <w:vMerge w:val="restart"/>
            <w:tcBorders>
              <w:top w:val="single" w:sz="4" w:space="0" w:color="auto"/>
            </w:tcBorders>
            <w:shd w:val="clear" w:color="auto" w:fill="auto"/>
          </w:tcPr>
          <w:p w14:paraId="1CD2DCA2" w14:textId="77777777" w:rsidR="00B44B73" w:rsidRPr="00AC7487" w:rsidRDefault="00B44B73" w:rsidP="006A6183">
            <w:pPr>
              <w:suppressAutoHyphens w:val="0"/>
              <w:spacing w:before="40" w:after="120" w:line="220" w:lineRule="exact"/>
              <w:rPr>
                <w:lang w:val="en-US"/>
              </w:rPr>
            </w:pPr>
            <w:r w:rsidRPr="00AC7487">
              <w:rPr>
                <w:lang w:val="en-US"/>
              </w:rPr>
              <w:lastRenderedPageBreak/>
              <w:t>7</w:t>
            </w:r>
          </w:p>
        </w:tc>
        <w:tc>
          <w:tcPr>
            <w:tcW w:w="4678" w:type="dxa"/>
            <w:vMerge w:val="restart"/>
            <w:tcBorders>
              <w:top w:val="single" w:sz="4" w:space="0" w:color="auto"/>
            </w:tcBorders>
            <w:shd w:val="clear" w:color="auto" w:fill="auto"/>
          </w:tcPr>
          <w:p w14:paraId="6066F9CF" w14:textId="1E1DFD59" w:rsidR="00B44B73" w:rsidRPr="00AC7487" w:rsidRDefault="00B44B73" w:rsidP="00D36C69">
            <w:pPr>
              <w:suppressAutoHyphens w:val="0"/>
              <w:spacing w:before="40" w:after="120" w:line="220" w:lineRule="exact"/>
              <w:ind w:left="-5" w:right="33"/>
              <w:rPr>
                <w:lang w:val="en-US"/>
              </w:rPr>
            </w:pPr>
            <w:r w:rsidRPr="00AC7487">
              <w:rPr>
                <w:lang w:val="en-US"/>
              </w:rPr>
              <w:t>Facilitate the development and exchange of regional, country</w:t>
            </w:r>
            <w:r>
              <w:rPr>
                <w:lang w:val="en-US"/>
              </w:rPr>
              <w:t>-</w:t>
            </w:r>
            <w:r w:rsidRPr="00AC7487">
              <w:rPr>
                <w:lang w:val="en-US"/>
              </w:rPr>
              <w:t xml:space="preserve"> and/or sector</w:t>
            </w:r>
            <w:r>
              <w:rPr>
                <w:lang w:val="en-US"/>
              </w:rPr>
              <w:t>-</w:t>
            </w:r>
            <w:r w:rsidRPr="00AC7487">
              <w:rPr>
                <w:lang w:val="en-US"/>
              </w:rPr>
              <w:t>specific case studies and approaches on (</w:t>
            </w:r>
            <w:r w:rsidR="006F2072">
              <w:rPr>
                <w:lang w:val="en-US"/>
              </w:rPr>
              <w:t>1</w:t>
            </w:r>
            <w:r w:rsidRPr="00AC7487">
              <w:rPr>
                <w:lang w:val="en-US"/>
              </w:rPr>
              <w:t>) economic diversification and transformation and just transition of the workforce and creation of decent work and quality jobs, and (</w:t>
            </w:r>
            <w:r w:rsidR="006F2072">
              <w:rPr>
                <w:lang w:val="en-US"/>
              </w:rPr>
              <w:t>2</w:t>
            </w:r>
            <w:r w:rsidRPr="00AC7487">
              <w:rPr>
                <w:lang w:val="en-US"/>
              </w:rPr>
              <w:t>) assessment and analysis of the impacts of the implementation of response measures with a view to understanding the positive and negative impacts</w:t>
            </w:r>
          </w:p>
        </w:tc>
        <w:tc>
          <w:tcPr>
            <w:tcW w:w="2409" w:type="dxa"/>
            <w:vMerge w:val="restart"/>
            <w:tcBorders>
              <w:top w:val="single" w:sz="4" w:space="0" w:color="auto"/>
            </w:tcBorders>
            <w:shd w:val="clear" w:color="auto" w:fill="auto"/>
          </w:tcPr>
          <w:p w14:paraId="7ADAF465" w14:textId="602B50D3" w:rsidR="00B44B73" w:rsidRPr="00AC7487" w:rsidRDefault="00B44B73" w:rsidP="006A6183">
            <w:pPr>
              <w:suppressAutoHyphens w:val="0"/>
              <w:spacing w:before="40" w:after="120" w:line="220" w:lineRule="exact"/>
              <w:rPr>
                <w:lang w:val="en-US"/>
              </w:rPr>
            </w:pPr>
            <w:r w:rsidRPr="00AC7487">
              <w:rPr>
                <w:lang w:val="en-US"/>
              </w:rPr>
              <w:t xml:space="preserve">SB 59 and onward, as decided by the </w:t>
            </w:r>
            <w:r>
              <w:rPr>
                <w:lang w:val="en-US"/>
              </w:rPr>
              <w:t>f</w:t>
            </w:r>
            <w:r w:rsidRPr="00AC7487">
              <w:rPr>
                <w:lang w:val="en-US"/>
              </w:rPr>
              <w:t>orum/KCI</w:t>
            </w:r>
          </w:p>
        </w:tc>
        <w:tc>
          <w:tcPr>
            <w:tcW w:w="993" w:type="dxa"/>
            <w:tcBorders>
              <w:top w:val="single" w:sz="4" w:space="0" w:color="auto"/>
              <w:bottom w:val="single" w:sz="4" w:space="0" w:color="auto"/>
            </w:tcBorders>
            <w:shd w:val="clear" w:color="auto" w:fill="auto"/>
          </w:tcPr>
          <w:p w14:paraId="3CDECFF6"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ADCE137"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16B8D473" w14:textId="7E494C74" w:rsidR="00B44B73" w:rsidRPr="00AC7487" w:rsidRDefault="00B44B73" w:rsidP="006A6183">
            <w:pPr>
              <w:suppressAutoHyphens w:val="0"/>
              <w:spacing w:before="40" w:after="120" w:line="220" w:lineRule="exact"/>
              <w:rPr>
                <w:lang w:val="en-US"/>
              </w:rPr>
            </w:pPr>
            <w:r w:rsidRPr="00AC7487">
              <w:rPr>
                <w:lang w:val="en-US"/>
              </w:rPr>
              <w:t>KCI to examine existing case studies and identify an area where it may develop a case study, as appropriate</w:t>
            </w:r>
          </w:p>
        </w:tc>
      </w:tr>
      <w:tr w:rsidR="00B44B73" w:rsidRPr="00AC7487" w14:paraId="54781004" w14:textId="77777777" w:rsidTr="00D36C69">
        <w:trPr>
          <w:trHeight w:val="240"/>
        </w:trPr>
        <w:tc>
          <w:tcPr>
            <w:tcW w:w="851" w:type="dxa"/>
            <w:vMerge/>
            <w:tcBorders>
              <w:top w:val="nil"/>
              <w:bottom w:val="single" w:sz="4" w:space="0" w:color="auto"/>
            </w:tcBorders>
            <w:shd w:val="clear" w:color="auto" w:fill="auto"/>
          </w:tcPr>
          <w:p w14:paraId="5D609E4D"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5EA5E2B0"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1CF6574D"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317FE4E3"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27CAFFC"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tc>
      </w:tr>
      <w:tr w:rsidR="00B44B73" w:rsidRPr="00AC7487" w14:paraId="3020AFA4" w14:textId="77777777" w:rsidTr="00D36C69">
        <w:trPr>
          <w:trHeight w:val="240"/>
        </w:trPr>
        <w:tc>
          <w:tcPr>
            <w:tcW w:w="851" w:type="dxa"/>
            <w:vMerge w:val="restart"/>
            <w:tcBorders>
              <w:top w:val="single" w:sz="4" w:space="0" w:color="auto"/>
            </w:tcBorders>
            <w:shd w:val="clear" w:color="auto" w:fill="auto"/>
          </w:tcPr>
          <w:p w14:paraId="1D0B4F82" w14:textId="77777777" w:rsidR="00B44B73" w:rsidRPr="00AC7487" w:rsidRDefault="00B44B73" w:rsidP="006A6183">
            <w:pPr>
              <w:suppressAutoHyphens w:val="0"/>
              <w:spacing w:before="40" w:after="120" w:line="220" w:lineRule="exact"/>
              <w:rPr>
                <w:lang w:val="en-US"/>
              </w:rPr>
            </w:pPr>
            <w:r w:rsidRPr="00AC7487">
              <w:rPr>
                <w:lang w:val="en-US"/>
              </w:rPr>
              <w:t>8</w:t>
            </w:r>
          </w:p>
        </w:tc>
        <w:tc>
          <w:tcPr>
            <w:tcW w:w="4678" w:type="dxa"/>
            <w:vMerge w:val="restart"/>
            <w:tcBorders>
              <w:top w:val="single" w:sz="4" w:space="0" w:color="auto"/>
            </w:tcBorders>
            <w:shd w:val="clear" w:color="auto" w:fill="auto"/>
          </w:tcPr>
          <w:p w14:paraId="55F5F0D6"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Identify and exchange experiences and best practices </w:t>
            </w:r>
            <w:r>
              <w:rPr>
                <w:lang w:val="en-US"/>
              </w:rPr>
              <w:t>i</w:t>
            </w:r>
            <w:r w:rsidRPr="00AC7487">
              <w:rPr>
                <w:lang w:val="en-US"/>
              </w:rPr>
              <w:t>n engaging the private sector, including small and medium</w:t>
            </w:r>
            <w:r>
              <w:rPr>
                <w:lang w:val="en-US"/>
              </w:rPr>
              <w:t>-</w:t>
            </w:r>
            <w:r w:rsidRPr="00AC7487">
              <w:rPr>
                <w:lang w:val="en-US"/>
              </w:rPr>
              <w:t>sized enterprises and public</w:t>
            </w:r>
            <w:r>
              <w:rPr>
                <w:lang w:val="en-US"/>
              </w:rPr>
              <w:t>–</w:t>
            </w:r>
            <w:r w:rsidRPr="00AC7487">
              <w:rPr>
                <w:lang w:val="en-US"/>
              </w:rPr>
              <w:t>private partnerships</w:t>
            </w:r>
            <w:r>
              <w:rPr>
                <w:lang w:val="en-US"/>
              </w:rPr>
              <w:t>,</w:t>
            </w:r>
            <w:r w:rsidRPr="00AC7487">
              <w:rPr>
                <w:lang w:val="en-US"/>
              </w:rPr>
              <w:t xml:space="preserve"> to facilitate the creation of decent work and quality jobs in low greenhouse gas emission sectors</w:t>
            </w:r>
          </w:p>
        </w:tc>
        <w:tc>
          <w:tcPr>
            <w:tcW w:w="2409" w:type="dxa"/>
            <w:vMerge w:val="restart"/>
            <w:tcBorders>
              <w:top w:val="single" w:sz="4" w:space="0" w:color="auto"/>
            </w:tcBorders>
            <w:shd w:val="clear" w:color="auto" w:fill="auto"/>
          </w:tcPr>
          <w:p w14:paraId="2DE28D13" w14:textId="27D57844" w:rsidR="00B44B73" w:rsidRPr="00AC7487" w:rsidRDefault="00B44B73" w:rsidP="006A6183">
            <w:pPr>
              <w:suppressAutoHyphens w:val="0"/>
              <w:spacing w:before="40" w:after="120" w:line="220" w:lineRule="exact"/>
              <w:rPr>
                <w:lang w:val="en-US"/>
              </w:rPr>
            </w:pPr>
            <w:r w:rsidRPr="00AC7487">
              <w:rPr>
                <w:lang w:val="en-US"/>
              </w:rPr>
              <w:t>SB 59</w:t>
            </w:r>
          </w:p>
        </w:tc>
        <w:tc>
          <w:tcPr>
            <w:tcW w:w="993" w:type="dxa"/>
            <w:tcBorders>
              <w:top w:val="single" w:sz="4" w:space="0" w:color="auto"/>
              <w:bottom w:val="single" w:sz="4" w:space="0" w:color="auto"/>
            </w:tcBorders>
            <w:shd w:val="clear" w:color="auto" w:fill="auto"/>
          </w:tcPr>
          <w:p w14:paraId="674AEF30"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0C6E3BF"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291BF207" w14:textId="77777777" w:rsidR="00B44B73" w:rsidRPr="00AC7487" w:rsidRDefault="00B44B73" w:rsidP="006A6183">
            <w:pPr>
              <w:suppressAutoHyphens w:val="0"/>
              <w:spacing w:before="40" w:after="120" w:line="220" w:lineRule="exact"/>
              <w:rPr>
                <w:lang w:val="en-US"/>
              </w:rPr>
            </w:pPr>
            <w:r w:rsidRPr="00AC7487">
              <w:rPr>
                <w:lang w:val="en-US"/>
              </w:rPr>
              <w:t>Technical paper</w:t>
            </w:r>
          </w:p>
        </w:tc>
      </w:tr>
      <w:tr w:rsidR="00B44B73" w:rsidRPr="00AC7487" w14:paraId="3179A454" w14:textId="77777777" w:rsidTr="00D36C69">
        <w:trPr>
          <w:trHeight w:val="240"/>
        </w:trPr>
        <w:tc>
          <w:tcPr>
            <w:tcW w:w="851" w:type="dxa"/>
            <w:vMerge/>
            <w:tcBorders>
              <w:top w:val="nil"/>
              <w:bottom w:val="single" w:sz="4" w:space="0" w:color="auto"/>
            </w:tcBorders>
            <w:shd w:val="clear" w:color="auto" w:fill="auto"/>
          </w:tcPr>
          <w:p w14:paraId="70FEE9C9"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7E5BC199"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211EF4E8"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3BA63888"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72D3817C"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p w14:paraId="371B6836" w14:textId="77777777" w:rsidR="00B44B73" w:rsidRPr="00AC7487" w:rsidRDefault="00B44B73" w:rsidP="006A6183">
            <w:pPr>
              <w:suppressAutoHyphens w:val="0"/>
              <w:spacing w:before="40" w:after="120" w:line="220" w:lineRule="exact"/>
              <w:rPr>
                <w:lang w:val="en-US"/>
              </w:rPr>
            </w:pPr>
            <w:r w:rsidRPr="00AC7487">
              <w:rPr>
                <w:lang w:val="en-US"/>
              </w:rPr>
              <w:t>Concrete examples</w:t>
            </w:r>
          </w:p>
        </w:tc>
      </w:tr>
      <w:tr w:rsidR="00B44B73" w:rsidRPr="00AC7487" w14:paraId="39531CBD" w14:textId="77777777" w:rsidTr="00D36C69">
        <w:trPr>
          <w:trHeight w:val="240"/>
        </w:trPr>
        <w:tc>
          <w:tcPr>
            <w:tcW w:w="851" w:type="dxa"/>
            <w:vMerge w:val="restart"/>
            <w:tcBorders>
              <w:top w:val="single" w:sz="4" w:space="0" w:color="auto"/>
            </w:tcBorders>
            <w:shd w:val="clear" w:color="auto" w:fill="auto"/>
          </w:tcPr>
          <w:p w14:paraId="22A1F3A6" w14:textId="77777777" w:rsidR="00B44B73" w:rsidRPr="00AC7487" w:rsidRDefault="00B44B73" w:rsidP="006A6183">
            <w:pPr>
              <w:suppressAutoHyphens w:val="0"/>
              <w:spacing w:before="40" w:after="120" w:line="220" w:lineRule="exact"/>
              <w:rPr>
                <w:lang w:val="en-US"/>
              </w:rPr>
            </w:pPr>
            <w:r w:rsidRPr="00AC7487">
              <w:rPr>
                <w:lang w:val="en-US"/>
              </w:rPr>
              <w:t>9</w:t>
            </w:r>
          </w:p>
        </w:tc>
        <w:tc>
          <w:tcPr>
            <w:tcW w:w="4678" w:type="dxa"/>
            <w:vMerge w:val="restart"/>
            <w:tcBorders>
              <w:top w:val="single" w:sz="4" w:space="0" w:color="auto"/>
            </w:tcBorders>
            <w:shd w:val="clear" w:color="auto" w:fill="auto"/>
          </w:tcPr>
          <w:p w14:paraId="3A0CE592"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Identify and assess the impacts of the implementation of response measures taking into account </w:t>
            </w:r>
            <w:r>
              <w:rPr>
                <w:lang w:val="en-US"/>
              </w:rPr>
              <w:t>inter</w:t>
            </w:r>
            <w:r w:rsidRPr="00AC7487">
              <w:rPr>
                <w:lang w:val="en-US"/>
              </w:rPr>
              <w:t>generational equity, gender considerations and the needs of local communities, indigenous peoples, youth and other people in vulnerable situations</w:t>
            </w:r>
          </w:p>
        </w:tc>
        <w:tc>
          <w:tcPr>
            <w:tcW w:w="2409" w:type="dxa"/>
            <w:vMerge w:val="restart"/>
            <w:tcBorders>
              <w:top w:val="single" w:sz="4" w:space="0" w:color="auto"/>
            </w:tcBorders>
            <w:shd w:val="clear" w:color="auto" w:fill="auto"/>
          </w:tcPr>
          <w:p w14:paraId="111EDEB5" w14:textId="185B07D8" w:rsidR="00B44B73" w:rsidRPr="00AC7487" w:rsidRDefault="00B44B73" w:rsidP="006A6183">
            <w:pPr>
              <w:suppressAutoHyphens w:val="0"/>
              <w:spacing w:before="40" w:after="120" w:line="220" w:lineRule="exact"/>
              <w:rPr>
                <w:lang w:val="en-US"/>
              </w:rPr>
            </w:pPr>
            <w:r w:rsidRPr="00AC7487">
              <w:rPr>
                <w:lang w:val="en-US"/>
              </w:rPr>
              <w:t xml:space="preserve">SB 56 and </w:t>
            </w:r>
            <w:r>
              <w:rPr>
                <w:lang w:val="en-US"/>
              </w:rPr>
              <w:t xml:space="preserve">SB </w:t>
            </w:r>
            <w:r w:rsidRPr="00AC7487">
              <w:rPr>
                <w:lang w:val="en-US"/>
              </w:rPr>
              <w:t>62</w:t>
            </w:r>
            <w:r>
              <w:rPr>
                <w:lang w:val="en-US"/>
              </w:rPr>
              <w:t xml:space="preserve"> (2025)</w:t>
            </w:r>
          </w:p>
        </w:tc>
        <w:tc>
          <w:tcPr>
            <w:tcW w:w="993" w:type="dxa"/>
            <w:tcBorders>
              <w:top w:val="single" w:sz="4" w:space="0" w:color="auto"/>
              <w:bottom w:val="single" w:sz="4" w:space="0" w:color="auto"/>
            </w:tcBorders>
            <w:shd w:val="clear" w:color="auto" w:fill="auto"/>
          </w:tcPr>
          <w:p w14:paraId="6852891D"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16302B0"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0E6AFC06" w14:textId="77777777" w:rsidR="00B44B73" w:rsidRPr="00AC7487" w:rsidRDefault="00B44B73" w:rsidP="006A6183">
            <w:pPr>
              <w:suppressAutoHyphens w:val="0"/>
              <w:spacing w:before="40" w:after="120" w:line="220" w:lineRule="exact"/>
              <w:rPr>
                <w:lang w:val="en-US"/>
              </w:rPr>
            </w:pPr>
            <w:r w:rsidRPr="00AC7487">
              <w:rPr>
                <w:lang w:val="en-US"/>
              </w:rPr>
              <w:t>Technical paper</w:t>
            </w:r>
          </w:p>
        </w:tc>
      </w:tr>
      <w:tr w:rsidR="00B44B73" w:rsidRPr="00AC7487" w14:paraId="3F546124" w14:textId="77777777" w:rsidTr="00D36C69">
        <w:trPr>
          <w:trHeight w:val="240"/>
        </w:trPr>
        <w:tc>
          <w:tcPr>
            <w:tcW w:w="851" w:type="dxa"/>
            <w:vMerge/>
            <w:tcBorders>
              <w:top w:val="nil"/>
              <w:bottom w:val="single" w:sz="4" w:space="0" w:color="auto"/>
            </w:tcBorders>
            <w:shd w:val="clear" w:color="auto" w:fill="auto"/>
          </w:tcPr>
          <w:p w14:paraId="44825F18"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5886ECCA"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4B36EFC0"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159887F2"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7A417AC"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p w14:paraId="0D2CE346"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p w14:paraId="0E17BA57" w14:textId="77777777" w:rsidR="00B44B73" w:rsidRPr="00AC7487" w:rsidRDefault="00B44B73" w:rsidP="006A6183">
            <w:pPr>
              <w:suppressAutoHyphens w:val="0"/>
              <w:spacing w:before="40" w:after="120" w:line="220" w:lineRule="exact"/>
              <w:rPr>
                <w:lang w:val="en-US"/>
              </w:rPr>
            </w:pPr>
            <w:r w:rsidRPr="00AC7487">
              <w:rPr>
                <w:lang w:val="en-US"/>
              </w:rPr>
              <w:t>In-session workshop</w:t>
            </w:r>
          </w:p>
        </w:tc>
      </w:tr>
      <w:tr w:rsidR="00B44B73" w:rsidRPr="00AC7487" w14:paraId="5D8B8DE8" w14:textId="77777777" w:rsidTr="00D36C69">
        <w:trPr>
          <w:trHeight w:val="240"/>
        </w:trPr>
        <w:tc>
          <w:tcPr>
            <w:tcW w:w="851" w:type="dxa"/>
            <w:vMerge w:val="restart"/>
            <w:tcBorders>
              <w:top w:val="single" w:sz="4" w:space="0" w:color="auto"/>
            </w:tcBorders>
            <w:shd w:val="clear" w:color="auto" w:fill="auto"/>
          </w:tcPr>
          <w:p w14:paraId="231F6B23" w14:textId="77777777" w:rsidR="00B44B73" w:rsidRPr="00AC7487" w:rsidRDefault="00B44B73" w:rsidP="006A6183">
            <w:pPr>
              <w:suppressAutoHyphens w:val="0"/>
              <w:spacing w:before="40" w:after="120" w:line="220" w:lineRule="exact"/>
              <w:rPr>
                <w:lang w:val="en-US"/>
              </w:rPr>
            </w:pPr>
            <w:r w:rsidRPr="00AC7487">
              <w:rPr>
                <w:lang w:val="en-US"/>
              </w:rPr>
              <w:t>10</w:t>
            </w:r>
          </w:p>
        </w:tc>
        <w:tc>
          <w:tcPr>
            <w:tcW w:w="4678" w:type="dxa"/>
            <w:vMerge w:val="restart"/>
            <w:tcBorders>
              <w:top w:val="single" w:sz="4" w:space="0" w:color="auto"/>
            </w:tcBorders>
            <w:shd w:val="clear" w:color="auto" w:fill="auto"/>
          </w:tcPr>
          <w:p w14:paraId="075DD504"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Share experience and best practices </w:t>
            </w:r>
            <w:r>
              <w:rPr>
                <w:shd w:val="clear" w:color="auto" w:fill="FFFFFF" w:themeFill="background1"/>
                <w:lang w:val="en-US"/>
              </w:rPr>
              <w:t>in</w:t>
            </w:r>
            <w:r w:rsidRPr="00AC7487">
              <w:rPr>
                <w:shd w:val="clear" w:color="auto" w:fill="FFFFFF" w:themeFill="background1"/>
                <w:lang w:val="en-US"/>
              </w:rPr>
              <w:t xml:space="preserve"> reporting</w:t>
            </w:r>
            <w:r w:rsidRPr="00AC7487">
              <w:rPr>
                <w:lang w:val="en-US"/>
              </w:rPr>
              <w:t xml:space="preserve"> and informing on efforts to assess and </w:t>
            </w:r>
            <w:proofErr w:type="spellStart"/>
            <w:r w:rsidRPr="00AC7487">
              <w:rPr>
                <w:lang w:val="en-US"/>
              </w:rPr>
              <w:t>analy</w:t>
            </w:r>
            <w:r>
              <w:rPr>
                <w:lang w:val="en-US"/>
              </w:rPr>
              <w:t>s</w:t>
            </w:r>
            <w:r w:rsidRPr="00AC7487">
              <w:rPr>
                <w:lang w:val="en-US"/>
              </w:rPr>
              <w:t>e</w:t>
            </w:r>
            <w:proofErr w:type="spellEnd"/>
            <w:r w:rsidRPr="00AC7487">
              <w:rPr>
                <w:lang w:val="en-US"/>
              </w:rPr>
              <w:t xml:space="preserve"> the impacts of the implementation of response measures</w:t>
            </w:r>
          </w:p>
        </w:tc>
        <w:tc>
          <w:tcPr>
            <w:tcW w:w="2409" w:type="dxa"/>
            <w:vMerge w:val="restart"/>
            <w:tcBorders>
              <w:top w:val="single" w:sz="4" w:space="0" w:color="auto"/>
            </w:tcBorders>
            <w:shd w:val="clear" w:color="auto" w:fill="auto"/>
          </w:tcPr>
          <w:p w14:paraId="260793E6" w14:textId="6F95AE3B" w:rsidR="00B44B73" w:rsidRPr="00AC7487" w:rsidRDefault="00B44B73" w:rsidP="006A6183">
            <w:pPr>
              <w:suppressAutoHyphens w:val="0"/>
              <w:spacing w:before="40" w:after="120" w:line="220" w:lineRule="exact"/>
              <w:rPr>
                <w:lang w:val="en-US"/>
              </w:rPr>
            </w:pPr>
            <w:r w:rsidRPr="00AC7487">
              <w:rPr>
                <w:lang w:val="en-US"/>
              </w:rPr>
              <w:t>SB 61</w:t>
            </w:r>
          </w:p>
        </w:tc>
        <w:tc>
          <w:tcPr>
            <w:tcW w:w="993" w:type="dxa"/>
            <w:tcBorders>
              <w:top w:val="single" w:sz="4" w:space="0" w:color="auto"/>
              <w:bottom w:val="single" w:sz="4" w:space="0" w:color="auto"/>
            </w:tcBorders>
            <w:shd w:val="clear" w:color="auto" w:fill="auto"/>
          </w:tcPr>
          <w:p w14:paraId="0BC1B686"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2183EF99"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tc>
      </w:tr>
      <w:tr w:rsidR="00B44B73" w:rsidRPr="00AC7487" w14:paraId="25D43DFB" w14:textId="77777777" w:rsidTr="00D36C69">
        <w:trPr>
          <w:trHeight w:val="240"/>
        </w:trPr>
        <w:tc>
          <w:tcPr>
            <w:tcW w:w="851" w:type="dxa"/>
            <w:vMerge/>
            <w:tcBorders>
              <w:top w:val="nil"/>
              <w:bottom w:val="single" w:sz="4" w:space="0" w:color="auto"/>
            </w:tcBorders>
            <w:shd w:val="clear" w:color="auto" w:fill="auto"/>
          </w:tcPr>
          <w:p w14:paraId="4DCFE881" w14:textId="77777777" w:rsidR="00B44B73" w:rsidRPr="00AC7487" w:rsidRDefault="00B44B73" w:rsidP="006A618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3C1773EE" w14:textId="77777777" w:rsidR="00B44B73" w:rsidRPr="00AC7487" w:rsidRDefault="00B44B73" w:rsidP="00D36C69">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6AC74DD8"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7B02563E"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23B3959E"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p w14:paraId="3B7F8313" w14:textId="77777777" w:rsidR="00B44B73" w:rsidRPr="00AC7487" w:rsidRDefault="00B44B73" w:rsidP="006A6183">
            <w:pPr>
              <w:suppressAutoHyphens w:val="0"/>
              <w:spacing w:before="40" w:after="120" w:line="220" w:lineRule="exact"/>
              <w:rPr>
                <w:lang w:val="en-US"/>
              </w:rPr>
            </w:pPr>
            <w:r w:rsidRPr="00AC7487">
              <w:rPr>
                <w:lang w:val="en-US"/>
              </w:rPr>
              <w:t>Concrete examples</w:t>
            </w:r>
          </w:p>
        </w:tc>
      </w:tr>
      <w:tr w:rsidR="00B44B73" w:rsidRPr="00AC7487" w14:paraId="0ADA86A9" w14:textId="77777777" w:rsidTr="00D36C69">
        <w:trPr>
          <w:trHeight w:val="240"/>
        </w:trPr>
        <w:tc>
          <w:tcPr>
            <w:tcW w:w="851" w:type="dxa"/>
            <w:vMerge w:val="restart"/>
            <w:tcBorders>
              <w:top w:val="single" w:sz="4" w:space="0" w:color="auto"/>
            </w:tcBorders>
            <w:shd w:val="clear" w:color="auto" w:fill="auto"/>
          </w:tcPr>
          <w:p w14:paraId="5A5A8400" w14:textId="77777777" w:rsidR="00B44B73" w:rsidRPr="00AC7487" w:rsidRDefault="00B44B73" w:rsidP="006A6183">
            <w:pPr>
              <w:suppressAutoHyphens w:val="0"/>
              <w:spacing w:before="40" w:after="120" w:line="220" w:lineRule="exact"/>
              <w:rPr>
                <w:lang w:val="en-US"/>
              </w:rPr>
            </w:pPr>
            <w:r w:rsidRPr="00AC7487">
              <w:rPr>
                <w:lang w:val="en-US"/>
              </w:rPr>
              <w:t>11</w:t>
            </w:r>
          </w:p>
        </w:tc>
        <w:tc>
          <w:tcPr>
            <w:tcW w:w="4678" w:type="dxa"/>
            <w:vMerge w:val="restart"/>
            <w:tcBorders>
              <w:top w:val="single" w:sz="4" w:space="0" w:color="auto"/>
            </w:tcBorders>
            <w:shd w:val="clear" w:color="auto" w:fill="auto"/>
          </w:tcPr>
          <w:p w14:paraId="5D86C838" w14:textId="77777777" w:rsidR="00B44B73" w:rsidRPr="00AC7487" w:rsidRDefault="00B44B73" w:rsidP="00D36C69">
            <w:pPr>
              <w:suppressAutoHyphens w:val="0"/>
              <w:spacing w:before="40" w:after="120" w:line="220" w:lineRule="exact"/>
              <w:ind w:left="-5" w:right="33"/>
              <w:rPr>
                <w:lang w:val="en-US"/>
              </w:rPr>
            </w:pPr>
            <w:r w:rsidRPr="00AC7487">
              <w:rPr>
                <w:lang w:val="en-US"/>
              </w:rPr>
              <w:t xml:space="preserve">Facilitate, exchange and share experiences and best practices </w:t>
            </w:r>
            <w:r>
              <w:rPr>
                <w:lang w:val="en-US"/>
              </w:rPr>
              <w:t>i</w:t>
            </w:r>
            <w:r w:rsidRPr="00AC7487">
              <w:rPr>
                <w:lang w:val="en-US"/>
              </w:rPr>
              <w:t>n the assessment of the environmental, social and economic co-benefits of climate change policies and actions informed by the best available science, including the use of existing tools and methodologies</w:t>
            </w:r>
          </w:p>
        </w:tc>
        <w:tc>
          <w:tcPr>
            <w:tcW w:w="2409" w:type="dxa"/>
            <w:vMerge w:val="restart"/>
            <w:tcBorders>
              <w:top w:val="single" w:sz="4" w:space="0" w:color="auto"/>
            </w:tcBorders>
            <w:shd w:val="clear" w:color="auto" w:fill="auto"/>
          </w:tcPr>
          <w:p w14:paraId="3F78B998" w14:textId="723A9A7B" w:rsidR="00B44B73" w:rsidRPr="00AC7487" w:rsidRDefault="00B44B73" w:rsidP="006A6183">
            <w:pPr>
              <w:suppressAutoHyphens w:val="0"/>
              <w:spacing w:before="40" w:after="120" w:line="220" w:lineRule="exact"/>
              <w:rPr>
                <w:lang w:val="en-US"/>
              </w:rPr>
            </w:pPr>
            <w:r w:rsidRPr="00AC7487">
              <w:rPr>
                <w:lang w:val="en-US"/>
              </w:rPr>
              <w:t>SB 55 and SB 57</w:t>
            </w:r>
          </w:p>
        </w:tc>
        <w:tc>
          <w:tcPr>
            <w:tcW w:w="993" w:type="dxa"/>
            <w:tcBorders>
              <w:top w:val="single" w:sz="4" w:space="0" w:color="auto"/>
              <w:bottom w:val="single" w:sz="4" w:space="0" w:color="auto"/>
            </w:tcBorders>
            <w:shd w:val="clear" w:color="auto" w:fill="auto"/>
          </w:tcPr>
          <w:p w14:paraId="1574C38E" w14:textId="77777777" w:rsidR="00B44B73" w:rsidRPr="00AC7487" w:rsidRDefault="00B44B73" w:rsidP="006A618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B7ECF11" w14:textId="77777777" w:rsidR="00B44B73" w:rsidRPr="00AC7487" w:rsidRDefault="00B44B73" w:rsidP="006A6183">
            <w:pPr>
              <w:suppressAutoHyphens w:val="0"/>
              <w:spacing w:before="40" w:after="120" w:line="220" w:lineRule="exact"/>
              <w:rPr>
                <w:lang w:val="en-US"/>
              </w:rPr>
            </w:pPr>
            <w:r w:rsidRPr="00AC7487">
              <w:rPr>
                <w:lang w:val="en-US"/>
              </w:rPr>
              <w:t>Input from experts, practitioners and relevant organizations</w:t>
            </w:r>
          </w:p>
        </w:tc>
      </w:tr>
      <w:tr w:rsidR="00B44B73" w:rsidRPr="00AC7487" w14:paraId="2A009D8F" w14:textId="77777777" w:rsidTr="00D36C69">
        <w:trPr>
          <w:trHeight w:val="240"/>
        </w:trPr>
        <w:tc>
          <w:tcPr>
            <w:tcW w:w="851" w:type="dxa"/>
            <w:vMerge/>
            <w:tcBorders>
              <w:bottom w:val="single" w:sz="12" w:space="0" w:color="auto"/>
            </w:tcBorders>
            <w:shd w:val="clear" w:color="auto" w:fill="auto"/>
          </w:tcPr>
          <w:p w14:paraId="7C6CBFCE" w14:textId="77777777" w:rsidR="00B44B73" w:rsidRPr="00AC7487" w:rsidRDefault="00B44B73" w:rsidP="006A6183">
            <w:pPr>
              <w:suppressAutoHyphens w:val="0"/>
              <w:spacing w:before="40" w:after="120" w:line="220" w:lineRule="exact"/>
              <w:rPr>
                <w:lang w:val="en-US"/>
              </w:rPr>
            </w:pPr>
          </w:p>
        </w:tc>
        <w:tc>
          <w:tcPr>
            <w:tcW w:w="4678" w:type="dxa"/>
            <w:vMerge/>
            <w:tcBorders>
              <w:bottom w:val="single" w:sz="12" w:space="0" w:color="auto"/>
            </w:tcBorders>
            <w:shd w:val="clear" w:color="auto" w:fill="auto"/>
          </w:tcPr>
          <w:p w14:paraId="73074DCD" w14:textId="77777777" w:rsidR="00B44B73" w:rsidRPr="00AC7487" w:rsidRDefault="00B44B73" w:rsidP="006A6183">
            <w:pPr>
              <w:suppressAutoHyphens w:val="0"/>
              <w:spacing w:before="40" w:after="120" w:line="220" w:lineRule="exact"/>
              <w:rPr>
                <w:lang w:val="en-US"/>
              </w:rPr>
            </w:pPr>
          </w:p>
        </w:tc>
        <w:tc>
          <w:tcPr>
            <w:tcW w:w="2409" w:type="dxa"/>
            <w:vMerge/>
            <w:tcBorders>
              <w:bottom w:val="single" w:sz="12" w:space="0" w:color="auto"/>
            </w:tcBorders>
            <w:shd w:val="clear" w:color="auto" w:fill="auto"/>
          </w:tcPr>
          <w:p w14:paraId="7A4096FF" w14:textId="77777777" w:rsidR="00B44B73" w:rsidRPr="00AC7487" w:rsidRDefault="00B44B73" w:rsidP="006A6183">
            <w:pPr>
              <w:suppressAutoHyphens w:val="0"/>
              <w:spacing w:before="40" w:after="120" w:line="220" w:lineRule="exact"/>
              <w:rPr>
                <w:lang w:val="en-US"/>
              </w:rPr>
            </w:pPr>
          </w:p>
        </w:tc>
        <w:tc>
          <w:tcPr>
            <w:tcW w:w="993" w:type="dxa"/>
            <w:tcBorders>
              <w:top w:val="single" w:sz="4" w:space="0" w:color="auto"/>
              <w:bottom w:val="single" w:sz="12" w:space="0" w:color="auto"/>
            </w:tcBorders>
            <w:shd w:val="clear" w:color="auto" w:fill="auto"/>
          </w:tcPr>
          <w:p w14:paraId="1AEDB9A3" w14:textId="77777777" w:rsidR="00B44B73" w:rsidRPr="00AC7487" w:rsidRDefault="00B44B73" w:rsidP="006A618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12" w:space="0" w:color="auto"/>
            </w:tcBorders>
            <w:shd w:val="clear" w:color="auto" w:fill="auto"/>
          </w:tcPr>
          <w:p w14:paraId="2CF76594" w14:textId="77777777" w:rsidR="00B44B73" w:rsidRPr="00AC7487" w:rsidRDefault="00B44B73" w:rsidP="006A6183">
            <w:pPr>
              <w:suppressAutoHyphens w:val="0"/>
              <w:spacing w:before="40" w:after="120" w:line="220" w:lineRule="exact"/>
              <w:rPr>
                <w:lang w:val="en-US"/>
              </w:rPr>
            </w:pPr>
            <w:r w:rsidRPr="00AC7487">
              <w:rPr>
                <w:lang w:val="en-US"/>
              </w:rPr>
              <w:t>Exchange and sharing of experience and best practices</w:t>
            </w:r>
          </w:p>
        </w:tc>
      </w:tr>
    </w:tbl>
    <w:p w14:paraId="61B1A334" w14:textId="2455616E" w:rsidR="0028032A" w:rsidRDefault="00356A49" w:rsidP="00356A49">
      <w:pPr>
        <w:pStyle w:val="FootnoteTable"/>
        <w:spacing w:line="220" w:lineRule="exact"/>
        <w:ind w:firstLine="170"/>
      </w:pPr>
      <w:r>
        <w:rPr>
          <w:i/>
          <w:vertAlign w:val="superscript"/>
        </w:rPr>
        <w:t xml:space="preserve">a   </w:t>
      </w:r>
      <w:r w:rsidR="0028032A">
        <w:t>Letters represent activities from previous decisions while numbers are new activities from this decision.</w:t>
      </w:r>
    </w:p>
    <w:p w14:paraId="1D0E2197" w14:textId="34290298" w:rsidR="00A10141" w:rsidRDefault="00356A49" w:rsidP="00356A49">
      <w:pPr>
        <w:pStyle w:val="FootnoteTable"/>
        <w:spacing w:before="0" w:line="220" w:lineRule="exact"/>
        <w:ind w:firstLine="170"/>
      </w:pPr>
      <w:r>
        <w:rPr>
          <w:i/>
          <w:vertAlign w:val="superscript"/>
        </w:rPr>
        <w:t xml:space="preserve">b   </w:t>
      </w:r>
      <w:r w:rsidR="00A805AA">
        <w:t>“</w:t>
      </w:r>
      <w:r w:rsidR="00A10141" w:rsidRPr="00D36C69">
        <w:t>Impacts</w:t>
      </w:r>
      <w:r w:rsidR="00A805AA">
        <w:t>”</w:t>
      </w:r>
      <w:r w:rsidR="00A10141">
        <w:t xml:space="preserve"> in this document refers to social, economic and environmental impacts.</w:t>
      </w:r>
    </w:p>
    <w:p w14:paraId="3D864B81" w14:textId="573A1427" w:rsidR="006F2072" w:rsidRPr="0069359C" w:rsidRDefault="00FF3EBA" w:rsidP="00D36C69">
      <w:pPr>
        <w:pStyle w:val="FootnoteTable"/>
        <w:spacing w:before="0" w:line="200" w:lineRule="exact"/>
        <w:ind w:firstLine="170"/>
        <w:rPr>
          <w:bCs/>
          <w:szCs w:val="18"/>
        </w:rPr>
      </w:pPr>
      <w:r w:rsidRPr="0069359C">
        <w:rPr>
          <w:i/>
          <w:szCs w:val="18"/>
        </w:rPr>
        <w:t>Abbreviations</w:t>
      </w:r>
      <w:r w:rsidRPr="0069359C">
        <w:rPr>
          <w:szCs w:val="18"/>
        </w:rPr>
        <w:t xml:space="preserve">: KCI = </w:t>
      </w:r>
      <w:bookmarkStart w:id="10" w:name="_Hlk14163955"/>
      <w:r w:rsidR="006F2072" w:rsidRPr="0069359C">
        <w:rPr>
          <w:bCs/>
          <w:szCs w:val="18"/>
        </w:rPr>
        <w:t>Katowice Committee of Experts on the Impacts of the Implementation of Response Measures</w:t>
      </w:r>
      <w:bookmarkEnd w:id="10"/>
      <w:r w:rsidR="006F2072" w:rsidRPr="0069359C">
        <w:rPr>
          <w:bCs/>
          <w:szCs w:val="18"/>
        </w:rPr>
        <w:t>, SB = sessions of the subsidiary bodies.</w:t>
      </w:r>
    </w:p>
    <w:p w14:paraId="49CD744E" w14:textId="5550035E" w:rsidR="00A61965" w:rsidRDefault="00A61965" w:rsidP="001F75FA">
      <w:pPr>
        <w:pStyle w:val="RegSingleTxtG"/>
        <w:ind w:left="1134"/>
        <w:jc w:val="right"/>
      </w:pPr>
      <w:r w:rsidRPr="0027033D">
        <w:rPr>
          <w:i/>
        </w:rPr>
        <w:t>8</w:t>
      </w:r>
      <w:r w:rsidRPr="00D36C69">
        <w:rPr>
          <w:i/>
          <w:vertAlign w:val="superscript"/>
        </w:rPr>
        <w:t>th</w:t>
      </w:r>
      <w:r w:rsidRPr="0027033D">
        <w:rPr>
          <w:i/>
        </w:rPr>
        <w:t xml:space="preserve"> plenary meeting</w:t>
      </w:r>
      <w:r w:rsidRPr="0027033D">
        <w:rPr>
          <w:i/>
        </w:rPr>
        <w:br/>
        <w:t>15 December 2019</w:t>
      </w:r>
    </w:p>
    <w:p w14:paraId="53EA69BE" w14:textId="78D2CB48" w:rsidR="00A61965" w:rsidRPr="00A61965" w:rsidRDefault="00A61965" w:rsidP="00A61965">
      <w:pPr>
        <w:sectPr w:rsidR="00A61965" w:rsidRPr="00A61965" w:rsidSect="006B523B">
          <w:headerReference w:type="even" r:id="rId42"/>
          <w:headerReference w:type="default" r:id="rId43"/>
          <w:footerReference w:type="even" r:id="rId44"/>
          <w:footerReference w:type="default" r:id="rId45"/>
          <w:footnotePr>
            <w:numRestart w:val="eachSect"/>
          </w:footnotePr>
          <w:pgSz w:w="16838" w:h="11906" w:orient="landscape" w:code="9"/>
          <w:pgMar w:top="1134" w:right="1417" w:bottom="1134" w:left="1134" w:header="567" w:footer="567" w:gutter="0"/>
          <w:cols w:space="708"/>
          <w:docGrid w:linePitch="360"/>
        </w:sectPr>
      </w:pPr>
    </w:p>
    <w:p w14:paraId="6941A4BC" w14:textId="2C1CAC42" w:rsidR="005B4016" w:rsidRDefault="00A61965" w:rsidP="00C11253">
      <w:pPr>
        <w:pStyle w:val="HChG"/>
        <w:spacing w:before="120"/>
      </w:pPr>
      <w:r>
        <w:lastRenderedPageBreak/>
        <w:tab/>
      </w:r>
      <w:r>
        <w:tab/>
      </w:r>
      <w:bookmarkStart w:id="11" w:name="D5"/>
      <w:r w:rsidR="005B4016" w:rsidRPr="006C38FD">
        <w:t xml:space="preserve">Decision </w:t>
      </w:r>
      <w:r w:rsidR="00507B6B">
        <w:t>5</w:t>
      </w:r>
      <w:r w:rsidR="005B4016" w:rsidRPr="006C38FD">
        <w:t>/CMA.2</w:t>
      </w:r>
      <w:bookmarkEnd w:id="11"/>
    </w:p>
    <w:p w14:paraId="1659BF01" w14:textId="77777777" w:rsidR="005B4016" w:rsidRPr="009B600A" w:rsidRDefault="005B4016" w:rsidP="005B4016">
      <w:pPr>
        <w:pStyle w:val="HChG"/>
      </w:pPr>
      <w:r>
        <w:tab/>
      </w:r>
      <w:r>
        <w:tab/>
        <w:t>Matters relating to the Standing Committee on Finance</w:t>
      </w:r>
    </w:p>
    <w:p w14:paraId="0C0142C3" w14:textId="77777777" w:rsidR="005B4016" w:rsidRPr="00290335" w:rsidRDefault="005B4016" w:rsidP="00DB6D8A">
      <w:pPr>
        <w:spacing w:before="120" w:after="120"/>
        <w:ind w:left="1134" w:right="1174" w:firstLine="567"/>
        <w:jc w:val="both"/>
        <w:rPr>
          <w:i/>
        </w:rPr>
      </w:pPr>
      <w:r w:rsidRPr="00290335">
        <w:rPr>
          <w:i/>
        </w:rPr>
        <w:t xml:space="preserve">The Conference of the Parties </w:t>
      </w:r>
      <w:bookmarkStart w:id="12" w:name="_Hlk26939228"/>
      <w:r w:rsidRPr="00290335">
        <w:rPr>
          <w:i/>
        </w:rPr>
        <w:t>serving as the meeting of the Parties to the Paris Agreement</w:t>
      </w:r>
      <w:bookmarkEnd w:id="12"/>
      <w:r w:rsidRPr="00290335">
        <w:t>,</w:t>
      </w:r>
      <w:r w:rsidRPr="00290335">
        <w:rPr>
          <w:i/>
        </w:rPr>
        <w:t xml:space="preserve"> </w:t>
      </w:r>
    </w:p>
    <w:p w14:paraId="276AEB90" w14:textId="77777777" w:rsidR="005B4016" w:rsidRPr="00290335" w:rsidRDefault="005B4016" w:rsidP="00DB6D8A">
      <w:pPr>
        <w:spacing w:before="120" w:after="120"/>
        <w:ind w:left="1134" w:right="1174" w:firstLine="567"/>
        <w:jc w:val="both"/>
        <w:rPr>
          <w:i/>
        </w:rPr>
      </w:pPr>
      <w:r w:rsidRPr="00290335">
        <w:rPr>
          <w:i/>
        </w:rPr>
        <w:t xml:space="preserve">Recalling </w:t>
      </w:r>
      <w:r w:rsidRPr="00290335">
        <w:t>Article 9 of the Paris Agreement,</w:t>
      </w:r>
    </w:p>
    <w:p w14:paraId="4BDBBA0B" w14:textId="5A453971" w:rsidR="005B4016" w:rsidRPr="00290335" w:rsidRDefault="005B4016" w:rsidP="00811AF8">
      <w:pPr>
        <w:pStyle w:val="RegSingleTxtG"/>
        <w:ind w:left="1134"/>
        <w:rPr>
          <w:i/>
        </w:rPr>
      </w:pPr>
      <w:r>
        <w:rPr>
          <w:i/>
        </w:rPr>
        <w:tab/>
      </w:r>
      <w:r w:rsidRPr="00290335">
        <w:rPr>
          <w:i/>
        </w:rPr>
        <w:t xml:space="preserve">Also recalling </w:t>
      </w:r>
      <w:r w:rsidRPr="00290335">
        <w:t xml:space="preserve">decisions 1/CP.21, paragraphs 53 and 63, 14/CMA.1 and </w:t>
      </w:r>
      <w:r w:rsidR="00AA201F">
        <w:t>11</w:t>
      </w:r>
      <w:r w:rsidRPr="00290335">
        <w:t>/CP.25,</w:t>
      </w:r>
    </w:p>
    <w:p w14:paraId="477D23D1" w14:textId="4C75E2D0" w:rsidR="005B4016" w:rsidRPr="00290335" w:rsidRDefault="00356A49" w:rsidP="00356A49">
      <w:pPr>
        <w:pStyle w:val="RegSingleTxtG"/>
        <w:ind w:left="1134"/>
      </w:pPr>
      <w:r w:rsidRPr="00290335">
        <w:t>1.</w:t>
      </w:r>
      <w:r w:rsidRPr="00290335">
        <w:tab/>
      </w:r>
      <w:r w:rsidR="005B4016" w:rsidRPr="005B4016">
        <w:rPr>
          <w:i/>
        </w:rPr>
        <w:t>Takes note</w:t>
      </w:r>
      <w:r w:rsidR="005B4016" w:rsidRPr="00C57E38">
        <w:t xml:space="preserve"> of the report of the Standing Committee on Finance to the</w:t>
      </w:r>
      <w:r w:rsidR="005B4016" w:rsidRPr="00290335">
        <w:t xml:space="preserve"> </w:t>
      </w:r>
      <w:r w:rsidR="005B4016" w:rsidRPr="00C57E38">
        <w:t>Conference of the Parties serving as the meeting of the Parties to the Paris Agreement at its second session and the recommendations contained therein;</w:t>
      </w:r>
      <w:r w:rsidR="005B4016" w:rsidRPr="00290335">
        <w:rPr>
          <w:rStyle w:val="FootnoteReference"/>
          <w:bCs/>
          <w:color w:val="000000"/>
          <w:lang w:val="en-US"/>
        </w:rPr>
        <w:footnoteReference w:id="24"/>
      </w:r>
      <w:r w:rsidR="005B4016" w:rsidRPr="00C57E38">
        <w:t xml:space="preserve"> </w:t>
      </w:r>
    </w:p>
    <w:p w14:paraId="26D3F161" w14:textId="2067E2D6" w:rsidR="005B4016" w:rsidRPr="00C57E38" w:rsidRDefault="00356A49" w:rsidP="00356A49">
      <w:pPr>
        <w:pStyle w:val="RegSingleTxtG"/>
        <w:ind w:left="1134"/>
      </w:pPr>
      <w:r w:rsidRPr="00C57E38">
        <w:t>2.</w:t>
      </w:r>
      <w:r w:rsidRPr="00C57E38">
        <w:tab/>
      </w:r>
      <w:r w:rsidR="005B4016" w:rsidRPr="00C57E38">
        <w:rPr>
          <w:i/>
        </w:rPr>
        <w:t>Endorses</w:t>
      </w:r>
      <w:r w:rsidR="005B4016" w:rsidRPr="00C57E38">
        <w:t xml:space="preserve"> the workplan</w:t>
      </w:r>
      <w:r w:rsidR="005B4016" w:rsidRPr="00290335">
        <w:rPr>
          <w:rStyle w:val="FootnoteReference"/>
          <w:bCs/>
          <w:color w:val="000000"/>
          <w:lang w:val="en-US"/>
        </w:rPr>
        <w:footnoteReference w:id="25"/>
      </w:r>
      <w:r w:rsidR="005B4016" w:rsidRPr="00290335">
        <w:rPr>
          <w:bCs/>
          <w:lang w:val="en-US"/>
        </w:rPr>
        <w:t xml:space="preserve"> </w:t>
      </w:r>
      <w:r w:rsidR="005B4016" w:rsidRPr="00C57E38">
        <w:t xml:space="preserve">of the Standing Committee on Finance for 2020 and </w:t>
      </w:r>
      <w:r w:rsidR="005B4016" w:rsidRPr="00DB6D8A">
        <w:rPr>
          <w:i/>
        </w:rPr>
        <w:t>underlines</w:t>
      </w:r>
      <w:r w:rsidR="005B4016" w:rsidRPr="00C57E38">
        <w:t xml:space="preserve"> the importance of the Standing Committee on Finance focusing its work in 2020 in accordance with its current mandates;</w:t>
      </w:r>
    </w:p>
    <w:p w14:paraId="2BDFD1A8" w14:textId="08D9A3A7" w:rsidR="005B4016" w:rsidRPr="00F9524A" w:rsidRDefault="00356A49" w:rsidP="00356A49">
      <w:pPr>
        <w:pStyle w:val="RegSingleTxtG"/>
        <w:ind w:left="1134"/>
        <w:rPr>
          <w:iCs/>
          <w:color w:val="000000"/>
          <w:lang w:val="en-US"/>
        </w:rPr>
      </w:pPr>
      <w:r w:rsidRPr="00F9524A">
        <w:rPr>
          <w:iCs/>
          <w:color w:val="000000"/>
          <w:lang w:val="en-US"/>
        </w:rPr>
        <w:t>3.</w:t>
      </w:r>
      <w:r w:rsidRPr="00F9524A">
        <w:rPr>
          <w:iCs/>
          <w:color w:val="000000"/>
          <w:lang w:val="en-US"/>
        </w:rPr>
        <w:tab/>
      </w:r>
      <w:r w:rsidR="005B4016" w:rsidRPr="00290335">
        <w:rPr>
          <w:i/>
        </w:rPr>
        <w:t>Notes</w:t>
      </w:r>
      <w:r w:rsidR="005B4016" w:rsidRPr="00290335">
        <w:t xml:space="preserve"> the outcomes of the discussions of the Standing Committee on Finance on the 2020 Biennial Assessment and Overview of Climate Finance Flows and the report on the determination of the needs of developing country Parties related to implementing the Convention and the Paris Agreement as well as the respective workplans, outreach activities and indicative timelines for preparation;</w:t>
      </w:r>
      <w:r w:rsidR="005B4016" w:rsidRPr="00290335">
        <w:rPr>
          <w:rStyle w:val="FootnoteReference"/>
        </w:rPr>
        <w:footnoteReference w:id="26"/>
      </w:r>
      <w:r w:rsidR="005B4016" w:rsidRPr="00290335">
        <w:t xml:space="preserve"> </w:t>
      </w:r>
    </w:p>
    <w:p w14:paraId="447AF572" w14:textId="17B4A98F" w:rsidR="005B4016" w:rsidRPr="009A6AAF" w:rsidRDefault="00356A49" w:rsidP="00356A49">
      <w:pPr>
        <w:pStyle w:val="RegSingleTxtG"/>
        <w:ind w:left="1134"/>
      </w:pPr>
      <w:r w:rsidRPr="009A6AAF">
        <w:t>4.</w:t>
      </w:r>
      <w:r w:rsidRPr="009A6AAF">
        <w:tab/>
      </w:r>
      <w:r w:rsidR="005B4016" w:rsidRPr="005B4016">
        <w:rPr>
          <w:bCs/>
          <w:i/>
        </w:rPr>
        <w:t>Expresses</w:t>
      </w:r>
      <w:r w:rsidR="005B4016" w:rsidRPr="005B4016">
        <w:t xml:space="preserve"> </w:t>
      </w:r>
      <w:r w:rsidR="005B4016" w:rsidRPr="00DB6D8A">
        <w:rPr>
          <w:i/>
        </w:rPr>
        <w:t>its appreciation</w:t>
      </w:r>
      <w:r w:rsidR="005B4016" w:rsidRPr="009A6AAF">
        <w:t xml:space="preserve"> to the Governments of Australia, Belgium, Germany, Norway, the Philippines and Switzerland for their financial contributions to support the work of the Standing Committee on Finance; </w:t>
      </w:r>
    </w:p>
    <w:p w14:paraId="3C26E0F8" w14:textId="1A8266F6" w:rsidR="005B4016" w:rsidRPr="00290335" w:rsidRDefault="00356A49" w:rsidP="00356A49">
      <w:pPr>
        <w:pStyle w:val="RegSingleTxtG"/>
        <w:ind w:left="1134"/>
      </w:pPr>
      <w:r w:rsidRPr="00290335">
        <w:t>5.</w:t>
      </w:r>
      <w:r w:rsidRPr="00290335">
        <w:tab/>
      </w:r>
      <w:r w:rsidR="005B4016" w:rsidRPr="00290335">
        <w:rPr>
          <w:i/>
        </w:rPr>
        <w:t xml:space="preserve">Welcomes </w:t>
      </w:r>
      <w:r w:rsidR="005B4016" w:rsidRPr="00290335">
        <w:t xml:space="preserve">the 2019 Forum of the Standing Committee on Finance, on the topic of climate finance and sustainable cities, with a focus on enhancing understanding of how to accelerate the mobilization and delivery of climate finance for the development of sustainable cities, and </w:t>
      </w:r>
      <w:r w:rsidR="005B4016" w:rsidRPr="00290335">
        <w:rPr>
          <w:i/>
        </w:rPr>
        <w:t>takes note</w:t>
      </w:r>
      <w:r w:rsidR="005B4016" w:rsidRPr="00290335">
        <w:t xml:space="preserve"> of the summary report</w:t>
      </w:r>
      <w:r w:rsidR="005B4016" w:rsidRPr="00290335">
        <w:rPr>
          <w:rStyle w:val="FootnoteReference"/>
        </w:rPr>
        <w:footnoteReference w:id="27"/>
      </w:r>
      <w:r w:rsidR="005B4016" w:rsidRPr="00290335">
        <w:t xml:space="preserve"> on the Forum; </w:t>
      </w:r>
    </w:p>
    <w:p w14:paraId="3A9159AB" w14:textId="54FA1EF4" w:rsidR="005B4016" w:rsidRPr="00290335" w:rsidRDefault="00356A49" w:rsidP="00356A49">
      <w:pPr>
        <w:pStyle w:val="RegSingleTxtG"/>
        <w:ind w:left="1134"/>
      </w:pPr>
      <w:r w:rsidRPr="00290335">
        <w:t>6.</w:t>
      </w:r>
      <w:r w:rsidRPr="00290335">
        <w:tab/>
      </w:r>
      <w:r w:rsidR="005B4016" w:rsidRPr="00290335">
        <w:rPr>
          <w:i/>
        </w:rPr>
        <w:t>Expresses its gratitude</w:t>
      </w:r>
      <w:r w:rsidR="005B4016" w:rsidRPr="00290335">
        <w:t xml:space="preserve"> to the Governments of Australia, Lebanon and Norway, as well as to the United Nations Economic and Social Commission for Western Asia, the Union for the Mediterranean, and the Islamic Development Bank, for their financial, administrative and substantive support, which contributed to the success of the 2019 Forum of the Standing Committee on Finance</w:t>
      </w:r>
      <w:r w:rsidR="005B4016" w:rsidRPr="00290335">
        <w:rPr>
          <w:lang w:val="en-US"/>
        </w:rPr>
        <w:t xml:space="preserve">; </w:t>
      </w:r>
    </w:p>
    <w:p w14:paraId="7529CB36" w14:textId="75122A9F" w:rsidR="005B4016" w:rsidRPr="00290335" w:rsidRDefault="00356A49" w:rsidP="00356A49">
      <w:pPr>
        <w:pStyle w:val="RegSingleTxtG"/>
        <w:ind w:left="1134"/>
      </w:pPr>
      <w:r w:rsidRPr="00290335">
        <w:t>7.</w:t>
      </w:r>
      <w:r w:rsidRPr="00290335">
        <w:tab/>
      </w:r>
      <w:r w:rsidR="005B4016" w:rsidRPr="00C57E38">
        <w:rPr>
          <w:i/>
        </w:rPr>
        <w:t>Welcomes</w:t>
      </w:r>
      <w:r w:rsidR="005B4016" w:rsidRPr="00C57E38">
        <w:t xml:space="preserve"> the decision of the Standing Committee on Finance on the topic of its 2020 Forum, which will be financing nature-based </w:t>
      </w:r>
      <w:r w:rsidR="005B4016" w:rsidRPr="00623191">
        <w:t>solutions</w:t>
      </w:r>
      <w:r w:rsidR="005B4016" w:rsidRPr="00290335">
        <w:rPr>
          <w:lang w:val="en-US"/>
        </w:rPr>
        <w:t xml:space="preserve">; </w:t>
      </w:r>
    </w:p>
    <w:p w14:paraId="5F65CB81" w14:textId="5E015B23" w:rsidR="005B4016" w:rsidRPr="00290335" w:rsidRDefault="00356A49" w:rsidP="00356A49">
      <w:pPr>
        <w:pStyle w:val="RegSingleTxtG"/>
        <w:ind w:left="1134"/>
      </w:pPr>
      <w:r w:rsidRPr="00290335">
        <w:t>8.</w:t>
      </w:r>
      <w:r w:rsidRPr="00290335">
        <w:tab/>
      </w:r>
      <w:r w:rsidR="005B4016" w:rsidRPr="00290335">
        <w:rPr>
          <w:i/>
        </w:rPr>
        <w:t>Notes</w:t>
      </w:r>
      <w:r w:rsidR="005B4016" w:rsidRPr="00290335">
        <w:t xml:space="preserve"> the inputs of the Standing Committee on Finance to the technical paper on the elaboration of the sources of and modalities for accessing financial support for addressing loss and damage;</w:t>
      </w:r>
      <w:r w:rsidR="005B4016" w:rsidRPr="00290335">
        <w:rPr>
          <w:rStyle w:val="FootnoteReference"/>
        </w:rPr>
        <w:footnoteReference w:id="28"/>
      </w:r>
    </w:p>
    <w:p w14:paraId="5F3CFB7D" w14:textId="09FD85C4" w:rsidR="005B4016" w:rsidRPr="00290335" w:rsidRDefault="00356A49" w:rsidP="00356A49">
      <w:pPr>
        <w:pStyle w:val="RegSingleTxtG"/>
        <w:ind w:left="1134"/>
      </w:pPr>
      <w:r w:rsidRPr="00290335">
        <w:t>9.</w:t>
      </w:r>
      <w:r w:rsidRPr="00290335">
        <w:tab/>
      </w:r>
      <w:r w:rsidR="005B4016" w:rsidRPr="00290335">
        <w:rPr>
          <w:i/>
        </w:rPr>
        <w:t>Encourages</w:t>
      </w:r>
      <w:r w:rsidR="005B4016" w:rsidRPr="00290335">
        <w:t xml:space="preserve"> the Standing Committee on Finance to present, to the extent possible, disaggregated information in relation to, inter alia, mapping data availability and gaps by sector, assessing climate finance flows and presenting information on the determination of </w:t>
      </w:r>
      <w:r w:rsidR="005B4016">
        <w:t xml:space="preserve">the </w:t>
      </w:r>
      <w:r w:rsidR="005B4016" w:rsidRPr="00290335">
        <w:t>needs</w:t>
      </w:r>
      <w:r w:rsidR="005B4016">
        <w:t xml:space="preserve"> of developing country Parties related to implementing the Convention and the Paris Agreement</w:t>
      </w:r>
      <w:r w:rsidR="005B4016" w:rsidRPr="00290335">
        <w:t xml:space="preserve">; </w:t>
      </w:r>
    </w:p>
    <w:p w14:paraId="4188CC44" w14:textId="5F599031" w:rsidR="005B4016" w:rsidRPr="00290335" w:rsidRDefault="00356A49" w:rsidP="00356A49">
      <w:pPr>
        <w:pStyle w:val="RegSingleTxtG"/>
        <w:ind w:left="1134"/>
        <w:rPr>
          <w:i/>
        </w:rPr>
      </w:pPr>
      <w:r w:rsidRPr="00290335">
        <w:t>10.</w:t>
      </w:r>
      <w:r w:rsidRPr="00290335">
        <w:tab/>
      </w:r>
      <w:r w:rsidR="005B4016" w:rsidRPr="0092688E">
        <w:rPr>
          <w:i/>
        </w:rPr>
        <w:t xml:space="preserve">Underscores </w:t>
      </w:r>
      <w:r w:rsidR="005B4016" w:rsidRPr="0092688E">
        <w:t>the important contribution of the Standing Committee on Finance in relation to the operational definitions of climate finance</w:t>
      </w:r>
      <w:r w:rsidR="005B4016">
        <w:t>,</w:t>
      </w:r>
      <w:r w:rsidR="005B4016" w:rsidRPr="0092688E">
        <w:t xml:space="preserve"> and </w:t>
      </w:r>
      <w:r w:rsidR="005B4016" w:rsidRPr="00A40062">
        <w:rPr>
          <w:i/>
        </w:rPr>
        <w:t>invites</w:t>
      </w:r>
      <w:r w:rsidR="005B4016" w:rsidRPr="0092688E">
        <w:t xml:space="preserve"> Parties to submit via the submission portal,</w:t>
      </w:r>
      <w:r w:rsidR="005B4016" w:rsidRPr="00045DA1">
        <w:rPr>
          <w:rStyle w:val="FootnoteReference"/>
        </w:rPr>
        <w:footnoteReference w:id="29"/>
      </w:r>
      <w:r w:rsidR="005B4016" w:rsidRPr="0092688E">
        <w:t xml:space="preserve"> by 30 April 2020, their views on the operational definitions of climate finance for consideration by the Standing Committee on Finance in order to enhance its </w:t>
      </w:r>
      <w:r w:rsidR="005B4016" w:rsidRPr="0092688E">
        <w:lastRenderedPageBreak/>
        <w:t>technical work on this matter in the context of preparing its 2020 Biennial Assessment and Overview of Climate Finance Flows;</w:t>
      </w:r>
    </w:p>
    <w:p w14:paraId="38112F16" w14:textId="10CE8F3B" w:rsidR="005B4016" w:rsidRPr="00290335" w:rsidRDefault="00356A49" w:rsidP="00356A49">
      <w:pPr>
        <w:pStyle w:val="RegSingleTxtG"/>
        <w:ind w:left="1134"/>
      </w:pPr>
      <w:r w:rsidRPr="00290335">
        <w:t>11.</w:t>
      </w:r>
      <w:r w:rsidRPr="00290335">
        <w:tab/>
      </w:r>
      <w:r w:rsidR="005B4016" w:rsidRPr="00290335">
        <w:rPr>
          <w:i/>
        </w:rPr>
        <w:t>Takes note</w:t>
      </w:r>
      <w:r w:rsidR="005B4016" w:rsidRPr="00290335">
        <w:t xml:space="preserve"> of the </w:t>
      </w:r>
      <w:r w:rsidR="005B4016" w:rsidRPr="00623191">
        <w:t>strategic</w:t>
      </w:r>
      <w:r w:rsidR="005B4016" w:rsidRPr="00290335">
        <w:t xml:space="preserve"> outreach plan</w:t>
      </w:r>
      <w:r w:rsidR="005B4016" w:rsidRPr="00290335">
        <w:rPr>
          <w:rStyle w:val="FootnoteReference"/>
          <w:iCs/>
          <w:color w:val="000000"/>
        </w:rPr>
        <w:footnoteReference w:id="30"/>
      </w:r>
      <w:r w:rsidR="005B4016" w:rsidRPr="00290335">
        <w:t xml:space="preserve"> of the Standing Committee on Finance on enhancing stakeholder engagement; </w:t>
      </w:r>
    </w:p>
    <w:p w14:paraId="0648256E" w14:textId="6DD14846" w:rsidR="005B4016" w:rsidRPr="00290335" w:rsidRDefault="00356A49" w:rsidP="00356A49">
      <w:pPr>
        <w:pStyle w:val="RegSingleTxtG"/>
        <w:ind w:left="1134"/>
      </w:pPr>
      <w:r w:rsidRPr="00290335">
        <w:t>12.</w:t>
      </w:r>
      <w:r w:rsidRPr="00290335">
        <w:tab/>
      </w:r>
      <w:r w:rsidR="005B4016" w:rsidRPr="00290335">
        <w:rPr>
          <w:i/>
        </w:rPr>
        <w:t>Encourages</w:t>
      </w:r>
      <w:r w:rsidR="005B4016" w:rsidRPr="00290335">
        <w:t xml:space="preserve"> the Standing Committee on Finance, in implementing its strategic outreach plan, to build on existing efforts to reach out to developing country Parties and relevant developing country stakeholders when generating data and information for the determination of the needs of developing country Parties related to implementing the Convention and the Paris Agreement;</w:t>
      </w:r>
    </w:p>
    <w:p w14:paraId="18D0968D" w14:textId="10A38FD3" w:rsidR="005B4016" w:rsidRPr="00290335" w:rsidRDefault="00356A49" w:rsidP="00356A49">
      <w:pPr>
        <w:pStyle w:val="RegSingleTxtG"/>
        <w:ind w:left="1134"/>
      </w:pPr>
      <w:r w:rsidRPr="00290335">
        <w:t>13.</w:t>
      </w:r>
      <w:r w:rsidRPr="00290335">
        <w:tab/>
      </w:r>
      <w:r w:rsidR="005B4016" w:rsidRPr="00290335">
        <w:rPr>
          <w:i/>
        </w:rPr>
        <w:t>Looks forward</w:t>
      </w:r>
      <w:r w:rsidR="005B4016" w:rsidRPr="00290335">
        <w:t xml:space="preserve"> to the inputs that may be provided by the Executive Committee of </w:t>
      </w:r>
      <w:r w:rsidR="005B4016">
        <w:t xml:space="preserve">the </w:t>
      </w:r>
      <w:r w:rsidR="005B4016" w:rsidRPr="00290335">
        <w:t>Warsaw International Mechanism for Loss and Damage associated with Climate Change Impacts to the work of the Standing Committee on Finance for its consideration in preparing elements of draft guidance for the operating entities;</w:t>
      </w:r>
    </w:p>
    <w:p w14:paraId="152C4B6F" w14:textId="34ADF52D" w:rsidR="005B4016" w:rsidRPr="00290335" w:rsidRDefault="00356A49" w:rsidP="00356A49">
      <w:pPr>
        <w:pStyle w:val="RegSingleTxtG"/>
        <w:ind w:left="1134"/>
      </w:pPr>
      <w:r w:rsidRPr="00290335">
        <w:t>14.</w:t>
      </w:r>
      <w:r w:rsidRPr="00290335">
        <w:tab/>
      </w:r>
      <w:r w:rsidR="005B4016" w:rsidRPr="00290335">
        <w:rPr>
          <w:i/>
        </w:rPr>
        <w:t xml:space="preserve">Encourages </w:t>
      </w:r>
      <w:r w:rsidR="005B4016" w:rsidRPr="00290335">
        <w:t xml:space="preserve">the Standing </w:t>
      </w:r>
      <w:r w:rsidR="005B4016" w:rsidRPr="00623191">
        <w:t>Committee</w:t>
      </w:r>
      <w:r w:rsidR="005B4016" w:rsidRPr="00290335">
        <w:t xml:space="preserve"> on Finance to continue to enhance its efforts towards ensuring gender-responsiveness in implementing its workplan; </w:t>
      </w:r>
    </w:p>
    <w:p w14:paraId="5F569B3E" w14:textId="51BF585E" w:rsidR="005B4016" w:rsidRPr="00290335" w:rsidRDefault="00356A49" w:rsidP="00356A49">
      <w:pPr>
        <w:pStyle w:val="RegSingleTxtG"/>
        <w:ind w:left="1134"/>
      </w:pPr>
      <w:r w:rsidRPr="00290335">
        <w:t>15.</w:t>
      </w:r>
      <w:r w:rsidRPr="00290335">
        <w:tab/>
      </w:r>
      <w:r w:rsidR="005B4016" w:rsidRPr="00290335">
        <w:rPr>
          <w:i/>
          <w:iCs/>
        </w:rPr>
        <w:t xml:space="preserve">Emphasizes </w:t>
      </w:r>
      <w:r w:rsidR="005B4016" w:rsidRPr="00290335">
        <w:t xml:space="preserve">the importance of the </w:t>
      </w:r>
      <w:r w:rsidR="005B4016" w:rsidRPr="00623191">
        <w:t>transparency</w:t>
      </w:r>
      <w:r w:rsidR="005B4016" w:rsidRPr="00290335">
        <w:t xml:space="preserve"> of the proceedings and decision-making processes of the Standing Committee on Finance;</w:t>
      </w:r>
    </w:p>
    <w:p w14:paraId="188E8306" w14:textId="6C3BEB50" w:rsidR="005B4016" w:rsidRPr="00290335" w:rsidRDefault="00356A49" w:rsidP="00356A49">
      <w:pPr>
        <w:pStyle w:val="RegSingleTxtG"/>
        <w:ind w:left="1134"/>
      </w:pPr>
      <w:r w:rsidRPr="00290335">
        <w:t>16.</w:t>
      </w:r>
      <w:r w:rsidRPr="00290335">
        <w:tab/>
      </w:r>
      <w:r w:rsidR="005B4016" w:rsidRPr="00290335">
        <w:rPr>
          <w:i/>
        </w:rPr>
        <w:t xml:space="preserve">Takes note </w:t>
      </w:r>
      <w:r w:rsidR="005B4016" w:rsidRPr="00290335">
        <w:t xml:space="preserve">of the appointment of </w:t>
      </w:r>
      <w:r w:rsidR="005B4016" w:rsidRPr="00623191">
        <w:t>Standing</w:t>
      </w:r>
      <w:r w:rsidR="005B4016" w:rsidRPr="00290335">
        <w:t xml:space="preserve"> Committee on Finance focal points to liaise with the other constituted bodies under the Convention and the Paris Agreement;</w:t>
      </w:r>
    </w:p>
    <w:p w14:paraId="2E454D6E" w14:textId="12B2B0F9" w:rsidR="005B4016" w:rsidRPr="00D478A1" w:rsidRDefault="00356A49" w:rsidP="00356A49">
      <w:pPr>
        <w:pStyle w:val="RegSingleTxtG"/>
        <w:ind w:left="1134"/>
      </w:pPr>
      <w:r w:rsidRPr="00D478A1">
        <w:t>17.</w:t>
      </w:r>
      <w:r w:rsidRPr="00D478A1">
        <w:tab/>
      </w:r>
      <w:r w:rsidR="005B4016" w:rsidRPr="00290335">
        <w:rPr>
          <w:i/>
        </w:rPr>
        <w:t>Decides</w:t>
      </w:r>
      <w:r w:rsidR="005B4016" w:rsidRPr="00290335">
        <w:t xml:space="preserve"> to initiate the review of the functions</w:t>
      </w:r>
      <w:r w:rsidR="005B4016" w:rsidRPr="00290335">
        <w:rPr>
          <w:rStyle w:val="FootnoteReference"/>
          <w:rFonts w:eastAsiaTheme="minorHAnsi"/>
        </w:rPr>
        <w:footnoteReference w:id="31"/>
      </w:r>
      <w:r w:rsidR="005B4016" w:rsidRPr="00290335">
        <w:t xml:space="preserve"> of the Standing Committee on Finance relating to the Paris Agreement, as part of the review referred to in decision </w:t>
      </w:r>
      <w:r w:rsidR="00AA201F">
        <w:t>11</w:t>
      </w:r>
      <w:r w:rsidR="005B4016" w:rsidRPr="00D478A1">
        <w:t>/CP.25</w:t>
      </w:r>
      <w:r w:rsidR="005B4016" w:rsidRPr="00290335">
        <w:t xml:space="preserve"> </w:t>
      </w:r>
      <w:r w:rsidR="005B4016" w:rsidRPr="00D478A1">
        <w:rPr>
          <w:rFonts w:eastAsia="Times New Roman"/>
          <w:lang w:val="en-US" w:eastAsia="en-US"/>
        </w:rPr>
        <w:t>with a view to concluding it at its fifth session (November 2022);</w:t>
      </w:r>
    </w:p>
    <w:p w14:paraId="33B83D0B" w14:textId="2073B9FC" w:rsidR="005B4016" w:rsidRPr="00D478A1" w:rsidRDefault="00356A49" w:rsidP="00356A49">
      <w:pPr>
        <w:pStyle w:val="RegSingleTxtG"/>
        <w:ind w:left="1134"/>
        <w:rPr>
          <w:lang w:val="en-US"/>
        </w:rPr>
      </w:pPr>
      <w:r w:rsidRPr="00D478A1">
        <w:rPr>
          <w:lang w:val="en-US"/>
        </w:rPr>
        <w:t>18.</w:t>
      </w:r>
      <w:r w:rsidRPr="00D478A1">
        <w:rPr>
          <w:lang w:val="en-US"/>
        </w:rPr>
        <w:tab/>
      </w:r>
      <w:r w:rsidR="005B4016" w:rsidRPr="00D478A1">
        <w:rPr>
          <w:i/>
          <w:iCs/>
          <w:lang w:val="en-US"/>
        </w:rPr>
        <w:t xml:space="preserve">Requests </w:t>
      </w:r>
      <w:r w:rsidR="005B4016" w:rsidRPr="00D478A1">
        <w:rPr>
          <w:lang w:val="en-US"/>
        </w:rPr>
        <w:t xml:space="preserve">the Standing </w:t>
      </w:r>
      <w:r w:rsidR="005B4016" w:rsidRPr="00623191">
        <w:t>Committee</w:t>
      </w:r>
      <w:r w:rsidR="005B4016" w:rsidRPr="00D478A1">
        <w:rPr>
          <w:lang w:val="en-US"/>
        </w:rPr>
        <w:t xml:space="preserve"> on Finance to report to the Conference of the Parties </w:t>
      </w:r>
      <w:r w:rsidR="005B4016">
        <w:rPr>
          <w:lang w:val="en-US"/>
        </w:rPr>
        <w:t>serving as</w:t>
      </w:r>
      <w:r w:rsidR="005B4016" w:rsidRPr="00D478A1">
        <w:rPr>
          <w:lang w:val="en-US"/>
        </w:rPr>
        <w:t xml:space="preserve"> the meeting of the Parties to the Paris Agreement at its third session (November 2020) on progress in implementing its workplan;</w:t>
      </w:r>
    </w:p>
    <w:p w14:paraId="3E0A9ECC" w14:textId="304349D2" w:rsidR="005B4016" w:rsidRPr="005D7C1E" w:rsidRDefault="00356A49" w:rsidP="00356A49">
      <w:pPr>
        <w:pStyle w:val="RegSingleTxtG"/>
        <w:ind w:left="1134"/>
      </w:pPr>
      <w:r w:rsidRPr="005D7C1E">
        <w:t>19.</w:t>
      </w:r>
      <w:r w:rsidRPr="005D7C1E">
        <w:tab/>
      </w:r>
      <w:r w:rsidR="005B4016" w:rsidRPr="00D478A1">
        <w:rPr>
          <w:i/>
        </w:rPr>
        <w:t>Also requests</w:t>
      </w:r>
      <w:r w:rsidR="005B4016" w:rsidRPr="00D478A1">
        <w:t xml:space="preserve"> that the actions of the Standing Committee on Finance called for in this decision be undertaken subject to the availability of financial resources.</w:t>
      </w:r>
    </w:p>
    <w:p w14:paraId="387ABCBF" w14:textId="77777777" w:rsidR="00365E16" w:rsidRDefault="00365E16" w:rsidP="001F75FA">
      <w:pPr>
        <w:pStyle w:val="RegSingleTxtG"/>
        <w:ind w:left="1134"/>
        <w:jc w:val="right"/>
        <w:rPr>
          <w:i/>
        </w:rPr>
      </w:pPr>
      <w:r>
        <w:rPr>
          <w:i/>
        </w:rPr>
        <w:t>8</w:t>
      </w:r>
      <w:r w:rsidRPr="002657AA">
        <w:rPr>
          <w:i/>
          <w:vertAlign w:val="superscript"/>
        </w:rPr>
        <w:t>th</w:t>
      </w:r>
      <w:r>
        <w:rPr>
          <w:i/>
        </w:rPr>
        <w:t xml:space="preserve"> plenary meeting</w:t>
      </w:r>
      <w:r>
        <w:rPr>
          <w:i/>
        </w:rPr>
        <w:br/>
        <w:t>15 December 2019</w:t>
      </w:r>
    </w:p>
    <w:p w14:paraId="57A7AD8C" w14:textId="77777777" w:rsidR="00365E16" w:rsidRDefault="00365E16" w:rsidP="002657AA">
      <w:pPr>
        <w:pStyle w:val="RegSingleTxtG"/>
        <w:ind w:left="1134"/>
        <w:jc w:val="left"/>
        <w:sectPr w:rsidR="00365E16" w:rsidSect="006B523B">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p>
    <w:p w14:paraId="56B9BC9C" w14:textId="735DBFB5" w:rsidR="00365E16" w:rsidRDefault="00365E16" w:rsidP="00C11253">
      <w:pPr>
        <w:pStyle w:val="HChG"/>
        <w:spacing w:before="120"/>
      </w:pPr>
      <w:r>
        <w:lastRenderedPageBreak/>
        <w:tab/>
      </w:r>
      <w:r>
        <w:tab/>
      </w:r>
      <w:bookmarkStart w:id="13" w:name="D6"/>
      <w:r w:rsidRPr="00004AE4">
        <w:t xml:space="preserve">Decision </w:t>
      </w:r>
      <w:r w:rsidR="00507B6B">
        <w:t>6</w:t>
      </w:r>
      <w:r w:rsidRPr="00004AE4">
        <w:t>/CMA.2</w:t>
      </w:r>
      <w:bookmarkEnd w:id="13"/>
    </w:p>
    <w:p w14:paraId="2E8583F7" w14:textId="77777777" w:rsidR="00365E16" w:rsidRPr="009B600A" w:rsidRDefault="00365E16" w:rsidP="00365E16">
      <w:pPr>
        <w:pStyle w:val="HChG"/>
      </w:pPr>
      <w:r>
        <w:tab/>
      </w:r>
      <w:r>
        <w:tab/>
        <w:t>Guidance to the Green Climate Fund</w:t>
      </w:r>
    </w:p>
    <w:p w14:paraId="532465A8" w14:textId="245951BE" w:rsidR="00365E16" w:rsidRPr="0001129D" w:rsidRDefault="00365E16" w:rsidP="00365E16">
      <w:pPr>
        <w:pStyle w:val="RegSingleTxtG"/>
        <w:ind w:left="1134"/>
      </w:pPr>
      <w:r>
        <w:rPr>
          <w:i/>
        </w:rPr>
        <w:tab/>
      </w:r>
      <w:r w:rsidRPr="00365E16">
        <w:rPr>
          <w:i/>
        </w:rPr>
        <w:t>The Conference of the Parties serving as the meeting of the Parties to the Paris Agreement</w:t>
      </w:r>
      <w:r w:rsidDel="00BF6DBA">
        <w:t>,</w:t>
      </w:r>
    </w:p>
    <w:p w14:paraId="365CD073" w14:textId="228054D6" w:rsidR="00365E16" w:rsidRPr="00191C56" w:rsidRDefault="00356A49" w:rsidP="00356A49">
      <w:pPr>
        <w:pStyle w:val="RegSingleTxtG"/>
        <w:ind w:left="1134"/>
      </w:pPr>
      <w:r w:rsidRPr="00191C56">
        <w:t>1.</w:t>
      </w:r>
      <w:r w:rsidRPr="00191C56">
        <w:tab/>
      </w:r>
      <w:r w:rsidR="00365E16" w:rsidRPr="00365E16">
        <w:rPr>
          <w:i/>
        </w:rPr>
        <w:t>Recommends</w:t>
      </w:r>
      <w:r w:rsidR="00365E16" w:rsidRPr="00191C56">
        <w:t xml:space="preserve"> that </w:t>
      </w:r>
      <w:r w:rsidR="00365E16">
        <w:t xml:space="preserve">the </w:t>
      </w:r>
      <w:r w:rsidR="00365E16" w:rsidRPr="00191C56">
        <w:t xml:space="preserve">Conference of </w:t>
      </w:r>
      <w:r w:rsidR="00365E16">
        <w:t xml:space="preserve">the </w:t>
      </w:r>
      <w:r w:rsidR="00365E16" w:rsidRPr="00191C56">
        <w:t>Parties at its twenty-fifth session transmit</w:t>
      </w:r>
      <w:r w:rsidR="00365E16">
        <w:t xml:space="preserve"> to the Green Climate Fund</w:t>
      </w:r>
      <w:r w:rsidR="00365E16" w:rsidRPr="00191C56">
        <w:t xml:space="preserve"> the guidance contained in paragraphs </w:t>
      </w:r>
      <w:r w:rsidR="00365E16">
        <w:t>2–8</w:t>
      </w:r>
      <w:r w:rsidR="00365E16" w:rsidRPr="00191C56">
        <w:t xml:space="preserve"> below</w:t>
      </w:r>
      <w:r w:rsidR="00365E16">
        <w:t>,</w:t>
      </w:r>
      <w:r w:rsidR="00365E16" w:rsidRPr="00191C56">
        <w:t xml:space="preserve"> in accordance with decision 1/CP.21, paragraph 61</w:t>
      </w:r>
      <w:r w:rsidR="00365E16">
        <w:t>;</w:t>
      </w:r>
    </w:p>
    <w:p w14:paraId="21B58D44" w14:textId="581B184E" w:rsidR="00365E16" w:rsidRPr="007A2853" w:rsidRDefault="00356A49" w:rsidP="00356A49">
      <w:pPr>
        <w:pStyle w:val="RegSingleTxtG"/>
        <w:ind w:left="1134"/>
      </w:pPr>
      <w:r w:rsidRPr="007A2853">
        <w:t>2.</w:t>
      </w:r>
      <w:r w:rsidRPr="007A2853">
        <w:tab/>
      </w:r>
      <w:r w:rsidR="00365E16" w:rsidRPr="007A2853">
        <w:rPr>
          <w:i/>
        </w:rPr>
        <w:t>Welcomes</w:t>
      </w:r>
      <w:r w:rsidR="00365E16" w:rsidRPr="007A2853">
        <w:t xml:space="preserve"> the report of the Green Climate Fund to </w:t>
      </w:r>
      <w:r w:rsidR="00365E16">
        <w:t xml:space="preserve">the </w:t>
      </w:r>
      <w:r w:rsidR="00365E16" w:rsidRPr="007A2853">
        <w:t xml:space="preserve">Conference of </w:t>
      </w:r>
      <w:r w:rsidR="00365E16">
        <w:t xml:space="preserve">the </w:t>
      </w:r>
      <w:r w:rsidR="00365E16" w:rsidRPr="007A2853">
        <w:t>Parties at its twenty-fifth session</w:t>
      </w:r>
      <w:r w:rsidR="00365E16">
        <w:t xml:space="preserve"> and its addendum,</w:t>
      </w:r>
      <w:r w:rsidR="00365E16">
        <w:rPr>
          <w:rStyle w:val="FootnoteReference"/>
        </w:rPr>
        <w:footnoteReference w:id="32"/>
      </w:r>
      <w:r w:rsidR="00365E16" w:rsidRPr="007A2853">
        <w:t xml:space="preserve"> including the list of actions taken by the Board of the Green Climate Fund (hereinafter referred to as the Board) in response to guidance received from the </w:t>
      </w:r>
      <w:r w:rsidR="00365E16" w:rsidRPr="00D863B5">
        <w:t xml:space="preserve">Conference of the Parties serving as the </w:t>
      </w:r>
      <w:r w:rsidR="00365E16">
        <w:t>m</w:t>
      </w:r>
      <w:r w:rsidR="00365E16" w:rsidRPr="00D863B5">
        <w:t>eeting of the Parties</w:t>
      </w:r>
      <w:r w:rsidR="00365E16" w:rsidRPr="00C32CF5">
        <w:t xml:space="preserve"> </w:t>
      </w:r>
      <w:r w:rsidR="00365E16" w:rsidRPr="004D39EA">
        <w:t>to the Paris Agreement</w:t>
      </w:r>
      <w:r w:rsidR="00365E16" w:rsidRPr="007A2853">
        <w:t>;</w:t>
      </w:r>
    </w:p>
    <w:p w14:paraId="4CF93A1A" w14:textId="62CC7115" w:rsidR="00365E16" w:rsidRPr="00594CD1" w:rsidRDefault="00356A49" w:rsidP="00356A49">
      <w:pPr>
        <w:pStyle w:val="RegSingleTxtG"/>
        <w:ind w:left="1134"/>
      </w:pPr>
      <w:r w:rsidRPr="00594CD1">
        <w:t>3.</w:t>
      </w:r>
      <w:r w:rsidRPr="00594CD1">
        <w:tab/>
      </w:r>
      <w:r w:rsidR="00365E16">
        <w:rPr>
          <w:i/>
        </w:rPr>
        <w:t>Also</w:t>
      </w:r>
      <w:r w:rsidR="00365E16" w:rsidRPr="003A1F8E">
        <w:rPr>
          <w:i/>
        </w:rPr>
        <w:t xml:space="preserve"> welcomes</w:t>
      </w:r>
      <w:r w:rsidR="00365E16" w:rsidRPr="00594CD1">
        <w:t xml:space="preserve"> the Board’s decision</w:t>
      </w:r>
      <w:r w:rsidR="00365E16">
        <w:rPr>
          <w:rStyle w:val="FootnoteReference"/>
        </w:rPr>
        <w:footnoteReference w:id="33"/>
      </w:r>
      <w:r w:rsidR="00365E16" w:rsidRPr="00594CD1">
        <w:t xml:space="preserve"> confirm</w:t>
      </w:r>
      <w:r w:rsidR="00365E16">
        <w:t>ing</w:t>
      </w:r>
      <w:r w:rsidR="00365E16" w:rsidRPr="00594CD1">
        <w:t xml:space="preserve"> that the current G</w:t>
      </w:r>
      <w:r w:rsidR="00365E16">
        <w:t xml:space="preserve">reen </w:t>
      </w:r>
      <w:r w:rsidR="00365E16" w:rsidRPr="00594CD1">
        <w:t>C</w:t>
      </w:r>
      <w:r w:rsidR="00365E16">
        <w:t xml:space="preserve">limate </w:t>
      </w:r>
      <w:r w:rsidR="00365E16" w:rsidRPr="00594CD1">
        <w:t>F</w:t>
      </w:r>
      <w:r w:rsidR="00365E16">
        <w:t>und</w:t>
      </w:r>
      <w:r w:rsidR="00365E16" w:rsidRPr="00594CD1">
        <w:t xml:space="preserve"> modalities enable support for the preparation and implementation of nationally determined contributions and </w:t>
      </w:r>
      <w:bookmarkStart w:id="14" w:name="_Hlk27059797"/>
      <w:r w:rsidR="00365E16" w:rsidRPr="00594CD1">
        <w:t xml:space="preserve">adaptation-related elements </w:t>
      </w:r>
      <w:bookmarkEnd w:id="14"/>
      <w:r w:rsidR="00365E16" w:rsidRPr="00594CD1">
        <w:t>of the Paris Agreement;</w:t>
      </w:r>
    </w:p>
    <w:p w14:paraId="1036CD77" w14:textId="75B2AE0F" w:rsidR="00365E16" w:rsidRDefault="00356A49" w:rsidP="00356A49">
      <w:pPr>
        <w:pStyle w:val="RegSingleTxtG"/>
        <w:ind w:left="1134"/>
      </w:pPr>
      <w:r>
        <w:t>4.</w:t>
      </w:r>
      <w:r>
        <w:tab/>
      </w:r>
      <w:r w:rsidR="00365E16" w:rsidRPr="004B759B">
        <w:rPr>
          <w:i/>
        </w:rPr>
        <w:t>Recalls</w:t>
      </w:r>
      <w:r w:rsidR="00365E16">
        <w:t xml:space="preserve"> </w:t>
      </w:r>
      <w:r w:rsidR="00365E16" w:rsidRPr="00594CD1">
        <w:t>Article 7, paragraph 1</w:t>
      </w:r>
      <w:r w:rsidR="00365E16">
        <w:t>,</w:t>
      </w:r>
      <w:r w:rsidR="00365E16" w:rsidRPr="00594CD1">
        <w:t xml:space="preserve"> of the</w:t>
      </w:r>
      <w:r w:rsidR="00365E16">
        <w:t xml:space="preserve"> </w:t>
      </w:r>
      <w:r w:rsidR="00365E16" w:rsidRPr="00594CD1">
        <w:t>Paris Agreement</w:t>
      </w:r>
      <w:r w:rsidR="00365E16">
        <w:t>,</w:t>
      </w:r>
      <w:r w:rsidR="00365E16" w:rsidRPr="00594CD1">
        <w:t xml:space="preserve"> in which </w:t>
      </w:r>
      <w:r w:rsidR="00365E16">
        <w:t>P</w:t>
      </w:r>
      <w:r w:rsidR="00365E16" w:rsidRPr="00594CD1">
        <w:t>arties established a global goal on adaptation for</w:t>
      </w:r>
      <w:r w:rsidR="00365E16">
        <w:t xml:space="preserve"> </w:t>
      </w:r>
      <w:r w:rsidR="00365E16" w:rsidRPr="00594CD1">
        <w:t>enhancing adaptive capacity, strengthening resilience and reducing vulnerability to</w:t>
      </w:r>
      <w:r w:rsidR="00365E16">
        <w:t xml:space="preserve"> </w:t>
      </w:r>
      <w:r w:rsidR="00365E16" w:rsidRPr="00594CD1">
        <w:t>climate change;</w:t>
      </w:r>
    </w:p>
    <w:p w14:paraId="217515CA" w14:textId="01DF7C5D" w:rsidR="00365E16" w:rsidRPr="00503CEF" w:rsidRDefault="00356A49" w:rsidP="00356A49">
      <w:pPr>
        <w:pStyle w:val="RegSingleTxtG"/>
        <w:ind w:left="1134"/>
      </w:pPr>
      <w:r w:rsidRPr="00503CEF">
        <w:t>5.</w:t>
      </w:r>
      <w:r w:rsidRPr="00503CEF">
        <w:tab/>
      </w:r>
      <w:r w:rsidR="00365E16" w:rsidRPr="003A1F8E">
        <w:rPr>
          <w:i/>
        </w:rPr>
        <w:t>Takes note</w:t>
      </w:r>
      <w:r w:rsidR="00365E16" w:rsidRPr="00594CD1">
        <w:t xml:space="preserve"> of the encouragement of the Conference of the Parties serving as the</w:t>
      </w:r>
      <w:r w:rsidR="00365E16">
        <w:t xml:space="preserve"> </w:t>
      </w:r>
      <w:r w:rsidR="00365E16" w:rsidRPr="00594CD1">
        <w:t>meeting of the Parties to the Paris Agreement</w:t>
      </w:r>
      <w:r w:rsidR="00365E16">
        <w:rPr>
          <w:rStyle w:val="FootnoteReference"/>
        </w:rPr>
        <w:footnoteReference w:id="34"/>
      </w:r>
      <w:r w:rsidR="00365E16">
        <w:t xml:space="preserve"> </w:t>
      </w:r>
      <w:r w:rsidR="00365E16" w:rsidRPr="00594CD1">
        <w:t xml:space="preserve">for the </w:t>
      </w:r>
      <w:r w:rsidR="00365E16" w:rsidRPr="007A2853">
        <w:t>Green Climate Fund</w:t>
      </w:r>
      <w:r w:rsidR="00365E16">
        <w:t>,</w:t>
      </w:r>
      <w:r w:rsidR="00365E16" w:rsidRPr="007A2853">
        <w:t xml:space="preserve"> </w:t>
      </w:r>
      <w:r w:rsidR="00365E16">
        <w:t xml:space="preserve">among others, </w:t>
      </w:r>
      <w:r w:rsidR="00365E16" w:rsidRPr="00594CD1">
        <w:t>to continue channelling support to developing country Parties for the</w:t>
      </w:r>
      <w:r w:rsidR="00365E16">
        <w:t xml:space="preserve"> </w:t>
      </w:r>
      <w:r w:rsidR="00365E16" w:rsidRPr="00594CD1">
        <w:t>implementation of their adaptation plans and actions in accordance with the priorities</w:t>
      </w:r>
      <w:r w:rsidR="00365E16">
        <w:t xml:space="preserve"> </w:t>
      </w:r>
      <w:r w:rsidR="00365E16" w:rsidRPr="00503CEF">
        <w:t xml:space="preserve">and needs outlined in their adaptation communication and/or </w:t>
      </w:r>
      <w:r w:rsidR="00365E16">
        <w:t>nationally determined contributions</w:t>
      </w:r>
      <w:r w:rsidR="00365E16" w:rsidRPr="00503CEF">
        <w:t>;</w:t>
      </w:r>
    </w:p>
    <w:p w14:paraId="23D1ABC5" w14:textId="7A03E119" w:rsidR="00365E16" w:rsidRPr="00503CEF" w:rsidRDefault="00356A49" w:rsidP="00356A49">
      <w:pPr>
        <w:pStyle w:val="RegSingleTxtG"/>
        <w:ind w:left="1134"/>
      </w:pPr>
      <w:r w:rsidRPr="00503CEF">
        <w:t>6.</w:t>
      </w:r>
      <w:r w:rsidRPr="00503CEF">
        <w:tab/>
      </w:r>
      <w:r w:rsidR="00365E16" w:rsidRPr="00127F24">
        <w:rPr>
          <w:i/>
        </w:rPr>
        <w:t>Encourages</w:t>
      </w:r>
      <w:r w:rsidR="00365E16">
        <w:t xml:space="preserve"> the Green Climate Fund to continue to enhance its support for adaptation and </w:t>
      </w:r>
      <w:r w:rsidR="00365E16" w:rsidRPr="00E04341">
        <w:rPr>
          <w:i/>
        </w:rPr>
        <w:t>requests</w:t>
      </w:r>
      <w:r w:rsidR="00365E16" w:rsidRPr="00503CEF">
        <w:t xml:space="preserve"> the </w:t>
      </w:r>
      <w:r w:rsidR="00365E16" w:rsidRPr="007A2853">
        <w:t xml:space="preserve">Green Climate Fund </w:t>
      </w:r>
      <w:r w:rsidR="00365E16" w:rsidRPr="00503CEF">
        <w:t>to</w:t>
      </w:r>
      <w:r w:rsidR="00365E16">
        <w:t>:</w:t>
      </w:r>
    </w:p>
    <w:p w14:paraId="3DB75FAF" w14:textId="5A9750CE" w:rsidR="00365E16" w:rsidRPr="00AE5CFE" w:rsidRDefault="00356A49" w:rsidP="00356A49">
      <w:pPr>
        <w:pStyle w:val="RegSingleTxtG2"/>
        <w:tabs>
          <w:tab w:val="left" w:pos="1702"/>
        </w:tabs>
        <w:ind w:left="1134" w:firstLine="567"/>
      </w:pPr>
      <w:r w:rsidRPr="00AE5CFE">
        <w:rPr>
          <w:szCs w:val="28"/>
        </w:rPr>
        <w:t>(a)</w:t>
      </w:r>
      <w:r w:rsidRPr="00AE5CFE">
        <w:rPr>
          <w:szCs w:val="28"/>
        </w:rPr>
        <w:tab/>
      </w:r>
      <w:r w:rsidR="00365E16">
        <w:t>S</w:t>
      </w:r>
      <w:r w:rsidR="00365E16" w:rsidRPr="00503CEF">
        <w:t xml:space="preserve">wiftly conclude its work </w:t>
      </w:r>
      <w:r w:rsidR="00365E16">
        <w:t>on</w:t>
      </w:r>
      <w:r w:rsidR="00365E16" w:rsidRPr="00503CEF">
        <w:t xml:space="preserve"> guidance on the approach and scope </w:t>
      </w:r>
      <w:r w:rsidR="00365E16" w:rsidRPr="00AE5CFE">
        <w:t>for providing support to adaptation activities;</w:t>
      </w:r>
      <w:r w:rsidR="00365E16" w:rsidRPr="001F7AAD">
        <w:rPr>
          <w:rStyle w:val="FootnoteReference"/>
        </w:rPr>
        <w:footnoteReference w:id="35"/>
      </w:r>
    </w:p>
    <w:p w14:paraId="3EDEA27A" w14:textId="3C927B77" w:rsidR="00365E16" w:rsidRPr="00AE5CFE" w:rsidRDefault="00356A49" w:rsidP="00356A49">
      <w:pPr>
        <w:pStyle w:val="RegSingleTxtG2"/>
        <w:tabs>
          <w:tab w:val="left" w:pos="1702"/>
        </w:tabs>
        <w:ind w:left="1134" w:firstLine="567"/>
      </w:pPr>
      <w:r w:rsidRPr="00AE5CFE">
        <w:rPr>
          <w:szCs w:val="28"/>
        </w:rPr>
        <w:t>(b)</w:t>
      </w:r>
      <w:r w:rsidRPr="00AE5CFE">
        <w:rPr>
          <w:szCs w:val="28"/>
        </w:rPr>
        <w:tab/>
      </w:r>
      <w:r w:rsidR="00365E16">
        <w:t xml:space="preserve">Continue to enhance its </w:t>
      </w:r>
      <w:r w:rsidR="00365E16" w:rsidRPr="00AE5CFE">
        <w:t xml:space="preserve">support for </w:t>
      </w:r>
      <w:r w:rsidR="00365E16">
        <w:t xml:space="preserve">the </w:t>
      </w:r>
      <w:r w:rsidR="00365E16" w:rsidRPr="00AE5CFE">
        <w:t>implementation of national adaptation plans</w:t>
      </w:r>
      <w:r w:rsidR="00365E16">
        <w:t>, in line with Board decisions on enhancing readiness programming;</w:t>
      </w:r>
      <w:r w:rsidR="00365E16">
        <w:rPr>
          <w:rStyle w:val="FootnoteReference"/>
        </w:rPr>
        <w:footnoteReference w:id="36"/>
      </w:r>
    </w:p>
    <w:p w14:paraId="7E0BFD5B" w14:textId="07E6CEA6" w:rsidR="00365E16" w:rsidRDefault="00356A49" w:rsidP="00356A49">
      <w:pPr>
        <w:pStyle w:val="RegSingleTxtG"/>
        <w:ind w:left="1134"/>
      </w:pPr>
      <w:r>
        <w:t>7.</w:t>
      </w:r>
      <w:r>
        <w:tab/>
      </w:r>
      <w:r w:rsidR="00365E16">
        <w:rPr>
          <w:i/>
        </w:rPr>
        <w:t>Also e</w:t>
      </w:r>
      <w:r w:rsidR="00365E16" w:rsidRPr="00AE5CFE">
        <w:rPr>
          <w:i/>
        </w:rPr>
        <w:t>ncourages</w:t>
      </w:r>
      <w:r w:rsidR="00365E16" w:rsidRPr="00AE5CFE">
        <w:t xml:space="preserve"> the </w:t>
      </w:r>
      <w:r w:rsidR="00365E16">
        <w:t>Green Climate Fund</w:t>
      </w:r>
      <w:r w:rsidR="00365E16" w:rsidRPr="00AE5CFE">
        <w:t xml:space="preserve"> to </w:t>
      </w:r>
      <w:r w:rsidR="00365E16">
        <w:t xml:space="preserve">continue to collaborate with the </w:t>
      </w:r>
      <w:r w:rsidR="00365E16" w:rsidRPr="00AE5CFE">
        <w:t>Climate Technology Centre and Network and the Technology Executive Committee</w:t>
      </w:r>
      <w:r w:rsidR="00365E16" w:rsidDel="00AB4B37">
        <w:t xml:space="preserve"> </w:t>
      </w:r>
      <w:r w:rsidR="00365E16" w:rsidRPr="00AE5CFE">
        <w:t xml:space="preserve">with a view to </w:t>
      </w:r>
      <w:r w:rsidR="00365E16">
        <w:t xml:space="preserve">both </w:t>
      </w:r>
      <w:r w:rsidR="00365E16" w:rsidRPr="00AE5CFE">
        <w:t>strengthening cooperative action on technology development and transfer at different stages of the technology cycle</w:t>
      </w:r>
      <w:r w:rsidR="00365E16">
        <w:t xml:space="preserve"> and</w:t>
      </w:r>
      <w:r w:rsidR="00365E16" w:rsidRPr="00AE5CFE">
        <w:t xml:space="preserve"> achieving a balance between support for mitigation and </w:t>
      </w:r>
      <w:r w:rsidR="00365E16">
        <w:t xml:space="preserve">support for </w:t>
      </w:r>
      <w:r w:rsidR="00365E16" w:rsidRPr="00AE5CFE">
        <w:t>adaptation</w:t>
      </w:r>
      <w:r w:rsidR="00365E16">
        <w:t>;</w:t>
      </w:r>
    </w:p>
    <w:p w14:paraId="2D038080" w14:textId="2B80D136" w:rsidR="00365E16" w:rsidRDefault="00356A49" w:rsidP="00356A49">
      <w:pPr>
        <w:pStyle w:val="RegSingleTxtG"/>
        <w:ind w:left="1134"/>
      </w:pPr>
      <w:r>
        <w:t>8.</w:t>
      </w:r>
      <w:r>
        <w:tab/>
      </w:r>
      <w:r w:rsidR="00365E16" w:rsidRPr="00CD1A44">
        <w:rPr>
          <w:i/>
        </w:rPr>
        <w:t>Invites</w:t>
      </w:r>
      <w:r w:rsidR="001562B8">
        <w:rPr>
          <w:i/>
        </w:rPr>
        <w:t xml:space="preserve"> </w:t>
      </w:r>
      <w:r w:rsidR="00365E16" w:rsidRPr="006E7858">
        <w:t xml:space="preserve">the Board </w:t>
      </w:r>
      <w:r w:rsidR="00365E16">
        <w:t xml:space="preserve">of the Green Climate Fund </w:t>
      </w:r>
      <w:r w:rsidR="00365E16" w:rsidRPr="006E7858">
        <w:t>to continue providing financial resources for activities relevant to averting, minimizing and addressing loss and damage in developing country Parties, to the extent consistent with the existing investment</w:t>
      </w:r>
      <w:r w:rsidR="00365E16">
        <w:t>,</w:t>
      </w:r>
      <w:r w:rsidR="00365E16" w:rsidRPr="006E7858">
        <w:t xml:space="preserve"> results framework and funding windows and structures</w:t>
      </w:r>
      <w:r w:rsidR="00365E16">
        <w:t xml:space="preserve"> of the Green Climate Fund</w:t>
      </w:r>
      <w:r w:rsidR="00365E16" w:rsidRPr="006E7858">
        <w:t>, and to facilitate efficient access in this regard, and in this context to take into account the strategic workstreams of the five-year rolling workplan of the Executive Committee</w:t>
      </w:r>
      <w:r w:rsidR="00365E16">
        <w:t xml:space="preserve"> of the Warsaw International Mechanism for Loss and Damage associated with Climate Change Impacts.</w:t>
      </w:r>
      <w:r w:rsidR="00365E16">
        <w:rPr>
          <w:rStyle w:val="FootnoteReference"/>
        </w:rPr>
        <w:footnoteReference w:id="37"/>
      </w:r>
    </w:p>
    <w:p w14:paraId="7A656C76" w14:textId="77777777" w:rsidR="00365E16" w:rsidRDefault="00365E16" w:rsidP="001F75FA">
      <w:pPr>
        <w:pStyle w:val="RegSingleTxtG"/>
        <w:ind w:left="1134"/>
        <w:jc w:val="right"/>
        <w:rPr>
          <w:i/>
        </w:rPr>
        <w:sectPr w:rsidR="00365E16" w:rsidSect="006B523B">
          <w:headerReference w:type="default" r:id="rId50"/>
          <w:footerReference w:type="default" r:id="rId51"/>
          <w:footnotePr>
            <w:numRestart w:val="eachSect"/>
          </w:footnotePr>
          <w:pgSz w:w="11906" w:h="16838" w:code="9"/>
          <w:pgMar w:top="1417" w:right="1134" w:bottom="1134" w:left="1134" w:header="850" w:footer="567" w:gutter="0"/>
          <w:cols w:space="708"/>
          <w:docGrid w:linePitch="360"/>
        </w:sectPr>
      </w:pPr>
      <w:r>
        <w:rPr>
          <w:i/>
        </w:rPr>
        <w:t>8</w:t>
      </w:r>
      <w:r w:rsidRPr="002657AA">
        <w:rPr>
          <w:i/>
          <w:vertAlign w:val="superscript"/>
        </w:rPr>
        <w:t>th</w:t>
      </w:r>
      <w:r>
        <w:rPr>
          <w:i/>
        </w:rPr>
        <w:t xml:space="preserve"> plenary meeting</w:t>
      </w:r>
      <w:r>
        <w:rPr>
          <w:i/>
        </w:rPr>
        <w:br/>
        <w:t>15 December 2019</w:t>
      </w:r>
    </w:p>
    <w:p w14:paraId="1FFEF364" w14:textId="0BFB0807" w:rsidR="00365E16" w:rsidRDefault="00365E16" w:rsidP="00EE3F20">
      <w:pPr>
        <w:pStyle w:val="HChG"/>
        <w:spacing w:before="120"/>
      </w:pPr>
      <w:r>
        <w:lastRenderedPageBreak/>
        <w:tab/>
      </w:r>
      <w:r>
        <w:tab/>
      </w:r>
      <w:bookmarkStart w:id="15" w:name="D7"/>
      <w:r>
        <w:t xml:space="preserve">Decision </w:t>
      </w:r>
      <w:r w:rsidR="00507B6B">
        <w:t>7</w:t>
      </w:r>
      <w:r>
        <w:t>/C</w:t>
      </w:r>
      <w:r w:rsidR="00507B6B">
        <w:t>MA</w:t>
      </w:r>
      <w:r>
        <w:t>.2</w:t>
      </w:r>
      <w:bookmarkEnd w:id="15"/>
    </w:p>
    <w:p w14:paraId="12CBF502" w14:textId="77777777" w:rsidR="00365E16" w:rsidRPr="00B50484" w:rsidRDefault="00365E16" w:rsidP="00365E16">
      <w:pPr>
        <w:pStyle w:val="HChG"/>
      </w:pPr>
      <w:r>
        <w:tab/>
      </w:r>
      <w:r>
        <w:tab/>
        <w:t>G</w:t>
      </w:r>
      <w:r w:rsidRPr="00396845">
        <w:t>uidance to the Global Environment Facility</w:t>
      </w:r>
    </w:p>
    <w:p w14:paraId="3583119D" w14:textId="148C8DA4" w:rsidR="00365E16" w:rsidRPr="0001129D" w:rsidRDefault="00365E16" w:rsidP="00365E16">
      <w:pPr>
        <w:spacing w:before="120" w:after="120"/>
        <w:ind w:left="1134" w:right="1174" w:firstLine="567"/>
        <w:jc w:val="both"/>
      </w:pPr>
      <w:r>
        <w:rPr>
          <w:i/>
        </w:rPr>
        <w:tab/>
      </w:r>
      <w:r w:rsidRPr="00E84785">
        <w:rPr>
          <w:i/>
        </w:rPr>
        <w:t>The Conference of the Parties serving as the meeting of the Parties to the Paris Agreement</w:t>
      </w:r>
      <w:r w:rsidDel="00BF6DBA">
        <w:t>,</w:t>
      </w:r>
    </w:p>
    <w:p w14:paraId="00477D3F" w14:textId="1051C1B4" w:rsidR="00365E16" w:rsidRPr="00E84785" w:rsidRDefault="00356A49" w:rsidP="00356A49">
      <w:pPr>
        <w:pStyle w:val="RegSingleTxtG"/>
        <w:ind w:left="1134"/>
      </w:pPr>
      <w:r w:rsidRPr="00E84785">
        <w:t>1.</w:t>
      </w:r>
      <w:r w:rsidRPr="00E84785">
        <w:tab/>
      </w:r>
      <w:r w:rsidR="00365E16" w:rsidRPr="00365E16">
        <w:rPr>
          <w:i/>
          <w:lang w:eastAsia="en-US"/>
        </w:rPr>
        <w:t>Recommends</w:t>
      </w:r>
      <w:r w:rsidR="00365E16" w:rsidRPr="00E84785">
        <w:t xml:space="preserve"> </w:t>
      </w:r>
      <w:r w:rsidR="00365E16">
        <w:t xml:space="preserve">that </w:t>
      </w:r>
      <w:r w:rsidR="00365E16" w:rsidRPr="00E84785">
        <w:t xml:space="preserve">the Conference of the Parties at its twenty-fifth session transmit to the Global Environment Facility </w:t>
      </w:r>
      <w:r w:rsidR="00365E16">
        <w:t xml:space="preserve">the guidance </w:t>
      </w:r>
      <w:r w:rsidR="00365E16" w:rsidRPr="00E84785">
        <w:t>contained in paragraphs 2–</w:t>
      </w:r>
      <w:r w:rsidR="00365E16">
        <w:t>3</w:t>
      </w:r>
      <w:r w:rsidR="00365E16" w:rsidRPr="00E84785">
        <w:t xml:space="preserve"> below, in accordance with decision 1/CP.21, paragraph 61</w:t>
      </w:r>
      <w:r w:rsidR="00F423AF">
        <w:t>;</w:t>
      </w:r>
    </w:p>
    <w:p w14:paraId="519C78C2" w14:textId="4260A2C9" w:rsidR="00365E16" w:rsidRPr="00E84785" w:rsidRDefault="00356A49" w:rsidP="00356A49">
      <w:pPr>
        <w:pStyle w:val="RegSingleTxtG"/>
        <w:ind w:left="1134"/>
      </w:pPr>
      <w:r w:rsidRPr="00E84785">
        <w:t>2.</w:t>
      </w:r>
      <w:r w:rsidRPr="00E84785">
        <w:tab/>
      </w:r>
      <w:r w:rsidR="00365E16" w:rsidRPr="00E84785">
        <w:rPr>
          <w:i/>
          <w:lang w:eastAsia="en-US"/>
        </w:rPr>
        <w:t>Welcomes</w:t>
      </w:r>
      <w:r w:rsidR="00365E16" w:rsidRPr="00E84785">
        <w:t xml:space="preserve"> the report of the Global Environment Facility to the Conference of the Parties at its twenty-fifth session,</w:t>
      </w:r>
      <w:r w:rsidR="00365E16" w:rsidRPr="00E84785">
        <w:rPr>
          <w:rStyle w:val="FootnoteReference"/>
        </w:rPr>
        <w:footnoteReference w:id="38"/>
      </w:r>
      <w:r w:rsidR="00365E16" w:rsidRPr="00E84785">
        <w:t xml:space="preserve"> including the list of actions taken by the Global Environment Facility in response to </w:t>
      </w:r>
      <w:r w:rsidR="00365E16">
        <w:t xml:space="preserve">the </w:t>
      </w:r>
      <w:r w:rsidR="00365E16" w:rsidRPr="00E84785">
        <w:t>guidance received from the Conference of the Parties serving as the meeting of the Parties to the Paris Agreement;</w:t>
      </w:r>
    </w:p>
    <w:p w14:paraId="7AD17E05" w14:textId="0EB14995" w:rsidR="00365E16" w:rsidRPr="00E84785" w:rsidRDefault="00356A49" w:rsidP="00356A49">
      <w:pPr>
        <w:pStyle w:val="RegSingleTxtG"/>
        <w:ind w:left="1134"/>
        <w:rPr>
          <w:szCs w:val="18"/>
        </w:rPr>
      </w:pPr>
      <w:r w:rsidRPr="00E84785">
        <w:rPr>
          <w:szCs w:val="18"/>
        </w:rPr>
        <w:t>3.</w:t>
      </w:r>
      <w:r w:rsidRPr="00E84785">
        <w:rPr>
          <w:szCs w:val="18"/>
        </w:rPr>
        <w:tab/>
      </w:r>
      <w:r w:rsidR="00365E16" w:rsidRPr="00E84785">
        <w:rPr>
          <w:i/>
          <w:lang w:eastAsia="en-US"/>
        </w:rPr>
        <w:t>Requests</w:t>
      </w:r>
      <w:r w:rsidR="00365E16" w:rsidRPr="00E84785">
        <w:rPr>
          <w:lang w:eastAsia="en-US"/>
        </w:rPr>
        <w:t xml:space="preserve"> the Global </w:t>
      </w:r>
      <w:r w:rsidR="00365E16" w:rsidRPr="00E84785">
        <w:t>Environment</w:t>
      </w:r>
      <w:r w:rsidR="00365E16" w:rsidRPr="00E84785">
        <w:rPr>
          <w:lang w:eastAsia="en-US"/>
        </w:rPr>
        <w:t xml:space="preserve"> Facility, as an operating entity of the Financial Mechanism,</w:t>
      </w:r>
      <w:r w:rsidR="00365E16">
        <w:rPr>
          <w:lang w:eastAsia="en-US"/>
        </w:rPr>
        <w:t xml:space="preserve"> </w:t>
      </w:r>
      <w:r w:rsidR="00365E16" w:rsidRPr="00E84785">
        <w:rPr>
          <w:lang w:eastAsia="en-US"/>
        </w:rPr>
        <w:t>to adequately support developing country Parties in preparing their first and subsequent biennial transparency reports</w:t>
      </w:r>
      <w:r w:rsidR="00365E16" w:rsidRPr="009B4D6B">
        <w:rPr>
          <w:lang w:eastAsia="en-US"/>
        </w:rPr>
        <w:t xml:space="preserve"> </w:t>
      </w:r>
      <w:r w:rsidR="00365E16" w:rsidRPr="00E84785">
        <w:rPr>
          <w:lang w:eastAsia="en-US"/>
        </w:rPr>
        <w:t>under its seventh replenishment and throughout its replenishment cycles in accordance with Article 13, paragraph</w:t>
      </w:r>
      <w:r w:rsidR="00365E16">
        <w:rPr>
          <w:lang w:eastAsia="en-US"/>
        </w:rPr>
        <w:t>s</w:t>
      </w:r>
      <w:r w:rsidR="00365E16" w:rsidRPr="00E84785">
        <w:rPr>
          <w:lang w:eastAsia="en-US"/>
        </w:rPr>
        <w:t xml:space="preserve"> 14</w:t>
      </w:r>
      <w:r w:rsidR="00365E16">
        <w:rPr>
          <w:lang w:eastAsia="en-US"/>
        </w:rPr>
        <w:t>–</w:t>
      </w:r>
      <w:r w:rsidR="00365E16" w:rsidRPr="00E84785">
        <w:rPr>
          <w:lang w:eastAsia="en-US"/>
        </w:rPr>
        <w:t>15</w:t>
      </w:r>
      <w:r w:rsidR="00311D52">
        <w:rPr>
          <w:lang w:eastAsia="en-US"/>
        </w:rPr>
        <w:t>,</w:t>
      </w:r>
      <w:r w:rsidR="00365E16">
        <w:rPr>
          <w:lang w:eastAsia="en-US"/>
        </w:rPr>
        <w:t xml:space="preserve"> of the Paris Agreement</w:t>
      </w:r>
      <w:r w:rsidR="00365E16" w:rsidRPr="00E84785">
        <w:rPr>
          <w:lang w:eastAsia="en-US"/>
        </w:rPr>
        <w:t xml:space="preserve"> and decision 18/CMA.1</w:t>
      </w:r>
      <w:r w:rsidR="00365E16">
        <w:rPr>
          <w:szCs w:val="18"/>
        </w:rPr>
        <w:t>.</w:t>
      </w:r>
    </w:p>
    <w:p w14:paraId="51DC8259" w14:textId="77777777" w:rsidR="00365E16" w:rsidRDefault="00365E16" w:rsidP="001F75FA">
      <w:pPr>
        <w:pStyle w:val="RegSingleTxtG"/>
        <w:ind w:left="1134"/>
        <w:jc w:val="right"/>
        <w:rPr>
          <w:i/>
        </w:rPr>
        <w:sectPr w:rsidR="00365E16" w:rsidSect="006B523B">
          <w:headerReference w:type="even" r:id="rId52"/>
          <w:headerReference w:type="default" r:id="rId53"/>
          <w:footerReference w:type="even" r:id="rId54"/>
          <w:footnotePr>
            <w:numRestart w:val="eachSect"/>
          </w:footnotePr>
          <w:pgSz w:w="11906" w:h="16838" w:code="9"/>
          <w:pgMar w:top="1417" w:right="1134" w:bottom="1134" w:left="1134" w:header="850" w:footer="567" w:gutter="0"/>
          <w:cols w:space="708"/>
          <w:docGrid w:linePitch="360"/>
        </w:sectPr>
      </w:pPr>
      <w:r>
        <w:rPr>
          <w:i/>
        </w:rPr>
        <w:t>8</w:t>
      </w:r>
      <w:r w:rsidRPr="002657AA">
        <w:rPr>
          <w:i/>
          <w:vertAlign w:val="superscript"/>
        </w:rPr>
        <w:t>th</w:t>
      </w:r>
      <w:r>
        <w:rPr>
          <w:i/>
        </w:rPr>
        <w:t xml:space="preserve"> plenary meeting</w:t>
      </w:r>
      <w:r>
        <w:rPr>
          <w:i/>
        </w:rPr>
        <w:br/>
        <w:t>15 December 2019</w:t>
      </w:r>
    </w:p>
    <w:p w14:paraId="138165FA" w14:textId="6EB9C11C" w:rsidR="00365E16" w:rsidRDefault="00365E16" w:rsidP="00EE3F20">
      <w:pPr>
        <w:pStyle w:val="HChG"/>
        <w:spacing w:before="120"/>
      </w:pPr>
      <w:r>
        <w:lastRenderedPageBreak/>
        <w:tab/>
      </w:r>
      <w:r>
        <w:tab/>
      </w:r>
      <w:bookmarkStart w:id="16" w:name="D8"/>
      <w:r w:rsidRPr="00934CF0">
        <w:t xml:space="preserve">Decision </w:t>
      </w:r>
      <w:r w:rsidR="00507B6B">
        <w:t>8</w:t>
      </w:r>
      <w:r w:rsidRPr="00934CF0">
        <w:t>/CMA.2</w:t>
      </w:r>
      <w:bookmarkEnd w:id="16"/>
    </w:p>
    <w:p w14:paraId="6631F2E5" w14:textId="77777777" w:rsidR="00365E16" w:rsidRDefault="00365E16" w:rsidP="00365E16">
      <w:pPr>
        <w:pStyle w:val="HChG"/>
      </w:pPr>
      <w:r>
        <w:tab/>
      </w:r>
      <w:r>
        <w:tab/>
      </w:r>
      <w:r w:rsidRPr="00070CF8">
        <w:t>Enhancing climate technology development and transfer to support implementation of the Paris Agreement</w:t>
      </w:r>
    </w:p>
    <w:p w14:paraId="25403B8C" w14:textId="77777777" w:rsidR="00365E16" w:rsidRPr="00B51064" w:rsidRDefault="00365E16" w:rsidP="00365E16">
      <w:pPr>
        <w:pStyle w:val="RegSingleTxtG"/>
        <w:ind w:left="1135"/>
      </w:pPr>
      <w:r w:rsidRPr="00B51064">
        <w:rPr>
          <w:i/>
        </w:rPr>
        <w:tab/>
        <w:t>The Conference of the Parties serving as the meeting of the Parties to the Paris Agreement</w:t>
      </w:r>
      <w:r w:rsidRPr="00B51064">
        <w:t>,</w:t>
      </w:r>
    </w:p>
    <w:p w14:paraId="2C39231B" w14:textId="77777777" w:rsidR="00365E16" w:rsidRPr="00B51064" w:rsidRDefault="00365E16" w:rsidP="00365E16">
      <w:pPr>
        <w:pStyle w:val="RegSingleTxtG"/>
        <w:ind w:left="1135"/>
      </w:pPr>
      <w:r w:rsidRPr="00B51064">
        <w:tab/>
      </w:r>
      <w:r w:rsidRPr="00B51064">
        <w:rPr>
          <w:i/>
        </w:rPr>
        <w:t>Recalling</w:t>
      </w:r>
      <w:r w:rsidRPr="00B51064">
        <w:t xml:space="preserve"> Article 10 of the Paris Agreement,</w:t>
      </w:r>
    </w:p>
    <w:p w14:paraId="270493F5" w14:textId="77777777" w:rsidR="00365E16" w:rsidRPr="00B51064" w:rsidRDefault="00365E16" w:rsidP="00365E16">
      <w:pPr>
        <w:pStyle w:val="RegSingleTxtG"/>
        <w:ind w:left="1135"/>
      </w:pPr>
      <w:r w:rsidRPr="00B51064">
        <w:rPr>
          <w:i/>
        </w:rPr>
        <w:tab/>
        <w:t>Also recalling</w:t>
      </w:r>
      <w:r w:rsidRPr="00B51064">
        <w:t xml:space="preserve"> decision 1/CP.21, paragraphs 66 and 68, and decision 15/CMA.1,</w:t>
      </w:r>
    </w:p>
    <w:p w14:paraId="75ACECFA" w14:textId="77F86115" w:rsidR="00365E16" w:rsidRPr="00546D64" w:rsidRDefault="00356A49" w:rsidP="00356A49">
      <w:pPr>
        <w:pStyle w:val="RegSingleTxtG"/>
        <w:ind w:left="1134"/>
      </w:pPr>
      <w:r w:rsidRPr="00546D64">
        <w:t>1.</w:t>
      </w:r>
      <w:r w:rsidRPr="00546D64">
        <w:tab/>
      </w:r>
      <w:r w:rsidR="00365E16" w:rsidRPr="00365E16">
        <w:rPr>
          <w:i/>
        </w:rPr>
        <w:t xml:space="preserve">Welcomes </w:t>
      </w:r>
      <w:r w:rsidR="00365E16" w:rsidRPr="00E52214">
        <w:t>the joint annual report of the Technology Exe</w:t>
      </w:r>
      <w:r w:rsidR="00365E16" w:rsidRPr="00B51064">
        <w:t>cutive Committee and the Climate Technology Centre and Network for 2019</w:t>
      </w:r>
      <w:r w:rsidR="00365E16" w:rsidRPr="00E52214">
        <w:rPr>
          <w:rStyle w:val="FootnoteReference"/>
        </w:rPr>
        <w:footnoteReference w:id="39"/>
      </w:r>
      <w:r w:rsidR="00365E16" w:rsidRPr="00E52214">
        <w:t xml:space="preserve"> and the efforts of the bodies in incorporating the guidance contained in the technology framework into their respective </w:t>
      </w:r>
      <w:r w:rsidR="00365E16" w:rsidRPr="00546D64">
        <w:t>workplan and programme of work;</w:t>
      </w:r>
      <w:r w:rsidR="00365E16" w:rsidRPr="00546D64">
        <w:rPr>
          <w:rStyle w:val="FootnoteReference"/>
        </w:rPr>
        <w:footnoteReference w:id="40"/>
      </w:r>
    </w:p>
    <w:p w14:paraId="060C1DE6" w14:textId="3B2E3D74" w:rsidR="00365E16" w:rsidRPr="00546D64" w:rsidRDefault="00356A49" w:rsidP="00356A49">
      <w:pPr>
        <w:pStyle w:val="RegSingleTxtG"/>
        <w:ind w:left="1134"/>
      </w:pPr>
      <w:r w:rsidRPr="00546D64">
        <w:t>2.</w:t>
      </w:r>
      <w:r w:rsidRPr="00546D64">
        <w:tab/>
      </w:r>
      <w:r w:rsidR="00365E16" w:rsidRPr="00546D64">
        <w:rPr>
          <w:i/>
        </w:rPr>
        <w:t>Notes</w:t>
      </w:r>
      <w:r w:rsidR="00365E16" w:rsidRPr="00546D64">
        <w:t>, recalling</w:t>
      </w:r>
      <w:r w:rsidR="00365E16" w:rsidRPr="00546D64">
        <w:rPr>
          <w:i/>
        </w:rPr>
        <w:t xml:space="preserve"> </w:t>
      </w:r>
      <w:r w:rsidR="00365E16" w:rsidRPr="00546D64">
        <w:t xml:space="preserve">decision 15/CMA.1, paragraph 3, that the information on how the Technology Executive Committee and the Climate Technology Centre and Network have incorporated the guidance contained in the technology framework into their respective workplan and programme of work was not included in a comprehensive manner in the joint annual report referred to in paragraph 1 above, and </w:t>
      </w:r>
      <w:r w:rsidR="00365E16" w:rsidRPr="00546D64">
        <w:rPr>
          <w:i/>
        </w:rPr>
        <w:t>requests</w:t>
      </w:r>
      <w:r w:rsidR="00365E16" w:rsidRPr="00546D64">
        <w:t xml:space="preserve"> the Technology Executive Committee and the Climate Technology Centre and Network to include this information in their joint annual report for 2020;</w:t>
      </w:r>
    </w:p>
    <w:p w14:paraId="19E3A366" w14:textId="5B468376" w:rsidR="00365E16" w:rsidRPr="00546D64" w:rsidRDefault="00356A49" w:rsidP="00356A49">
      <w:pPr>
        <w:pStyle w:val="RegSingleTxtG"/>
        <w:ind w:left="1134"/>
      </w:pPr>
      <w:r w:rsidRPr="00546D64">
        <w:t>3.</w:t>
      </w:r>
      <w:r w:rsidRPr="00546D64">
        <w:tab/>
      </w:r>
      <w:r w:rsidR="00365E16" w:rsidRPr="00546D64">
        <w:rPr>
          <w:i/>
        </w:rPr>
        <w:t xml:space="preserve">Also notes </w:t>
      </w:r>
      <w:r w:rsidR="00365E16" w:rsidRPr="00546D64">
        <w:t>the areas identified by the Technology Executive Committee and the Climate Technology Centre and Network for collaboration in 2019–2022</w:t>
      </w:r>
      <w:r w:rsidR="00365E16" w:rsidRPr="00C761CD">
        <w:rPr>
          <w:rStyle w:val="FootnoteReference"/>
        </w:rPr>
        <w:footnoteReference w:id="41"/>
      </w:r>
      <w:r w:rsidR="00365E16" w:rsidRPr="00C761CD">
        <w:rPr>
          <w:vertAlign w:val="superscript"/>
        </w:rPr>
        <w:t>,</w:t>
      </w:r>
      <w:r w:rsidR="00365E16" w:rsidRPr="00C761CD">
        <w:rPr>
          <w:rStyle w:val="FootnoteReference"/>
        </w:rPr>
        <w:footnoteReference w:id="42"/>
      </w:r>
      <w:r w:rsidR="00365E16" w:rsidRPr="00546D64">
        <w:rPr>
          <w:i/>
        </w:rPr>
        <w:t xml:space="preserve"> </w:t>
      </w:r>
      <w:r w:rsidR="00365E16" w:rsidRPr="00546D64">
        <w:t xml:space="preserve">in supporting implementation of the Paris Agreement, and </w:t>
      </w:r>
      <w:r w:rsidR="00365E16" w:rsidRPr="00546D64">
        <w:rPr>
          <w:i/>
        </w:rPr>
        <w:t xml:space="preserve">requests </w:t>
      </w:r>
      <w:r w:rsidR="00365E16" w:rsidRPr="00546D64">
        <w:t xml:space="preserve">them to finalize in 2020 the development of activities to be undertaken jointly in those areas </w:t>
      </w:r>
      <w:r w:rsidR="00365E16" w:rsidRPr="00546D64">
        <w:rPr>
          <w:rFonts w:eastAsiaTheme="minorHAnsi"/>
          <w:color w:val="000000"/>
          <w:lang w:val="en-US"/>
        </w:rPr>
        <w:t>with a view to incorporating the guidance contained in the technology framework into these activities</w:t>
      </w:r>
      <w:r w:rsidR="00365E16" w:rsidRPr="00546D64">
        <w:t>;</w:t>
      </w:r>
    </w:p>
    <w:p w14:paraId="4D00454A" w14:textId="6142D086" w:rsidR="00365E16" w:rsidRPr="00546D64" w:rsidRDefault="00356A49" w:rsidP="00356A49">
      <w:pPr>
        <w:pStyle w:val="RegSingleTxtG"/>
        <w:ind w:left="1134"/>
      </w:pPr>
      <w:r w:rsidRPr="00546D64">
        <w:t>4.</w:t>
      </w:r>
      <w:r w:rsidRPr="00546D64">
        <w:tab/>
      </w:r>
      <w:r w:rsidR="00365E16" w:rsidRPr="00546D64">
        <w:rPr>
          <w:i/>
        </w:rPr>
        <w:t>Encourages</w:t>
      </w:r>
      <w:r w:rsidR="00365E16" w:rsidRPr="00546D64">
        <w:t xml:space="preserve"> the </w:t>
      </w:r>
      <w:r w:rsidR="00365E16" w:rsidRPr="00EE3F20">
        <w:rPr>
          <w:rFonts w:eastAsiaTheme="minorHAnsi"/>
          <w:color w:val="000000"/>
          <w:lang w:val="en-US"/>
        </w:rPr>
        <w:t>Technology</w:t>
      </w:r>
      <w:r w:rsidR="00365E16" w:rsidRPr="00546D64">
        <w:t xml:space="preserve"> Executive Committee and the Climate Technology Centre and Network to continue to report on the progress of their work as well as on challenges and lessons learned in implementing the technology framework;</w:t>
      </w:r>
    </w:p>
    <w:p w14:paraId="1E6EFB6E" w14:textId="5E14DBD8" w:rsidR="00365E16" w:rsidRPr="0030697B" w:rsidRDefault="00356A49" w:rsidP="00356A49">
      <w:pPr>
        <w:pStyle w:val="RegSingleTxtG"/>
        <w:ind w:left="1134"/>
        <w:rPr>
          <w:u w:val="single"/>
        </w:rPr>
      </w:pPr>
      <w:r w:rsidRPr="0030697B">
        <w:t>5.</w:t>
      </w:r>
      <w:r w:rsidRPr="0030697B">
        <w:tab/>
      </w:r>
      <w:r w:rsidR="00365E16" w:rsidRPr="00546D64">
        <w:rPr>
          <w:i/>
        </w:rPr>
        <w:t>Requests</w:t>
      </w:r>
      <w:r w:rsidR="00365E16" w:rsidRPr="00546D64">
        <w:t xml:space="preserve"> the T</w:t>
      </w:r>
      <w:r w:rsidR="00365E16">
        <w:t xml:space="preserve">echnology </w:t>
      </w:r>
      <w:r w:rsidR="00365E16" w:rsidRPr="00546D64">
        <w:t>E</w:t>
      </w:r>
      <w:r w:rsidR="00365E16">
        <w:t xml:space="preserve">xecutive </w:t>
      </w:r>
      <w:r w:rsidR="00365E16" w:rsidRPr="00546D64">
        <w:t>C</w:t>
      </w:r>
      <w:r w:rsidR="00365E16">
        <w:t>ommittee</w:t>
      </w:r>
      <w:r w:rsidR="00365E16" w:rsidRPr="00546D64">
        <w:t xml:space="preserve"> and </w:t>
      </w:r>
      <w:r w:rsidR="00365E16">
        <w:t xml:space="preserve">the </w:t>
      </w:r>
      <w:r w:rsidR="00365E16" w:rsidRPr="00546D64">
        <w:t>C</w:t>
      </w:r>
      <w:r w:rsidR="00365E16">
        <w:t xml:space="preserve">limate </w:t>
      </w:r>
      <w:r w:rsidR="00365E16" w:rsidRPr="00546D64">
        <w:t>T</w:t>
      </w:r>
      <w:r w:rsidR="00365E16">
        <w:t xml:space="preserve">echnology </w:t>
      </w:r>
      <w:r w:rsidR="00365E16" w:rsidRPr="00546D64">
        <w:t>C</w:t>
      </w:r>
      <w:r w:rsidR="00365E16">
        <w:t xml:space="preserve">entre and </w:t>
      </w:r>
      <w:r w:rsidR="00365E16" w:rsidRPr="00546D64">
        <w:t>N</w:t>
      </w:r>
      <w:r w:rsidR="00365E16">
        <w:t>etwork</w:t>
      </w:r>
      <w:r w:rsidR="00365E16" w:rsidRPr="00546D64">
        <w:t xml:space="preserve"> to continue to implement their </w:t>
      </w:r>
      <w:r w:rsidR="00365E16" w:rsidRPr="00EE3F20">
        <w:rPr>
          <w:rFonts w:eastAsiaTheme="minorHAnsi"/>
          <w:color w:val="000000"/>
          <w:lang w:val="en-US"/>
        </w:rPr>
        <w:t>respective</w:t>
      </w:r>
      <w:r w:rsidR="00365E16" w:rsidRPr="00546D64">
        <w:t xml:space="preserve"> mandates with strengthened efforts on all key themes of the technology framework when serving the Paris Agreement.</w:t>
      </w:r>
    </w:p>
    <w:p w14:paraId="1F5F5700" w14:textId="77777777" w:rsidR="00365E16" w:rsidRDefault="00365E16" w:rsidP="00F35195">
      <w:pPr>
        <w:pStyle w:val="RegSingleTxtG"/>
        <w:ind w:left="1134"/>
        <w:jc w:val="right"/>
        <w:rPr>
          <w:i/>
        </w:rPr>
      </w:pPr>
      <w:r>
        <w:rPr>
          <w:i/>
        </w:rPr>
        <w:t>7</w:t>
      </w:r>
      <w:r w:rsidRPr="00365E16">
        <w:rPr>
          <w:i/>
          <w:vertAlign w:val="superscript"/>
        </w:rPr>
        <w:t>th</w:t>
      </w:r>
      <w:r>
        <w:rPr>
          <w:i/>
        </w:rPr>
        <w:t xml:space="preserve"> plenary meeting</w:t>
      </w:r>
      <w:r>
        <w:rPr>
          <w:i/>
        </w:rPr>
        <w:br/>
        <w:t>12 December 2019</w:t>
      </w:r>
    </w:p>
    <w:p w14:paraId="22B072BF" w14:textId="75357891" w:rsidR="00417F0F" w:rsidRDefault="00417F0F" w:rsidP="00365E16">
      <w:pPr>
        <w:pStyle w:val="RegSingleTxtG"/>
        <w:ind w:left="1134"/>
        <w:jc w:val="right"/>
        <w:rPr>
          <w:i/>
        </w:rPr>
        <w:sectPr w:rsidR="00417F0F" w:rsidSect="006B523B">
          <w:headerReference w:type="default" r:id="rId55"/>
          <w:footerReference w:type="default" r:id="rId56"/>
          <w:footnotePr>
            <w:numRestart w:val="eachSect"/>
          </w:footnotePr>
          <w:pgSz w:w="11906" w:h="16838" w:code="9"/>
          <w:pgMar w:top="1417" w:right="1134" w:bottom="1134" w:left="1134" w:header="850" w:footer="567" w:gutter="0"/>
          <w:cols w:space="708"/>
          <w:docGrid w:linePitch="360"/>
        </w:sectPr>
      </w:pPr>
    </w:p>
    <w:p w14:paraId="735FBE21" w14:textId="00E0A0D0" w:rsidR="001F6DE2" w:rsidRDefault="00365E16" w:rsidP="00EE3F20">
      <w:pPr>
        <w:pStyle w:val="HChG"/>
        <w:spacing w:before="120"/>
        <w:rPr>
          <w:bCs/>
          <w:szCs w:val="28"/>
        </w:rPr>
      </w:pPr>
      <w:r>
        <w:lastRenderedPageBreak/>
        <w:tab/>
      </w:r>
      <w:r>
        <w:tab/>
      </w:r>
      <w:bookmarkStart w:id="17" w:name="D9"/>
      <w:r w:rsidR="001F6DE2">
        <w:tab/>
      </w:r>
      <w:r w:rsidR="001F6DE2">
        <w:rPr>
          <w:bCs/>
          <w:szCs w:val="28"/>
        </w:rPr>
        <w:t xml:space="preserve">Decision </w:t>
      </w:r>
      <w:r w:rsidR="00507B6B">
        <w:rPr>
          <w:bCs/>
          <w:szCs w:val="28"/>
        </w:rPr>
        <w:t>9</w:t>
      </w:r>
      <w:r w:rsidR="001F6DE2">
        <w:rPr>
          <w:bCs/>
          <w:szCs w:val="28"/>
        </w:rPr>
        <w:t>/CMA.2</w:t>
      </w:r>
      <w:bookmarkEnd w:id="17"/>
    </w:p>
    <w:p w14:paraId="3B0DF1E6" w14:textId="77777777" w:rsidR="001F6DE2" w:rsidRDefault="001F6DE2" w:rsidP="001F6DE2">
      <w:pPr>
        <w:pStyle w:val="HChG"/>
        <w:rPr>
          <w:szCs w:val="28"/>
        </w:rPr>
      </w:pPr>
      <w:r>
        <w:rPr>
          <w:bCs/>
          <w:szCs w:val="28"/>
        </w:rPr>
        <w:tab/>
      </w:r>
      <w:r>
        <w:rPr>
          <w:bCs/>
          <w:szCs w:val="28"/>
        </w:rPr>
        <w:tab/>
        <w:t>Matters relating to Article 6 of the Paris Agreement</w:t>
      </w:r>
    </w:p>
    <w:p w14:paraId="2105CC6A" w14:textId="77777777" w:rsidR="001F6DE2" w:rsidRDefault="001F6DE2" w:rsidP="000C30B3">
      <w:pPr>
        <w:pStyle w:val="Default"/>
        <w:spacing w:after="120"/>
        <w:ind w:left="1134" w:right="1133"/>
        <w:jc w:val="both"/>
        <w:rPr>
          <w:sz w:val="20"/>
          <w:szCs w:val="20"/>
        </w:rPr>
      </w:pPr>
      <w:r>
        <w:rPr>
          <w:i/>
          <w:iCs/>
          <w:sz w:val="20"/>
          <w:szCs w:val="20"/>
        </w:rPr>
        <w:tab/>
      </w:r>
      <w:r>
        <w:rPr>
          <w:i/>
          <w:iCs/>
          <w:sz w:val="20"/>
          <w:szCs w:val="20"/>
        </w:rPr>
        <w:tab/>
        <w:t>The Conference of the Parties serving as the meeting of the Parties to the Paris Agreement</w:t>
      </w:r>
      <w:r>
        <w:rPr>
          <w:sz w:val="20"/>
          <w:szCs w:val="20"/>
        </w:rPr>
        <w:t xml:space="preserve">, </w:t>
      </w:r>
    </w:p>
    <w:p w14:paraId="767FB966" w14:textId="77777777" w:rsidR="001F6DE2" w:rsidRDefault="001F6DE2" w:rsidP="000C30B3">
      <w:pPr>
        <w:pStyle w:val="Default"/>
        <w:spacing w:after="120"/>
        <w:ind w:left="1134" w:right="1133"/>
        <w:jc w:val="both"/>
        <w:rPr>
          <w:sz w:val="20"/>
          <w:szCs w:val="20"/>
        </w:rPr>
      </w:pPr>
      <w:r>
        <w:rPr>
          <w:i/>
          <w:iCs/>
          <w:sz w:val="20"/>
          <w:szCs w:val="20"/>
        </w:rPr>
        <w:tab/>
      </w:r>
      <w:r>
        <w:rPr>
          <w:i/>
          <w:iCs/>
          <w:sz w:val="20"/>
          <w:szCs w:val="20"/>
        </w:rPr>
        <w:tab/>
        <w:t xml:space="preserve">Recalling </w:t>
      </w:r>
      <w:r>
        <w:rPr>
          <w:sz w:val="20"/>
          <w:szCs w:val="20"/>
        </w:rPr>
        <w:t xml:space="preserve">Article 6, paragraphs 2, 4 and 8, of the Paris Agreement, </w:t>
      </w:r>
    </w:p>
    <w:p w14:paraId="1CF8756B" w14:textId="77777777" w:rsidR="001F6DE2" w:rsidRDefault="001F6DE2" w:rsidP="000C30B3">
      <w:pPr>
        <w:pStyle w:val="Default"/>
        <w:spacing w:after="120"/>
        <w:ind w:left="1134" w:right="1133"/>
        <w:jc w:val="both"/>
        <w:rPr>
          <w:sz w:val="20"/>
          <w:szCs w:val="20"/>
        </w:rPr>
      </w:pPr>
      <w:r>
        <w:rPr>
          <w:i/>
          <w:iCs/>
          <w:sz w:val="20"/>
          <w:szCs w:val="20"/>
        </w:rPr>
        <w:tab/>
      </w:r>
      <w:r>
        <w:rPr>
          <w:i/>
          <w:iCs/>
          <w:sz w:val="20"/>
          <w:szCs w:val="20"/>
        </w:rPr>
        <w:tab/>
        <w:t xml:space="preserve">Also recalling </w:t>
      </w:r>
      <w:r>
        <w:rPr>
          <w:sz w:val="20"/>
          <w:szCs w:val="20"/>
        </w:rPr>
        <w:t xml:space="preserve">decision 1/CP.21, paragraphs 36–40, and decision 8/CMA.1, </w:t>
      </w:r>
    </w:p>
    <w:p w14:paraId="02BD4AFD" w14:textId="77777777" w:rsidR="001F6DE2" w:rsidRDefault="001F6DE2" w:rsidP="000C30B3">
      <w:pPr>
        <w:pStyle w:val="Default"/>
        <w:spacing w:after="120"/>
        <w:ind w:left="1134" w:right="1133" w:firstLine="567"/>
        <w:jc w:val="both"/>
        <w:rPr>
          <w:sz w:val="20"/>
          <w:szCs w:val="20"/>
        </w:rPr>
      </w:pPr>
      <w:r w:rsidRPr="004874DB">
        <w:rPr>
          <w:i/>
          <w:sz w:val="20"/>
          <w:szCs w:val="20"/>
        </w:rPr>
        <w:t>Having considered</w:t>
      </w:r>
      <w:r>
        <w:rPr>
          <w:sz w:val="20"/>
          <w:szCs w:val="20"/>
        </w:rPr>
        <w:t xml:space="preserve"> the outcomes of the work of </w:t>
      </w:r>
      <w:r w:rsidRPr="004874DB">
        <w:rPr>
          <w:sz w:val="20"/>
          <w:szCs w:val="20"/>
        </w:rPr>
        <w:t xml:space="preserve">the Subsidiary Body for Scientific and Technological Advice </w:t>
      </w:r>
      <w:r>
        <w:rPr>
          <w:sz w:val="20"/>
          <w:szCs w:val="20"/>
        </w:rPr>
        <w:t>on</w:t>
      </w:r>
      <w:r w:rsidRPr="004874DB">
        <w:rPr>
          <w:sz w:val="20"/>
          <w:szCs w:val="20"/>
        </w:rPr>
        <w:t xml:space="preserve"> matters relating to Article 6 of the Paris Agreement</w:t>
      </w:r>
      <w:r>
        <w:rPr>
          <w:sz w:val="20"/>
          <w:szCs w:val="20"/>
        </w:rPr>
        <w:t xml:space="preserve"> in response to the request</w:t>
      </w:r>
      <w:r w:rsidRPr="00612D2A">
        <w:rPr>
          <w:sz w:val="20"/>
          <w:szCs w:val="20"/>
        </w:rPr>
        <w:t xml:space="preserve"> of the Conference of the Parties serving as the meeting of the Parties to the Paris Agreement</w:t>
      </w:r>
      <w:r>
        <w:rPr>
          <w:sz w:val="20"/>
          <w:szCs w:val="20"/>
        </w:rPr>
        <w:t>,</w:t>
      </w:r>
      <w:r w:rsidRPr="00DF2367">
        <w:rPr>
          <w:sz w:val="18"/>
          <w:szCs w:val="18"/>
          <w:vertAlign w:val="superscript"/>
        </w:rPr>
        <w:footnoteReference w:id="43"/>
      </w:r>
    </w:p>
    <w:p w14:paraId="32F27978" w14:textId="04482089" w:rsidR="001F6DE2" w:rsidRPr="004874DB" w:rsidRDefault="00356A49" w:rsidP="00356A49">
      <w:pPr>
        <w:pStyle w:val="RegSingleTxtG"/>
        <w:ind w:left="1134"/>
      </w:pPr>
      <w:r w:rsidRPr="004874DB">
        <w:t>1.</w:t>
      </w:r>
      <w:r w:rsidRPr="004874DB">
        <w:tab/>
      </w:r>
      <w:r w:rsidR="001F6DE2" w:rsidRPr="001F6DE2">
        <w:rPr>
          <w:i/>
          <w:iCs/>
        </w:rPr>
        <w:t xml:space="preserve">Notes </w:t>
      </w:r>
      <w:r w:rsidR="001F6DE2" w:rsidRPr="004874DB">
        <w:t>the draft decision texts on matters relating to Article 6 of the Paris Agreement</w:t>
      </w:r>
      <w:r w:rsidR="001F6DE2">
        <w:t xml:space="preserve"> </w:t>
      </w:r>
      <w:r w:rsidR="001F6DE2" w:rsidRPr="004874DB">
        <w:t>prepared by the President of the Conference of the Parties serving as the meeting of the Parties to the Paris Agreement</w:t>
      </w:r>
      <w:r w:rsidR="001F6DE2">
        <w:rPr>
          <w:rStyle w:val="FootnoteReference"/>
        </w:rPr>
        <w:footnoteReference w:id="44"/>
      </w:r>
      <w:r w:rsidR="001F6DE2" w:rsidRPr="004874DB">
        <w:t xml:space="preserve"> </w:t>
      </w:r>
      <w:r w:rsidR="001F6DE2">
        <w:t>at its second session</w:t>
      </w:r>
      <w:r w:rsidR="009D568C">
        <w:t>,</w:t>
      </w:r>
      <w:r w:rsidR="001F6DE2">
        <w:t xml:space="preserve"> </w:t>
      </w:r>
      <w:r w:rsidR="001F6DE2" w:rsidRPr="004874DB">
        <w:t>while recognizing that these draft texts do not represent a consensus among Parties;</w:t>
      </w:r>
    </w:p>
    <w:p w14:paraId="1B2AB4DC" w14:textId="201CDD09" w:rsidR="001F6DE2" w:rsidRPr="00612D2A" w:rsidRDefault="00356A49" w:rsidP="00356A49">
      <w:pPr>
        <w:pStyle w:val="RegSingleTxtG"/>
        <w:ind w:left="1134"/>
      </w:pPr>
      <w:r w:rsidRPr="00612D2A">
        <w:t>2.</w:t>
      </w:r>
      <w:r w:rsidRPr="00612D2A">
        <w:tab/>
      </w:r>
      <w:r w:rsidR="001F6DE2">
        <w:rPr>
          <w:i/>
          <w:iCs/>
        </w:rPr>
        <w:t xml:space="preserve">Requests </w:t>
      </w:r>
      <w:r w:rsidR="001F6DE2">
        <w:t xml:space="preserve">the Subsidiary Body for Scientific and Technological Advice to continue consideration of the matters referred to in paragraph 1 above at its fifty-second session (June 2020) on the basis of the draft decision texts referred to in paragraph 1 above, </w:t>
      </w:r>
      <w:r w:rsidR="001F6DE2" w:rsidRPr="00341868">
        <w:t xml:space="preserve">with a view to </w:t>
      </w:r>
      <w:r w:rsidR="001F6DE2">
        <w:t>recommending</w:t>
      </w:r>
      <w:r w:rsidR="001F6DE2" w:rsidRPr="00341868">
        <w:t xml:space="preserve"> draft decisions for consideration and adoption by the </w:t>
      </w:r>
      <w:r w:rsidR="001F6DE2" w:rsidRPr="00612D2A">
        <w:t>Conference of the Parties serving as the meeting of the Parties to the Paris Agreement</w:t>
      </w:r>
      <w:r w:rsidR="001F6DE2" w:rsidRPr="00341868">
        <w:t xml:space="preserve"> </w:t>
      </w:r>
      <w:r w:rsidR="001F6DE2">
        <w:t xml:space="preserve">at its third session </w:t>
      </w:r>
      <w:r w:rsidR="001F6DE2" w:rsidRPr="00341868">
        <w:t>(</w:t>
      </w:r>
      <w:r w:rsidR="001F6DE2">
        <w:t>November</w:t>
      </w:r>
      <w:r w:rsidR="001F6DE2" w:rsidRPr="00341868">
        <w:t xml:space="preserve"> 2020)</w:t>
      </w:r>
      <w:r w:rsidR="001F6DE2">
        <w:t>.</w:t>
      </w:r>
    </w:p>
    <w:p w14:paraId="4FE42E6B" w14:textId="77777777" w:rsidR="001F6DE2" w:rsidRDefault="001F6DE2" w:rsidP="00F35195">
      <w:pPr>
        <w:pStyle w:val="RegSingleTxtG"/>
        <w:ind w:left="1134"/>
        <w:jc w:val="right"/>
        <w:rPr>
          <w:i/>
        </w:rPr>
      </w:pPr>
      <w:r w:rsidRPr="00CB63E2">
        <w:rPr>
          <w:i/>
        </w:rPr>
        <w:t>8</w:t>
      </w:r>
      <w:r w:rsidRPr="00CB63E2">
        <w:rPr>
          <w:i/>
          <w:vertAlign w:val="superscript"/>
        </w:rPr>
        <w:t>th</w:t>
      </w:r>
      <w:r w:rsidRPr="00CB63E2">
        <w:rPr>
          <w:i/>
        </w:rPr>
        <w:t xml:space="preserve"> plenary meeting</w:t>
      </w:r>
      <w:r>
        <w:rPr>
          <w:i/>
        </w:rPr>
        <w:br/>
      </w:r>
      <w:r w:rsidRPr="00CB63E2">
        <w:rPr>
          <w:i/>
        </w:rPr>
        <w:t>15 December 2019</w:t>
      </w:r>
    </w:p>
    <w:p w14:paraId="5069123F" w14:textId="38592B70" w:rsidR="00417F0F" w:rsidRDefault="00417F0F" w:rsidP="001F6DE2">
      <w:pPr>
        <w:pStyle w:val="RegSingleTxtG"/>
        <w:ind w:left="1134"/>
        <w:jc w:val="right"/>
        <w:rPr>
          <w:i/>
        </w:rPr>
        <w:sectPr w:rsidR="00417F0F" w:rsidSect="006B523B">
          <w:headerReference w:type="even" r:id="rId57"/>
          <w:headerReference w:type="default" r:id="rId58"/>
          <w:footerReference w:type="even" r:id="rId59"/>
          <w:footerReference w:type="default" r:id="rId60"/>
          <w:footnotePr>
            <w:numRestart w:val="eachSect"/>
          </w:footnotePr>
          <w:pgSz w:w="11906" w:h="16838" w:code="9"/>
          <w:pgMar w:top="1417" w:right="1134" w:bottom="1134" w:left="1134" w:header="850" w:footer="567" w:gutter="0"/>
          <w:cols w:space="708"/>
          <w:docGrid w:linePitch="360"/>
        </w:sectPr>
      </w:pPr>
    </w:p>
    <w:p w14:paraId="69EDC8CF" w14:textId="77777777" w:rsidR="001F6DE2" w:rsidRDefault="001F6DE2" w:rsidP="001F6DE2">
      <w:pPr>
        <w:pStyle w:val="HChG"/>
      </w:pPr>
      <w:r>
        <w:lastRenderedPageBreak/>
        <w:tab/>
      </w:r>
      <w:r>
        <w:tab/>
      </w:r>
      <w:bookmarkStart w:id="18" w:name="R1"/>
      <w:r>
        <w:t>Resolution 1/CMA.2</w:t>
      </w:r>
      <w:bookmarkEnd w:id="18"/>
    </w:p>
    <w:p w14:paraId="623DA9CE" w14:textId="32F61DDB" w:rsidR="001F6DE2" w:rsidRDefault="001F6DE2" w:rsidP="001F6DE2">
      <w:pPr>
        <w:pStyle w:val="HChG"/>
        <w:ind w:right="1088"/>
      </w:pPr>
      <w:r>
        <w:tab/>
      </w:r>
      <w:r>
        <w:tab/>
        <w:t xml:space="preserve">Expression of gratitude to </w:t>
      </w:r>
      <w:bookmarkStart w:id="19" w:name="_Hlk27041015"/>
      <w:r w:rsidR="00145A6E">
        <w:t xml:space="preserve">the </w:t>
      </w:r>
      <w:r w:rsidRPr="00BE18F0">
        <w:t>Government of the Republic of Chile</w:t>
      </w:r>
      <w:bookmarkEnd w:id="19"/>
      <w:r w:rsidRPr="00BE18F0">
        <w:t>, the Government of the Kingdom of Spain and the people of the city of Madrid</w:t>
      </w:r>
    </w:p>
    <w:p w14:paraId="72A8204B" w14:textId="1C1B0755" w:rsidR="001F6DE2" w:rsidRDefault="001F6DE2" w:rsidP="001F6DE2">
      <w:pPr>
        <w:pStyle w:val="H1G"/>
      </w:pPr>
      <w:r>
        <w:tab/>
      </w:r>
      <w:r w:rsidR="00235736">
        <w:t>R</w:t>
      </w:r>
      <w:r>
        <w:t>esolution submitted by the United Kingdom of Great Britain and Northern Ireland</w:t>
      </w:r>
    </w:p>
    <w:p w14:paraId="36EBE2FE" w14:textId="77777777" w:rsidR="001F6DE2" w:rsidRPr="0086568D" w:rsidRDefault="001F6DE2" w:rsidP="00015C9A">
      <w:pPr>
        <w:pStyle w:val="RegSingleTxtG"/>
        <w:ind w:left="1134"/>
        <w:rPr>
          <w:i/>
        </w:rPr>
      </w:pPr>
      <w:r>
        <w:tab/>
      </w:r>
      <w:r w:rsidRPr="0086568D">
        <w:rPr>
          <w:i/>
        </w:rPr>
        <w:t>The Conference of the Parties, the Conference of the Parties serving as the meeting of the Parties to the Kyoto Protocol and the Conference of the Parties serving as the meeting of the Parties to the Paris Agreement</w:t>
      </w:r>
      <w:r w:rsidRPr="0086568D">
        <w:t>,</w:t>
      </w:r>
    </w:p>
    <w:p w14:paraId="12700CF5" w14:textId="2A1B8BA7" w:rsidR="001F6DE2" w:rsidRPr="0086568D" w:rsidRDefault="001F6DE2" w:rsidP="00015C9A">
      <w:pPr>
        <w:pStyle w:val="RegSingleTxtG"/>
        <w:ind w:left="1134"/>
      </w:pPr>
      <w:r w:rsidRPr="0086568D">
        <w:tab/>
      </w:r>
      <w:r w:rsidRPr="0086568D">
        <w:rPr>
          <w:i/>
        </w:rPr>
        <w:t xml:space="preserve">Having met </w:t>
      </w:r>
      <w:r w:rsidRPr="0086568D">
        <w:t>in Madrid from 2 to 1</w:t>
      </w:r>
      <w:r w:rsidR="006D7407" w:rsidRPr="0086568D">
        <w:t>5</w:t>
      </w:r>
      <w:r w:rsidRPr="0086568D">
        <w:t xml:space="preserve"> December 2019,</w:t>
      </w:r>
    </w:p>
    <w:p w14:paraId="6FADCEF2" w14:textId="7BB771CB" w:rsidR="001F6DE2" w:rsidRPr="004308AA" w:rsidRDefault="00356A49" w:rsidP="00356A49">
      <w:pPr>
        <w:pStyle w:val="RegSingleTxtG"/>
        <w:ind w:left="1134"/>
      </w:pPr>
      <w:bookmarkStart w:id="20" w:name="_Hlk27037402"/>
      <w:r w:rsidRPr="004308AA">
        <w:t>1.</w:t>
      </w:r>
      <w:r w:rsidRPr="004308AA">
        <w:tab/>
      </w:r>
      <w:r w:rsidR="001F6DE2" w:rsidRPr="001F6DE2">
        <w:rPr>
          <w:i/>
        </w:rPr>
        <w:t xml:space="preserve">Express their profound gratitude </w:t>
      </w:r>
      <w:r w:rsidR="001F6DE2" w:rsidRPr="004308AA">
        <w:t xml:space="preserve">to the </w:t>
      </w:r>
      <w:bookmarkStart w:id="21" w:name="_Hlk27069105"/>
      <w:r w:rsidR="001F6DE2" w:rsidRPr="00BE18F0">
        <w:t>Government of the Republic of Chile</w:t>
      </w:r>
      <w:r w:rsidR="001F6DE2">
        <w:t xml:space="preserve"> </w:t>
      </w:r>
      <w:bookmarkEnd w:id="21"/>
      <w:r w:rsidR="001F6DE2">
        <w:t xml:space="preserve">and the </w:t>
      </w:r>
      <w:r w:rsidR="001F6DE2" w:rsidRPr="004308AA">
        <w:t xml:space="preserve">Government of </w:t>
      </w:r>
      <w:r w:rsidR="001F6DE2">
        <w:t xml:space="preserve">the Kingdom of Spain </w:t>
      </w:r>
      <w:r w:rsidR="001F6DE2" w:rsidRPr="004308AA">
        <w:t>for having made it possible for the twenty-</w:t>
      </w:r>
      <w:r w:rsidR="001F6DE2">
        <w:t xml:space="preserve">fifth </w:t>
      </w:r>
      <w:r w:rsidR="001F6DE2" w:rsidRPr="004308AA">
        <w:t xml:space="preserve">session of the Conference of the Parties, the </w:t>
      </w:r>
      <w:r w:rsidR="001F6DE2">
        <w:t xml:space="preserve">fifteenth </w:t>
      </w:r>
      <w:r w:rsidR="001F6DE2" w:rsidRPr="004308AA">
        <w:t xml:space="preserve">session of the Conference of the Parties serving as the meeting of the Parties to the Kyoto Protocol and the </w:t>
      </w:r>
      <w:r w:rsidR="001F6DE2">
        <w:t xml:space="preserve">second </w:t>
      </w:r>
      <w:r w:rsidR="001F6DE2" w:rsidRPr="004308AA">
        <w:t xml:space="preserve">session of the Conference of the Parties serving as the meeting of the Parties to the Paris Agreement to be held in </w:t>
      </w:r>
      <w:r w:rsidR="001F6DE2">
        <w:t>Madrid;</w:t>
      </w:r>
    </w:p>
    <w:bookmarkEnd w:id="20"/>
    <w:p w14:paraId="79E8FFBD" w14:textId="72F9FEF8" w:rsidR="001F6DE2" w:rsidRPr="004308AA" w:rsidRDefault="00356A49" w:rsidP="00356A49">
      <w:pPr>
        <w:pStyle w:val="RegSingleTxtG"/>
        <w:ind w:left="1134"/>
      </w:pPr>
      <w:r w:rsidRPr="004308AA">
        <w:t>2.</w:t>
      </w:r>
      <w:r w:rsidRPr="004308AA">
        <w:tab/>
      </w:r>
      <w:r w:rsidR="001F6DE2" w:rsidRPr="004308AA">
        <w:rPr>
          <w:i/>
        </w:rPr>
        <w:t xml:space="preserve">Request </w:t>
      </w:r>
      <w:r w:rsidR="001F6DE2" w:rsidRPr="004308AA">
        <w:t xml:space="preserve">the Government of </w:t>
      </w:r>
      <w:r w:rsidR="001F6DE2">
        <w:t>the Kingdom of Spain and the</w:t>
      </w:r>
      <w:r w:rsidR="001F6DE2" w:rsidRPr="005C2BCD">
        <w:t xml:space="preserve"> Government of the Republic of Chile</w:t>
      </w:r>
      <w:r w:rsidR="001F6DE2">
        <w:t xml:space="preserve"> </w:t>
      </w:r>
      <w:r w:rsidR="001F6DE2" w:rsidRPr="004308AA">
        <w:t xml:space="preserve">to convey to the city and people of </w:t>
      </w:r>
      <w:r w:rsidR="001F6DE2">
        <w:t>Madrid</w:t>
      </w:r>
      <w:r w:rsidR="001F6DE2" w:rsidRPr="004308AA">
        <w:t xml:space="preserv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7AA7F02A" w14:textId="77A37D3A" w:rsidR="001F6DE2" w:rsidRDefault="001F6DE2" w:rsidP="00FF70D8">
      <w:pPr>
        <w:pStyle w:val="RegSingleTxtG"/>
        <w:ind w:left="1134"/>
        <w:jc w:val="right"/>
        <w:rPr>
          <w:i/>
        </w:rPr>
      </w:pPr>
      <w:r>
        <w:rPr>
          <w:i/>
        </w:rPr>
        <w:t>10</w:t>
      </w:r>
      <w:r w:rsidRPr="001F6DE2">
        <w:rPr>
          <w:i/>
          <w:vertAlign w:val="superscript"/>
        </w:rPr>
        <w:t>th</w:t>
      </w:r>
      <w:r>
        <w:rPr>
          <w:i/>
        </w:rPr>
        <w:t xml:space="preserve"> </w:t>
      </w:r>
      <w:r w:rsidRPr="00CB63E2">
        <w:rPr>
          <w:i/>
        </w:rPr>
        <w:t>plenary meeting</w:t>
      </w:r>
      <w:r>
        <w:rPr>
          <w:i/>
        </w:rPr>
        <w:br/>
      </w:r>
      <w:r w:rsidRPr="00CB63E2">
        <w:rPr>
          <w:i/>
        </w:rPr>
        <w:t>15 December 2019</w:t>
      </w:r>
    </w:p>
    <w:p w14:paraId="4ED0FD01" w14:textId="18226DC3" w:rsidR="001F6DE2" w:rsidRPr="00465D8A" w:rsidRDefault="001F6DE2" w:rsidP="006B523B">
      <w:pPr>
        <w:spacing w:before="240"/>
        <w:ind w:left="1134" w:right="1134"/>
        <w:jc w:val="center"/>
        <w:rPr>
          <w:sz w:val="24"/>
          <w:szCs w:val="24"/>
          <w:u w:val="single"/>
        </w:rPr>
      </w:pPr>
      <w:r w:rsidRPr="00465D8A">
        <w:rPr>
          <w:sz w:val="24"/>
          <w:szCs w:val="24"/>
          <w:u w:val="single"/>
        </w:rPr>
        <w:tab/>
      </w:r>
      <w:r w:rsidRPr="00465D8A">
        <w:rPr>
          <w:sz w:val="24"/>
          <w:szCs w:val="24"/>
          <w:u w:val="single"/>
        </w:rPr>
        <w:tab/>
      </w:r>
      <w:r w:rsidRPr="00465D8A">
        <w:rPr>
          <w:sz w:val="24"/>
          <w:szCs w:val="24"/>
          <w:u w:val="single"/>
        </w:rPr>
        <w:tab/>
      </w:r>
      <w:r w:rsidRPr="00465D8A">
        <w:rPr>
          <w:sz w:val="24"/>
          <w:szCs w:val="24"/>
          <w:u w:val="single"/>
        </w:rPr>
        <w:tab/>
      </w:r>
    </w:p>
    <w:sectPr w:rsidR="001F6DE2" w:rsidRPr="00465D8A" w:rsidSect="006B523B">
      <w:headerReference w:type="even" r:id="rId61"/>
      <w:headerReference w:type="default" r:id="rId62"/>
      <w:footerReference w:type="even" r:id="rId63"/>
      <w:footerReference w:type="default" r:id="rId64"/>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57C34" w14:textId="77777777" w:rsidR="005E298E" w:rsidRDefault="005E298E">
      <w:r>
        <w:separator/>
      </w:r>
    </w:p>
    <w:p w14:paraId="615ABEE4" w14:textId="77777777" w:rsidR="005E298E" w:rsidRDefault="005E298E"/>
  </w:endnote>
  <w:endnote w:type="continuationSeparator" w:id="0">
    <w:p w14:paraId="27048C09" w14:textId="77777777" w:rsidR="005E298E" w:rsidRDefault="005E298E">
      <w:r>
        <w:continuationSeparator/>
      </w:r>
    </w:p>
    <w:p w14:paraId="747CFDB9" w14:textId="77777777" w:rsidR="005E298E" w:rsidRDefault="005E298E"/>
  </w:endnote>
  <w:endnote w:type="continuationNotice" w:id="1">
    <w:p w14:paraId="02411F61" w14:textId="77777777" w:rsidR="005E298E" w:rsidRDefault="005E29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A9E24" w14:textId="5A840B77" w:rsidR="00566D7A" w:rsidRPr="006B523B" w:rsidRDefault="00566D7A" w:rsidP="002657AA">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3</w:t>
    </w:r>
    <w:r w:rsidRPr="006B523B">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FBA8" w14:textId="20146674" w:rsidR="00566D7A" w:rsidRPr="006B523B" w:rsidRDefault="00566D7A" w:rsidP="008144AE">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12</w:t>
    </w:r>
    <w:r w:rsidRPr="006B523B">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A6604" w14:textId="34976B91" w:rsidR="00566D7A" w:rsidRPr="006B523B" w:rsidRDefault="00566D7A" w:rsidP="006A6183">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16</w:t>
    </w:r>
    <w:r w:rsidRPr="006B523B">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5EB87" w14:textId="034AF7F7" w:rsidR="00566D7A" w:rsidRPr="006B523B" w:rsidRDefault="00566D7A" w:rsidP="008144AE">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14</w:t>
    </w:r>
    <w:r w:rsidRPr="006B523B">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19D1D" w14:textId="3CAB2E31" w:rsidR="00566D7A" w:rsidRPr="006B523B" w:rsidRDefault="00566D7A" w:rsidP="008144AE">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16</w:t>
    </w:r>
    <w:r w:rsidRPr="006B523B">
      <w:rPr>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89EBA" w14:textId="45F2EBD2" w:rsidR="00566D7A" w:rsidRPr="006B523B" w:rsidRDefault="00566D7A" w:rsidP="006B523B">
    <w:pPr>
      <w:pStyle w:val="Footer"/>
    </w:pPr>
    <w:r>
      <w:rPr>
        <w:noProof/>
      </w:rPr>
      <mc:AlternateContent>
        <mc:Choice Requires="wps">
          <w:drawing>
            <wp:anchor distT="0" distB="0" distL="114300" distR="114300" simplePos="0" relativeHeight="251668481" behindDoc="0" locked="0" layoutInCell="1" allowOverlap="1" wp14:anchorId="134DA6DE" wp14:editId="137E1059">
              <wp:simplePos x="0" y="0"/>
              <wp:positionH relativeFrom="margin">
                <wp:posOffset>-431800</wp:posOffset>
              </wp:positionH>
              <wp:positionV relativeFrom="margin">
                <wp:posOffset>0</wp:posOffset>
              </wp:positionV>
              <wp:extent cx="222885" cy="6120130"/>
              <wp:effectExtent l="0" t="0" r="5715" b="139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5036B74" w14:textId="77777777" w:rsidR="00566D7A" w:rsidRPr="00650102" w:rsidRDefault="00566D7A" w:rsidP="006B523B">
                          <w:pPr>
                            <w:pStyle w:val="Footer"/>
                            <w:tabs>
                              <w:tab w:val="right" w:pos="9638"/>
                            </w:tabs>
                          </w:pPr>
                          <w:r w:rsidRPr="00650102">
                            <w:rPr>
                              <w:b/>
                              <w:sz w:val="18"/>
                            </w:rPr>
                            <w:fldChar w:fldCharType="begin"/>
                          </w:r>
                          <w:r w:rsidRPr="00650102">
                            <w:rPr>
                              <w:b/>
                              <w:sz w:val="18"/>
                            </w:rPr>
                            <w:instrText xml:space="preserve"> PAGE  \* MERGEFORMAT </w:instrText>
                          </w:r>
                          <w:r w:rsidRPr="00650102">
                            <w:rPr>
                              <w:b/>
                              <w:sz w:val="18"/>
                            </w:rPr>
                            <w:fldChar w:fldCharType="separate"/>
                          </w:r>
                          <w:r>
                            <w:rPr>
                              <w:b/>
                              <w:sz w:val="18"/>
                            </w:rPr>
                            <w:t>18</w:t>
                          </w:r>
                          <w:r w:rsidRPr="00650102">
                            <w:rPr>
                              <w:b/>
                              <w:sz w:val="18"/>
                            </w:rPr>
                            <w:fldChar w:fldCharType="end"/>
                          </w:r>
                          <w:r>
                            <w:rPr>
                              <w:sz w:val="18"/>
                            </w:rPr>
                            <w:tab/>
                          </w:r>
                        </w:p>
                        <w:p w14:paraId="25FCCA10" w14:textId="77777777" w:rsidR="00566D7A" w:rsidRDefault="00566D7A"/>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34DA6DE" id="_x0000_t202" coordsize="21600,21600" o:spt="202" path="m,l,21600r21600,l21600,xe">
              <v:stroke joinstyle="miter"/>
              <v:path gradientshapeok="t" o:connecttype="rect"/>
            </v:shapetype>
            <v:shape id="Text Box 16" o:spid="_x0000_s1029" type="#_x0000_t202" style="position:absolute;margin-left:-34pt;margin-top:0;width:17.55pt;height:481.9pt;z-index:251668481;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" filled="f" stroked="f">
              <v:stroke joinstyle="round"/>
              <v:path arrowok="t"/>
              <v:textbox style="layout-flow:vertical" inset="0,0,0,0">
                <w:txbxContent>
                  <w:p w14:paraId="75036B74" w14:textId="77777777" w:rsidR="00566D7A" w:rsidRPr="00650102" w:rsidRDefault="00566D7A" w:rsidP="006B523B">
                    <w:pPr>
                      <w:pStyle w:val="Footer"/>
                      <w:tabs>
                        <w:tab w:val="right" w:pos="9638"/>
                      </w:tabs>
                    </w:pPr>
                    <w:r w:rsidRPr="00650102">
                      <w:rPr>
                        <w:b/>
                        <w:sz w:val="18"/>
                      </w:rPr>
                      <w:fldChar w:fldCharType="begin"/>
                    </w:r>
                    <w:r w:rsidRPr="00650102">
                      <w:rPr>
                        <w:b/>
                        <w:sz w:val="18"/>
                      </w:rPr>
                      <w:instrText xml:space="preserve"> PAGE  \* MERGEFORMAT </w:instrText>
                    </w:r>
                    <w:r w:rsidRPr="00650102">
                      <w:rPr>
                        <w:b/>
                        <w:sz w:val="18"/>
                      </w:rPr>
                      <w:fldChar w:fldCharType="separate"/>
                    </w:r>
                    <w:r>
                      <w:rPr>
                        <w:b/>
                        <w:sz w:val="18"/>
                      </w:rPr>
                      <w:t>18</w:t>
                    </w:r>
                    <w:r w:rsidRPr="00650102">
                      <w:rPr>
                        <w:b/>
                        <w:sz w:val="18"/>
                      </w:rPr>
                      <w:fldChar w:fldCharType="end"/>
                    </w:r>
                    <w:r>
                      <w:rPr>
                        <w:sz w:val="18"/>
                      </w:rPr>
                      <w:tab/>
                    </w:r>
                  </w:p>
                  <w:p w14:paraId="25FCCA10" w14:textId="77777777" w:rsidR="00566D7A" w:rsidRDefault="00566D7A"/>
                </w:txbxContent>
              </v:textbox>
              <w10:wrap anchorx="margin" anchory="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4BEE" w14:textId="418F8CB3" w:rsidR="00566D7A" w:rsidRPr="006B523B" w:rsidRDefault="00566D7A" w:rsidP="006B523B">
    <w:pPr>
      <w:pStyle w:val="Footer"/>
      <w:tabs>
        <w:tab w:val="right" w:pos="9638"/>
      </w:tabs>
      <w:rPr>
        <w:b/>
        <w:sz w:val="18"/>
      </w:rPr>
    </w:pPr>
    <w:r>
      <w:rPr>
        <w:noProof/>
      </w:rPr>
      <mc:AlternateContent>
        <mc:Choice Requires="wps">
          <w:drawing>
            <wp:anchor distT="0" distB="0" distL="114300" distR="114300" simplePos="0" relativeHeight="251666433" behindDoc="0" locked="0" layoutInCell="1" allowOverlap="1" wp14:anchorId="4920E88C" wp14:editId="49B44601">
              <wp:simplePos x="0" y="0"/>
              <wp:positionH relativeFrom="margin">
                <wp:posOffset>-431800</wp:posOffset>
              </wp:positionH>
              <wp:positionV relativeFrom="margin">
                <wp:posOffset>0</wp:posOffset>
              </wp:positionV>
              <wp:extent cx="222885" cy="6120130"/>
              <wp:effectExtent l="0" t="0" r="5715"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7E26D6B7" w14:textId="77777777" w:rsidR="00566D7A" w:rsidRPr="00650102" w:rsidRDefault="00566D7A" w:rsidP="006B523B">
                          <w:pPr>
                            <w:pStyle w:val="Footer"/>
                            <w:tabs>
                              <w:tab w:val="right" w:pos="9638"/>
                            </w:tabs>
                            <w:rPr>
                              <w:b/>
                              <w:sz w:val="18"/>
                            </w:rPr>
                          </w:pPr>
                          <w:r>
                            <w:tab/>
                          </w:r>
                          <w:r w:rsidRPr="00650102">
                            <w:rPr>
                              <w:b/>
                              <w:sz w:val="18"/>
                            </w:rPr>
                            <w:fldChar w:fldCharType="begin"/>
                          </w:r>
                          <w:r w:rsidRPr="00650102">
                            <w:rPr>
                              <w:b/>
                              <w:sz w:val="18"/>
                            </w:rPr>
                            <w:instrText xml:space="preserve"> PAGE  \* MERGEFORMAT </w:instrText>
                          </w:r>
                          <w:r w:rsidRPr="00650102">
                            <w:rPr>
                              <w:b/>
                              <w:sz w:val="18"/>
                            </w:rPr>
                            <w:fldChar w:fldCharType="separate"/>
                          </w:r>
                          <w:r>
                            <w:rPr>
                              <w:b/>
                              <w:sz w:val="18"/>
                            </w:rPr>
                            <w:t>19</w:t>
                          </w:r>
                          <w:r w:rsidRPr="00650102">
                            <w:rPr>
                              <w:b/>
                              <w:sz w:val="18"/>
                            </w:rPr>
                            <w:fldChar w:fldCharType="end"/>
                          </w:r>
                        </w:p>
                        <w:p w14:paraId="0B1FBC65" w14:textId="77777777" w:rsidR="00566D7A" w:rsidRDefault="00566D7A"/>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920E88C" id="_x0000_t202" coordsize="21600,21600" o:spt="202" path="m,l,21600r21600,l21600,xe">
              <v:stroke joinstyle="miter"/>
              <v:path gradientshapeok="t" o:connecttype="rect"/>
            </v:shapetype>
            <v:shape id="Text Box 12" o:spid="_x0000_s1030" type="#_x0000_t202" style="position:absolute;margin-left:-34pt;margin-top:0;width:17.55pt;height:481.9pt;z-index:251666433;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" filled="f" stroked="f">
              <v:stroke joinstyle="round"/>
              <v:path arrowok="t"/>
              <v:textbox style="layout-flow:vertical" inset="0,0,0,0">
                <w:txbxContent>
                  <w:p w14:paraId="7E26D6B7" w14:textId="77777777" w:rsidR="00566D7A" w:rsidRPr="00650102" w:rsidRDefault="00566D7A" w:rsidP="006B523B">
                    <w:pPr>
                      <w:pStyle w:val="Footer"/>
                      <w:tabs>
                        <w:tab w:val="right" w:pos="9638"/>
                      </w:tabs>
                      <w:rPr>
                        <w:b/>
                        <w:sz w:val="18"/>
                      </w:rPr>
                    </w:pPr>
                    <w:r>
                      <w:tab/>
                    </w:r>
                    <w:r w:rsidRPr="00650102">
                      <w:rPr>
                        <w:b/>
                        <w:sz w:val="18"/>
                      </w:rPr>
                      <w:fldChar w:fldCharType="begin"/>
                    </w:r>
                    <w:r w:rsidRPr="00650102">
                      <w:rPr>
                        <w:b/>
                        <w:sz w:val="18"/>
                      </w:rPr>
                      <w:instrText xml:space="preserve"> PAGE  \* MERGEFORMAT </w:instrText>
                    </w:r>
                    <w:r w:rsidRPr="00650102">
                      <w:rPr>
                        <w:b/>
                        <w:sz w:val="18"/>
                      </w:rPr>
                      <w:fldChar w:fldCharType="separate"/>
                    </w:r>
                    <w:r>
                      <w:rPr>
                        <w:b/>
                        <w:sz w:val="18"/>
                      </w:rPr>
                      <w:t>19</w:t>
                    </w:r>
                    <w:r w:rsidRPr="00650102">
                      <w:rPr>
                        <w:b/>
                        <w:sz w:val="18"/>
                      </w:rPr>
                      <w:fldChar w:fldCharType="end"/>
                    </w:r>
                  </w:p>
                  <w:p w14:paraId="0B1FBC65" w14:textId="77777777" w:rsidR="00566D7A" w:rsidRDefault="00566D7A"/>
                </w:txbxContent>
              </v:textbox>
              <w10:wrap anchorx="margin" anchory="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821B0" w14:textId="6B2C947C" w:rsidR="00566D7A" w:rsidRPr="006B523B" w:rsidRDefault="00566D7A" w:rsidP="008144AE">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23</w:t>
    </w:r>
    <w:r w:rsidRPr="006B523B">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C683F" w14:textId="1E42BCD5" w:rsidR="00566D7A" w:rsidRPr="006B523B" w:rsidRDefault="00566D7A" w:rsidP="006A6183">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22</w:t>
    </w:r>
    <w:r w:rsidRPr="006B523B">
      <w:rPr>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CE1BA" w14:textId="1EF5DAC3" w:rsidR="00566D7A" w:rsidRPr="006B523B" w:rsidRDefault="00566D7A" w:rsidP="006A6183">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24</w:t>
    </w:r>
    <w:r w:rsidRPr="006B523B">
      <w:rPr>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26F7" w14:textId="7EF2184D" w:rsidR="00566D7A" w:rsidRPr="006B523B" w:rsidRDefault="00566D7A" w:rsidP="008144AE">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23</w:t>
    </w:r>
    <w:r w:rsidRPr="006B523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9BF2F" w14:textId="4A1C8A9E" w:rsidR="00566D7A" w:rsidRPr="006B523B" w:rsidRDefault="00566D7A" w:rsidP="002657AA">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4</w:t>
    </w:r>
    <w:r w:rsidRPr="006B523B">
      <w:rPr>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7916F" w14:textId="6CA16A2C" w:rsidR="00566D7A" w:rsidRPr="006B523B" w:rsidRDefault="00566D7A" w:rsidP="006A6183">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22</w:t>
    </w:r>
    <w:r w:rsidRPr="006B523B">
      <w:rPr>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D73C" w14:textId="470DD2DD" w:rsidR="00566D7A" w:rsidRPr="006B523B" w:rsidRDefault="00566D7A" w:rsidP="00A61965">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27</w:t>
    </w:r>
    <w:r w:rsidRPr="006B523B">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AC74" w14:textId="7B334361" w:rsidR="00566D7A" w:rsidRPr="006B523B" w:rsidRDefault="00566D7A" w:rsidP="00A61965">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27</w:t>
    </w:r>
    <w:r w:rsidRPr="006B523B">
      <w:rPr>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EE5A6" w14:textId="4FA935FB" w:rsidR="00566D7A" w:rsidRPr="006B523B" w:rsidRDefault="00566D7A" w:rsidP="00A61965">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28</w:t>
    </w:r>
    <w:r w:rsidRPr="006B523B">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B75EE" w14:textId="0083A7C4" w:rsidR="00566D7A" w:rsidRPr="006B523B" w:rsidRDefault="00566D7A" w:rsidP="00A61965">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29</w:t>
    </w:r>
    <w:r w:rsidRPr="006B523B">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B19BA" w14:textId="7B66813C" w:rsidR="00566D7A" w:rsidRPr="006B523B" w:rsidRDefault="00566D7A" w:rsidP="002657AA">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3</w:t>
    </w:r>
    <w:r w:rsidRPr="006B523B">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48E09" w14:textId="065C5668" w:rsidR="00566D7A" w:rsidRPr="006B523B" w:rsidRDefault="00566D7A" w:rsidP="002657AA">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4</w:t>
    </w:r>
    <w:r w:rsidRPr="006B523B">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46F4" w14:textId="3CA873E4" w:rsidR="00566D7A" w:rsidRPr="006B523B" w:rsidRDefault="00566D7A" w:rsidP="002657AA">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8</w:t>
    </w:r>
    <w:r w:rsidRPr="006B523B">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667C" w14:textId="3D69EE69" w:rsidR="00566D7A" w:rsidRPr="006B523B" w:rsidRDefault="00566D7A" w:rsidP="002657AA">
    <w:pPr>
      <w:pStyle w:val="Footer"/>
      <w:tabs>
        <w:tab w:val="right" w:pos="9638"/>
      </w:tabs>
      <w:rPr>
        <w:sz w:val="18"/>
      </w:rPr>
    </w:pPr>
    <w:r>
      <w:rPr>
        <w:b/>
        <w:sz w:val="18"/>
      </w:rPr>
      <w:tab/>
    </w:r>
    <w:r w:rsidRPr="006B523B">
      <w:rPr>
        <w:sz w:val="18"/>
      </w:rPr>
      <w:fldChar w:fldCharType="begin"/>
    </w:r>
    <w:r w:rsidRPr="006B523B">
      <w:rPr>
        <w:sz w:val="18"/>
      </w:rPr>
      <w:instrText xml:space="preserve"> PAGE  \* MERGEFORMAT </w:instrText>
    </w:r>
    <w:r w:rsidRPr="006B523B">
      <w:rPr>
        <w:sz w:val="18"/>
      </w:rPr>
      <w:fldChar w:fldCharType="separate"/>
    </w:r>
    <w:r w:rsidRPr="006B523B">
      <w:rPr>
        <w:noProof/>
        <w:sz w:val="18"/>
      </w:rPr>
      <w:t>10</w:t>
    </w:r>
    <w:r w:rsidRPr="006B523B">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275EB" w14:textId="47FDBACE" w:rsidR="00566D7A" w:rsidRPr="006B523B" w:rsidRDefault="00566D7A" w:rsidP="00F51990">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11</w:t>
    </w:r>
    <w:r w:rsidRPr="006B523B">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ECF8" w14:textId="77777777" w:rsidR="00566D7A" w:rsidRPr="00F51990" w:rsidRDefault="00566D7A"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3</w:t>
    </w:r>
    <w:r w:rsidRPr="00F51990">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1B9D6" w14:textId="6CAEF80A" w:rsidR="00566D7A" w:rsidRPr="006B523B" w:rsidRDefault="00566D7A" w:rsidP="006A6183">
    <w:pPr>
      <w:pStyle w:val="Footer"/>
      <w:tabs>
        <w:tab w:val="right" w:pos="9638"/>
      </w:tabs>
    </w:pPr>
    <w:r w:rsidRPr="006B523B">
      <w:rPr>
        <w:b/>
        <w:sz w:val="18"/>
      </w:rPr>
      <w:fldChar w:fldCharType="begin"/>
    </w:r>
    <w:r w:rsidRPr="006B523B">
      <w:rPr>
        <w:b/>
        <w:sz w:val="18"/>
      </w:rPr>
      <w:instrText xml:space="preserve"> PAGE  \* MERGEFORMAT </w:instrText>
    </w:r>
    <w:r w:rsidRPr="006B523B">
      <w:rPr>
        <w:b/>
        <w:sz w:val="18"/>
      </w:rPr>
      <w:fldChar w:fldCharType="separate"/>
    </w:r>
    <w:r w:rsidRPr="006B523B">
      <w:rPr>
        <w:b/>
        <w:noProof/>
        <w:sz w:val="18"/>
      </w:rPr>
      <w:t>13</w:t>
    </w:r>
    <w:r w:rsidRPr="006B523B">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E2CF4" w14:textId="77777777" w:rsidR="005E298E" w:rsidRDefault="005E298E">
      <w:r>
        <w:separator/>
      </w:r>
    </w:p>
  </w:footnote>
  <w:footnote w:type="continuationSeparator" w:id="0">
    <w:p w14:paraId="7E042E47" w14:textId="77777777" w:rsidR="005E298E" w:rsidRDefault="005E298E">
      <w:r>
        <w:continuationSeparator/>
      </w:r>
    </w:p>
    <w:p w14:paraId="01706756" w14:textId="77777777" w:rsidR="005E298E" w:rsidRDefault="005E298E"/>
  </w:footnote>
  <w:footnote w:type="continuationNotice" w:id="1">
    <w:p w14:paraId="3870A595" w14:textId="77777777" w:rsidR="005E298E" w:rsidRDefault="005E298E">
      <w:pPr>
        <w:spacing w:line="240" w:lineRule="auto"/>
      </w:pPr>
    </w:p>
  </w:footnote>
  <w:footnote w:id="2">
    <w:p w14:paraId="2DB59FED" w14:textId="77777777" w:rsidR="00566D7A" w:rsidRPr="004B17AC" w:rsidRDefault="00566D7A" w:rsidP="002657AA">
      <w:pPr>
        <w:pStyle w:val="FootnoteText"/>
        <w:widowControl w:val="0"/>
        <w:tabs>
          <w:tab w:val="clear" w:pos="1021"/>
          <w:tab w:val="right" w:pos="1020"/>
        </w:tabs>
        <w:rPr>
          <w:lang w:val="en-US"/>
        </w:rPr>
      </w:pPr>
      <w:r>
        <w:tab/>
      </w:r>
      <w:r>
        <w:rPr>
          <w:rStyle w:val="FootnoteReference"/>
        </w:rPr>
        <w:footnoteRef/>
      </w:r>
      <w:r>
        <w:tab/>
        <w:t xml:space="preserve">Decision 1/CP.21, para. 35. </w:t>
      </w:r>
    </w:p>
  </w:footnote>
  <w:footnote w:id="3">
    <w:p w14:paraId="2BC50A89" w14:textId="77777777" w:rsidR="00566D7A" w:rsidRPr="00F77B08" w:rsidRDefault="00566D7A" w:rsidP="002657AA">
      <w:pPr>
        <w:pStyle w:val="FootnoteText"/>
        <w:widowControl w:val="0"/>
        <w:tabs>
          <w:tab w:val="clear" w:pos="1021"/>
          <w:tab w:val="right" w:pos="1020"/>
        </w:tabs>
        <w:rPr>
          <w:lang w:val="en-US"/>
        </w:rPr>
      </w:pPr>
      <w:r>
        <w:tab/>
      </w:r>
      <w:r w:rsidRPr="00D51D8C">
        <w:rPr>
          <w:rStyle w:val="FootnoteReference"/>
        </w:rPr>
        <w:footnoteRef/>
      </w:r>
      <w:r w:rsidRPr="00D51D8C">
        <w:tab/>
      </w:r>
      <w:r w:rsidRPr="003B5929">
        <w:t>It is noted that discussions related to the governance of the Warsaw International Mechanism did not produce an outcome; this is without prejudice to further consideration of this matter</w:t>
      </w:r>
      <w:r w:rsidRPr="00D51D8C">
        <w:t>.</w:t>
      </w:r>
    </w:p>
  </w:footnote>
  <w:footnote w:id="4">
    <w:p w14:paraId="4131EF87" w14:textId="77777777" w:rsidR="00566D7A" w:rsidRPr="004D76AC" w:rsidRDefault="00566D7A" w:rsidP="002657AA">
      <w:pPr>
        <w:pStyle w:val="FootnoteText"/>
        <w:widowControl w:val="0"/>
        <w:tabs>
          <w:tab w:val="clear" w:pos="1021"/>
          <w:tab w:val="right" w:pos="1020"/>
        </w:tabs>
        <w:rPr>
          <w:lang w:val="en-US"/>
        </w:rPr>
      </w:pPr>
      <w:r>
        <w:tab/>
      </w:r>
      <w:r>
        <w:rPr>
          <w:rStyle w:val="FootnoteReference"/>
        </w:rPr>
        <w:footnoteRef/>
      </w:r>
      <w:r>
        <w:tab/>
        <w:t>Decision 4/CP.22, para. 2(b).</w:t>
      </w:r>
    </w:p>
  </w:footnote>
  <w:footnote w:id="5">
    <w:p w14:paraId="33BEEC01" w14:textId="77777777" w:rsidR="00566D7A" w:rsidRPr="00880AD6" w:rsidRDefault="00566D7A" w:rsidP="002657AA">
      <w:pPr>
        <w:pStyle w:val="FootnoteText"/>
        <w:widowControl w:val="0"/>
        <w:tabs>
          <w:tab w:val="clear" w:pos="1021"/>
          <w:tab w:val="right" w:pos="1020"/>
        </w:tabs>
        <w:rPr>
          <w:lang w:val="en-US"/>
        </w:rPr>
      </w:pPr>
      <w:r>
        <w:tab/>
      </w:r>
      <w:r>
        <w:rPr>
          <w:rStyle w:val="FootnoteReference"/>
        </w:rPr>
        <w:footnoteRef/>
      </w:r>
      <w:r>
        <w:tab/>
        <w:t>FCCC/SBI/2019/9, annex I, and FCCC/SBSTA/2019/2, annex.</w:t>
      </w:r>
    </w:p>
  </w:footnote>
  <w:footnote w:id="6">
    <w:p w14:paraId="3E70B3A9" w14:textId="77777777" w:rsidR="00566D7A" w:rsidRPr="00F77B08" w:rsidRDefault="00566D7A" w:rsidP="002657AA">
      <w:pPr>
        <w:pStyle w:val="FootnoteText"/>
        <w:widowControl w:val="0"/>
        <w:tabs>
          <w:tab w:val="clear" w:pos="1021"/>
          <w:tab w:val="right" w:pos="1020"/>
        </w:tabs>
        <w:rPr>
          <w:lang w:val="en-US"/>
        </w:rPr>
      </w:pPr>
      <w:r>
        <w:tab/>
      </w:r>
      <w:r>
        <w:rPr>
          <w:rStyle w:val="FootnoteReference"/>
        </w:rPr>
        <w:footnoteRef/>
      </w:r>
      <w:r>
        <w:tab/>
        <w:t>FCCC/SB/2019/5 and Add.1.</w:t>
      </w:r>
    </w:p>
  </w:footnote>
  <w:footnote w:id="7">
    <w:p w14:paraId="04A9374F" w14:textId="77777777" w:rsidR="00566D7A" w:rsidRPr="0067609D" w:rsidRDefault="00566D7A" w:rsidP="002657AA">
      <w:pPr>
        <w:pStyle w:val="FootnoteText"/>
        <w:widowControl w:val="0"/>
        <w:tabs>
          <w:tab w:val="clear" w:pos="1021"/>
          <w:tab w:val="right" w:pos="1020"/>
        </w:tabs>
        <w:rPr>
          <w:lang w:val="en-US"/>
        </w:rPr>
      </w:pPr>
      <w:r>
        <w:tab/>
      </w:r>
      <w:r>
        <w:rPr>
          <w:rStyle w:val="FootnoteReference"/>
        </w:rPr>
        <w:footnoteRef/>
      </w:r>
      <w:r>
        <w:tab/>
        <w:t>Pursuant to decision 4/CP.22, para. 4(d).</w:t>
      </w:r>
    </w:p>
  </w:footnote>
  <w:footnote w:id="8">
    <w:p w14:paraId="3849D180" w14:textId="77777777" w:rsidR="00566D7A" w:rsidRPr="00173676" w:rsidRDefault="00566D7A" w:rsidP="002657AA">
      <w:pPr>
        <w:pStyle w:val="FootnoteText"/>
        <w:widowControl w:val="0"/>
        <w:tabs>
          <w:tab w:val="clear" w:pos="1021"/>
          <w:tab w:val="right" w:pos="1020"/>
        </w:tabs>
        <w:rPr>
          <w:lang w:val="en-US"/>
        </w:rPr>
      </w:pPr>
      <w:r>
        <w:tab/>
      </w:r>
      <w:r>
        <w:rPr>
          <w:rStyle w:val="FootnoteReference"/>
        </w:rPr>
        <w:footnoteRef/>
      </w:r>
      <w:r>
        <w:tab/>
      </w:r>
      <w:r w:rsidRPr="00173676">
        <w:t>FCCC/SB/2017/1/Add.1</w:t>
      </w:r>
      <w:r>
        <w:t>, annex.</w:t>
      </w:r>
    </w:p>
  </w:footnote>
  <w:footnote w:id="9">
    <w:p w14:paraId="57BE95CF" w14:textId="038DD15F" w:rsidR="00566D7A" w:rsidRPr="00BD6AF8" w:rsidRDefault="00566D7A" w:rsidP="002657AA">
      <w:pPr>
        <w:pStyle w:val="FootnoteText"/>
        <w:widowControl w:val="0"/>
        <w:tabs>
          <w:tab w:val="clear" w:pos="1021"/>
          <w:tab w:val="right" w:pos="1020"/>
        </w:tabs>
        <w:rPr>
          <w:lang w:val="en-US"/>
        </w:rPr>
      </w:pPr>
      <w:r>
        <w:tab/>
      </w:r>
      <w:r>
        <w:rPr>
          <w:rStyle w:val="FootnoteReference"/>
        </w:rPr>
        <w:footnoteRef/>
      </w:r>
      <w:r>
        <w:tab/>
        <w:t>Pending the outcome of future discussions on this matter as per para. 47 as well as decision 2/CP.25, para. 2. No</w:t>
      </w:r>
      <w:r w:rsidRPr="005824C3">
        <w:t>thing in th</w:t>
      </w:r>
      <w:r>
        <w:t xml:space="preserve">is decision </w:t>
      </w:r>
      <w:r w:rsidRPr="005824C3">
        <w:t>prejudices Parties’ views or prejudges outcomes on matters related to the governance of the Warsaw International Mechanism</w:t>
      </w:r>
      <w:r>
        <w:t>.</w:t>
      </w:r>
    </w:p>
  </w:footnote>
  <w:footnote w:id="10">
    <w:p w14:paraId="458617B8" w14:textId="77777777" w:rsidR="00566D7A" w:rsidRPr="00E26CCD" w:rsidRDefault="00566D7A" w:rsidP="002657AA">
      <w:pPr>
        <w:pStyle w:val="FootnoteText"/>
        <w:widowControl w:val="0"/>
        <w:tabs>
          <w:tab w:val="clear" w:pos="1021"/>
          <w:tab w:val="right" w:pos="1020"/>
        </w:tabs>
        <w:rPr>
          <w:lang w:val="en-US"/>
        </w:rPr>
      </w:pPr>
      <w:r>
        <w:tab/>
      </w:r>
      <w:r w:rsidRPr="00D51D8C">
        <w:rPr>
          <w:rStyle w:val="FootnoteReference"/>
        </w:rPr>
        <w:footnoteRef/>
      </w:r>
      <w:r w:rsidRPr="00D51D8C">
        <w:tab/>
      </w:r>
      <w:r w:rsidRPr="003B5929">
        <w:t>It is noted that discussions related to the governance of the Warsaw International Mechanism did not produce an outcome; this is without prejudice to further consideration of this matter</w:t>
      </w:r>
      <w:r w:rsidRPr="00D51D8C">
        <w:t>.</w:t>
      </w:r>
    </w:p>
  </w:footnote>
  <w:footnote w:id="11">
    <w:p w14:paraId="19CB3171" w14:textId="77777777" w:rsidR="00566D7A" w:rsidRPr="00093293" w:rsidRDefault="00566D7A" w:rsidP="00417F0F">
      <w:pPr>
        <w:pStyle w:val="FootnoteText"/>
        <w:rPr>
          <w:lang w:val="en-US"/>
        </w:rPr>
      </w:pPr>
      <w:r>
        <w:tab/>
      </w:r>
      <w:r w:rsidRPr="00093293">
        <w:rPr>
          <w:rStyle w:val="FootnoteReference"/>
          <w:sz w:val="16"/>
        </w:rPr>
        <w:footnoteRef/>
      </w:r>
      <w:r>
        <w:tab/>
      </w:r>
      <w:r w:rsidRPr="00093293">
        <w:t>Decision 1/CP.21, para</w:t>
      </w:r>
      <w:r>
        <w:t>.</w:t>
      </w:r>
      <w:r w:rsidRPr="00093293">
        <w:t xml:space="preserve"> 71.</w:t>
      </w:r>
    </w:p>
  </w:footnote>
  <w:footnote w:id="12">
    <w:p w14:paraId="23347BE4" w14:textId="77777777" w:rsidR="00566D7A" w:rsidRPr="00093293" w:rsidRDefault="00566D7A" w:rsidP="00417F0F">
      <w:pPr>
        <w:pStyle w:val="FootnoteText"/>
      </w:pPr>
      <w:r>
        <w:tab/>
      </w:r>
      <w:r w:rsidRPr="00093293">
        <w:rPr>
          <w:rStyle w:val="FootnoteReference"/>
          <w:sz w:val="16"/>
        </w:rPr>
        <w:footnoteRef/>
      </w:r>
      <w:r>
        <w:tab/>
      </w:r>
      <w:r w:rsidRPr="00093293">
        <w:t>Decision 2/CP.22, annex</w:t>
      </w:r>
      <w:r>
        <w:t>.</w:t>
      </w:r>
    </w:p>
  </w:footnote>
  <w:footnote w:id="13">
    <w:p w14:paraId="14D28121" w14:textId="77777777" w:rsidR="00566D7A" w:rsidRPr="001B3AD8" w:rsidRDefault="00566D7A" w:rsidP="00B44B73">
      <w:pPr>
        <w:pStyle w:val="FootnoteText"/>
        <w:widowControl w:val="0"/>
        <w:tabs>
          <w:tab w:val="clear" w:pos="1021"/>
          <w:tab w:val="right" w:pos="1020"/>
        </w:tabs>
        <w:rPr>
          <w:lang w:val="en-US"/>
        </w:rPr>
      </w:pPr>
      <w:r>
        <w:tab/>
      </w:r>
      <w:r>
        <w:rPr>
          <w:rStyle w:val="FootnoteReference"/>
        </w:rPr>
        <w:footnoteRef/>
      </w:r>
      <w:r>
        <w:tab/>
        <w:t xml:space="preserve">Available at </w:t>
      </w:r>
      <w:hyperlink r:id="rId1" w:history="1">
        <w:r w:rsidRPr="00C27014">
          <w:rPr>
            <w:rStyle w:val="Hyperlink"/>
          </w:rPr>
          <w:t>https://unfccc.int/documents/202723</w:t>
        </w:r>
      </w:hyperlink>
      <w:r>
        <w:t>.</w:t>
      </w:r>
    </w:p>
  </w:footnote>
  <w:footnote w:id="14">
    <w:p w14:paraId="6AB0927F" w14:textId="77777777" w:rsidR="00566D7A" w:rsidRPr="003837E9" w:rsidRDefault="00566D7A" w:rsidP="00B44B73">
      <w:pPr>
        <w:pStyle w:val="FootnoteText"/>
        <w:tabs>
          <w:tab w:val="clear" w:pos="1021"/>
          <w:tab w:val="right" w:pos="1020"/>
        </w:tabs>
        <w:rPr>
          <w:lang w:val="es-ES"/>
        </w:rPr>
      </w:pPr>
      <w: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para. 4(b).</w:t>
      </w:r>
    </w:p>
  </w:footnote>
  <w:footnote w:id="15">
    <w:p w14:paraId="12F1053B" w14:textId="77777777" w:rsidR="00566D7A" w:rsidRPr="00A47271" w:rsidRDefault="00566D7A" w:rsidP="00B44B73">
      <w:pPr>
        <w:pStyle w:val="FootnoteText"/>
        <w:widowControl w:val="0"/>
        <w:tabs>
          <w:tab w:val="clear" w:pos="1021"/>
          <w:tab w:val="right" w:pos="1020"/>
        </w:tabs>
        <w:rPr>
          <w:lang w:val="en-US"/>
        </w:rPr>
      </w:pPr>
      <w:r>
        <w:tab/>
      </w:r>
      <w:r>
        <w:rPr>
          <w:rStyle w:val="FootnoteReference"/>
        </w:rPr>
        <w:footnoteRef/>
      </w:r>
      <w: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para. 4(</w:t>
      </w:r>
      <w:r>
        <w:rPr>
          <w:lang w:val="es-ES"/>
        </w:rPr>
        <w:t>d).</w:t>
      </w:r>
      <w:r>
        <w:t xml:space="preserve"> </w:t>
      </w:r>
    </w:p>
  </w:footnote>
  <w:footnote w:id="16">
    <w:p w14:paraId="43625BE9" w14:textId="77777777" w:rsidR="00566D7A" w:rsidRPr="003837E9" w:rsidRDefault="00566D7A" w:rsidP="00B44B7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xml:space="preserve">, para. 4(c). </w:t>
      </w:r>
    </w:p>
  </w:footnote>
  <w:footnote w:id="17">
    <w:p w14:paraId="2F6CCB51" w14:textId="77777777" w:rsidR="00566D7A" w:rsidRPr="003837E9" w:rsidRDefault="00566D7A" w:rsidP="00B44B7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xml:space="preserve">, para. 4(e). </w:t>
      </w:r>
    </w:p>
  </w:footnote>
  <w:footnote w:id="18">
    <w:p w14:paraId="7BC0BBD0" w14:textId="77777777" w:rsidR="00566D7A" w:rsidRPr="003837E9" w:rsidRDefault="00566D7A" w:rsidP="00B44B7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xml:space="preserve">, para. 4(f). </w:t>
      </w:r>
    </w:p>
  </w:footnote>
  <w:footnote w:id="19">
    <w:p w14:paraId="2BF20F27" w14:textId="77777777" w:rsidR="00566D7A" w:rsidRPr="003837E9" w:rsidRDefault="00566D7A" w:rsidP="00B44B7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para</w:t>
      </w:r>
      <w:r>
        <w:rPr>
          <w:lang w:val="es-ES"/>
        </w:rPr>
        <w:t>.</w:t>
      </w:r>
      <w:r w:rsidRPr="003837E9">
        <w:rPr>
          <w:lang w:val="es-ES"/>
        </w:rPr>
        <w:t xml:space="preserve"> 4(g). </w:t>
      </w:r>
    </w:p>
  </w:footnote>
  <w:footnote w:id="20">
    <w:p w14:paraId="003C16ED" w14:textId="77777777" w:rsidR="00566D7A" w:rsidRPr="003837E9" w:rsidRDefault="00566D7A" w:rsidP="00B44B7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para. 12, and </w:t>
      </w:r>
      <w:proofErr w:type="spellStart"/>
      <w:r w:rsidRPr="003837E9">
        <w:rPr>
          <w:lang w:val="es-ES"/>
        </w:rPr>
        <w:t>annex</w:t>
      </w:r>
      <w:proofErr w:type="spellEnd"/>
      <w:r w:rsidRPr="003837E9">
        <w:rPr>
          <w:lang w:val="es-ES"/>
        </w:rPr>
        <w:t xml:space="preserve">, para. 4(j). </w:t>
      </w:r>
    </w:p>
  </w:footnote>
  <w:footnote w:id="21">
    <w:p w14:paraId="1C4827B7" w14:textId="77777777" w:rsidR="00566D7A" w:rsidRPr="00173AAA" w:rsidRDefault="00566D7A" w:rsidP="00B44B73">
      <w:pPr>
        <w:pStyle w:val="FootnoteText"/>
        <w:widowControl w:val="0"/>
        <w:tabs>
          <w:tab w:val="clear" w:pos="1021"/>
          <w:tab w:val="right" w:pos="1020"/>
        </w:tabs>
        <w:rPr>
          <w:lang w:val="pt-BR"/>
        </w:rPr>
      </w:pPr>
      <w:r w:rsidRPr="003837E9">
        <w:rPr>
          <w:lang w:val="es-ES"/>
        </w:rPr>
        <w:tab/>
      </w:r>
      <w:r>
        <w:rPr>
          <w:rStyle w:val="FootnoteReference"/>
        </w:rPr>
        <w:footnoteRef/>
      </w:r>
      <w:r w:rsidRPr="00173AAA">
        <w:rPr>
          <w:lang w:val="es-ES"/>
        </w:rPr>
        <w:tab/>
      </w:r>
      <w:proofErr w:type="spellStart"/>
      <w:r w:rsidRPr="00173AAA">
        <w:rPr>
          <w:lang w:val="es-ES"/>
        </w:rPr>
        <w:t>Decision</w:t>
      </w:r>
      <w:proofErr w:type="spellEnd"/>
      <w:r w:rsidRPr="00173AAA">
        <w:rPr>
          <w:lang w:val="es-ES"/>
        </w:rPr>
        <w:t xml:space="preserve"> 7/CMA.1, </w:t>
      </w:r>
      <w:proofErr w:type="spellStart"/>
      <w:r w:rsidRPr="00173AAA">
        <w:rPr>
          <w:lang w:val="es-ES"/>
        </w:rPr>
        <w:t>annex</w:t>
      </w:r>
      <w:proofErr w:type="spellEnd"/>
      <w:r w:rsidRPr="00173AAA">
        <w:rPr>
          <w:lang w:val="es-ES"/>
        </w:rPr>
        <w:t xml:space="preserve">, para. </w:t>
      </w:r>
      <w:r w:rsidRPr="00173AAA">
        <w:rPr>
          <w:lang w:val="pt-BR"/>
        </w:rPr>
        <w:t xml:space="preserve">4(i). </w:t>
      </w:r>
    </w:p>
  </w:footnote>
  <w:footnote w:id="22">
    <w:p w14:paraId="17285201" w14:textId="77777777" w:rsidR="00566D7A" w:rsidRPr="00FC63F5" w:rsidRDefault="00566D7A" w:rsidP="00B44B73">
      <w:pPr>
        <w:pStyle w:val="FootnoteText"/>
        <w:widowControl w:val="0"/>
        <w:tabs>
          <w:tab w:val="clear" w:pos="1021"/>
          <w:tab w:val="right" w:pos="1020"/>
        </w:tabs>
        <w:rPr>
          <w:lang w:val="en-US"/>
        </w:rPr>
      </w:pPr>
      <w:r w:rsidRPr="00173AAA">
        <w:rPr>
          <w:lang w:val="pt-BR"/>
        </w:rPr>
        <w:tab/>
      </w:r>
      <w:r>
        <w:rPr>
          <w:rStyle w:val="FootnoteReference"/>
        </w:rPr>
        <w:footnoteRef/>
      </w:r>
      <w:r w:rsidRPr="00173AAA">
        <w:rPr>
          <w:lang w:val="pt-BR"/>
        </w:rPr>
        <w:tab/>
        <w:t xml:space="preserve">Decision 7/CMA.1, annex, para. </w:t>
      </w:r>
      <w:r>
        <w:rPr>
          <w:lang w:val="en-US"/>
        </w:rPr>
        <w:t>4(h).</w:t>
      </w:r>
      <w:r>
        <w:t xml:space="preserve"> </w:t>
      </w:r>
    </w:p>
  </w:footnote>
  <w:footnote w:id="23">
    <w:p w14:paraId="750277FD" w14:textId="3C3B6867" w:rsidR="00566D7A" w:rsidRPr="003837E9" w:rsidRDefault="00566D7A" w:rsidP="00DB3FCD">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r w:rsidRPr="00AA2543">
        <w:rPr>
          <w:lang w:val="en-US"/>
        </w:rPr>
        <w:t>See the table below</w:t>
      </w:r>
      <w:r w:rsidRPr="003837E9">
        <w:rPr>
          <w:lang w:val="es-ES"/>
        </w:rPr>
        <w:t xml:space="preserve">. </w:t>
      </w:r>
    </w:p>
  </w:footnote>
  <w:footnote w:id="24">
    <w:p w14:paraId="35E52479" w14:textId="77777777" w:rsidR="00566D7A" w:rsidRPr="00290335" w:rsidRDefault="00566D7A" w:rsidP="005B4016">
      <w:pPr>
        <w:pStyle w:val="FootnoteText"/>
        <w:rPr>
          <w:rFonts w:eastAsia="Malgun Gothic"/>
          <w:szCs w:val="18"/>
          <w:lang w:eastAsia="ko-KR"/>
        </w:rPr>
      </w:pPr>
      <w:r w:rsidRPr="00290335">
        <w:tab/>
      </w:r>
      <w:r w:rsidRPr="00290335">
        <w:rPr>
          <w:rStyle w:val="FootnoteReference"/>
        </w:rPr>
        <w:footnoteRef/>
      </w:r>
      <w:r w:rsidRPr="00290335">
        <w:tab/>
      </w:r>
      <w:r w:rsidRPr="00290335">
        <w:rPr>
          <w:rFonts w:eastAsia="Malgun Gothic"/>
          <w:szCs w:val="18"/>
          <w:lang w:eastAsia="ko-KR"/>
        </w:rPr>
        <w:t>FCCC/CP/2019/10−FCCC/PA/CMA/2019/3.</w:t>
      </w:r>
    </w:p>
  </w:footnote>
  <w:footnote w:id="25">
    <w:p w14:paraId="32B5084E" w14:textId="77777777" w:rsidR="00566D7A" w:rsidRPr="00290335" w:rsidRDefault="00566D7A" w:rsidP="005B4016">
      <w:pPr>
        <w:pStyle w:val="FootnoteText"/>
        <w:rPr>
          <w:rFonts w:eastAsia="Malgun Gothic"/>
          <w:szCs w:val="18"/>
          <w:lang w:eastAsia="ko-KR"/>
        </w:rPr>
      </w:pPr>
      <w:r w:rsidRPr="00290335">
        <w:tab/>
      </w:r>
      <w:r w:rsidRPr="00290335">
        <w:rPr>
          <w:rStyle w:val="FootnoteReference"/>
        </w:rPr>
        <w:footnoteRef/>
      </w:r>
      <w:r w:rsidRPr="00290335">
        <w:tab/>
      </w:r>
      <w:r w:rsidRPr="00290335">
        <w:rPr>
          <w:rFonts w:eastAsia="Malgun Gothic"/>
          <w:szCs w:val="18"/>
          <w:lang w:eastAsia="ko-KR"/>
        </w:rPr>
        <w:t>FCCC/CP/2019/10−FCCC/PA/CMA/2019/3, annex V.</w:t>
      </w:r>
    </w:p>
  </w:footnote>
  <w:footnote w:id="26">
    <w:p w14:paraId="660C63B6" w14:textId="77777777" w:rsidR="00566D7A" w:rsidRPr="00290335" w:rsidRDefault="00566D7A" w:rsidP="005B4016">
      <w:pPr>
        <w:pStyle w:val="FootnoteText"/>
        <w:rPr>
          <w:lang w:val="en-US"/>
        </w:rPr>
      </w:pPr>
      <w:r w:rsidRPr="00290335">
        <w:tab/>
      </w:r>
      <w:r w:rsidRPr="00290335">
        <w:rPr>
          <w:rStyle w:val="FootnoteReference"/>
        </w:rPr>
        <w:footnoteRef/>
      </w:r>
      <w:r w:rsidRPr="00290335">
        <w:t xml:space="preserve"> </w:t>
      </w:r>
      <w:r w:rsidRPr="00290335">
        <w:tab/>
      </w:r>
      <w:r w:rsidRPr="00290335">
        <w:rPr>
          <w:rFonts w:eastAsia="Malgun Gothic"/>
          <w:szCs w:val="18"/>
          <w:lang w:eastAsia="ko-KR"/>
        </w:rPr>
        <w:t>FCCC/CP/2019/10−FCCC/PA/CMA/2019/3, annexes II and III, respectively.</w:t>
      </w:r>
    </w:p>
  </w:footnote>
  <w:footnote w:id="27">
    <w:p w14:paraId="045A32FC" w14:textId="77777777" w:rsidR="00566D7A" w:rsidRPr="00290335" w:rsidRDefault="00566D7A" w:rsidP="005B4016">
      <w:pPr>
        <w:pStyle w:val="FootnoteText"/>
        <w:widowControl w:val="0"/>
        <w:tabs>
          <w:tab w:val="clear" w:pos="1021"/>
          <w:tab w:val="right" w:pos="1020"/>
        </w:tabs>
        <w:rPr>
          <w:lang w:val="en-US"/>
        </w:rPr>
      </w:pPr>
      <w:r w:rsidRPr="00290335">
        <w:tab/>
      </w:r>
      <w:r w:rsidRPr="00290335">
        <w:rPr>
          <w:rStyle w:val="FootnoteReference"/>
        </w:rPr>
        <w:footnoteRef/>
      </w:r>
      <w:r w:rsidRPr="00290335">
        <w:tab/>
      </w:r>
      <w:r w:rsidRPr="00290335">
        <w:rPr>
          <w:rFonts w:eastAsia="Malgun Gothic"/>
          <w:szCs w:val="18"/>
          <w:lang w:eastAsia="ko-KR"/>
        </w:rPr>
        <w:t>FCCC/CP/2019/10/Add.1−FCCC/PA/CMA/2019/3/Add.1</w:t>
      </w:r>
      <w:r w:rsidRPr="00290335">
        <w:t>.</w:t>
      </w:r>
    </w:p>
  </w:footnote>
  <w:footnote w:id="28">
    <w:p w14:paraId="13629650" w14:textId="77777777" w:rsidR="00566D7A" w:rsidRPr="00290335" w:rsidRDefault="00566D7A" w:rsidP="005B4016">
      <w:pPr>
        <w:pStyle w:val="FootnoteText"/>
        <w:widowControl w:val="0"/>
        <w:tabs>
          <w:tab w:val="clear" w:pos="1021"/>
          <w:tab w:val="right" w:pos="1020"/>
        </w:tabs>
        <w:rPr>
          <w:lang w:val="en-US"/>
        </w:rPr>
      </w:pPr>
      <w:r w:rsidRPr="00290335">
        <w:tab/>
      </w:r>
      <w:r w:rsidRPr="00290335">
        <w:rPr>
          <w:rStyle w:val="FootnoteReference"/>
        </w:rPr>
        <w:footnoteRef/>
      </w:r>
      <w:r w:rsidRPr="00290335">
        <w:tab/>
        <w:t>FCCC/TP/2019/1</w:t>
      </w:r>
      <w:r w:rsidRPr="00290335">
        <w:rPr>
          <w:rFonts w:eastAsia="Malgun Gothic"/>
          <w:szCs w:val="18"/>
          <w:lang w:eastAsia="ko-KR"/>
        </w:rPr>
        <w:t xml:space="preserve">. </w:t>
      </w:r>
    </w:p>
  </w:footnote>
  <w:footnote w:id="29">
    <w:p w14:paraId="482D2758" w14:textId="77777777" w:rsidR="00566D7A" w:rsidRPr="00000473" w:rsidRDefault="00566D7A" w:rsidP="005B4016">
      <w:pPr>
        <w:pStyle w:val="FootnoteText"/>
        <w:widowControl w:val="0"/>
        <w:tabs>
          <w:tab w:val="clear" w:pos="1021"/>
          <w:tab w:val="right" w:pos="1020"/>
        </w:tabs>
        <w:rPr>
          <w:lang w:val="en-US"/>
        </w:rPr>
      </w:pPr>
      <w:r>
        <w:tab/>
      </w:r>
      <w:r>
        <w:rPr>
          <w:rStyle w:val="FootnoteReference"/>
        </w:rPr>
        <w:footnoteRef/>
      </w:r>
      <w:r>
        <w:tab/>
      </w:r>
      <w:hyperlink r:id="rId2" w:history="1">
        <w:r w:rsidRPr="006E3BC7">
          <w:rPr>
            <w:rStyle w:val="Hyperlink"/>
          </w:rPr>
          <w:t>https://www4.unfccc.int/sites/submissionsstaging/Pages/Home.aspx</w:t>
        </w:r>
      </w:hyperlink>
      <w:r>
        <w:t xml:space="preserve">. </w:t>
      </w:r>
    </w:p>
  </w:footnote>
  <w:footnote w:id="30">
    <w:p w14:paraId="074B4239" w14:textId="77777777" w:rsidR="00566D7A" w:rsidRPr="00290335" w:rsidRDefault="00566D7A" w:rsidP="005B4016">
      <w:pPr>
        <w:pStyle w:val="FootnoteText"/>
        <w:widowControl w:val="0"/>
        <w:tabs>
          <w:tab w:val="clear" w:pos="1021"/>
          <w:tab w:val="right" w:pos="1020"/>
        </w:tabs>
        <w:rPr>
          <w:lang w:val="en-US"/>
        </w:rPr>
      </w:pPr>
      <w:r w:rsidRPr="00290335">
        <w:tab/>
      </w:r>
      <w:r w:rsidRPr="00290335">
        <w:rPr>
          <w:rStyle w:val="FootnoteReference"/>
        </w:rPr>
        <w:footnoteRef/>
      </w:r>
      <w:r w:rsidRPr="00290335">
        <w:tab/>
      </w:r>
      <w:r w:rsidRPr="00290335">
        <w:rPr>
          <w:rFonts w:eastAsia="Malgun Gothic"/>
          <w:szCs w:val="18"/>
          <w:lang w:eastAsia="ko-KR"/>
        </w:rPr>
        <w:t>FCCC/CP/2019/10−FCCC/PA/CMA/2019/3, annex IV.</w:t>
      </w:r>
      <w:r w:rsidRPr="00290335">
        <w:t xml:space="preserve"> </w:t>
      </w:r>
    </w:p>
  </w:footnote>
  <w:footnote w:id="31">
    <w:p w14:paraId="6D3843B8" w14:textId="77777777" w:rsidR="00566D7A" w:rsidRPr="00290335" w:rsidRDefault="00566D7A" w:rsidP="005B4016">
      <w:pPr>
        <w:pStyle w:val="FootnoteText"/>
        <w:widowControl w:val="0"/>
        <w:tabs>
          <w:tab w:val="clear" w:pos="1021"/>
          <w:tab w:val="right" w:pos="1020"/>
        </w:tabs>
        <w:rPr>
          <w:lang w:val="en-US"/>
        </w:rPr>
      </w:pPr>
      <w:r w:rsidRPr="00290335">
        <w:tab/>
      </w:r>
      <w:r w:rsidRPr="00290335">
        <w:rPr>
          <w:rStyle w:val="FootnoteReference"/>
        </w:rPr>
        <w:footnoteRef/>
      </w:r>
      <w:r w:rsidRPr="00290335">
        <w:tab/>
        <w:t>Pursuant to decision 2/CP.17, annex VI, para. 10.</w:t>
      </w:r>
    </w:p>
  </w:footnote>
  <w:footnote w:id="32">
    <w:p w14:paraId="44E00FF0" w14:textId="77777777" w:rsidR="00566D7A" w:rsidRPr="00D639A2" w:rsidRDefault="00566D7A" w:rsidP="00365E16">
      <w:pPr>
        <w:pStyle w:val="FootnoteText"/>
        <w:widowControl w:val="0"/>
      </w:pPr>
      <w:r>
        <w:tab/>
      </w:r>
      <w:r>
        <w:rPr>
          <w:rStyle w:val="FootnoteReference"/>
        </w:rPr>
        <w:footnoteRef/>
      </w:r>
      <w:r>
        <w:t xml:space="preserve"> </w:t>
      </w:r>
      <w:r>
        <w:tab/>
        <w:t>F</w:t>
      </w:r>
      <w:r w:rsidRPr="00A011A9">
        <w:rPr>
          <w:szCs w:val="22"/>
        </w:rPr>
        <w:t>CCC/CP/2019/3 and Add.1.</w:t>
      </w:r>
    </w:p>
  </w:footnote>
  <w:footnote w:id="33">
    <w:p w14:paraId="62D04BBE" w14:textId="1FE7A408" w:rsidR="00566D7A" w:rsidRPr="00B646D8" w:rsidRDefault="00566D7A" w:rsidP="0001129D">
      <w:pPr>
        <w:pStyle w:val="FootnoteText"/>
      </w:pPr>
      <w:r>
        <w:tab/>
      </w:r>
      <w:r>
        <w:rPr>
          <w:rStyle w:val="FootnoteReference"/>
        </w:rPr>
        <w:footnoteRef/>
      </w:r>
      <w:r>
        <w:tab/>
      </w:r>
      <w:r w:rsidRPr="00652504">
        <w:t>Green Climate Fund Board decision GCF/B.13/10.</w:t>
      </w:r>
    </w:p>
  </w:footnote>
  <w:footnote w:id="34">
    <w:p w14:paraId="6BF6A4E4" w14:textId="77777777" w:rsidR="00566D7A" w:rsidRPr="00811A1F" w:rsidRDefault="00566D7A" w:rsidP="00365E16">
      <w:pPr>
        <w:pStyle w:val="FootnoteText"/>
        <w:widowControl w:val="0"/>
      </w:pPr>
      <w:r>
        <w:tab/>
      </w:r>
      <w:r>
        <w:rPr>
          <w:rStyle w:val="FootnoteReference"/>
        </w:rPr>
        <w:footnoteRef/>
      </w:r>
      <w:r>
        <w:t xml:space="preserve"> </w:t>
      </w:r>
      <w:r>
        <w:tab/>
        <w:t>D</w:t>
      </w:r>
      <w:r w:rsidRPr="005072D4">
        <w:t>ecision 9/CMA.1, para</w:t>
      </w:r>
      <w:r>
        <w:t>.</w:t>
      </w:r>
      <w:r w:rsidRPr="005072D4">
        <w:t xml:space="preserve"> 21</w:t>
      </w:r>
      <w:r>
        <w:t>.</w:t>
      </w:r>
    </w:p>
  </w:footnote>
  <w:footnote w:id="35">
    <w:p w14:paraId="7020BC1B" w14:textId="77777777" w:rsidR="00566D7A" w:rsidRPr="00AA56E7" w:rsidRDefault="00566D7A" w:rsidP="00365E16">
      <w:pPr>
        <w:pStyle w:val="FootnoteText"/>
        <w:widowControl w:val="0"/>
        <w:rPr>
          <w:lang w:val="en-US"/>
        </w:rPr>
      </w:pPr>
      <w:r>
        <w:tab/>
      </w:r>
      <w:r>
        <w:rPr>
          <w:rStyle w:val="FootnoteReference"/>
        </w:rPr>
        <w:footnoteRef/>
      </w:r>
      <w:r>
        <w:t xml:space="preserve"> </w:t>
      </w:r>
      <w:r>
        <w:tab/>
        <w:t xml:space="preserve">Pursuant to </w:t>
      </w:r>
      <w:r w:rsidRPr="00213876">
        <w:t>Green Climate Fund Board document GCF/B.1</w:t>
      </w:r>
      <w:r>
        <w:t>7</w:t>
      </w:r>
      <w:r w:rsidRPr="00213876">
        <w:t>/10</w:t>
      </w:r>
      <w:r>
        <w:t>.</w:t>
      </w:r>
    </w:p>
  </w:footnote>
  <w:footnote w:id="36">
    <w:p w14:paraId="32DD4C9F" w14:textId="77777777" w:rsidR="00566D7A" w:rsidRPr="00A80F8B" w:rsidRDefault="00566D7A" w:rsidP="00365E16">
      <w:pPr>
        <w:pStyle w:val="FootnoteText"/>
        <w:widowControl w:val="0"/>
        <w:rPr>
          <w:lang w:val="en-US"/>
        </w:rPr>
      </w:pPr>
      <w:r>
        <w:tab/>
      </w:r>
      <w:r>
        <w:rPr>
          <w:rStyle w:val="FootnoteReference"/>
        </w:rPr>
        <w:footnoteRef/>
      </w:r>
      <w:r>
        <w:t xml:space="preserve"> </w:t>
      </w:r>
      <w:r>
        <w:tab/>
      </w:r>
      <w:r w:rsidRPr="00B020E2">
        <w:t>Green Climate Fund</w:t>
      </w:r>
      <w:r w:rsidRPr="00A80F8B">
        <w:rPr>
          <w:lang w:val="en-US"/>
        </w:rPr>
        <w:t xml:space="preserve"> Board decisions </w:t>
      </w:r>
      <w:r>
        <w:rPr>
          <w:lang w:val="en-US"/>
        </w:rPr>
        <w:t>GCF/</w:t>
      </w:r>
      <w:r w:rsidRPr="00A80F8B">
        <w:rPr>
          <w:lang w:val="en-US"/>
        </w:rPr>
        <w:t xml:space="preserve">B.22/10 and </w:t>
      </w:r>
      <w:r>
        <w:rPr>
          <w:lang w:val="en-US"/>
        </w:rPr>
        <w:t>GCF/</w:t>
      </w:r>
      <w:r w:rsidRPr="00A80F8B">
        <w:rPr>
          <w:lang w:val="en-US"/>
        </w:rPr>
        <w:t>B.22/11.</w:t>
      </w:r>
    </w:p>
  </w:footnote>
  <w:footnote w:id="37">
    <w:p w14:paraId="6ED1507E" w14:textId="5E64755C" w:rsidR="00566D7A" w:rsidRPr="00224369" w:rsidRDefault="00566D7A" w:rsidP="00365E16">
      <w:pPr>
        <w:pStyle w:val="FootnoteText"/>
        <w:widowControl w:val="0"/>
        <w:rPr>
          <w:lang w:val="en-US"/>
        </w:rPr>
      </w:pPr>
      <w:r>
        <w:tab/>
      </w:r>
      <w:r>
        <w:rPr>
          <w:rStyle w:val="FootnoteReference"/>
        </w:rPr>
        <w:footnoteRef/>
      </w:r>
      <w:r>
        <w:t xml:space="preserve"> </w:t>
      </w:r>
      <w:r>
        <w:tab/>
        <w:t xml:space="preserve">See document </w:t>
      </w:r>
      <w:r w:rsidRPr="00E315EA">
        <w:t>FCCC/SB/2017/1/Add.1, annex</w:t>
      </w:r>
      <w:r>
        <w:t>.</w:t>
      </w:r>
    </w:p>
  </w:footnote>
  <w:footnote w:id="38">
    <w:p w14:paraId="6F09DEB7" w14:textId="77777777" w:rsidR="00566D7A" w:rsidRPr="009C0B58" w:rsidRDefault="00566D7A" w:rsidP="00365E16">
      <w:pPr>
        <w:pStyle w:val="FootnoteText"/>
        <w:rPr>
          <w:rFonts w:eastAsia="Malgun Gothic"/>
          <w:lang w:eastAsia="ko-KR"/>
        </w:rPr>
      </w:pPr>
      <w:r>
        <w:tab/>
      </w:r>
      <w:r>
        <w:rPr>
          <w:rStyle w:val="FootnoteReference"/>
        </w:rPr>
        <w:footnoteRef/>
      </w:r>
      <w:r>
        <w:t xml:space="preserve"> </w:t>
      </w:r>
      <w:r>
        <w:tab/>
        <w:t>FCCC/CP/2019/5 and Add.1.</w:t>
      </w:r>
    </w:p>
  </w:footnote>
  <w:footnote w:id="39">
    <w:p w14:paraId="68B216E0" w14:textId="77777777" w:rsidR="00566D7A" w:rsidRPr="00F03C9B" w:rsidRDefault="00566D7A" w:rsidP="00365E16">
      <w:pPr>
        <w:pStyle w:val="FootnoteText"/>
        <w:rPr>
          <w:lang w:val="en-US"/>
        </w:rPr>
      </w:pPr>
      <w:r>
        <w:tab/>
      </w:r>
      <w:r>
        <w:rPr>
          <w:rStyle w:val="FootnoteReference"/>
        </w:rPr>
        <w:footnoteRef/>
      </w:r>
      <w:r>
        <w:tab/>
        <w:t>FCCC/SB/2019/4.</w:t>
      </w:r>
    </w:p>
  </w:footnote>
  <w:footnote w:id="40">
    <w:p w14:paraId="13248E15" w14:textId="77777777" w:rsidR="00566D7A" w:rsidRPr="00FF108D" w:rsidRDefault="00566D7A" w:rsidP="00365E16">
      <w:pPr>
        <w:pStyle w:val="FootnoteText"/>
        <w:rPr>
          <w:lang w:val="en-US"/>
        </w:rPr>
      </w:pPr>
      <w:r>
        <w:tab/>
      </w:r>
      <w:r>
        <w:rPr>
          <w:rStyle w:val="FootnoteReference"/>
        </w:rPr>
        <w:footnoteRef/>
      </w:r>
      <w:r>
        <w:tab/>
      </w:r>
      <w:r w:rsidRPr="00F91EE4">
        <w:t>Pursuant to decision 15/CMA.1, para</w:t>
      </w:r>
      <w:r>
        <w:t>.</w:t>
      </w:r>
      <w:r w:rsidRPr="00F91EE4">
        <w:t xml:space="preserve"> 3</w:t>
      </w:r>
      <w:r>
        <w:t>.</w:t>
      </w:r>
    </w:p>
  </w:footnote>
  <w:footnote w:id="41">
    <w:p w14:paraId="7C6B7505" w14:textId="77777777" w:rsidR="00566D7A" w:rsidRPr="00B51064" w:rsidRDefault="00566D7A" w:rsidP="00365E16">
      <w:pPr>
        <w:pStyle w:val="FootnoteText"/>
        <w:widowControl w:val="0"/>
        <w:tabs>
          <w:tab w:val="clear" w:pos="1021"/>
          <w:tab w:val="right" w:pos="1020"/>
        </w:tabs>
        <w:rPr>
          <w:b/>
          <w:lang w:val="en-US"/>
        </w:rPr>
      </w:pPr>
      <w:r>
        <w:tab/>
      </w:r>
      <w:r>
        <w:rPr>
          <w:rStyle w:val="FootnoteReference"/>
        </w:rPr>
        <w:footnoteRef/>
      </w:r>
      <w:r>
        <w:tab/>
        <w:t>See the r</w:t>
      </w:r>
      <w:r w:rsidRPr="00B51064">
        <w:t>olling workplan of the Technology Executive Committee for 2019</w:t>
      </w:r>
      <w:r>
        <w:t>–</w:t>
      </w:r>
      <w:r w:rsidRPr="00B51064">
        <w:t>2022</w:t>
      </w:r>
      <w:r>
        <w:t xml:space="preserve">, available at </w:t>
      </w:r>
      <w:hyperlink r:id="rId3" w:history="1">
        <w:r w:rsidRPr="00455ECF">
          <w:rPr>
            <w:rStyle w:val="Hyperlink"/>
          </w:rPr>
          <w:t>https://bit.ly/36ESdPG</w:t>
        </w:r>
      </w:hyperlink>
      <w:r w:rsidRPr="00B51064">
        <w:t>.</w:t>
      </w:r>
    </w:p>
  </w:footnote>
  <w:footnote w:id="42">
    <w:p w14:paraId="41754644" w14:textId="77777777" w:rsidR="00566D7A" w:rsidRPr="004E1B7D" w:rsidRDefault="00566D7A" w:rsidP="00365E16">
      <w:pPr>
        <w:pStyle w:val="FootnoteText"/>
        <w:rPr>
          <w:lang w:val="en-US"/>
        </w:rPr>
      </w:pPr>
      <w:r w:rsidRPr="00B51064">
        <w:tab/>
      </w:r>
      <w:r w:rsidRPr="00B51064">
        <w:rPr>
          <w:rStyle w:val="FootnoteReference"/>
        </w:rPr>
        <w:footnoteRef/>
      </w:r>
      <w:r w:rsidRPr="00B51064">
        <w:rPr>
          <w:lang w:val="en-US"/>
        </w:rPr>
        <w:tab/>
      </w:r>
      <w:r>
        <w:rPr>
          <w:lang w:val="en-US"/>
        </w:rPr>
        <w:t xml:space="preserve">See the </w:t>
      </w:r>
      <w:proofErr w:type="spellStart"/>
      <w:r>
        <w:rPr>
          <w:lang w:val="en-US"/>
        </w:rPr>
        <w:t>p</w:t>
      </w:r>
      <w:r w:rsidRPr="00B51064">
        <w:rPr>
          <w:lang w:val="en-US"/>
        </w:rPr>
        <w:t>rogramme</w:t>
      </w:r>
      <w:proofErr w:type="spellEnd"/>
      <w:r w:rsidRPr="00B51064">
        <w:rPr>
          <w:lang w:val="en-US"/>
        </w:rPr>
        <w:t xml:space="preserve"> of work of the Climate Technology Centre and Network for 2</w:t>
      </w:r>
      <w:r>
        <w:rPr>
          <w:lang w:val="en-US"/>
        </w:rPr>
        <w:t>0</w:t>
      </w:r>
      <w:r w:rsidRPr="00B51064">
        <w:rPr>
          <w:lang w:val="en-US"/>
        </w:rPr>
        <w:t>19</w:t>
      </w:r>
      <w:r>
        <w:rPr>
          <w:lang w:val="en-US"/>
        </w:rPr>
        <w:t>–</w:t>
      </w:r>
      <w:r w:rsidRPr="00B51064">
        <w:rPr>
          <w:lang w:val="en-US"/>
        </w:rPr>
        <w:t>2022</w:t>
      </w:r>
      <w:r>
        <w:rPr>
          <w:lang w:val="en-US"/>
        </w:rPr>
        <w:t>, available at</w:t>
      </w:r>
      <w:r w:rsidRPr="00B51064">
        <w:rPr>
          <w:lang w:val="en-US"/>
        </w:rPr>
        <w:t xml:space="preserve"> </w:t>
      </w:r>
      <w:hyperlink r:id="rId4" w:history="1">
        <w:r w:rsidRPr="00B51064">
          <w:rPr>
            <w:rStyle w:val="Hyperlink"/>
            <w:lang w:val="en-US"/>
          </w:rPr>
          <w:t>https://www.ctc-n.org/sites/www.ctc-n.org/files/ctcn_programme_of_work_2019-2022.pdf</w:t>
        </w:r>
      </w:hyperlink>
      <w:r w:rsidRPr="00B51064">
        <w:rPr>
          <w:lang w:val="en-US"/>
        </w:rPr>
        <w:t>.</w:t>
      </w:r>
      <w:r>
        <w:rPr>
          <w:lang w:val="en-US"/>
        </w:rPr>
        <w:t xml:space="preserve"> </w:t>
      </w:r>
    </w:p>
  </w:footnote>
  <w:footnote w:id="43">
    <w:p w14:paraId="7267859B" w14:textId="77777777" w:rsidR="00566D7A" w:rsidRPr="00BB7DF2" w:rsidRDefault="00566D7A" w:rsidP="001F6DE2">
      <w:pPr>
        <w:pStyle w:val="FootnoteText"/>
        <w:rPr>
          <w:lang w:val="en-US"/>
        </w:rPr>
      </w:pPr>
      <w:r>
        <w:tab/>
      </w:r>
      <w:r w:rsidRPr="00BB7DF2">
        <w:rPr>
          <w:rStyle w:val="FootnoteReference"/>
        </w:rPr>
        <w:footnoteRef/>
      </w:r>
      <w:r w:rsidRPr="00BB7DF2">
        <w:tab/>
      </w:r>
      <w:r w:rsidRPr="00BB7DF2">
        <w:tab/>
        <w:t xml:space="preserve">Decision 8/CMA.1, para. 3. </w:t>
      </w:r>
    </w:p>
  </w:footnote>
  <w:footnote w:id="44">
    <w:p w14:paraId="087D7EED" w14:textId="4ACBD3A1" w:rsidR="00566D7A" w:rsidRPr="00977E3E" w:rsidRDefault="00566D7A" w:rsidP="001F6DE2">
      <w:pPr>
        <w:pStyle w:val="FootnoteText"/>
      </w:pPr>
      <w:r w:rsidRPr="00BB7DF2">
        <w:tab/>
      </w:r>
      <w:r w:rsidRPr="00BB7DF2">
        <w:rPr>
          <w:rStyle w:val="FootnoteReference"/>
        </w:rPr>
        <w:footnoteRef/>
      </w:r>
      <w:r w:rsidRPr="00BB7DF2">
        <w:tab/>
        <w:t xml:space="preserve">Draft decision texts on </w:t>
      </w:r>
      <w:r>
        <w:br/>
      </w:r>
      <w:r w:rsidRPr="00BB7DF2">
        <w:t xml:space="preserve">guidance on cooperative approaches referred to in Article 6, paragraph 2, of the Paris Agreement, available at </w:t>
      </w:r>
      <w:hyperlink r:id="rId5" w:history="1">
        <w:r w:rsidRPr="005C5007">
          <w:rPr>
            <w:rStyle w:val="Hyperlink"/>
          </w:rPr>
          <w:t>https://unfccc.int/documents/204687</w:t>
        </w:r>
      </w:hyperlink>
      <w:r>
        <w:t xml:space="preserve"> (third iteration, 15 December), </w:t>
      </w:r>
      <w:hyperlink r:id="rId6" w:history="1">
        <w:r w:rsidRPr="005C5007">
          <w:rPr>
            <w:rStyle w:val="Hyperlink"/>
          </w:rPr>
          <w:t>https://unfccc.int/documents/202115</w:t>
        </w:r>
      </w:hyperlink>
      <w:r>
        <w:t xml:space="preserve"> (second iteration, 14 December) and </w:t>
      </w:r>
      <w:hyperlink r:id="rId7" w:history="1">
        <w:r w:rsidRPr="005C5007">
          <w:rPr>
            <w:rStyle w:val="Hyperlink"/>
          </w:rPr>
          <w:t>https://unfccc.int/documents/204639</w:t>
        </w:r>
      </w:hyperlink>
      <w:r>
        <w:t xml:space="preserve"> (first iteration, 13 December); </w:t>
      </w:r>
      <w:r>
        <w:br/>
      </w:r>
      <w:r w:rsidRPr="00BB7DF2">
        <w:t xml:space="preserve">rules, modalities and procedures for the mechanism established by Article 6, paragraph 4, of the Paris Agreement, available at </w:t>
      </w:r>
      <w:hyperlink r:id="rId8" w:history="1">
        <w:r w:rsidRPr="005C5007">
          <w:rPr>
            <w:rStyle w:val="Hyperlink"/>
          </w:rPr>
          <w:t>https://unfccc.int/documents/204686</w:t>
        </w:r>
      </w:hyperlink>
      <w:r>
        <w:t xml:space="preserve"> (third iteration, 15 December), </w:t>
      </w:r>
      <w:hyperlink r:id="rId9" w:history="1">
        <w:r w:rsidRPr="005C5007">
          <w:rPr>
            <w:rStyle w:val="Hyperlink"/>
          </w:rPr>
          <w:t>https://unfccc.int/documents/201918</w:t>
        </w:r>
      </w:hyperlink>
      <w:r>
        <w:t xml:space="preserve"> (second iteration, 14 December) and </w:t>
      </w:r>
      <w:hyperlink r:id="rId10" w:history="1">
        <w:r w:rsidRPr="005C5007">
          <w:rPr>
            <w:rStyle w:val="Hyperlink"/>
          </w:rPr>
          <w:t>https://unfccc.int/documents/204644</w:t>
        </w:r>
      </w:hyperlink>
      <w:r>
        <w:t xml:space="preserve"> (first iteration, 13 December); </w:t>
      </w:r>
      <w:hyperlink r:id="rId11" w:history="1"/>
      <w:r w:rsidRPr="00BB7DF2">
        <w:t xml:space="preserve">and </w:t>
      </w:r>
      <w:r>
        <w:br/>
      </w:r>
      <w:r w:rsidRPr="00BB7DF2">
        <w:t>the work programme under the framework for non-market approaches referred to in Article 6, paragraph 8, of the Paris Agreement</w:t>
      </w:r>
      <w:r>
        <w:t>,</w:t>
      </w:r>
      <w:r w:rsidRPr="00BB7DF2">
        <w:t xml:space="preserve"> available at </w:t>
      </w:r>
      <w:hyperlink r:id="rId12" w:history="1">
        <w:r w:rsidRPr="005C5007">
          <w:rPr>
            <w:rStyle w:val="Hyperlink"/>
          </w:rPr>
          <w:t>https://unfccc.int/documents/204667</w:t>
        </w:r>
      </w:hyperlink>
      <w:r>
        <w:t xml:space="preserve"> (third iteration, 15 December), </w:t>
      </w:r>
      <w:hyperlink r:id="rId13" w:history="1">
        <w:r w:rsidRPr="005C5007">
          <w:rPr>
            <w:rStyle w:val="Hyperlink"/>
          </w:rPr>
          <w:t>https://unfccc.int/documents/202118</w:t>
        </w:r>
      </w:hyperlink>
      <w:r>
        <w:t xml:space="preserve"> (second iteration, 14 December) and </w:t>
      </w:r>
      <w:hyperlink r:id="rId14" w:history="1">
        <w:r w:rsidRPr="005C5007">
          <w:rPr>
            <w:rStyle w:val="Hyperlink"/>
          </w:rPr>
          <w:t>https://unfccc.int/documents/204638</w:t>
        </w:r>
      </w:hyperlink>
      <w:r>
        <w:t xml:space="preserve"> (first iteration, 13 December).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2F29A" w14:textId="77777777" w:rsidR="00566D7A" w:rsidRPr="002657AA" w:rsidRDefault="00566D7A" w:rsidP="002657AA">
    <w:pPr>
      <w:pStyle w:val="Header"/>
    </w:pPr>
    <w:r>
      <w:t>FCCC/PA/CMA/2019/X/Add.1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C1120" w14:textId="7BA18C70" w:rsidR="00566D7A" w:rsidRPr="0079660F" w:rsidRDefault="00566D7A" w:rsidP="006A6183">
    <w:pPr>
      <w:pStyle w:val="Header"/>
    </w:pPr>
    <w:r>
      <w:t>FCCC/PA/CMA/2019/X/Add.1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D5ADF" w14:textId="6BF43CBC" w:rsidR="00566D7A" w:rsidRPr="006B523B" w:rsidRDefault="00566D7A" w:rsidP="006B523B">
    <w:pPr>
      <w:pStyle w:val="Header"/>
      <w:jc w:val="right"/>
    </w:pPr>
    <w:r>
      <w:t>FCCC/PA/CMA/2019/6/Add.1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3DED4" w14:textId="49AB464F" w:rsidR="00566D7A" w:rsidRPr="006B523B" w:rsidRDefault="00566D7A" w:rsidP="006B523B">
    <w:pPr>
      <w:pStyle w:val="Header"/>
    </w:pPr>
    <w:r>
      <w:t>FCCC/PA/CMA/2019/6/Add.1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D873" w14:textId="4AB51A31" w:rsidR="00566D7A" w:rsidRPr="006B523B" w:rsidRDefault="00566D7A" w:rsidP="006B523B">
    <w:pPr>
      <w:pStyle w:val="Header"/>
      <w:jc w:val="right"/>
    </w:pPr>
    <w:r>
      <w:t>FCCC/PA/CMA/2019/6/Add.1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91B99" w14:textId="1CF28BA5" w:rsidR="00566D7A" w:rsidRPr="00A61965" w:rsidRDefault="00566D7A" w:rsidP="00A61965">
    <w:r>
      <w:rPr>
        <w:noProof/>
      </w:rPr>
      <mc:AlternateContent>
        <mc:Choice Requires="wps">
          <w:drawing>
            <wp:anchor distT="0" distB="0" distL="114300" distR="114300" simplePos="0" relativeHeight="251658240" behindDoc="0" locked="0" layoutInCell="1" allowOverlap="1" wp14:anchorId="1FE3FA82" wp14:editId="77E6273D">
              <wp:simplePos x="0" y="0"/>
              <wp:positionH relativeFrom="page">
                <wp:posOffset>9935845</wp:posOffset>
              </wp:positionH>
              <wp:positionV relativeFrom="margin">
                <wp:posOffset>0</wp:posOffset>
              </wp:positionV>
              <wp:extent cx="215900" cy="6120130"/>
              <wp:effectExtent l="0" t="0" r="12700"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529057CF" w14:textId="459A94BA" w:rsidR="00566D7A" w:rsidRDefault="00566D7A" w:rsidP="00A61965">
                          <w:pPr>
                            <w:pStyle w:val="Header"/>
                          </w:pPr>
                          <w:r>
                            <w:t>FCCC/PA/CMA/2019/X/Add.1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FE3FA82" id="_x0000_t202" coordsize="21600,21600" o:spt="202" path="m,l,21600r21600,l21600,xe">
              <v:stroke joinstyle="miter"/>
              <v:path gradientshapeok="t" o:connecttype="rect"/>
            </v:shapetype>
            <v:shape id="Text Box 4" o:spid="_x0000_s1026" type="#_x0000_t202" style="position:absolute;margin-left:782.35pt;margin-top:0;width:17pt;height:481.9pt;z-index:251658240;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" filled="f" stroked="f">
              <v:stroke joinstyle="round"/>
              <v:path arrowok="t"/>
              <v:textbox style="layout-flow:vertical" inset="0,0,0,0">
                <w:txbxContent>
                  <w:p w14:paraId="529057CF" w14:textId="459A94BA" w:rsidR="00566D7A" w:rsidRDefault="00566D7A" w:rsidP="00A61965">
                    <w:pPr>
                      <w:pStyle w:val="Header"/>
                    </w:pPr>
                    <w:r>
                      <w:t>FCCC/PA/CMA/2019/X/Add.1</w:t>
                    </w:r>
                  </w:p>
                </w:txbxContent>
              </v:textbox>
              <w10:wrap anchorx="page" anchory="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B3B87" w14:textId="6E176A30" w:rsidR="00566D7A" w:rsidRPr="006B523B" w:rsidRDefault="00566D7A" w:rsidP="006B523B">
    <w:pPr>
      <w:pStyle w:val="Header"/>
      <w:jc w:val="right"/>
    </w:pPr>
    <w:r>
      <w:t>FCCC/PA/CMA/2019/6/Add.1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1A3FF" w14:textId="4591227E" w:rsidR="00566D7A" w:rsidRPr="006B523B" w:rsidRDefault="00566D7A" w:rsidP="006B523B">
    <w:r>
      <w:rPr>
        <w:noProof/>
      </w:rPr>
      <mc:AlternateContent>
        <mc:Choice Requires="wps">
          <w:drawing>
            <wp:anchor distT="0" distB="0" distL="114300" distR="114300" simplePos="0" relativeHeight="251667457" behindDoc="0" locked="0" layoutInCell="1" allowOverlap="1" wp14:anchorId="6BE51430" wp14:editId="13D37A02">
              <wp:simplePos x="0" y="0"/>
              <wp:positionH relativeFrom="page">
                <wp:posOffset>9935845</wp:posOffset>
              </wp:positionH>
              <wp:positionV relativeFrom="margin">
                <wp:posOffset>0</wp:posOffset>
              </wp:positionV>
              <wp:extent cx="215900" cy="6120130"/>
              <wp:effectExtent l="0" t="0" r="12700"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2F90924C" w14:textId="11694904" w:rsidR="00566D7A" w:rsidRDefault="00566D7A" w:rsidP="006B523B">
                          <w:pPr>
                            <w:pStyle w:val="Header"/>
                          </w:pPr>
                          <w:r>
                            <w:t>FCCC/PA/CMA/2019/6/Add.1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BE51430" id="_x0000_t202" coordsize="21600,21600" o:spt="202" path="m,l,21600r21600,l21600,xe">
              <v:stroke joinstyle="miter"/>
              <v:path gradientshapeok="t" o:connecttype="rect"/>
            </v:shapetype>
            <v:shape id="Text Box 15" o:spid="_x0000_s1027" type="#_x0000_t202" style="position:absolute;margin-left:782.35pt;margin-top:0;width:17pt;height:481.9pt;z-index:251667457;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" filled="f" stroked="f">
              <v:stroke joinstyle="round"/>
              <v:path arrowok="t"/>
              <v:textbox style="layout-flow:vertical" inset="0,0,0,0">
                <w:txbxContent>
                  <w:p w14:paraId="2F90924C" w14:textId="11694904" w:rsidR="00566D7A" w:rsidRDefault="00566D7A" w:rsidP="006B523B">
                    <w:pPr>
                      <w:pStyle w:val="Header"/>
                    </w:pPr>
                    <w:r>
                      <w:t>FCCC/PA/CMA/2019/6/Add.1</w:t>
                    </w:r>
                  </w:p>
                </w:txbxContent>
              </v:textbox>
              <w10:wrap anchorx="page" anchory="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73D16" w14:textId="5851A4AC" w:rsidR="00566D7A" w:rsidRDefault="00566D7A" w:rsidP="006B523B">
    <w:r>
      <w:rPr>
        <w:noProof/>
      </w:rPr>
      <mc:AlternateContent>
        <mc:Choice Requires="wps">
          <w:drawing>
            <wp:anchor distT="0" distB="0" distL="114300" distR="114300" simplePos="0" relativeHeight="251665409" behindDoc="0" locked="0" layoutInCell="1" allowOverlap="1" wp14:anchorId="37FAB569" wp14:editId="28EA1800">
              <wp:simplePos x="0" y="0"/>
              <wp:positionH relativeFrom="page">
                <wp:posOffset>9935845</wp:posOffset>
              </wp:positionH>
              <wp:positionV relativeFrom="margin">
                <wp:posOffset>0</wp:posOffset>
              </wp:positionV>
              <wp:extent cx="215900" cy="6120130"/>
              <wp:effectExtent l="0" t="0" r="12700" b="139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57B48C6" w14:textId="6EA7DD67" w:rsidR="00566D7A" w:rsidRDefault="00566D7A" w:rsidP="006B523B">
                          <w:pPr>
                            <w:pStyle w:val="Header"/>
                            <w:jc w:val="right"/>
                          </w:pPr>
                          <w:r>
                            <w:t>FCCC/PA/CMA/2019/6/Add.1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7FAB569" id="_x0000_t202" coordsize="21600,21600" o:spt="202" path="m,l,21600r21600,l21600,xe">
              <v:stroke joinstyle="miter"/>
              <v:path gradientshapeok="t" o:connecttype="rect"/>
            </v:shapetype>
            <v:shape id="Text Box 11" o:spid="_x0000_s1028" type="#_x0000_t202" style="position:absolute;margin-left:782.35pt;margin-top:0;width:17pt;height:481.9pt;z-index:251665409;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" filled="f" stroked="f">
              <v:stroke joinstyle="round"/>
              <v:path arrowok="t"/>
              <v:textbox style="layout-flow:vertical" inset="0,0,0,0">
                <w:txbxContent>
                  <w:p w14:paraId="157B48C6" w14:textId="6EA7DD67" w:rsidR="00566D7A" w:rsidRDefault="00566D7A" w:rsidP="006B523B">
                    <w:pPr>
                      <w:pStyle w:val="Header"/>
                      <w:jc w:val="right"/>
                    </w:pPr>
                    <w:r>
                      <w:t>FCCC/PA/CMA/2019/6/Add.1</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9473D" w14:textId="5FBA6CAC" w:rsidR="00566D7A" w:rsidRPr="006B523B" w:rsidRDefault="00566D7A" w:rsidP="006B523B">
    <w:pPr>
      <w:pStyle w:val="Header"/>
    </w:pPr>
    <w:r>
      <w:t>FCCC/PA/CMA/2019/6/Add.1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9A44" w14:textId="0DE7EA6A" w:rsidR="00566D7A" w:rsidRPr="006B523B" w:rsidRDefault="00566D7A" w:rsidP="006B523B">
    <w:pPr>
      <w:pStyle w:val="Header"/>
      <w:jc w:val="right"/>
    </w:pPr>
    <w:r>
      <w:t>FCCC/PA/CMA/2019/6/Add.1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D9DCC" w14:textId="77777777" w:rsidR="00566D7A" w:rsidRPr="002657AA" w:rsidRDefault="00566D7A" w:rsidP="002657AA">
    <w:pPr>
      <w:pStyle w:val="Header"/>
      <w:jc w:val="right"/>
    </w:pPr>
    <w:r>
      <w:t>FCCC/PA/CMA/2019/X/Add.1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BE407" w14:textId="01530442" w:rsidR="00566D7A" w:rsidRPr="006B523B" w:rsidRDefault="00566D7A" w:rsidP="006B523B">
    <w:pPr>
      <w:pStyle w:val="Header"/>
      <w:jc w:val="right"/>
    </w:pPr>
    <w:r>
      <w:t>FCCC/PA/CMA/2019/6/Add.1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4A5FE" w14:textId="58D62A14" w:rsidR="00566D7A" w:rsidRPr="006B523B" w:rsidRDefault="00566D7A" w:rsidP="006B523B">
    <w:pPr>
      <w:pStyle w:val="Header"/>
    </w:pPr>
    <w:r>
      <w:t>FCCC/PA/CMA/2019/6/Add.1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B2CE" w14:textId="0569463F" w:rsidR="00566D7A" w:rsidRPr="00507B6B" w:rsidRDefault="00566D7A" w:rsidP="00507B6B">
    <w:pPr>
      <w:pStyle w:val="Header"/>
      <w:jc w:val="right"/>
    </w:pPr>
    <w:r>
      <w:t>FCCC/PA/CMA/2019/X/Add.1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F98CA" w14:textId="289B4B05" w:rsidR="00566D7A" w:rsidRPr="006B523B" w:rsidRDefault="00566D7A" w:rsidP="006B523B">
    <w:pPr>
      <w:pStyle w:val="Header"/>
      <w:jc w:val="right"/>
    </w:pPr>
    <w:r>
      <w:t>FCCC/PA/CMA/2019/6/Add.1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A0414" w14:textId="0773104D" w:rsidR="00566D7A" w:rsidRPr="006B523B" w:rsidRDefault="00566D7A" w:rsidP="006B523B">
    <w:pPr>
      <w:pStyle w:val="Header"/>
    </w:pPr>
    <w:r>
      <w:t>FCCC/PA/CMA/2019/6/Add.1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A610" w14:textId="6E23611E" w:rsidR="00566D7A" w:rsidRPr="00507B6B" w:rsidRDefault="00566D7A" w:rsidP="00507B6B">
    <w:pPr>
      <w:pStyle w:val="Header"/>
      <w:jc w:val="right"/>
    </w:pPr>
    <w:r>
      <w:t>FCCC/PA/CMA/2019/X/Add.1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729B0" w14:textId="78ACCB28" w:rsidR="00566D7A" w:rsidRPr="006B523B" w:rsidRDefault="00566D7A" w:rsidP="006B523B">
    <w:pPr>
      <w:pStyle w:val="Header"/>
    </w:pPr>
    <w:r>
      <w:t>FCCC/PA/CMA/2019/6/Add.1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82906" w14:textId="17FAC587" w:rsidR="00566D7A" w:rsidRPr="006B523B" w:rsidRDefault="00566D7A" w:rsidP="006B523B">
    <w:pPr>
      <w:pStyle w:val="Header"/>
      <w:jc w:val="right"/>
    </w:pPr>
    <w:r>
      <w:t>FCCC/PA/CMA/2019/6/Add.1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A60C1" w14:textId="77777777" w:rsidR="00566D7A" w:rsidRDefault="00566D7A" w:rsidP="003849DD">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B56A8" w14:textId="43FEBAC5" w:rsidR="00566D7A" w:rsidRPr="006B523B" w:rsidRDefault="00566D7A" w:rsidP="006B523B">
    <w:pPr>
      <w:pStyle w:val="Header"/>
    </w:pPr>
    <w:r>
      <w:t>FCCC/PA/CMA/2019/6/Add.1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C84DC" w14:textId="1E4FFC92" w:rsidR="00566D7A" w:rsidRPr="006B523B" w:rsidRDefault="00566D7A" w:rsidP="006B523B">
    <w:pPr>
      <w:pStyle w:val="Header"/>
      <w:jc w:val="right"/>
    </w:pPr>
    <w:r>
      <w:t>FCCC/PA/CMA/2019/6/Add.1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68084" w14:textId="1F6B7700" w:rsidR="00566D7A" w:rsidRPr="006B523B" w:rsidRDefault="00566D7A" w:rsidP="006B523B">
    <w:pPr>
      <w:pStyle w:val="Header"/>
    </w:pPr>
    <w:r>
      <w:t>FCCC/PA/CMA/2019/6/Add.1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EFC0A" w14:textId="78C0FCB5" w:rsidR="00566D7A" w:rsidRPr="006B523B" w:rsidRDefault="00566D7A" w:rsidP="006B523B">
    <w:pPr>
      <w:pStyle w:val="Header"/>
      <w:jc w:val="right"/>
    </w:pPr>
    <w:r>
      <w:t>FCCC/PA/CMA/2019/6/Add.1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208D5" w14:textId="23EBFC2D" w:rsidR="00566D7A" w:rsidRPr="006B523B" w:rsidRDefault="00566D7A" w:rsidP="006B523B">
    <w:pPr>
      <w:pStyle w:val="Header"/>
    </w:pPr>
    <w:r>
      <w:t>FCCC/PA/CMA/2019/6/Add.1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7CCD" w14:textId="77777777" w:rsidR="00566D7A" w:rsidRPr="00365E16" w:rsidRDefault="00566D7A" w:rsidP="00365E16">
    <w:pPr>
      <w:pStyle w:val="Header"/>
      <w:jc w:val="right"/>
    </w:pPr>
    <w:r>
      <w:t>FCCC/PA/CMA/2019/X/Add.1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FB6B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B8A6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1A01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C03F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4C01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A0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8697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D02E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3E73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7CC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DA4318"/>
    <w:multiLevelType w:val="hybridMultilevel"/>
    <w:tmpl w:val="5FB8903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1023354E"/>
    <w:multiLevelType w:val="multilevel"/>
    <w:tmpl w:val="58C4CB9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63178D3"/>
    <w:multiLevelType w:val="hybridMultilevel"/>
    <w:tmpl w:val="9EF4A480"/>
    <w:lvl w:ilvl="0" w:tplc="326CC192">
      <w:start w:val="1"/>
      <w:numFmt w:val="decimal"/>
      <w:lvlText w:val="%1."/>
      <w:lvlJc w:val="left"/>
      <w:pPr>
        <w:ind w:left="720" w:hanging="360"/>
      </w:pPr>
      <w:rPr>
        <w:rFonts w:cstheme="minorHAnsi"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1"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A1557"/>
    <w:multiLevelType w:val="hybridMultilevel"/>
    <w:tmpl w:val="9E2CACFE"/>
    <w:lvl w:ilvl="0" w:tplc="F32C731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21"/>
  </w:num>
  <w:num w:numId="4">
    <w:abstractNumId w:val="11"/>
  </w:num>
  <w:num w:numId="5">
    <w:abstractNumId w:val="10"/>
  </w:num>
  <w:num w:numId="6">
    <w:abstractNumId w:val="27"/>
  </w:num>
  <w:num w:numId="7">
    <w:abstractNumId w:val="20"/>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4"/>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AA"/>
    <w:rsid w:val="00002558"/>
    <w:rsid w:val="0000341C"/>
    <w:rsid w:val="00003982"/>
    <w:rsid w:val="00004A30"/>
    <w:rsid w:val="00007089"/>
    <w:rsid w:val="00010EEA"/>
    <w:rsid w:val="0001129D"/>
    <w:rsid w:val="0001498E"/>
    <w:rsid w:val="00015C9A"/>
    <w:rsid w:val="00021BB6"/>
    <w:rsid w:val="00021F2A"/>
    <w:rsid w:val="0002382B"/>
    <w:rsid w:val="00024963"/>
    <w:rsid w:val="00032DDE"/>
    <w:rsid w:val="00033F97"/>
    <w:rsid w:val="0003578F"/>
    <w:rsid w:val="00037650"/>
    <w:rsid w:val="0003776D"/>
    <w:rsid w:val="000423A6"/>
    <w:rsid w:val="00042465"/>
    <w:rsid w:val="0004709A"/>
    <w:rsid w:val="00050C52"/>
    <w:rsid w:val="0005192E"/>
    <w:rsid w:val="000521C3"/>
    <w:rsid w:val="00052463"/>
    <w:rsid w:val="00052807"/>
    <w:rsid w:val="000555B3"/>
    <w:rsid w:val="000561BD"/>
    <w:rsid w:val="00062505"/>
    <w:rsid w:val="00074855"/>
    <w:rsid w:val="00074EC5"/>
    <w:rsid w:val="00074FC8"/>
    <w:rsid w:val="00076113"/>
    <w:rsid w:val="000773C8"/>
    <w:rsid w:val="00080B96"/>
    <w:rsid w:val="00081C44"/>
    <w:rsid w:val="00083647"/>
    <w:rsid w:val="0008756E"/>
    <w:rsid w:val="00087BE9"/>
    <w:rsid w:val="00090016"/>
    <w:rsid w:val="000913E6"/>
    <w:rsid w:val="00092E29"/>
    <w:rsid w:val="00093044"/>
    <w:rsid w:val="000943B1"/>
    <w:rsid w:val="000974B4"/>
    <w:rsid w:val="000A399F"/>
    <w:rsid w:val="000A4C99"/>
    <w:rsid w:val="000A566F"/>
    <w:rsid w:val="000A7C2B"/>
    <w:rsid w:val="000B0132"/>
    <w:rsid w:val="000B1FD0"/>
    <w:rsid w:val="000B22DB"/>
    <w:rsid w:val="000C0E05"/>
    <w:rsid w:val="000C24E3"/>
    <w:rsid w:val="000C30B3"/>
    <w:rsid w:val="000C35AD"/>
    <w:rsid w:val="000C474F"/>
    <w:rsid w:val="000C5173"/>
    <w:rsid w:val="000C763E"/>
    <w:rsid w:val="000C7FAF"/>
    <w:rsid w:val="000D5DED"/>
    <w:rsid w:val="000D6922"/>
    <w:rsid w:val="000D6D4A"/>
    <w:rsid w:val="000E2312"/>
    <w:rsid w:val="000E2A91"/>
    <w:rsid w:val="000E343D"/>
    <w:rsid w:val="000E3785"/>
    <w:rsid w:val="000E490B"/>
    <w:rsid w:val="000E5A58"/>
    <w:rsid w:val="000E6E68"/>
    <w:rsid w:val="000F13AC"/>
    <w:rsid w:val="000F379C"/>
    <w:rsid w:val="000F4528"/>
    <w:rsid w:val="000F5020"/>
    <w:rsid w:val="000F7EE5"/>
    <w:rsid w:val="001007C9"/>
    <w:rsid w:val="00105F2D"/>
    <w:rsid w:val="00106384"/>
    <w:rsid w:val="00106C77"/>
    <w:rsid w:val="00107536"/>
    <w:rsid w:val="00107B0E"/>
    <w:rsid w:val="0011157B"/>
    <w:rsid w:val="001161E5"/>
    <w:rsid w:val="0011781E"/>
    <w:rsid w:val="00120826"/>
    <w:rsid w:val="00120901"/>
    <w:rsid w:val="001209A8"/>
    <w:rsid w:val="00120E84"/>
    <w:rsid w:val="00123C52"/>
    <w:rsid w:val="00124496"/>
    <w:rsid w:val="00127311"/>
    <w:rsid w:val="001278B4"/>
    <w:rsid w:val="001328F9"/>
    <w:rsid w:val="001349EC"/>
    <w:rsid w:val="00134F15"/>
    <w:rsid w:val="00136D18"/>
    <w:rsid w:val="00136D61"/>
    <w:rsid w:val="00141710"/>
    <w:rsid w:val="00142896"/>
    <w:rsid w:val="00142A35"/>
    <w:rsid w:val="00143038"/>
    <w:rsid w:val="00143CB5"/>
    <w:rsid w:val="00145A6E"/>
    <w:rsid w:val="00152A6E"/>
    <w:rsid w:val="001557BC"/>
    <w:rsid w:val="001562B8"/>
    <w:rsid w:val="001564F1"/>
    <w:rsid w:val="001600D9"/>
    <w:rsid w:val="001727D0"/>
    <w:rsid w:val="00172CF0"/>
    <w:rsid w:val="001738F1"/>
    <w:rsid w:val="00174A05"/>
    <w:rsid w:val="00176D28"/>
    <w:rsid w:val="00177074"/>
    <w:rsid w:val="0017798B"/>
    <w:rsid w:val="001779A3"/>
    <w:rsid w:val="00184462"/>
    <w:rsid w:val="00184C03"/>
    <w:rsid w:val="00186A4F"/>
    <w:rsid w:val="00186B16"/>
    <w:rsid w:val="001906D0"/>
    <w:rsid w:val="001914DA"/>
    <w:rsid w:val="001915EF"/>
    <w:rsid w:val="0019163C"/>
    <w:rsid w:val="00194074"/>
    <w:rsid w:val="0019430F"/>
    <w:rsid w:val="001945C7"/>
    <w:rsid w:val="00194BFA"/>
    <w:rsid w:val="00194E11"/>
    <w:rsid w:val="00195018"/>
    <w:rsid w:val="00196E77"/>
    <w:rsid w:val="001A0A3A"/>
    <w:rsid w:val="001A1FC1"/>
    <w:rsid w:val="001A3E9A"/>
    <w:rsid w:val="001A594B"/>
    <w:rsid w:val="001A5FE8"/>
    <w:rsid w:val="001A70E2"/>
    <w:rsid w:val="001B085A"/>
    <w:rsid w:val="001B1483"/>
    <w:rsid w:val="001B453C"/>
    <w:rsid w:val="001B7C52"/>
    <w:rsid w:val="001C2214"/>
    <w:rsid w:val="001C3DE7"/>
    <w:rsid w:val="001C40F0"/>
    <w:rsid w:val="001C4688"/>
    <w:rsid w:val="001C67E4"/>
    <w:rsid w:val="001C7B87"/>
    <w:rsid w:val="001D012A"/>
    <w:rsid w:val="001D0F0F"/>
    <w:rsid w:val="001D11DC"/>
    <w:rsid w:val="001D2FD8"/>
    <w:rsid w:val="001D6A2A"/>
    <w:rsid w:val="001D7001"/>
    <w:rsid w:val="001E11A0"/>
    <w:rsid w:val="001E2453"/>
    <w:rsid w:val="001E74BF"/>
    <w:rsid w:val="001E7D13"/>
    <w:rsid w:val="001F0C87"/>
    <w:rsid w:val="001F2BBF"/>
    <w:rsid w:val="001F6A1A"/>
    <w:rsid w:val="001F6DE2"/>
    <w:rsid w:val="001F75FA"/>
    <w:rsid w:val="001F7AAD"/>
    <w:rsid w:val="002008AA"/>
    <w:rsid w:val="00201B92"/>
    <w:rsid w:val="002025E1"/>
    <w:rsid w:val="00202C1D"/>
    <w:rsid w:val="00207452"/>
    <w:rsid w:val="0021446A"/>
    <w:rsid w:val="00216589"/>
    <w:rsid w:val="00223453"/>
    <w:rsid w:val="00224111"/>
    <w:rsid w:val="00226267"/>
    <w:rsid w:val="00230D0F"/>
    <w:rsid w:val="00230E77"/>
    <w:rsid w:val="00231FB5"/>
    <w:rsid w:val="00232479"/>
    <w:rsid w:val="00232EAA"/>
    <w:rsid w:val="00235736"/>
    <w:rsid w:val="00240357"/>
    <w:rsid w:val="0024447B"/>
    <w:rsid w:val="00246888"/>
    <w:rsid w:val="00247BF6"/>
    <w:rsid w:val="00250037"/>
    <w:rsid w:val="00251FF9"/>
    <w:rsid w:val="00253D17"/>
    <w:rsid w:val="00256CFB"/>
    <w:rsid w:val="002571A2"/>
    <w:rsid w:val="00257AA3"/>
    <w:rsid w:val="00260BFA"/>
    <w:rsid w:val="002611FE"/>
    <w:rsid w:val="00264F17"/>
    <w:rsid w:val="002657AA"/>
    <w:rsid w:val="00266D68"/>
    <w:rsid w:val="00267B98"/>
    <w:rsid w:val="00267E0B"/>
    <w:rsid w:val="00273E8E"/>
    <w:rsid w:val="0027419E"/>
    <w:rsid w:val="00276A17"/>
    <w:rsid w:val="00276E35"/>
    <w:rsid w:val="002776B4"/>
    <w:rsid w:val="002779EB"/>
    <w:rsid w:val="0028032A"/>
    <w:rsid w:val="002823A1"/>
    <w:rsid w:val="00283275"/>
    <w:rsid w:val="002859C9"/>
    <w:rsid w:val="0029007C"/>
    <w:rsid w:val="00290409"/>
    <w:rsid w:val="00292DC3"/>
    <w:rsid w:val="002933A4"/>
    <w:rsid w:val="00294274"/>
    <w:rsid w:val="002954CD"/>
    <w:rsid w:val="00295866"/>
    <w:rsid w:val="0029733B"/>
    <w:rsid w:val="00297C1E"/>
    <w:rsid w:val="002A0C3E"/>
    <w:rsid w:val="002A4F30"/>
    <w:rsid w:val="002A754D"/>
    <w:rsid w:val="002A7B52"/>
    <w:rsid w:val="002B00DA"/>
    <w:rsid w:val="002B0283"/>
    <w:rsid w:val="002B3984"/>
    <w:rsid w:val="002B446B"/>
    <w:rsid w:val="002B5025"/>
    <w:rsid w:val="002B71EA"/>
    <w:rsid w:val="002B72CE"/>
    <w:rsid w:val="002B7532"/>
    <w:rsid w:val="002C051E"/>
    <w:rsid w:val="002C11F7"/>
    <w:rsid w:val="002C273B"/>
    <w:rsid w:val="002C3336"/>
    <w:rsid w:val="002C52A6"/>
    <w:rsid w:val="002C5632"/>
    <w:rsid w:val="002D154A"/>
    <w:rsid w:val="002D1F6E"/>
    <w:rsid w:val="002D737B"/>
    <w:rsid w:val="002E0E55"/>
    <w:rsid w:val="002E3ED8"/>
    <w:rsid w:val="002F13AD"/>
    <w:rsid w:val="002F304A"/>
    <w:rsid w:val="002F60E8"/>
    <w:rsid w:val="002F63E0"/>
    <w:rsid w:val="002F796E"/>
    <w:rsid w:val="002F7B01"/>
    <w:rsid w:val="003007C8"/>
    <w:rsid w:val="003012AF"/>
    <w:rsid w:val="00303B8B"/>
    <w:rsid w:val="00304BA1"/>
    <w:rsid w:val="00306423"/>
    <w:rsid w:val="00310344"/>
    <w:rsid w:val="00311D52"/>
    <w:rsid w:val="00311E2E"/>
    <w:rsid w:val="003132EC"/>
    <w:rsid w:val="003147E4"/>
    <w:rsid w:val="00316493"/>
    <w:rsid w:val="00317B8C"/>
    <w:rsid w:val="003250E7"/>
    <w:rsid w:val="00327575"/>
    <w:rsid w:val="00327B89"/>
    <w:rsid w:val="003300BE"/>
    <w:rsid w:val="00332592"/>
    <w:rsid w:val="003354A0"/>
    <w:rsid w:val="00336DC3"/>
    <w:rsid w:val="00340554"/>
    <w:rsid w:val="00341289"/>
    <w:rsid w:val="003415A2"/>
    <w:rsid w:val="003415C3"/>
    <w:rsid w:val="00344AD3"/>
    <w:rsid w:val="00350710"/>
    <w:rsid w:val="0035244B"/>
    <w:rsid w:val="00355B23"/>
    <w:rsid w:val="00356A49"/>
    <w:rsid w:val="00357684"/>
    <w:rsid w:val="00360571"/>
    <w:rsid w:val="00361821"/>
    <w:rsid w:val="00361A9D"/>
    <w:rsid w:val="003643C9"/>
    <w:rsid w:val="00364B85"/>
    <w:rsid w:val="00365E16"/>
    <w:rsid w:val="00374E5D"/>
    <w:rsid w:val="00375F53"/>
    <w:rsid w:val="003762C2"/>
    <w:rsid w:val="00380343"/>
    <w:rsid w:val="00381632"/>
    <w:rsid w:val="00383494"/>
    <w:rsid w:val="00383CD1"/>
    <w:rsid w:val="003847B9"/>
    <w:rsid w:val="003849DD"/>
    <w:rsid w:val="00385E56"/>
    <w:rsid w:val="00387A94"/>
    <w:rsid w:val="003A04B4"/>
    <w:rsid w:val="003A4936"/>
    <w:rsid w:val="003A633C"/>
    <w:rsid w:val="003B1229"/>
    <w:rsid w:val="003B2C11"/>
    <w:rsid w:val="003B3C25"/>
    <w:rsid w:val="003B4BB5"/>
    <w:rsid w:val="003B4C6A"/>
    <w:rsid w:val="003B4D23"/>
    <w:rsid w:val="003B5AC7"/>
    <w:rsid w:val="003B7EB7"/>
    <w:rsid w:val="003C0CB0"/>
    <w:rsid w:val="003C3854"/>
    <w:rsid w:val="003C75B9"/>
    <w:rsid w:val="003D1A53"/>
    <w:rsid w:val="003D36AD"/>
    <w:rsid w:val="003D6B47"/>
    <w:rsid w:val="003E05CD"/>
    <w:rsid w:val="003E21F4"/>
    <w:rsid w:val="003E3A52"/>
    <w:rsid w:val="003E7CA8"/>
    <w:rsid w:val="003F0BC6"/>
    <w:rsid w:val="003F1E27"/>
    <w:rsid w:val="003F20C4"/>
    <w:rsid w:val="003F3102"/>
    <w:rsid w:val="003F32E6"/>
    <w:rsid w:val="003F3389"/>
    <w:rsid w:val="003F5FEE"/>
    <w:rsid w:val="003F7301"/>
    <w:rsid w:val="00402184"/>
    <w:rsid w:val="00402C6F"/>
    <w:rsid w:val="00403E2E"/>
    <w:rsid w:val="00405E6E"/>
    <w:rsid w:val="004061BF"/>
    <w:rsid w:val="00406244"/>
    <w:rsid w:val="00410508"/>
    <w:rsid w:val="004133CF"/>
    <w:rsid w:val="00415EFB"/>
    <w:rsid w:val="00417292"/>
    <w:rsid w:val="00417F0F"/>
    <w:rsid w:val="004215DD"/>
    <w:rsid w:val="00422914"/>
    <w:rsid w:val="00422A48"/>
    <w:rsid w:val="00422A55"/>
    <w:rsid w:val="00426EDB"/>
    <w:rsid w:val="0042725F"/>
    <w:rsid w:val="00427DA2"/>
    <w:rsid w:val="004325E6"/>
    <w:rsid w:val="0043729E"/>
    <w:rsid w:val="00437435"/>
    <w:rsid w:val="00441DC4"/>
    <w:rsid w:val="004422EC"/>
    <w:rsid w:val="00442AFD"/>
    <w:rsid w:val="00445627"/>
    <w:rsid w:val="0045047F"/>
    <w:rsid w:val="00455747"/>
    <w:rsid w:val="00456080"/>
    <w:rsid w:val="004578AD"/>
    <w:rsid w:val="004605C3"/>
    <w:rsid w:val="00464BE9"/>
    <w:rsid w:val="00465D8A"/>
    <w:rsid w:val="004732FC"/>
    <w:rsid w:val="004812E6"/>
    <w:rsid w:val="0048196D"/>
    <w:rsid w:val="00484B74"/>
    <w:rsid w:val="0048523B"/>
    <w:rsid w:val="00485971"/>
    <w:rsid w:val="00486D49"/>
    <w:rsid w:val="004874FF"/>
    <w:rsid w:val="00487DED"/>
    <w:rsid w:val="004903C5"/>
    <w:rsid w:val="00490900"/>
    <w:rsid w:val="004977C3"/>
    <w:rsid w:val="004A1835"/>
    <w:rsid w:val="004A36EC"/>
    <w:rsid w:val="004A67DD"/>
    <w:rsid w:val="004A6C46"/>
    <w:rsid w:val="004B02E4"/>
    <w:rsid w:val="004B199B"/>
    <w:rsid w:val="004B2417"/>
    <w:rsid w:val="004B2869"/>
    <w:rsid w:val="004B501A"/>
    <w:rsid w:val="004B6DE3"/>
    <w:rsid w:val="004C022A"/>
    <w:rsid w:val="004C04FE"/>
    <w:rsid w:val="004C06D4"/>
    <w:rsid w:val="004C1052"/>
    <w:rsid w:val="004D1A03"/>
    <w:rsid w:val="004D1BD9"/>
    <w:rsid w:val="004D26DD"/>
    <w:rsid w:val="004D72AF"/>
    <w:rsid w:val="004E2287"/>
    <w:rsid w:val="004E4B8F"/>
    <w:rsid w:val="004E5A04"/>
    <w:rsid w:val="004E7437"/>
    <w:rsid w:val="004F0D45"/>
    <w:rsid w:val="004F1335"/>
    <w:rsid w:val="004F583F"/>
    <w:rsid w:val="004F615A"/>
    <w:rsid w:val="005030B1"/>
    <w:rsid w:val="00503373"/>
    <w:rsid w:val="00503C90"/>
    <w:rsid w:val="00507B6B"/>
    <w:rsid w:val="005120CF"/>
    <w:rsid w:val="00521929"/>
    <w:rsid w:val="00521F55"/>
    <w:rsid w:val="00523A7B"/>
    <w:rsid w:val="005255F0"/>
    <w:rsid w:val="005269CC"/>
    <w:rsid w:val="00527573"/>
    <w:rsid w:val="005279BE"/>
    <w:rsid w:val="005324FA"/>
    <w:rsid w:val="00533AB8"/>
    <w:rsid w:val="005416D2"/>
    <w:rsid w:val="00543723"/>
    <w:rsid w:val="00544CEC"/>
    <w:rsid w:val="00545616"/>
    <w:rsid w:val="005464AA"/>
    <w:rsid w:val="00546735"/>
    <w:rsid w:val="005474C8"/>
    <w:rsid w:val="00550C0C"/>
    <w:rsid w:val="00550CE9"/>
    <w:rsid w:val="00552391"/>
    <w:rsid w:val="0055296C"/>
    <w:rsid w:val="005538C9"/>
    <w:rsid w:val="005549B8"/>
    <w:rsid w:val="00556333"/>
    <w:rsid w:val="0055700C"/>
    <w:rsid w:val="005578DE"/>
    <w:rsid w:val="0056212D"/>
    <w:rsid w:val="0056250B"/>
    <w:rsid w:val="005627AB"/>
    <w:rsid w:val="005653A9"/>
    <w:rsid w:val="00565AF2"/>
    <w:rsid w:val="00566D7A"/>
    <w:rsid w:val="0056758F"/>
    <w:rsid w:val="0057038E"/>
    <w:rsid w:val="00570F55"/>
    <w:rsid w:val="00573130"/>
    <w:rsid w:val="00576132"/>
    <w:rsid w:val="00576F19"/>
    <w:rsid w:val="00577949"/>
    <w:rsid w:val="0058341F"/>
    <w:rsid w:val="00584C7D"/>
    <w:rsid w:val="005850DE"/>
    <w:rsid w:val="005857A1"/>
    <w:rsid w:val="0059193B"/>
    <w:rsid w:val="00592405"/>
    <w:rsid w:val="00597182"/>
    <w:rsid w:val="005A0171"/>
    <w:rsid w:val="005A1844"/>
    <w:rsid w:val="005A30EA"/>
    <w:rsid w:val="005A3292"/>
    <w:rsid w:val="005B1D36"/>
    <w:rsid w:val="005B4016"/>
    <w:rsid w:val="005B47F8"/>
    <w:rsid w:val="005B61AA"/>
    <w:rsid w:val="005B73DA"/>
    <w:rsid w:val="005C08EC"/>
    <w:rsid w:val="005C683F"/>
    <w:rsid w:val="005C6895"/>
    <w:rsid w:val="005C6A7A"/>
    <w:rsid w:val="005C6DE5"/>
    <w:rsid w:val="005D19B2"/>
    <w:rsid w:val="005D309B"/>
    <w:rsid w:val="005D6C7A"/>
    <w:rsid w:val="005E298E"/>
    <w:rsid w:val="005E2E98"/>
    <w:rsid w:val="005E3E1D"/>
    <w:rsid w:val="005E432D"/>
    <w:rsid w:val="005E709C"/>
    <w:rsid w:val="005F16C2"/>
    <w:rsid w:val="005F2038"/>
    <w:rsid w:val="005F7584"/>
    <w:rsid w:val="005F7CDD"/>
    <w:rsid w:val="006002E5"/>
    <w:rsid w:val="00601526"/>
    <w:rsid w:val="00603D73"/>
    <w:rsid w:val="0060436D"/>
    <w:rsid w:val="00604F0A"/>
    <w:rsid w:val="006062D4"/>
    <w:rsid w:val="00611508"/>
    <w:rsid w:val="0061173F"/>
    <w:rsid w:val="00611E89"/>
    <w:rsid w:val="006147B0"/>
    <w:rsid w:val="00617B57"/>
    <w:rsid w:val="00622643"/>
    <w:rsid w:val="00622B9F"/>
    <w:rsid w:val="00624D03"/>
    <w:rsid w:val="0062612B"/>
    <w:rsid w:val="00631EE2"/>
    <w:rsid w:val="00633BF3"/>
    <w:rsid w:val="00634DBB"/>
    <w:rsid w:val="0063652F"/>
    <w:rsid w:val="0063667C"/>
    <w:rsid w:val="006379C7"/>
    <w:rsid w:val="00641F29"/>
    <w:rsid w:val="0064579B"/>
    <w:rsid w:val="00645BB6"/>
    <w:rsid w:val="00651BDB"/>
    <w:rsid w:val="00654B35"/>
    <w:rsid w:val="00655F79"/>
    <w:rsid w:val="006564B7"/>
    <w:rsid w:val="00660646"/>
    <w:rsid w:val="0066159F"/>
    <w:rsid w:val="00664ABD"/>
    <w:rsid w:val="00664E65"/>
    <w:rsid w:val="0066779B"/>
    <w:rsid w:val="00671981"/>
    <w:rsid w:val="006771A4"/>
    <w:rsid w:val="00680AFB"/>
    <w:rsid w:val="006810D8"/>
    <w:rsid w:val="0068552D"/>
    <w:rsid w:val="00687080"/>
    <w:rsid w:val="00687740"/>
    <w:rsid w:val="00692D9B"/>
    <w:rsid w:val="00692E05"/>
    <w:rsid w:val="0069359C"/>
    <w:rsid w:val="00693901"/>
    <w:rsid w:val="006973FA"/>
    <w:rsid w:val="00697DCC"/>
    <w:rsid w:val="006A3385"/>
    <w:rsid w:val="006A56FD"/>
    <w:rsid w:val="006A6183"/>
    <w:rsid w:val="006A63F7"/>
    <w:rsid w:val="006B06DB"/>
    <w:rsid w:val="006B13CC"/>
    <w:rsid w:val="006B2FFC"/>
    <w:rsid w:val="006B523B"/>
    <w:rsid w:val="006B62F2"/>
    <w:rsid w:val="006B64BB"/>
    <w:rsid w:val="006B6D3A"/>
    <w:rsid w:val="006B6F5A"/>
    <w:rsid w:val="006B7FFD"/>
    <w:rsid w:val="006C196F"/>
    <w:rsid w:val="006C590B"/>
    <w:rsid w:val="006C65A9"/>
    <w:rsid w:val="006C6896"/>
    <w:rsid w:val="006D0BDC"/>
    <w:rsid w:val="006D59B8"/>
    <w:rsid w:val="006D7407"/>
    <w:rsid w:val="006E2336"/>
    <w:rsid w:val="006E62D7"/>
    <w:rsid w:val="006E6852"/>
    <w:rsid w:val="006F1BFA"/>
    <w:rsid w:val="006F2072"/>
    <w:rsid w:val="006F2373"/>
    <w:rsid w:val="006F798D"/>
    <w:rsid w:val="00700C52"/>
    <w:rsid w:val="00700C82"/>
    <w:rsid w:val="00700EEF"/>
    <w:rsid w:val="007031C9"/>
    <w:rsid w:val="00703A88"/>
    <w:rsid w:val="0070520E"/>
    <w:rsid w:val="00706ACC"/>
    <w:rsid w:val="00710E60"/>
    <w:rsid w:val="007112BE"/>
    <w:rsid w:val="00712B12"/>
    <w:rsid w:val="0071428F"/>
    <w:rsid w:val="00717BC5"/>
    <w:rsid w:val="00717C35"/>
    <w:rsid w:val="00721FF8"/>
    <w:rsid w:val="00723997"/>
    <w:rsid w:val="00726562"/>
    <w:rsid w:val="007312DB"/>
    <w:rsid w:val="007334B2"/>
    <w:rsid w:val="007334C8"/>
    <w:rsid w:val="00733560"/>
    <w:rsid w:val="0073470C"/>
    <w:rsid w:val="007367AC"/>
    <w:rsid w:val="00740984"/>
    <w:rsid w:val="00741FEC"/>
    <w:rsid w:val="00742DC7"/>
    <w:rsid w:val="00742F78"/>
    <w:rsid w:val="00746018"/>
    <w:rsid w:val="00750AE3"/>
    <w:rsid w:val="00750CCE"/>
    <w:rsid w:val="00752275"/>
    <w:rsid w:val="00752FEF"/>
    <w:rsid w:val="00754145"/>
    <w:rsid w:val="00756BC7"/>
    <w:rsid w:val="00756CAC"/>
    <w:rsid w:val="007601D4"/>
    <w:rsid w:val="007610A6"/>
    <w:rsid w:val="007626E6"/>
    <w:rsid w:val="007658FD"/>
    <w:rsid w:val="007662FB"/>
    <w:rsid w:val="00767D69"/>
    <w:rsid w:val="007712B0"/>
    <w:rsid w:val="007719B7"/>
    <w:rsid w:val="007743B2"/>
    <w:rsid w:val="00774D1B"/>
    <w:rsid w:val="007760E2"/>
    <w:rsid w:val="00780AEB"/>
    <w:rsid w:val="007810B6"/>
    <w:rsid w:val="00783616"/>
    <w:rsid w:val="0078549A"/>
    <w:rsid w:val="00790AD9"/>
    <w:rsid w:val="007965C4"/>
    <w:rsid w:val="007B07E9"/>
    <w:rsid w:val="007B0DFC"/>
    <w:rsid w:val="007B282F"/>
    <w:rsid w:val="007B2CE5"/>
    <w:rsid w:val="007C186F"/>
    <w:rsid w:val="007C23B8"/>
    <w:rsid w:val="007C4046"/>
    <w:rsid w:val="007C4282"/>
    <w:rsid w:val="007C43B0"/>
    <w:rsid w:val="007C4D6C"/>
    <w:rsid w:val="007C4F31"/>
    <w:rsid w:val="007C60C6"/>
    <w:rsid w:val="007D0DEF"/>
    <w:rsid w:val="007D3A77"/>
    <w:rsid w:val="007D46D9"/>
    <w:rsid w:val="007D7B98"/>
    <w:rsid w:val="007E2A04"/>
    <w:rsid w:val="007E5A0D"/>
    <w:rsid w:val="007E5C76"/>
    <w:rsid w:val="007E66A4"/>
    <w:rsid w:val="007F0C6B"/>
    <w:rsid w:val="007F11A7"/>
    <w:rsid w:val="007F2B83"/>
    <w:rsid w:val="007F5855"/>
    <w:rsid w:val="007F6C8A"/>
    <w:rsid w:val="00801908"/>
    <w:rsid w:val="00802646"/>
    <w:rsid w:val="00805529"/>
    <w:rsid w:val="008071D5"/>
    <w:rsid w:val="0081005C"/>
    <w:rsid w:val="00810726"/>
    <w:rsid w:val="0081157D"/>
    <w:rsid w:val="00811AF8"/>
    <w:rsid w:val="008144AE"/>
    <w:rsid w:val="0081743A"/>
    <w:rsid w:val="00820954"/>
    <w:rsid w:val="00821927"/>
    <w:rsid w:val="00822406"/>
    <w:rsid w:val="00824785"/>
    <w:rsid w:val="00824D92"/>
    <w:rsid w:val="008263F2"/>
    <w:rsid w:val="00826893"/>
    <w:rsid w:val="00826D02"/>
    <w:rsid w:val="0082717C"/>
    <w:rsid w:val="00827816"/>
    <w:rsid w:val="0083172F"/>
    <w:rsid w:val="00834E6B"/>
    <w:rsid w:val="008355D2"/>
    <w:rsid w:val="008360DD"/>
    <w:rsid w:val="008370E0"/>
    <w:rsid w:val="0084026C"/>
    <w:rsid w:val="00840B77"/>
    <w:rsid w:val="008419FD"/>
    <w:rsid w:val="00841F6A"/>
    <w:rsid w:val="008421F3"/>
    <w:rsid w:val="00842245"/>
    <w:rsid w:val="00842857"/>
    <w:rsid w:val="0084341D"/>
    <w:rsid w:val="00843BDE"/>
    <w:rsid w:val="00843F78"/>
    <w:rsid w:val="00845317"/>
    <w:rsid w:val="00847A56"/>
    <w:rsid w:val="00850BA0"/>
    <w:rsid w:val="00853A28"/>
    <w:rsid w:val="00854822"/>
    <w:rsid w:val="00854F81"/>
    <w:rsid w:val="0085562A"/>
    <w:rsid w:val="00857A55"/>
    <w:rsid w:val="0086015C"/>
    <w:rsid w:val="00863B98"/>
    <w:rsid w:val="00865411"/>
    <w:rsid w:val="0086568D"/>
    <w:rsid w:val="0087105C"/>
    <w:rsid w:val="00871E36"/>
    <w:rsid w:val="00873FF2"/>
    <w:rsid w:val="00876FDD"/>
    <w:rsid w:val="00877791"/>
    <w:rsid w:val="00885EE0"/>
    <w:rsid w:val="00886116"/>
    <w:rsid w:val="00886455"/>
    <w:rsid w:val="00890732"/>
    <w:rsid w:val="00890E01"/>
    <w:rsid w:val="00892684"/>
    <w:rsid w:val="008947F8"/>
    <w:rsid w:val="008A163A"/>
    <w:rsid w:val="008A7864"/>
    <w:rsid w:val="008B0BDE"/>
    <w:rsid w:val="008B17FB"/>
    <w:rsid w:val="008B2230"/>
    <w:rsid w:val="008B40A0"/>
    <w:rsid w:val="008B4372"/>
    <w:rsid w:val="008B49FE"/>
    <w:rsid w:val="008B4F8F"/>
    <w:rsid w:val="008B4FA0"/>
    <w:rsid w:val="008B6C42"/>
    <w:rsid w:val="008C05BD"/>
    <w:rsid w:val="008C3312"/>
    <w:rsid w:val="008C42B4"/>
    <w:rsid w:val="008C485C"/>
    <w:rsid w:val="008D1D78"/>
    <w:rsid w:val="008D2969"/>
    <w:rsid w:val="008D3EE8"/>
    <w:rsid w:val="008D4009"/>
    <w:rsid w:val="008D40B0"/>
    <w:rsid w:val="008D49EA"/>
    <w:rsid w:val="008D7CC1"/>
    <w:rsid w:val="008E1F3A"/>
    <w:rsid w:val="008E2B17"/>
    <w:rsid w:val="008E3D5D"/>
    <w:rsid w:val="008E4889"/>
    <w:rsid w:val="008E4AAA"/>
    <w:rsid w:val="008E60DD"/>
    <w:rsid w:val="008E64F0"/>
    <w:rsid w:val="008E6CE2"/>
    <w:rsid w:val="008E6F52"/>
    <w:rsid w:val="008F0DA9"/>
    <w:rsid w:val="008F2081"/>
    <w:rsid w:val="008F4C57"/>
    <w:rsid w:val="008F6651"/>
    <w:rsid w:val="008F7B36"/>
    <w:rsid w:val="00900FD4"/>
    <w:rsid w:val="009034BB"/>
    <w:rsid w:val="00906948"/>
    <w:rsid w:val="00906D4B"/>
    <w:rsid w:val="0091066B"/>
    <w:rsid w:val="0091113E"/>
    <w:rsid w:val="0091119B"/>
    <w:rsid w:val="009125FB"/>
    <w:rsid w:val="009137D2"/>
    <w:rsid w:val="00914DA6"/>
    <w:rsid w:val="0091522D"/>
    <w:rsid w:val="00917177"/>
    <w:rsid w:val="00917213"/>
    <w:rsid w:val="009179D6"/>
    <w:rsid w:val="00921D8E"/>
    <w:rsid w:val="00921DB5"/>
    <w:rsid w:val="0092263E"/>
    <w:rsid w:val="009230A8"/>
    <w:rsid w:val="00925084"/>
    <w:rsid w:val="009252FD"/>
    <w:rsid w:val="00933228"/>
    <w:rsid w:val="009351E1"/>
    <w:rsid w:val="009353B9"/>
    <w:rsid w:val="0094334C"/>
    <w:rsid w:val="0094674B"/>
    <w:rsid w:val="009475FC"/>
    <w:rsid w:val="009476D3"/>
    <w:rsid w:val="00947BBA"/>
    <w:rsid w:val="00956D48"/>
    <w:rsid w:val="00957A10"/>
    <w:rsid w:val="00960298"/>
    <w:rsid w:val="009617EB"/>
    <w:rsid w:val="0096262A"/>
    <w:rsid w:val="00963690"/>
    <w:rsid w:val="00964705"/>
    <w:rsid w:val="00965737"/>
    <w:rsid w:val="00970F53"/>
    <w:rsid w:val="00971B44"/>
    <w:rsid w:val="00972248"/>
    <w:rsid w:val="0097552D"/>
    <w:rsid w:val="00980E44"/>
    <w:rsid w:val="009876B1"/>
    <w:rsid w:val="009929D4"/>
    <w:rsid w:val="00994C9D"/>
    <w:rsid w:val="00996312"/>
    <w:rsid w:val="009979A7"/>
    <w:rsid w:val="009A180C"/>
    <w:rsid w:val="009A1EFD"/>
    <w:rsid w:val="009A2813"/>
    <w:rsid w:val="009A2B1B"/>
    <w:rsid w:val="009A30A4"/>
    <w:rsid w:val="009A38FD"/>
    <w:rsid w:val="009A547F"/>
    <w:rsid w:val="009A71AA"/>
    <w:rsid w:val="009B064C"/>
    <w:rsid w:val="009B08E8"/>
    <w:rsid w:val="009B1CB9"/>
    <w:rsid w:val="009B3F7E"/>
    <w:rsid w:val="009B55AA"/>
    <w:rsid w:val="009B6667"/>
    <w:rsid w:val="009C04C2"/>
    <w:rsid w:val="009C07E6"/>
    <w:rsid w:val="009D186B"/>
    <w:rsid w:val="009D568C"/>
    <w:rsid w:val="009D7644"/>
    <w:rsid w:val="009D7985"/>
    <w:rsid w:val="009E0B2E"/>
    <w:rsid w:val="009E3F82"/>
    <w:rsid w:val="009E76D5"/>
    <w:rsid w:val="009F1B5A"/>
    <w:rsid w:val="009F29D4"/>
    <w:rsid w:val="009F3514"/>
    <w:rsid w:val="009F3A00"/>
    <w:rsid w:val="009F43AD"/>
    <w:rsid w:val="009F4969"/>
    <w:rsid w:val="009F65C0"/>
    <w:rsid w:val="009F7619"/>
    <w:rsid w:val="009F77E7"/>
    <w:rsid w:val="009F7990"/>
    <w:rsid w:val="009F7A41"/>
    <w:rsid w:val="00A0038F"/>
    <w:rsid w:val="00A00E48"/>
    <w:rsid w:val="00A0105D"/>
    <w:rsid w:val="00A02580"/>
    <w:rsid w:val="00A029EC"/>
    <w:rsid w:val="00A02E12"/>
    <w:rsid w:val="00A04519"/>
    <w:rsid w:val="00A04983"/>
    <w:rsid w:val="00A05C5E"/>
    <w:rsid w:val="00A060B4"/>
    <w:rsid w:val="00A0753F"/>
    <w:rsid w:val="00A078E1"/>
    <w:rsid w:val="00A10141"/>
    <w:rsid w:val="00A10FFD"/>
    <w:rsid w:val="00A11347"/>
    <w:rsid w:val="00A11818"/>
    <w:rsid w:val="00A14222"/>
    <w:rsid w:val="00A21CA1"/>
    <w:rsid w:val="00A27B29"/>
    <w:rsid w:val="00A30DE3"/>
    <w:rsid w:val="00A31DAA"/>
    <w:rsid w:val="00A32408"/>
    <w:rsid w:val="00A348DC"/>
    <w:rsid w:val="00A3551F"/>
    <w:rsid w:val="00A35DA3"/>
    <w:rsid w:val="00A36552"/>
    <w:rsid w:val="00A37F1D"/>
    <w:rsid w:val="00A41DEF"/>
    <w:rsid w:val="00A420EB"/>
    <w:rsid w:val="00A43141"/>
    <w:rsid w:val="00A46476"/>
    <w:rsid w:val="00A47AB3"/>
    <w:rsid w:val="00A47DA0"/>
    <w:rsid w:val="00A51559"/>
    <w:rsid w:val="00A55AAA"/>
    <w:rsid w:val="00A56120"/>
    <w:rsid w:val="00A60427"/>
    <w:rsid w:val="00A61965"/>
    <w:rsid w:val="00A61D05"/>
    <w:rsid w:val="00A62A6C"/>
    <w:rsid w:val="00A63C00"/>
    <w:rsid w:val="00A6486B"/>
    <w:rsid w:val="00A64947"/>
    <w:rsid w:val="00A64D4B"/>
    <w:rsid w:val="00A66451"/>
    <w:rsid w:val="00A670C5"/>
    <w:rsid w:val="00A71AF4"/>
    <w:rsid w:val="00A72AC2"/>
    <w:rsid w:val="00A72AC5"/>
    <w:rsid w:val="00A72B5C"/>
    <w:rsid w:val="00A72CF7"/>
    <w:rsid w:val="00A730BB"/>
    <w:rsid w:val="00A73BA9"/>
    <w:rsid w:val="00A76791"/>
    <w:rsid w:val="00A77684"/>
    <w:rsid w:val="00A7768C"/>
    <w:rsid w:val="00A77BFF"/>
    <w:rsid w:val="00A805AA"/>
    <w:rsid w:val="00A82738"/>
    <w:rsid w:val="00A83561"/>
    <w:rsid w:val="00A85038"/>
    <w:rsid w:val="00A866D7"/>
    <w:rsid w:val="00A86746"/>
    <w:rsid w:val="00A86B87"/>
    <w:rsid w:val="00A86EF7"/>
    <w:rsid w:val="00A9001C"/>
    <w:rsid w:val="00A934EF"/>
    <w:rsid w:val="00A9402E"/>
    <w:rsid w:val="00AA0223"/>
    <w:rsid w:val="00AA1AED"/>
    <w:rsid w:val="00AA201F"/>
    <w:rsid w:val="00AA2543"/>
    <w:rsid w:val="00AA79D8"/>
    <w:rsid w:val="00AB075E"/>
    <w:rsid w:val="00AB120F"/>
    <w:rsid w:val="00AB1612"/>
    <w:rsid w:val="00AB1658"/>
    <w:rsid w:val="00AB2E3D"/>
    <w:rsid w:val="00AC0015"/>
    <w:rsid w:val="00AC1F08"/>
    <w:rsid w:val="00AD0FB6"/>
    <w:rsid w:val="00AD40C4"/>
    <w:rsid w:val="00AD4D69"/>
    <w:rsid w:val="00AE03E0"/>
    <w:rsid w:val="00AE074B"/>
    <w:rsid w:val="00AE0898"/>
    <w:rsid w:val="00AE2044"/>
    <w:rsid w:val="00AE3A82"/>
    <w:rsid w:val="00AE550C"/>
    <w:rsid w:val="00AE566E"/>
    <w:rsid w:val="00AE6AB1"/>
    <w:rsid w:val="00AE71C4"/>
    <w:rsid w:val="00AE73B8"/>
    <w:rsid w:val="00AF45B0"/>
    <w:rsid w:val="00AF5861"/>
    <w:rsid w:val="00B015BB"/>
    <w:rsid w:val="00B017AF"/>
    <w:rsid w:val="00B03244"/>
    <w:rsid w:val="00B13218"/>
    <w:rsid w:val="00B14BB2"/>
    <w:rsid w:val="00B210F0"/>
    <w:rsid w:val="00B217B4"/>
    <w:rsid w:val="00B24666"/>
    <w:rsid w:val="00B2560F"/>
    <w:rsid w:val="00B27005"/>
    <w:rsid w:val="00B27F33"/>
    <w:rsid w:val="00B30815"/>
    <w:rsid w:val="00B314CC"/>
    <w:rsid w:val="00B33E91"/>
    <w:rsid w:val="00B3411F"/>
    <w:rsid w:val="00B37C98"/>
    <w:rsid w:val="00B40093"/>
    <w:rsid w:val="00B404DE"/>
    <w:rsid w:val="00B4372F"/>
    <w:rsid w:val="00B43CCA"/>
    <w:rsid w:val="00B44597"/>
    <w:rsid w:val="00B44B73"/>
    <w:rsid w:val="00B465AB"/>
    <w:rsid w:val="00B46AF0"/>
    <w:rsid w:val="00B51AC4"/>
    <w:rsid w:val="00B52E86"/>
    <w:rsid w:val="00B53983"/>
    <w:rsid w:val="00B53E9C"/>
    <w:rsid w:val="00B62A21"/>
    <w:rsid w:val="00B64660"/>
    <w:rsid w:val="00B64FBF"/>
    <w:rsid w:val="00B6547D"/>
    <w:rsid w:val="00B67031"/>
    <w:rsid w:val="00B7185B"/>
    <w:rsid w:val="00B7349C"/>
    <w:rsid w:val="00B73ACE"/>
    <w:rsid w:val="00B755C5"/>
    <w:rsid w:val="00B771ED"/>
    <w:rsid w:val="00B82BB6"/>
    <w:rsid w:val="00B82F22"/>
    <w:rsid w:val="00B8553F"/>
    <w:rsid w:val="00B87A4E"/>
    <w:rsid w:val="00B90BC9"/>
    <w:rsid w:val="00B91CC2"/>
    <w:rsid w:val="00B944FB"/>
    <w:rsid w:val="00B946F3"/>
    <w:rsid w:val="00B950F1"/>
    <w:rsid w:val="00B955EC"/>
    <w:rsid w:val="00B961E8"/>
    <w:rsid w:val="00B978A2"/>
    <w:rsid w:val="00BA0582"/>
    <w:rsid w:val="00BA0BF9"/>
    <w:rsid w:val="00BA151F"/>
    <w:rsid w:val="00BA5F8A"/>
    <w:rsid w:val="00BA707B"/>
    <w:rsid w:val="00BA7377"/>
    <w:rsid w:val="00BB0700"/>
    <w:rsid w:val="00BB21C3"/>
    <w:rsid w:val="00BB4988"/>
    <w:rsid w:val="00BB6FB3"/>
    <w:rsid w:val="00BB7CEE"/>
    <w:rsid w:val="00BC1129"/>
    <w:rsid w:val="00BC1C54"/>
    <w:rsid w:val="00BC36B3"/>
    <w:rsid w:val="00BC43C0"/>
    <w:rsid w:val="00BC5A44"/>
    <w:rsid w:val="00BD1674"/>
    <w:rsid w:val="00BD1EF3"/>
    <w:rsid w:val="00BD3AA2"/>
    <w:rsid w:val="00BD4436"/>
    <w:rsid w:val="00BD7715"/>
    <w:rsid w:val="00BD7A15"/>
    <w:rsid w:val="00BE0EAC"/>
    <w:rsid w:val="00BE2CDC"/>
    <w:rsid w:val="00BE2DE5"/>
    <w:rsid w:val="00BE3EBE"/>
    <w:rsid w:val="00BE6757"/>
    <w:rsid w:val="00BE707D"/>
    <w:rsid w:val="00BE7E01"/>
    <w:rsid w:val="00BF0EE6"/>
    <w:rsid w:val="00BF6761"/>
    <w:rsid w:val="00BF6DBA"/>
    <w:rsid w:val="00C0105B"/>
    <w:rsid w:val="00C02BE0"/>
    <w:rsid w:val="00C073F7"/>
    <w:rsid w:val="00C11253"/>
    <w:rsid w:val="00C120C7"/>
    <w:rsid w:val="00C12D57"/>
    <w:rsid w:val="00C15432"/>
    <w:rsid w:val="00C16295"/>
    <w:rsid w:val="00C200A6"/>
    <w:rsid w:val="00C20DA0"/>
    <w:rsid w:val="00C238D6"/>
    <w:rsid w:val="00C24427"/>
    <w:rsid w:val="00C248D8"/>
    <w:rsid w:val="00C251F3"/>
    <w:rsid w:val="00C270D3"/>
    <w:rsid w:val="00C27B1F"/>
    <w:rsid w:val="00C3075C"/>
    <w:rsid w:val="00C32938"/>
    <w:rsid w:val="00C33E96"/>
    <w:rsid w:val="00C34117"/>
    <w:rsid w:val="00C34623"/>
    <w:rsid w:val="00C34D9C"/>
    <w:rsid w:val="00C3697F"/>
    <w:rsid w:val="00C4546D"/>
    <w:rsid w:val="00C52108"/>
    <w:rsid w:val="00C53ACC"/>
    <w:rsid w:val="00C54200"/>
    <w:rsid w:val="00C631AC"/>
    <w:rsid w:val="00C64AC1"/>
    <w:rsid w:val="00C64E43"/>
    <w:rsid w:val="00C6567C"/>
    <w:rsid w:val="00C67050"/>
    <w:rsid w:val="00C72748"/>
    <w:rsid w:val="00C72C22"/>
    <w:rsid w:val="00C72FF4"/>
    <w:rsid w:val="00C737CA"/>
    <w:rsid w:val="00C76A2B"/>
    <w:rsid w:val="00C77A2E"/>
    <w:rsid w:val="00C80E9D"/>
    <w:rsid w:val="00C83DFC"/>
    <w:rsid w:val="00C87683"/>
    <w:rsid w:val="00C90202"/>
    <w:rsid w:val="00C92592"/>
    <w:rsid w:val="00C96273"/>
    <w:rsid w:val="00C9688E"/>
    <w:rsid w:val="00C970D7"/>
    <w:rsid w:val="00CA22E2"/>
    <w:rsid w:val="00CA57D3"/>
    <w:rsid w:val="00CA64BF"/>
    <w:rsid w:val="00CA7918"/>
    <w:rsid w:val="00CA7E68"/>
    <w:rsid w:val="00CA7E96"/>
    <w:rsid w:val="00CB0F75"/>
    <w:rsid w:val="00CB3FFE"/>
    <w:rsid w:val="00CB50A8"/>
    <w:rsid w:val="00CB5ECE"/>
    <w:rsid w:val="00CB5F0B"/>
    <w:rsid w:val="00CB5F5B"/>
    <w:rsid w:val="00CB6A6E"/>
    <w:rsid w:val="00CB6AB4"/>
    <w:rsid w:val="00CB7313"/>
    <w:rsid w:val="00CB7ED6"/>
    <w:rsid w:val="00CC2012"/>
    <w:rsid w:val="00CC7923"/>
    <w:rsid w:val="00CD2376"/>
    <w:rsid w:val="00CD310E"/>
    <w:rsid w:val="00CD40DD"/>
    <w:rsid w:val="00CD41F3"/>
    <w:rsid w:val="00CD5538"/>
    <w:rsid w:val="00CD671F"/>
    <w:rsid w:val="00CD7578"/>
    <w:rsid w:val="00CE3E5B"/>
    <w:rsid w:val="00CE535A"/>
    <w:rsid w:val="00CF07DD"/>
    <w:rsid w:val="00CF0A1D"/>
    <w:rsid w:val="00CF0D4B"/>
    <w:rsid w:val="00CF1365"/>
    <w:rsid w:val="00CF170E"/>
    <w:rsid w:val="00CF2ECC"/>
    <w:rsid w:val="00CF31BB"/>
    <w:rsid w:val="00CF3297"/>
    <w:rsid w:val="00CF3733"/>
    <w:rsid w:val="00CF5E23"/>
    <w:rsid w:val="00D00838"/>
    <w:rsid w:val="00D01EC6"/>
    <w:rsid w:val="00D022BF"/>
    <w:rsid w:val="00D02E98"/>
    <w:rsid w:val="00D05BAE"/>
    <w:rsid w:val="00D065D6"/>
    <w:rsid w:val="00D07E3E"/>
    <w:rsid w:val="00D10569"/>
    <w:rsid w:val="00D11FDC"/>
    <w:rsid w:val="00D136DA"/>
    <w:rsid w:val="00D13BC2"/>
    <w:rsid w:val="00D1446B"/>
    <w:rsid w:val="00D14C72"/>
    <w:rsid w:val="00D153EF"/>
    <w:rsid w:val="00D15F8A"/>
    <w:rsid w:val="00D17FA2"/>
    <w:rsid w:val="00D21910"/>
    <w:rsid w:val="00D242EB"/>
    <w:rsid w:val="00D323F5"/>
    <w:rsid w:val="00D32776"/>
    <w:rsid w:val="00D33395"/>
    <w:rsid w:val="00D3426A"/>
    <w:rsid w:val="00D35384"/>
    <w:rsid w:val="00D36C69"/>
    <w:rsid w:val="00D41489"/>
    <w:rsid w:val="00D41F7D"/>
    <w:rsid w:val="00D44A37"/>
    <w:rsid w:val="00D463CF"/>
    <w:rsid w:val="00D50E2F"/>
    <w:rsid w:val="00D54D46"/>
    <w:rsid w:val="00D54D60"/>
    <w:rsid w:val="00D56153"/>
    <w:rsid w:val="00D574F2"/>
    <w:rsid w:val="00D61765"/>
    <w:rsid w:val="00D6462F"/>
    <w:rsid w:val="00D64B72"/>
    <w:rsid w:val="00D64C74"/>
    <w:rsid w:val="00D74206"/>
    <w:rsid w:val="00D756F9"/>
    <w:rsid w:val="00D7598E"/>
    <w:rsid w:val="00D84601"/>
    <w:rsid w:val="00D84A2D"/>
    <w:rsid w:val="00D85EA8"/>
    <w:rsid w:val="00D8695A"/>
    <w:rsid w:val="00D87844"/>
    <w:rsid w:val="00D87C8B"/>
    <w:rsid w:val="00D93879"/>
    <w:rsid w:val="00D94CD8"/>
    <w:rsid w:val="00D94FDF"/>
    <w:rsid w:val="00D96472"/>
    <w:rsid w:val="00D97990"/>
    <w:rsid w:val="00D97FBC"/>
    <w:rsid w:val="00DA0633"/>
    <w:rsid w:val="00DA17A9"/>
    <w:rsid w:val="00DA31E9"/>
    <w:rsid w:val="00DA5A75"/>
    <w:rsid w:val="00DA6A25"/>
    <w:rsid w:val="00DA6B41"/>
    <w:rsid w:val="00DA70DF"/>
    <w:rsid w:val="00DB2054"/>
    <w:rsid w:val="00DB3143"/>
    <w:rsid w:val="00DB3FCD"/>
    <w:rsid w:val="00DB41D1"/>
    <w:rsid w:val="00DB6D8A"/>
    <w:rsid w:val="00DB7EA6"/>
    <w:rsid w:val="00DC4765"/>
    <w:rsid w:val="00DD75FC"/>
    <w:rsid w:val="00DE0F91"/>
    <w:rsid w:val="00DE1189"/>
    <w:rsid w:val="00DE218A"/>
    <w:rsid w:val="00DE2BF4"/>
    <w:rsid w:val="00DE78EC"/>
    <w:rsid w:val="00DF3241"/>
    <w:rsid w:val="00E00C43"/>
    <w:rsid w:val="00E0175B"/>
    <w:rsid w:val="00E03ED0"/>
    <w:rsid w:val="00E06DDF"/>
    <w:rsid w:val="00E10A1A"/>
    <w:rsid w:val="00E17BB7"/>
    <w:rsid w:val="00E21A8F"/>
    <w:rsid w:val="00E21DBF"/>
    <w:rsid w:val="00E23027"/>
    <w:rsid w:val="00E2371B"/>
    <w:rsid w:val="00E26335"/>
    <w:rsid w:val="00E26BE6"/>
    <w:rsid w:val="00E27059"/>
    <w:rsid w:val="00E27536"/>
    <w:rsid w:val="00E3181D"/>
    <w:rsid w:val="00E33BDC"/>
    <w:rsid w:val="00E34EE4"/>
    <w:rsid w:val="00E37CB8"/>
    <w:rsid w:val="00E4082B"/>
    <w:rsid w:val="00E42000"/>
    <w:rsid w:val="00E42EA9"/>
    <w:rsid w:val="00E43076"/>
    <w:rsid w:val="00E466BB"/>
    <w:rsid w:val="00E50AEE"/>
    <w:rsid w:val="00E569BC"/>
    <w:rsid w:val="00E57B62"/>
    <w:rsid w:val="00E60A1E"/>
    <w:rsid w:val="00E61661"/>
    <w:rsid w:val="00E6392A"/>
    <w:rsid w:val="00E65E62"/>
    <w:rsid w:val="00E666C7"/>
    <w:rsid w:val="00E66C52"/>
    <w:rsid w:val="00E6745D"/>
    <w:rsid w:val="00E7000B"/>
    <w:rsid w:val="00E702C1"/>
    <w:rsid w:val="00E731A7"/>
    <w:rsid w:val="00E75D67"/>
    <w:rsid w:val="00E761BD"/>
    <w:rsid w:val="00E82536"/>
    <w:rsid w:val="00E83BD5"/>
    <w:rsid w:val="00E8410C"/>
    <w:rsid w:val="00E847EA"/>
    <w:rsid w:val="00E85D4E"/>
    <w:rsid w:val="00E86C47"/>
    <w:rsid w:val="00E87FC3"/>
    <w:rsid w:val="00E91D48"/>
    <w:rsid w:val="00E967CB"/>
    <w:rsid w:val="00EA1029"/>
    <w:rsid w:val="00EA24BE"/>
    <w:rsid w:val="00EA2634"/>
    <w:rsid w:val="00EA3A37"/>
    <w:rsid w:val="00EA3D09"/>
    <w:rsid w:val="00EA5F63"/>
    <w:rsid w:val="00EA7C44"/>
    <w:rsid w:val="00EB0070"/>
    <w:rsid w:val="00EB0442"/>
    <w:rsid w:val="00EB1254"/>
    <w:rsid w:val="00EB5BB3"/>
    <w:rsid w:val="00EC00AB"/>
    <w:rsid w:val="00EC1D73"/>
    <w:rsid w:val="00EC1E2B"/>
    <w:rsid w:val="00EC3A3D"/>
    <w:rsid w:val="00EC3BBD"/>
    <w:rsid w:val="00EC7C1C"/>
    <w:rsid w:val="00ED1F02"/>
    <w:rsid w:val="00ED2BFE"/>
    <w:rsid w:val="00ED2F8E"/>
    <w:rsid w:val="00ED3931"/>
    <w:rsid w:val="00ED75D9"/>
    <w:rsid w:val="00EE0E82"/>
    <w:rsid w:val="00EE25C4"/>
    <w:rsid w:val="00EE2DC5"/>
    <w:rsid w:val="00EE379D"/>
    <w:rsid w:val="00EE3F20"/>
    <w:rsid w:val="00EE4C98"/>
    <w:rsid w:val="00EE5B73"/>
    <w:rsid w:val="00EE6E30"/>
    <w:rsid w:val="00EE7958"/>
    <w:rsid w:val="00EF28C1"/>
    <w:rsid w:val="00EF3D5F"/>
    <w:rsid w:val="00EF4682"/>
    <w:rsid w:val="00EF631F"/>
    <w:rsid w:val="00EF6F93"/>
    <w:rsid w:val="00F011C1"/>
    <w:rsid w:val="00F03595"/>
    <w:rsid w:val="00F04737"/>
    <w:rsid w:val="00F0487A"/>
    <w:rsid w:val="00F06A2C"/>
    <w:rsid w:val="00F11B51"/>
    <w:rsid w:val="00F11CBA"/>
    <w:rsid w:val="00F12D8F"/>
    <w:rsid w:val="00F1380E"/>
    <w:rsid w:val="00F1390B"/>
    <w:rsid w:val="00F140F2"/>
    <w:rsid w:val="00F204B3"/>
    <w:rsid w:val="00F20587"/>
    <w:rsid w:val="00F24327"/>
    <w:rsid w:val="00F27175"/>
    <w:rsid w:val="00F3393A"/>
    <w:rsid w:val="00F35195"/>
    <w:rsid w:val="00F36307"/>
    <w:rsid w:val="00F37C4E"/>
    <w:rsid w:val="00F423AF"/>
    <w:rsid w:val="00F43434"/>
    <w:rsid w:val="00F44C6A"/>
    <w:rsid w:val="00F44CC0"/>
    <w:rsid w:val="00F500EB"/>
    <w:rsid w:val="00F516A8"/>
    <w:rsid w:val="00F51990"/>
    <w:rsid w:val="00F530B7"/>
    <w:rsid w:val="00F53626"/>
    <w:rsid w:val="00F53846"/>
    <w:rsid w:val="00F54973"/>
    <w:rsid w:val="00F5595C"/>
    <w:rsid w:val="00F55BA0"/>
    <w:rsid w:val="00F576A9"/>
    <w:rsid w:val="00F62419"/>
    <w:rsid w:val="00F650DD"/>
    <w:rsid w:val="00F6546F"/>
    <w:rsid w:val="00F67D7F"/>
    <w:rsid w:val="00F71266"/>
    <w:rsid w:val="00F71D7E"/>
    <w:rsid w:val="00F71FB8"/>
    <w:rsid w:val="00F73B1E"/>
    <w:rsid w:val="00F73E5B"/>
    <w:rsid w:val="00F74E04"/>
    <w:rsid w:val="00F80122"/>
    <w:rsid w:val="00F805CB"/>
    <w:rsid w:val="00F819FA"/>
    <w:rsid w:val="00F82445"/>
    <w:rsid w:val="00F87228"/>
    <w:rsid w:val="00F87B82"/>
    <w:rsid w:val="00F917D5"/>
    <w:rsid w:val="00F93E30"/>
    <w:rsid w:val="00F954FE"/>
    <w:rsid w:val="00F9629C"/>
    <w:rsid w:val="00FA1A46"/>
    <w:rsid w:val="00FA1FB2"/>
    <w:rsid w:val="00FA3CE0"/>
    <w:rsid w:val="00FA4306"/>
    <w:rsid w:val="00FB3781"/>
    <w:rsid w:val="00FB3FA3"/>
    <w:rsid w:val="00FC024D"/>
    <w:rsid w:val="00FC386E"/>
    <w:rsid w:val="00FC3E05"/>
    <w:rsid w:val="00FC5DA9"/>
    <w:rsid w:val="00FC68C0"/>
    <w:rsid w:val="00FC7B0B"/>
    <w:rsid w:val="00FC7CEA"/>
    <w:rsid w:val="00FD1345"/>
    <w:rsid w:val="00FD1D7B"/>
    <w:rsid w:val="00FD3B5A"/>
    <w:rsid w:val="00FD4BA4"/>
    <w:rsid w:val="00FD5831"/>
    <w:rsid w:val="00FD7156"/>
    <w:rsid w:val="00FE11D1"/>
    <w:rsid w:val="00FE447E"/>
    <w:rsid w:val="00FE59A0"/>
    <w:rsid w:val="00FE622D"/>
    <w:rsid w:val="00FE7456"/>
    <w:rsid w:val="00FE746E"/>
    <w:rsid w:val="00FF194A"/>
    <w:rsid w:val="00FF21B8"/>
    <w:rsid w:val="00FF2864"/>
    <w:rsid w:val="00FF2D2B"/>
    <w:rsid w:val="00FF3EBA"/>
    <w:rsid w:val="00FF42C8"/>
    <w:rsid w:val="00FF5CF1"/>
    <w:rsid w:val="00FF5D33"/>
    <w:rsid w:val="00FF6F6A"/>
    <w:rsid w:val="00FF70D8"/>
    <w:rsid w:val="00FF74E6"/>
    <w:rsid w:val="1AE134F1"/>
    <w:rsid w:val="236D8827"/>
    <w:rsid w:val="3F64EC86"/>
    <w:rsid w:val="45E86C4C"/>
    <w:rsid w:val="5FB1E65D"/>
    <w:rsid w:val="67526EB6"/>
    <w:rsid w:val="71BAC688"/>
    <w:rsid w:val="797795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1AB41"/>
  <w15:docId w15:val="{B044F1BE-97A6-4A26-B944-9EB93B8A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1A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ftref,Car Car Char Car Char Car Car Char Car Char Char,Car Car Car Car Car Car Car Car Char Car Car Char Car Car Car Char Car Char Char Char,16 Point,Superscript 6 Point,Char Char Char Char Car Char,fr,Footnote,E FNZ,Footnote#,Ref"/>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qFormat/>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qFormat/>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gleTxtGChar">
    <w:name w:val="_ Single Txt_G Char"/>
    <w:link w:val="SingleTxtG"/>
    <w:rsid w:val="002657AA"/>
    <w:rPr>
      <w:lang w:val="en-GB"/>
    </w:rPr>
  </w:style>
  <w:style w:type="character" w:customStyle="1" w:styleId="HChGChar">
    <w:name w:val="_ H _Ch_G Char"/>
    <w:link w:val="HChG"/>
    <w:locked/>
    <w:rsid w:val="002657AA"/>
    <w:rPr>
      <w:rFonts w:eastAsia="SimSun"/>
      <w:b/>
      <w:sz w:val="28"/>
      <w:lang w:val="en-GB" w:eastAsia="zh-CN"/>
    </w:rPr>
  </w:style>
  <w:style w:type="character" w:customStyle="1" w:styleId="H1GChar">
    <w:name w:val="_ H_1_G Char"/>
    <w:link w:val="H1G"/>
    <w:rsid w:val="002657AA"/>
    <w:rPr>
      <w:rFonts w:eastAsia="SimSun"/>
      <w:b/>
      <w:sz w:val="24"/>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2657AA"/>
    <w:rPr>
      <w:rFonts w:eastAsia="SimSun"/>
      <w:sz w:val="18"/>
      <w:lang w:val="en-GB" w:eastAsia="zh-CN"/>
    </w:rPr>
  </w:style>
  <w:style w:type="character" w:customStyle="1" w:styleId="RegSingleTxtGChar">
    <w:name w:val="Reg_Single Txt_G Char"/>
    <w:basedOn w:val="DefaultParagraphFont"/>
    <w:link w:val="RegSingleTxtG"/>
    <w:rsid w:val="002657AA"/>
    <w:rPr>
      <w:rFonts w:eastAsia="SimSun"/>
      <w:lang w:val="en-GB" w:eastAsia="zh-CN"/>
    </w:rPr>
  </w:style>
  <w:style w:type="character" w:customStyle="1" w:styleId="fontstyle01">
    <w:name w:val="fontstyle01"/>
    <w:basedOn w:val="DefaultParagraphFont"/>
    <w:rsid w:val="005B4016"/>
    <w:rPr>
      <w:rFonts w:ascii="Times New Roman" w:hAnsi="Times New Roman" w:cs="Times New Roman" w:hint="default"/>
      <w:b/>
      <w:bCs/>
      <w:i w:val="0"/>
      <w:iCs w:val="0"/>
      <w:color w:val="000000"/>
      <w:sz w:val="28"/>
      <w:szCs w:val="28"/>
    </w:rPr>
  </w:style>
  <w:style w:type="character" w:styleId="Hyperlink">
    <w:name w:val="Hyperlink"/>
    <w:basedOn w:val="DefaultParagraphFont"/>
    <w:unhideWhenUsed/>
    <w:rsid w:val="005B4016"/>
    <w:rPr>
      <w:color w:val="0000FF" w:themeColor="hyperlink"/>
      <w:u w:val="single"/>
    </w:rPr>
  </w:style>
  <w:style w:type="character" w:customStyle="1" w:styleId="HeaderChar">
    <w:name w:val="Header Char"/>
    <w:aliases w:val="6_G Char"/>
    <w:basedOn w:val="DefaultParagraphFont"/>
    <w:link w:val="Header"/>
    <w:rsid w:val="00365E16"/>
    <w:rPr>
      <w:rFonts w:eastAsia="SimSun"/>
      <w:b/>
      <w:sz w:val="18"/>
      <w:lang w:val="en-GB" w:eastAsia="zh-CN"/>
    </w:rPr>
  </w:style>
  <w:style w:type="character" w:customStyle="1" w:styleId="FooterChar">
    <w:name w:val="Footer Char"/>
    <w:aliases w:val="3_G Char"/>
    <w:basedOn w:val="DefaultParagraphFont"/>
    <w:link w:val="Footer"/>
    <w:rsid w:val="001F6DE2"/>
    <w:rPr>
      <w:rFonts w:eastAsia="SimSun"/>
      <w:sz w:val="16"/>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1F6DE2"/>
    <w:pPr>
      <w:suppressAutoHyphens w:val="0"/>
      <w:spacing w:after="160" w:line="240" w:lineRule="exact"/>
    </w:pPr>
    <w:rPr>
      <w:rFonts w:eastAsia="Times New Roman"/>
      <w:sz w:val="18"/>
      <w:vertAlign w:val="superscript"/>
      <w:lang w:val="en-US" w:eastAsia="en-US"/>
    </w:rPr>
  </w:style>
  <w:style w:type="character" w:customStyle="1" w:styleId="RegHChGCharChar">
    <w:name w:val="Reg_H__Ch_G Char Char"/>
    <w:link w:val="RegHChG"/>
    <w:rsid w:val="001F6DE2"/>
    <w:rPr>
      <w:rFonts w:eastAsia="SimSun"/>
      <w:b/>
      <w:sz w:val="28"/>
      <w:lang w:val="en-GB" w:eastAsia="zh-CN"/>
    </w:rPr>
  </w:style>
  <w:style w:type="character" w:customStyle="1" w:styleId="ListParagraphChar">
    <w:name w:val="List Paragraph Char"/>
    <w:link w:val="ListParagraph"/>
    <w:uiPriority w:val="34"/>
    <w:rsid w:val="001F6DE2"/>
    <w:rPr>
      <w:rFonts w:eastAsia="SimSun"/>
      <w:lang w:val="en-GB" w:eastAsia="zh-CN"/>
    </w:rPr>
  </w:style>
  <w:style w:type="paragraph" w:customStyle="1" w:styleId="Default">
    <w:name w:val="Default"/>
    <w:rsid w:val="001F6DE2"/>
    <w:pPr>
      <w:autoSpaceDE w:val="0"/>
      <w:autoSpaceDN w:val="0"/>
      <w:adjustRightInd w:val="0"/>
    </w:pPr>
    <w:rPr>
      <w:rFonts w:eastAsiaTheme="minorHAnsi"/>
      <w:color w:val="000000"/>
      <w:sz w:val="24"/>
      <w:szCs w:val="24"/>
    </w:rPr>
  </w:style>
  <w:style w:type="paragraph" w:customStyle="1" w:styleId="RegHead1">
    <w:name w:val="RegHead1"/>
    <w:basedOn w:val="Normal"/>
    <w:next w:val="RegHead2"/>
    <w:rsid w:val="00A61965"/>
    <w:pPr>
      <w:keepNext/>
      <w:numPr>
        <w:numId w:val="31"/>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965"/>
    <w:pPr>
      <w:keepNext/>
      <w:numPr>
        <w:ilvl w:val="1"/>
        <w:numId w:val="31"/>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965"/>
    <w:pPr>
      <w:numPr>
        <w:ilvl w:val="2"/>
        <w:numId w:val="31"/>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965"/>
    <w:pPr>
      <w:numPr>
        <w:ilvl w:val="3"/>
        <w:numId w:val="31"/>
      </w:numPr>
      <w:suppressAutoHyphens w:val="0"/>
      <w:spacing w:before="180" w:line="240" w:lineRule="auto"/>
    </w:pPr>
    <w:rPr>
      <w:rFonts w:eastAsia="Times New Roman"/>
      <w:sz w:val="22"/>
      <w:lang w:eastAsia="de-DE"/>
    </w:rPr>
  </w:style>
  <w:style w:type="character" w:styleId="CommentReference">
    <w:name w:val="annotation reference"/>
    <w:basedOn w:val="DefaultParagraphFont"/>
    <w:unhideWhenUsed/>
    <w:rsid w:val="007743B2"/>
    <w:rPr>
      <w:sz w:val="16"/>
      <w:szCs w:val="16"/>
    </w:rPr>
  </w:style>
  <w:style w:type="paragraph" w:styleId="CommentText">
    <w:name w:val="annotation text"/>
    <w:basedOn w:val="Normal"/>
    <w:link w:val="CommentTextChar"/>
    <w:unhideWhenUsed/>
    <w:rsid w:val="007743B2"/>
    <w:pPr>
      <w:spacing w:line="240" w:lineRule="auto"/>
    </w:pPr>
  </w:style>
  <w:style w:type="character" w:customStyle="1" w:styleId="CommentTextChar">
    <w:name w:val="Comment Text Char"/>
    <w:basedOn w:val="DefaultParagraphFont"/>
    <w:link w:val="CommentText"/>
    <w:rsid w:val="007743B2"/>
    <w:rPr>
      <w:rFonts w:eastAsia="SimSun"/>
      <w:lang w:val="en-GB" w:eastAsia="zh-CN"/>
    </w:rPr>
  </w:style>
  <w:style w:type="paragraph" w:styleId="CommentSubject">
    <w:name w:val="annotation subject"/>
    <w:basedOn w:val="CommentText"/>
    <w:next w:val="CommentText"/>
    <w:link w:val="CommentSubjectChar"/>
    <w:semiHidden/>
    <w:unhideWhenUsed/>
    <w:rsid w:val="007743B2"/>
    <w:rPr>
      <w:b/>
      <w:bCs/>
    </w:rPr>
  </w:style>
  <w:style w:type="character" w:customStyle="1" w:styleId="CommentSubjectChar">
    <w:name w:val="Comment Subject Char"/>
    <w:basedOn w:val="CommentTextChar"/>
    <w:link w:val="CommentSubject"/>
    <w:semiHidden/>
    <w:rsid w:val="007743B2"/>
    <w:rPr>
      <w:rFonts w:eastAsia="SimSun"/>
      <w:b/>
      <w:bCs/>
      <w:lang w:val="en-GB" w:eastAsia="zh-CN"/>
    </w:rPr>
  </w:style>
  <w:style w:type="character" w:styleId="FollowedHyperlink">
    <w:name w:val="FollowedHyperlink"/>
    <w:basedOn w:val="DefaultParagraphFont"/>
    <w:semiHidden/>
    <w:unhideWhenUsed/>
    <w:rsid w:val="00CB7313"/>
    <w:rPr>
      <w:color w:val="800080" w:themeColor="followedHyperlink"/>
      <w:u w:val="single"/>
    </w:rPr>
  </w:style>
  <w:style w:type="paragraph" w:styleId="Revision">
    <w:name w:val="Revision"/>
    <w:hidden/>
    <w:uiPriority w:val="99"/>
    <w:semiHidden/>
    <w:rsid w:val="006147B0"/>
    <w:rPr>
      <w:rFonts w:eastAsia="SimSun"/>
      <w:lang w:val="en-GB" w:eastAsia="zh-CN"/>
    </w:rPr>
  </w:style>
  <w:style w:type="character" w:styleId="UnresolvedMention">
    <w:name w:val="Unresolved Mention"/>
    <w:basedOn w:val="DefaultParagraphFont"/>
    <w:uiPriority w:val="99"/>
    <w:semiHidden/>
    <w:unhideWhenUsed/>
    <w:rsid w:val="00F80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0.xml"/><Relationship Id="rId55" Type="http://schemas.openxmlformats.org/officeDocument/2006/relationships/header" Target="header23.xml"/><Relationship Id="rId63" Type="http://schemas.openxmlformats.org/officeDocument/2006/relationships/footer" Target="footer2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1.xml"/><Relationship Id="rId40" Type="http://schemas.openxmlformats.org/officeDocument/2006/relationships/header" Target="header15.xml"/><Relationship Id="rId45" Type="http://schemas.openxmlformats.org/officeDocument/2006/relationships/footer" Target="footer15.xml"/><Relationship Id="rId53" Type="http://schemas.openxmlformats.org/officeDocument/2006/relationships/header" Target="header22.xml"/><Relationship Id="rId58" Type="http://schemas.openxmlformats.org/officeDocument/2006/relationships/header" Target="header25.xm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eader" Target="header26.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header" Target="header17.xml"/><Relationship Id="rId48" Type="http://schemas.openxmlformats.org/officeDocument/2006/relationships/footer" Target="footer16.xml"/><Relationship Id="rId56" Type="http://schemas.openxmlformats.org/officeDocument/2006/relationships/footer" Target="footer20.xml"/><Relationship Id="rId64" Type="http://schemas.openxmlformats.org/officeDocument/2006/relationships/footer" Target="footer24.xml"/><Relationship Id="rId8" Type="http://schemas.openxmlformats.org/officeDocument/2006/relationships/settings" Target="settings.xml"/><Relationship Id="rId51" Type="http://schemas.openxmlformats.org/officeDocument/2006/relationships/footer" Target="footer18.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2.xml"/><Relationship Id="rId46" Type="http://schemas.openxmlformats.org/officeDocument/2006/relationships/header" Target="header18.xml"/><Relationship Id="rId59" Type="http://schemas.openxmlformats.org/officeDocument/2006/relationships/footer" Target="footer21.xml"/><Relationship Id="rId20" Type="http://schemas.openxmlformats.org/officeDocument/2006/relationships/header" Target="header5.xml"/><Relationship Id="rId41" Type="http://schemas.openxmlformats.org/officeDocument/2006/relationships/footer" Target="footer13.xml"/><Relationship Id="rId54" Type="http://schemas.openxmlformats.org/officeDocument/2006/relationships/footer" Target="footer19.xml"/><Relationship Id="rId62"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7.xml"/><Relationship Id="rId57" Type="http://schemas.openxmlformats.org/officeDocument/2006/relationships/header" Target="header24.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footer" Target="footer14.xml"/><Relationship Id="rId52" Type="http://schemas.openxmlformats.org/officeDocument/2006/relationships/header" Target="header21.xml"/><Relationship Id="rId60" Type="http://schemas.openxmlformats.org/officeDocument/2006/relationships/footer" Target="footer22.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14.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documents/204686" TargetMode="External"/><Relationship Id="rId13" Type="http://schemas.openxmlformats.org/officeDocument/2006/relationships/hyperlink" Target="https://unfccc.int/documents/202118" TargetMode="External"/><Relationship Id="rId3" Type="http://schemas.openxmlformats.org/officeDocument/2006/relationships/hyperlink" Target="https://bit.ly/36ESdPG" TargetMode="External"/><Relationship Id="rId7" Type="http://schemas.openxmlformats.org/officeDocument/2006/relationships/hyperlink" Target="https://unfccc.int/documents/204639" TargetMode="External"/><Relationship Id="rId12" Type="http://schemas.openxmlformats.org/officeDocument/2006/relationships/hyperlink" Target="https://unfccc.int/documents/204667" TargetMode="External"/><Relationship Id="rId2" Type="http://schemas.openxmlformats.org/officeDocument/2006/relationships/hyperlink" Target="https://www4.unfccc.int/sites/submissionsstaging/Pages/Home.aspx" TargetMode="External"/><Relationship Id="rId1" Type="http://schemas.openxmlformats.org/officeDocument/2006/relationships/hyperlink" Target="https://unfccc.int/documents/202723" TargetMode="External"/><Relationship Id="rId6" Type="http://schemas.openxmlformats.org/officeDocument/2006/relationships/hyperlink" Target="https://unfccc.int/documents/202115" TargetMode="External"/><Relationship Id="rId11" Type="http://schemas.openxmlformats.org/officeDocument/2006/relationships/hyperlink" Target="https://unfccc.int/resource/cop25/CMA2_11b_DT_Art.6.4.pdf" TargetMode="External"/><Relationship Id="rId5" Type="http://schemas.openxmlformats.org/officeDocument/2006/relationships/hyperlink" Target="https://unfccc.int/documents/204687" TargetMode="External"/><Relationship Id="rId10" Type="http://schemas.openxmlformats.org/officeDocument/2006/relationships/hyperlink" Target="https://unfccc.int/documents/204644" TargetMode="External"/><Relationship Id="rId4" Type="http://schemas.openxmlformats.org/officeDocument/2006/relationships/hyperlink" Target="https://www.ctc-n.org/sites/www.ctc-n.org/files/ctcn_programme_of_work_2019-2022.pdf" TargetMode="External"/><Relationship Id="rId9" Type="http://schemas.openxmlformats.org/officeDocument/2006/relationships/hyperlink" Target="https://unfccc.int/documents/201918" TargetMode="External"/><Relationship Id="rId14" Type="http://schemas.openxmlformats.org/officeDocument/2006/relationships/hyperlink" Target="https://unfccc.int/documents/2046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x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Ann Joe</DisplayName>
        <AccountId>55</AccountId>
        <AccountType/>
      </UserInfo>
      <UserInfo>
        <DisplayName>Esmeralda Fratta di Rickli</DisplayName>
        <AccountId>56</AccountId>
        <AccountType/>
      </UserInfo>
      <UserInfo>
        <DisplayName>Ting Li</DisplayName>
        <AccountId>57</AccountId>
        <AccountType/>
      </UserInfo>
      <UserInfo>
        <DisplayName>Karen N Smith</DisplayName>
        <AccountId>58</AccountId>
        <AccountType/>
      </UserInfo>
      <UserInfo>
        <DisplayName>Marcela Main Sancha</DisplayName>
        <AccountId>92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9d8c265a-5436-43a7-80c1-713d2827ffde"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A6D522-6C7D-4427-8C23-B0C2167F4045}">
  <ds:schemaRefs>
    <ds:schemaRef ds:uri="http://schemas.microsoft.com/office/2006/metadata/properties"/>
    <ds:schemaRef ds:uri="http://schemas.microsoft.com/office/infopath/2007/PartnerControls"/>
    <ds:schemaRef ds:uri="21fd8bfc-cd85-4899-a616-986da4216f81"/>
  </ds:schemaRefs>
</ds:datastoreItem>
</file>

<file path=customXml/itemProps2.xml><?xml version="1.0" encoding="utf-8"?>
<ds:datastoreItem xmlns:ds="http://schemas.openxmlformats.org/officeDocument/2006/customXml" ds:itemID="{7A073C6D-E16A-4720-88A7-A5F803B3B573}">
  <ds:schemaRefs>
    <ds:schemaRef ds:uri="http://schemas.openxmlformats.org/officeDocument/2006/bibliography"/>
  </ds:schemaRefs>
</ds:datastoreItem>
</file>

<file path=customXml/itemProps3.xml><?xml version="1.0" encoding="utf-8"?>
<ds:datastoreItem xmlns:ds="http://schemas.openxmlformats.org/officeDocument/2006/customXml" ds:itemID="{99FAAF2E-FF39-4B6F-91E9-2D2D9A23D6BD}">
  <ds:schemaRefs>
    <ds:schemaRef ds:uri="Microsoft.SharePoint.Taxonomy.ContentTypeSync"/>
  </ds:schemaRefs>
</ds:datastoreItem>
</file>

<file path=customXml/itemProps4.xml><?xml version="1.0" encoding="utf-8"?>
<ds:datastoreItem xmlns:ds="http://schemas.openxmlformats.org/officeDocument/2006/customXml" ds:itemID="{416E4E97-683D-41ED-B2E0-992CCB41C41C}">
  <ds:schemaRefs>
    <ds:schemaRef ds:uri="http://schemas.microsoft.com/sharepoint/v3/contenttype/forms"/>
  </ds:schemaRefs>
</ds:datastoreItem>
</file>

<file path=customXml/itemProps5.xml><?xml version="1.0" encoding="utf-8"?>
<ds:datastoreItem xmlns:ds="http://schemas.openxmlformats.org/officeDocument/2006/customXml" ds:itemID="{718AC318-5D70-4446-8F2F-FC02C6F64342}"/>
</file>

<file path=docProps/app.xml><?xml version="1.0" encoding="utf-8"?>
<Properties xmlns="http://schemas.openxmlformats.org/officeDocument/2006/extended-properties" xmlns:vt="http://schemas.openxmlformats.org/officeDocument/2006/docPropsVTypes">
  <Template>xFCCC.dotm</Template>
  <TotalTime>4</TotalTime>
  <Pages>27</Pages>
  <Words>10966</Words>
  <Characters>57901</Characters>
  <Application>Microsoft Office Word</Application>
  <DocSecurity>0</DocSecurity>
  <Lines>1258</Lines>
  <Paragraphs>681</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second session, held in Madrid from 2 to 15 December 2019</vt:lpstr>
    </vt:vector>
  </TitlesOfParts>
  <Company>UNFCCC</Company>
  <LinksUpToDate>false</LinksUpToDate>
  <CharactersWithSpaces>68186</CharactersWithSpaces>
  <SharedDoc>false</SharedDoc>
  <HLinks>
    <vt:vector size="84" baseType="variant">
      <vt:variant>
        <vt:i4>2097277</vt:i4>
      </vt:variant>
      <vt:variant>
        <vt:i4>39</vt:i4>
      </vt:variant>
      <vt:variant>
        <vt:i4>0</vt:i4>
      </vt:variant>
      <vt:variant>
        <vt:i4>5</vt:i4>
      </vt:variant>
      <vt:variant>
        <vt:lpwstr>https://unfccc.int/documents/204638</vt:lpwstr>
      </vt:variant>
      <vt:variant>
        <vt:lpwstr/>
      </vt:variant>
      <vt:variant>
        <vt:i4>2359418</vt:i4>
      </vt:variant>
      <vt:variant>
        <vt:i4>36</vt:i4>
      </vt:variant>
      <vt:variant>
        <vt:i4>0</vt:i4>
      </vt:variant>
      <vt:variant>
        <vt:i4>5</vt:i4>
      </vt:variant>
      <vt:variant>
        <vt:lpwstr>https://unfccc.int/documents/202118</vt:lpwstr>
      </vt:variant>
      <vt:variant>
        <vt:lpwstr/>
      </vt:variant>
      <vt:variant>
        <vt:i4>2424957</vt:i4>
      </vt:variant>
      <vt:variant>
        <vt:i4>33</vt:i4>
      </vt:variant>
      <vt:variant>
        <vt:i4>0</vt:i4>
      </vt:variant>
      <vt:variant>
        <vt:i4>5</vt:i4>
      </vt:variant>
      <vt:variant>
        <vt:lpwstr>https://unfccc.int/documents/204667</vt:lpwstr>
      </vt:variant>
      <vt:variant>
        <vt:lpwstr/>
      </vt:variant>
      <vt:variant>
        <vt:i4>2555972</vt:i4>
      </vt:variant>
      <vt:variant>
        <vt:i4>30</vt:i4>
      </vt:variant>
      <vt:variant>
        <vt:i4>0</vt:i4>
      </vt:variant>
      <vt:variant>
        <vt:i4>5</vt:i4>
      </vt:variant>
      <vt:variant>
        <vt:lpwstr>https://unfccc.int/resource/cop25/CMA2_11b_DT_Art.6.4.pdf</vt:lpwstr>
      </vt:variant>
      <vt:variant>
        <vt:lpwstr/>
      </vt:variant>
      <vt:variant>
        <vt:i4>2556029</vt:i4>
      </vt:variant>
      <vt:variant>
        <vt:i4>27</vt:i4>
      </vt:variant>
      <vt:variant>
        <vt:i4>0</vt:i4>
      </vt:variant>
      <vt:variant>
        <vt:i4>5</vt:i4>
      </vt:variant>
      <vt:variant>
        <vt:lpwstr>https://unfccc.int/documents/204644</vt:lpwstr>
      </vt:variant>
      <vt:variant>
        <vt:lpwstr/>
      </vt:variant>
      <vt:variant>
        <vt:i4>2556018</vt:i4>
      </vt:variant>
      <vt:variant>
        <vt:i4>24</vt:i4>
      </vt:variant>
      <vt:variant>
        <vt:i4>0</vt:i4>
      </vt:variant>
      <vt:variant>
        <vt:i4>5</vt:i4>
      </vt:variant>
      <vt:variant>
        <vt:lpwstr>https://unfccc.int/documents/201918</vt:lpwstr>
      </vt:variant>
      <vt:variant>
        <vt:lpwstr/>
      </vt:variant>
      <vt:variant>
        <vt:i4>2818173</vt:i4>
      </vt:variant>
      <vt:variant>
        <vt:i4>21</vt:i4>
      </vt:variant>
      <vt:variant>
        <vt:i4>0</vt:i4>
      </vt:variant>
      <vt:variant>
        <vt:i4>5</vt:i4>
      </vt:variant>
      <vt:variant>
        <vt:lpwstr>https://unfccc.int/documents/204686</vt:lpwstr>
      </vt:variant>
      <vt:variant>
        <vt:lpwstr/>
      </vt:variant>
      <vt:variant>
        <vt:i4>2097277</vt:i4>
      </vt:variant>
      <vt:variant>
        <vt:i4>18</vt:i4>
      </vt:variant>
      <vt:variant>
        <vt:i4>0</vt:i4>
      </vt:variant>
      <vt:variant>
        <vt:i4>5</vt:i4>
      </vt:variant>
      <vt:variant>
        <vt:lpwstr>https://unfccc.int/documents/204639</vt:lpwstr>
      </vt:variant>
      <vt:variant>
        <vt:lpwstr/>
      </vt:variant>
      <vt:variant>
        <vt:i4>2359418</vt:i4>
      </vt:variant>
      <vt:variant>
        <vt:i4>15</vt:i4>
      </vt:variant>
      <vt:variant>
        <vt:i4>0</vt:i4>
      </vt:variant>
      <vt:variant>
        <vt:i4>5</vt:i4>
      </vt:variant>
      <vt:variant>
        <vt:lpwstr>https://unfccc.int/documents/202115</vt:lpwstr>
      </vt:variant>
      <vt:variant>
        <vt:lpwstr/>
      </vt:variant>
      <vt:variant>
        <vt:i4>2818173</vt:i4>
      </vt:variant>
      <vt:variant>
        <vt:i4>12</vt:i4>
      </vt:variant>
      <vt:variant>
        <vt:i4>0</vt:i4>
      </vt:variant>
      <vt:variant>
        <vt:i4>5</vt:i4>
      </vt:variant>
      <vt:variant>
        <vt:lpwstr>https://unfccc.int/documents/204687</vt:lpwstr>
      </vt:variant>
      <vt:variant>
        <vt:lpwstr/>
      </vt:variant>
      <vt:variant>
        <vt:i4>6291499</vt:i4>
      </vt:variant>
      <vt:variant>
        <vt:i4>9</vt:i4>
      </vt:variant>
      <vt:variant>
        <vt:i4>0</vt:i4>
      </vt:variant>
      <vt:variant>
        <vt:i4>5</vt:i4>
      </vt:variant>
      <vt:variant>
        <vt:lpwstr>https://www.ctc-n.org/sites/www.ctc-n.org/files/ctcn_programme_of_work_2019-2022.pdf</vt:lpwstr>
      </vt:variant>
      <vt:variant>
        <vt:lpwstr/>
      </vt:variant>
      <vt:variant>
        <vt:i4>7995424</vt:i4>
      </vt:variant>
      <vt:variant>
        <vt:i4>6</vt:i4>
      </vt:variant>
      <vt:variant>
        <vt:i4>0</vt:i4>
      </vt:variant>
      <vt:variant>
        <vt:i4>5</vt:i4>
      </vt:variant>
      <vt:variant>
        <vt:lpwstr>https://bit.ly/36ESdPG</vt:lpwstr>
      </vt:variant>
      <vt:variant>
        <vt:lpwstr/>
      </vt:variant>
      <vt:variant>
        <vt:i4>5898268</vt:i4>
      </vt:variant>
      <vt:variant>
        <vt:i4>3</vt:i4>
      </vt:variant>
      <vt:variant>
        <vt:i4>0</vt:i4>
      </vt:variant>
      <vt:variant>
        <vt:i4>5</vt:i4>
      </vt:variant>
      <vt:variant>
        <vt:lpwstr>https://www4.unfccc.int/sites/submissionsstaging/Pages/Home.aspx</vt:lpwstr>
      </vt:variant>
      <vt:variant>
        <vt:lpwstr/>
      </vt:variant>
      <vt:variant>
        <vt:i4>2556028</vt:i4>
      </vt:variant>
      <vt:variant>
        <vt:i4>0</vt:i4>
      </vt:variant>
      <vt:variant>
        <vt:i4>0</vt:i4>
      </vt:variant>
      <vt:variant>
        <vt:i4>5</vt:i4>
      </vt:variant>
      <vt:variant>
        <vt:lpwstr>https://unfccc.int/documents/202723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second session, held in Madrid from 2 to 15 December 2019</dc:title>
  <dc:subject/>
  <dc:creator>Esmeralda Fratta di Rickli</dc:creator>
  <cp:keywords/>
  <dc:description/>
  <cp:lastModifiedBy>Toni Williams</cp:lastModifiedBy>
  <cp:revision>6</cp:revision>
  <cp:lastPrinted>2020-03-05T15:39:00Z</cp:lastPrinted>
  <dcterms:created xsi:type="dcterms:W3CDTF">2020-03-18T09:28:00Z</dcterms:created>
  <dcterms:modified xsi:type="dcterms:W3CDTF">2022-02-24T10:53:00Z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_dlc_DocIdItemGuid">
    <vt:lpwstr>80424445-0216-4e29-9ee1-8081a3114f1c</vt:lpwstr>
  </property>
  <property fmtid="{D5CDD505-2E9C-101B-9397-08002B2CF9AE}" pid="4" name="LinkedUNFCCCDocumentTracker">
    <vt:lpwstr>834</vt:lpwstr>
  </property>
  <property fmtid="{D5CDD505-2E9C-101B-9397-08002B2CF9AE}" pid="5" name="fccc_body">
    <vt:lpwstr>116;#CMA|a101c2d0-9814-474d-a28c-ec34bff87864</vt:lpwstr>
  </property>
  <property fmtid="{D5CDD505-2E9C-101B-9397-08002B2CF9AE}" pid="6" name="fccc_substantive_topic">
    <vt:lpwstr>46;#Sessional proceedings|ff7bdb8c-f4ee-4fbb-ab88-7747669b7746</vt:lpwstr>
  </property>
  <property fmtid="{D5CDD505-2E9C-101B-9397-08002B2CF9AE}" pid="7" name="fccc_Keywords">
    <vt:lpwstr>105;#conferences|b310ccc6-61a0-4f83-a3b7-1510e8eef4cb</vt:lpwstr>
  </property>
  <property fmtid="{D5CDD505-2E9C-101B-9397-08002B2CF9AE}" pid="8" name="fccc_session">
    <vt:lpwstr>176;#CMA 2|26fd6f3b-1159-4781-8611-eac9561a87e0</vt:lpwstr>
  </property>
  <property fmtid="{D5CDD505-2E9C-101B-9397-08002B2CF9AE}" pid="9" name="fccc_body_focalpoint">
    <vt:lpwstr>58;#i:0#.f|membership|ksmith@unfccc.int;#56;#i:0#.f|membership|efrattadirickli@unfccc.int;#55;#i:0#.f|membership|ajoe@unfccc.int</vt:lpwstr>
  </property>
  <property fmtid="{D5CDD505-2E9C-101B-9397-08002B2CF9AE}" pid="10" name="fccc_responsible_substantive_clearance">
    <vt:lpwstr>92;#i:0#.f|membership|mmainsancha@unfccc.int</vt:lpwstr>
  </property>
  <property fmtid="{D5CDD505-2E9C-101B-9397-08002B2CF9AE}" pid="11" name="docSymbol1">
    <vt:lpwstr>FCCC/PA/CMA/2019/6/Add.1</vt:lpwstr>
  </property>
  <property fmtid="{D5CDD505-2E9C-101B-9397-08002B2CF9AE}" pid="12" name="docSymbol2">
    <vt:lpwstr/>
  </property>
  <property fmtid="{D5CDD505-2E9C-101B-9397-08002B2CF9AE}" pid="13" name="templateVersion">
    <vt:lpwstr>v.July2017</vt:lpwstr>
  </property>
  <property fmtid="{D5CDD505-2E9C-101B-9397-08002B2CF9AE}" pid="14" name="SharedWithUsers">
    <vt:lpwstr>55;#Ann Joe;#56;#Esmeralda Fratta di Rickli;#57;#Ting Li;#58;#Karen N Smith;#92;#Marcela Main Sancha</vt:lpwstr>
  </property>
  <property fmtid="{D5CDD505-2E9C-101B-9397-08002B2CF9AE}" pid="15" name="xd_Signature">
    <vt:bool>false</vt:bool>
  </property>
  <property fmtid="{D5CDD505-2E9C-101B-9397-08002B2CF9AE}" pid="16" name="xd_ProgID">
    <vt:lpwstr/>
  </property>
  <property fmtid="{D5CDD505-2E9C-101B-9397-08002B2CF9AE}" pid="17" name="ComplianceAssetId">
    <vt:lpwstr/>
  </property>
  <property fmtid="{D5CDD505-2E9C-101B-9397-08002B2CF9AE}" pid="18" name="TemplateUrl">
    <vt:lpwstr/>
  </property>
  <property fmtid="{D5CDD505-2E9C-101B-9397-08002B2CF9AE}" pid="19" name="MediaServiceImageTags">
    <vt:lpwstr/>
  </property>
</Properties>
</file>