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7.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42770E">
        <w:trPr>
          <w:cantSplit/>
          <w:trHeight w:hRule="exact" w:val="1134"/>
        </w:trPr>
        <w:tc>
          <w:tcPr>
            <w:tcW w:w="1242" w:type="dxa"/>
            <w:vAlign w:val="bottom"/>
          </w:tcPr>
          <w:p w14:paraId="37375111" w14:textId="77777777" w:rsidR="002D66A2" w:rsidRPr="003F5FEE" w:rsidRDefault="002D66A2" w:rsidP="0042770E">
            <w:bookmarkStart w:id="0" w:name="_Hlk55297588"/>
            <w:bookmarkEnd w:id="0"/>
            <w:r w:rsidRPr="00C571AC">
              <w:rPr>
                <w:noProof/>
                <w:lang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42770E">
            <w:pPr>
              <w:ind w:left="113"/>
              <w:rPr>
                <w:sz w:val="28"/>
                <w:szCs w:val="28"/>
              </w:rPr>
            </w:pPr>
            <w:r w:rsidRPr="00A86746">
              <w:rPr>
                <w:sz w:val="28"/>
                <w:szCs w:val="28"/>
              </w:rPr>
              <w:t>United Nations</w:t>
            </w:r>
          </w:p>
        </w:tc>
        <w:tc>
          <w:tcPr>
            <w:tcW w:w="5845" w:type="dxa"/>
            <w:gridSpan w:val="3"/>
            <w:vAlign w:val="bottom"/>
          </w:tcPr>
          <w:p w14:paraId="5628131A" w14:textId="240A474C" w:rsidR="002D66A2" w:rsidRPr="00265564" w:rsidRDefault="00265564" w:rsidP="00265564">
            <w:pPr>
              <w:jc w:val="right"/>
            </w:pPr>
            <w:r w:rsidRPr="00265564">
              <w:rPr>
                <w:sz w:val="40"/>
              </w:rPr>
              <w:t>FCCC</w:t>
            </w:r>
            <w:r>
              <w:t>/PA/CMA/2021/10/Add.3</w:t>
            </w:r>
          </w:p>
        </w:tc>
      </w:tr>
      <w:tr w:rsidR="002D66A2" w14:paraId="5A042767" w14:textId="77777777" w:rsidTr="0042770E">
        <w:trPr>
          <w:cantSplit/>
          <w:trHeight w:hRule="exact" w:val="2552"/>
        </w:trPr>
        <w:tc>
          <w:tcPr>
            <w:tcW w:w="4511" w:type="dxa"/>
            <w:gridSpan w:val="3"/>
          </w:tcPr>
          <w:p w14:paraId="573596F9" w14:textId="77777777" w:rsidR="002D66A2" w:rsidRPr="003F5FEE" w:rsidRDefault="002D66A2" w:rsidP="0042770E">
            <w:r w:rsidRPr="00C571AC">
              <w:rPr>
                <w:noProof/>
                <w:lang w:eastAsia="en-US"/>
              </w:rPr>
              <w:drawing>
                <wp:anchor distT="0" distB="0" distL="114300" distR="114300" simplePos="0" relativeHeight="251658240" behindDoc="1" locked="0" layoutInCell="1" allowOverlap="1" wp14:anchorId="4B44AE20" wp14:editId="0A14B29F">
                  <wp:simplePos x="0" y="0"/>
                  <wp:positionH relativeFrom="column">
                    <wp:posOffset>-1255</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DA9DF" w14:textId="062C48B8" w:rsidR="002D66A2" w:rsidRDefault="002D66A2" w:rsidP="0042770E"/>
          <w:p w14:paraId="619A9A90" w14:textId="77777777" w:rsidR="002D66A2" w:rsidRDefault="002D66A2" w:rsidP="0042770E"/>
          <w:p w14:paraId="03287C41" w14:textId="77777777" w:rsidR="002D66A2" w:rsidRPr="003F5FEE" w:rsidRDefault="002D66A2" w:rsidP="0042770E"/>
        </w:tc>
        <w:tc>
          <w:tcPr>
            <w:tcW w:w="2293" w:type="dxa"/>
          </w:tcPr>
          <w:p w14:paraId="43337958" w14:textId="77777777" w:rsidR="002D66A2" w:rsidRPr="003F5FEE" w:rsidRDefault="002D66A2" w:rsidP="0042770E"/>
        </w:tc>
        <w:tc>
          <w:tcPr>
            <w:tcW w:w="2835" w:type="dxa"/>
          </w:tcPr>
          <w:p w14:paraId="013187F8" w14:textId="77777777" w:rsidR="001955D5" w:rsidRDefault="00265564" w:rsidP="00265564">
            <w:pPr>
              <w:spacing w:before="240" w:line="240" w:lineRule="exact"/>
              <w:ind w:left="143"/>
            </w:pPr>
            <w:r>
              <w:t>Distr.: General</w:t>
            </w:r>
          </w:p>
          <w:p w14:paraId="098CD445" w14:textId="2355B4C7" w:rsidR="00265564" w:rsidRDefault="003F7F88" w:rsidP="00265564">
            <w:pPr>
              <w:spacing w:line="240" w:lineRule="exact"/>
              <w:ind w:left="143"/>
            </w:pPr>
            <w:r>
              <w:t>8</w:t>
            </w:r>
            <w:r w:rsidR="00394B94">
              <w:t xml:space="preserve"> March</w:t>
            </w:r>
            <w:r w:rsidR="00265564">
              <w:t xml:space="preserve"> 2022</w:t>
            </w:r>
          </w:p>
          <w:p w14:paraId="001BB2CE" w14:textId="77777777" w:rsidR="00265564" w:rsidRDefault="00265564" w:rsidP="00265564">
            <w:pPr>
              <w:spacing w:line="240" w:lineRule="exact"/>
              <w:ind w:left="143"/>
            </w:pPr>
          </w:p>
          <w:p w14:paraId="28C2F37F" w14:textId="41A73438" w:rsidR="00265564" w:rsidRPr="00E0470D" w:rsidRDefault="00265564" w:rsidP="00265564">
            <w:pPr>
              <w:spacing w:line="240" w:lineRule="exact"/>
              <w:ind w:left="143"/>
            </w:pPr>
            <w:r>
              <w:t>Original: English</w:t>
            </w:r>
          </w:p>
        </w:tc>
      </w:tr>
    </w:tbl>
    <w:p w14:paraId="6C687335" w14:textId="25249052" w:rsidR="00D832A3" w:rsidRDefault="009E43EE" w:rsidP="008C1A24">
      <w:pPr>
        <w:spacing w:before="120"/>
        <w:rPr>
          <w:b/>
          <w:sz w:val="24"/>
          <w:szCs w:val="24"/>
        </w:rPr>
      </w:pPr>
      <w:r>
        <w:rPr>
          <w:b/>
          <w:sz w:val="24"/>
          <w:szCs w:val="24"/>
        </w:rPr>
        <w:t>Conference of the Parties</w:t>
      </w:r>
      <w:r w:rsidR="008B33C9" w:rsidRPr="008B33C9">
        <w:rPr>
          <w:b/>
          <w:sz w:val="24"/>
          <w:szCs w:val="24"/>
        </w:rPr>
        <w:t xml:space="preserve"> </w:t>
      </w:r>
      <w:bookmarkStart w:id="1" w:name="_Hlk75869726"/>
      <w:r w:rsidR="008B33C9">
        <w:rPr>
          <w:b/>
          <w:sz w:val="24"/>
          <w:szCs w:val="24"/>
        </w:rPr>
        <w:t xml:space="preserve">serving as the meeting </w:t>
      </w:r>
      <w:r w:rsidR="008B33C9">
        <w:rPr>
          <w:b/>
          <w:sz w:val="24"/>
          <w:szCs w:val="24"/>
        </w:rPr>
        <w:br/>
        <w:t>of the Parties to the Paris Agreement</w:t>
      </w:r>
      <w:bookmarkEnd w:id="1"/>
    </w:p>
    <w:p w14:paraId="35B39869" w14:textId="66505D53" w:rsidR="008C1A24" w:rsidRDefault="008C1A24" w:rsidP="009E5AC3">
      <w:pPr>
        <w:pStyle w:val="RegHChG"/>
        <w:numPr>
          <w:ilvl w:val="0"/>
          <w:numId w:val="0"/>
        </w:numPr>
        <w:ind w:left="1135" w:hanging="454"/>
      </w:pPr>
      <w:r w:rsidRPr="00597517">
        <w:t xml:space="preserve">Report of the </w:t>
      </w:r>
      <w:r w:rsidR="009E43EE" w:rsidRPr="00597517">
        <w:t xml:space="preserve">Conference of the Parties </w:t>
      </w:r>
      <w:r w:rsidR="008B33C9" w:rsidRPr="00597517">
        <w:t xml:space="preserve">serving as the meeting of the Parties to the Paris Agreement </w:t>
      </w:r>
      <w:r w:rsidR="009E43EE" w:rsidRPr="00597517">
        <w:t xml:space="preserve">on its </w:t>
      </w:r>
      <w:r w:rsidR="008B33C9" w:rsidRPr="00597517">
        <w:br/>
        <w:t>third</w:t>
      </w:r>
      <w:r w:rsidR="009E43EE" w:rsidRPr="00597517">
        <w:t xml:space="preserve"> session, held in Glasgow from 31 October to</w:t>
      </w:r>
      <w:r w:rsidR="00394B94">
        <w:br/>
      </w:r>
      <w:r w:rsidR="009E43EE" w:rsidRPr="00597517">
        <w:t>1</w:t>
      </w:r>
      <w:r w:rsidR="00B02AD7" w:rsidRPr="00597517">
        <w:t>3</w:t>
      </w:r>
      <w:r w:rsidR="009E43EE" w:rsidRPr="00597517">
        <w:t xml:space="preserve"> November </w:t>
      </w:r>
      <w:r w:rsidR="00CD0B75" w:rsidRPr="00597517">
        <w:t>2021</w:t>
      </w:r>
    </w:p>
    <w:p w14:paraId="1D8E9706" w14:textId="77777777" w:rsidR="00237801" w:rsidRDefault="00237801" w:rsidP="009E5AC3">
      <w:pPr>
        <w:pStyle w:val="RegH1G"/>
        <w:numPr>
          <w:ilvl w:val="0"/>
          <w:numId w:val="0"/>
        </w:numPr>
        <w:ind w:left="1135" w:hanging="454"/>
      </w:pPr>
      <w:bookmarkStart w:id="2" w:name="_Toc88485351"/>
      <w:r>
        <w:t>Addendum</w:t>
      </w:r>
      <w:bookmarkEnd w:id="2"/>
    </w:p>
    <w:p w14:paraId="024472C9" w14:textId="77777777" w:rsidR="00237801" w:rsidRPr="004567E2" w:rsidRDefault="00237801" w:rsidP="009E5AC3">
      <w:pPr>
        <w:pStyle w:val="RegH1G"/>
        <w:numPr>
          <w:ilvl w:val="0"/>
          <w:numId w:val="0"/>
        </w:numPr>
        <w:ind w:left="1135" w:hanging="454"/>
      </w:pPr>
      <w:r>
        <w:t>Part two: Action taken by the Conference of the Parties serving as the meeting of the Parties to the Paris Agreement at its third session</w:t>
      </w:r>
    </w:p>
    <w:p w14:paraId="16F445F0" w14:textId="77777777" w:rsidR="00237801" w:rsidRDefault="00237801" w:rsidP="00237801">
      <w:pPr>
        <w:spacing w:after="120"/>
        <w:rPr>
          <w:sz w:val="28"/>
        </w:rPr>
      </w:pPr>
      <w:r>
        <w:rPr>
          <w:sz w:val="28"/>
        </w:rPr>
        <w:t>Contents</w:t>
      </w:r>
    </w:p>
    <w:p w14:paraId="342BD584" w14:textId="77777777" w:rsidR="00237801" w:rsidRDefault="00237801" w:rsidP="009E5AC3">
      <w:pPr>
        <w:pStyle w:val="RegHChG"/>
        <w:numPr>
          <w:ilvl w:val="0"/>
          <w:numId w:val="0"/>
        </w:numPr>
        <w:ind w:left="1135" w:hanging="454"/>
      </w:pPr>
      <w:r>
        <w:t>Decisions adopted by the Conference of the Parties serving as the meeting of the Parties to the Paris Agreement</w:t>
      </w:r>
    </w:p>
    <w:p w14:paraId="10AB04D2" w14:textId="77777777" w:rsidR="00237801" w:rsidRDefault="00237801" w:rsidP="00237801">
      <w:pPr>
        <w:tabs>
          <w:tab w:val="right" w:pos="9638"/>
        </w:tabs>
        <w:spacing w:after="120"/>
        <w:ind w:left="1134"/>
      </w:pPr>
      <w:r>
        <w:rPr>
          <w:i/>
          <w:sz w:val="18"/>
        </w:rPr>
        <w:t>Decision</w:t>
      </w:r>
      <w:r>
        <w:rPr>
          <w:i/>
          <w:sz w:val="18"/>
        </w:rPr>
        <w:tab/>
        <w:t>Page</w:t>
      </w:r>
    </w:p>
    <w:p w14:paraId="0BE493EE" w14:textId="43AF9BF3" w:rsidR="00237801" w:rsidRDefault="005050DA" w:rsidP="00260C3C">
      <w:pPr>
        <w:pStyle w:val="TOC1"/>
        <w:tabs>
          <w:tab w:val="clear" w:pos="1559"/>
          <w:tab w:val="clear" w:pos="1985"/>
          <w:tab w:val="left" w:pos="2268"/>
        </w:tabs>
        <w:spacing w:before="120"/>
        <w:ind w:left="1134"/>
      </w:pPr>
      <w:hyperlink w:anchor="Decision6" w:history="1">
        <w:r w:rsidR="00163767" w:rsidRPr="0047630B">
          <w:rPr>
            <w:rStyle w:val="Hyperlink"/>
          </w:rPr>
          <w:t>6/CMA.3</w:t>
        </w:r>
      </w:hyperlink>
      <w:r w:rsidR="00237801">
        <w:tab/>
      </w:r>
      <w:r w:rsidR="00F403B4" w:rsidRPr="00F403B4">
        <w:t>Common time frames for nationally determined contributions referred to in</w:t>
      </w:r>
      <w:r w:rsidR="00F403B4">
        <w:br/>
      </w:r>
      <w:r w:rsidR="00F403B4">
        <w:tab/>
      </w:r>
      <w:r w:rsidR="00F403B4" w:rsidRPr="00F403B4">
        <w:t>Article 4, paragraph 10, of the Paris Agreement</w:t>
      </w:r>
      <w:r w:rsidR="00F403B4">
        <w:tab/>
      </w:r>
      <w:r w:rsidR="003412A5">
        <w:tab/>
        <w:t>3</w:t>
      </w:r>
    </w:p>
    <w:p w14:paraId="5B0BC84F" w14:textId="392E30CA" w:rsidR="00237801" w:rsidRDefault="005050DA" w:rsidP="00260C3C">
      <w:pPr>
        <w:pStyle w:val="TOC1"/>
        <w:tabs>
          <w:tab w:val="clear" w:pos="1559"/>
          <w:tab w:val="clear" w:pos="1985"/>
          <w:tab w:val="left" w:pos="2268"/>
        </w:tabs>
        <w:spacing w:before="120"/>
        <w:ind w:left="1134"/>
      </w:pPr>
      <w:hyperlink w:anchor="Decision7" w:history="1">
        <w:r w:rsidR="00163767" w:rsidRPr="0047630B">
          <w:rPr>
            <w:rStyle w:val="Hyperlink"/>
          </w:rPr>
          <w:t>7/CMA.3</w:t>
        </w:r>
      </w:hyperlink>
      <w:r w:rsidR="00C523D4">
        <w:tab/>
      </w:r>
      <w:r w:rsidR="00C523D4" w:rsidRPr="00C523D4">
        <w:t>Glasgow</w:t>
      </w:r>
      <w:r w:rsidR="004E4F16">
        <w:t>–</w:t>
      </w:r>
      <w:r w:rsidR="00C523D4" w:rsidRPr="00C523D4">
        <w:t>Sharm el-Sheikh work programme on the global goal on adaptation</w:t>
      </w:r>
      <w:r w:rsidR="00237801">
        <w:tab/>
      </w:r>
      <w:r w:rsidR="003412A5">
        <w:tab/>
        <w:t>4</w:t>
      </w:r>
    </w:p>
    <w:p w14:paraId="6E10570A" w14:textId="2EAE73A6" w:rsidR="00237801" w:rsidRPr="00C571AC" w:rsidRDefault="005050DA" w:rsidP="00F16983">
      <w:pPr>
        <w:pStyle w:val="TOC1"/>
        <w:tabs>
          <w:tab w:val="clear" w:pos="1559"/>
          <w:tab w:val="clear" w:pos="1985"/>
          <w:tab w:val="left" w:pos="2268"/>
        </w:tabs>
        <w:spacing w:before="120"/>
        <w:ind w:left="1134"/>
      </w:pPr>
      <w:hyperlink w:anchor="Decision8" w:history="1">
        <w:r w:rsidR="00163767" w:rsidRPr="0047630B">
          <w:rPr>
            <w:rStyle w:val="Hyperlink"/>
          </w:rPr>
          <w:t>8/CMA.3</w:t>
        </w:r>
      </w:hyperlink>
      <w:r w:rsidR="00237801">
        <w:tab/>
      </w:r>
      <w:r w:rsidR="00F16983" w:rsidRPr="00597517">
        <w:t>Report of the Adaptation Committee for 2019, 2020 and 2021</w:t>
      </w:r>
      <w:r w:rsidR="00237801" w:rsidRPr="00C571AC">
        <w:tab/>
      </w:r>
      <w:r w:rsidR="003412A5" w:rsidRPr="00C571AC">
        <w:tab/>
        <w:t>7</w:t>
      </w:r>
    </w:p>
    <w:p w14:paraId="03E7FA65" w14:textId="4D933906" w:rsidR="00237801" w:rsidRDefault="005050DA" w:rsidP="00260C3C">
      <w:pPr>
        <w:pStyle w:val="TOC1"/>
        <w:tabs>
          <w:tab w:val="clear" w:pos="1559"/>
          <w:tab w:val="clear" w:pos="1985"/>
          <w:tab w:val="left" w:pos="2268"/>
        </w:tabs>
        <w:spacing w:before="120"/>
        <w:ind w:left="1134"/>
      </w:pPr>
      <w:hyperlink w:anchor="Decision9" w:history="1">
        <w:r w:rsidR="00163767" w:rsidRPr="0047630B">
          <w:rPr>
            <w:rStyle w:val="Hyperlink"/>
          </w:rPr>
          <w:t>9/CMA.3</w:t>
        </w:r>
      </w:hyperlink>
      <w:r w:rsidR="00237801">
        <w:tab/>
      </w:r>
      <w:r w:rsidR="00DD5C32" w:rsidRPr="00DD5C32">
        <w:t>New collective quantified goal on climate finance</w:t>
      </w:r>
      <w:r w:rsidR="00237801">
        <w:tab/>
      </w:r>
      <w:r w:rsidR="003412A5">
        <w:tab/>
        <w:t>8</w:t>
      </w:r>
    </w:p>
    <w:p w14:paraId="740450FB" w14:textId="0337F99C" w:rsidR="00426D0A" w:rsidRDefault="005050DA" w:rsidP="00426D0A">
      <w:pPr>
        <w:pStyle w:val="TOC1"/>
        <w:tabs>
          <w:tab w:val="clear" w:pos="1559"/>
          <w:tab w:val="clear" w:pos="1985"/>
          <w:tab w:val="left" w:pos="2268"/>
        </w:tabs>
        <w:spacing w:before="120"/>
        <w:ind w:left="1134"/>
      </w:pPr>
      <w:hyperlink w:anchor="Decision10" w:history="1">
        <w:r w:rsidR="00426D0A" w:rsidRPr="0047630B">
          <w:rPr>
            <w:rStyle w:val="Hyperlink"/>
          </w:rPr>
          <w:t>10/CMA.3</w:t>
        </w:r>
      </w:hyperlink>
      <w:r w:rsidR="00426D0A">
        <w:tab/>
      </w:r>
      <w:r w:rsidR="00030FC2" w:rsidRPr="00030FC2">
        <w:t>Matters relating to the Standing Committee on Finance</w:t>
      </w:r>
      <w:r w:rsidR="00426D0A">
        <w:tab/>
      </w:r>
      <w:r w:rsidR="003412A5">
        <w:tab/>
        <w:t>11</w:t>
      </w:r>
    </w:p>
    <w:p w14:paraId="6F68BFE3" w14:textId="747C19BA" w:rsidR="00426D0A" w:rsidRDefault="005050DA" w:rsidP="00426D0A">
      <w:pPr>
        <w:pStyle w:val="TOC1"/>
        <w:tabs>
          <w:tab w:val="clear" w:pos="1559"/>
          <w:tab w:val="clear" w:pos="1985"/>
          <w:tab w:val="left" w:pos="2268"/>
        </w:tabs>
        <w:spacing w:before="120"/>
        <w:ind w:left="1134"/>
      </w:pPr>
      <w:hyperlink w:anchor="Decision11" w:history="1">
        <w:r w:rsidR="00426D0A" w:rsidRPr="0047630B">
          <w:rPr>
            <w:rStyle w:val="Hyperlink"/>
          </w:rPr>
          <w:t>11/CMA.3</w:t>
        </w:r>
      </w:hyperlink>
      <w:r w:rsidR="00426D0A">
        <w:tab/>
      </w:r>
      <w:r w:rsidR="00AD46F1" w:rsidRPr="00AD46F1">
        <w:t>Guidance to the Green Climate Fund</w:t>
      </w:r>
      <w:r w:rsidR="001830B2">
        <w:tab/>
      </w:r>
      <w:r w:rsidR="003412A5">
        <w:tab/>
        <w:t>12</w:t>
      </w:r>
    </w:p>
    <w:p w14:paraId="5A88D98C" w14:textId="6A8FA75A" w:rsidR="001830B2" w:rsidRDefault="005050DA" w:rsidP="001830B2">
      <w:pPr>
        <w:pStyle w:val="TOC1"/>
        <w:tabs>
          <w:tab w:val="clear" w:pos="1559"/>
          <w:tab w:val="clear" w:pos="1985"/>
          <w:tab w:val="left" w:pos="2268"/>
        </w:tabs>
        <w:spacing w:before="120"/>
        <w:ind w:left="1134"/>
      </w:pPr>
      <w:hyperlink w:anchor="Decision12" w:history="1">
        <w:r w:rsidR="001830B2" w:rsidRPr="0047630B">
          <w:rPr>
            <w:rStyle w:val="Hyperlink"/>
          </w:rPr>
          <w:t>12/CMA.3</w:t>
        </w:r>
      </w:hyperlink>
      <w:r w:rsidR="001830B2">
        <w:tab/>
      </w:r>
      <w:r w:rsidR="00516D7E" w:rsidRPr="00516D7E">
        <w:t>Guidance to the Global Environment Facility</w:t>
      </w:r>
      <w:r w:rsidR="001830B2">
        <w:tab/>
      </w:r>
      <w:r w:rsidR="003412A5">
        <w:tab/>
        <w:t>13</w:t>
      </w:r>
    </w:p>
    <w:p w14:paraId="4208D312" w14:textId="114BB333" w:rsidR="001830B2" w:rsidRDefault="005050DA" w:rsidP="001830B2">
      <w:pPr>
        <w:pStyle w:val="TOC1"/>
        <w:tabs>
          <w:tab w:val="clear" w:pos="1559"/>
          <w:tab w:val="clear" w:pos="1985"/>
          <w:tab w:val="left" w:pos="2268"/>
        </w:tabs>
        <w:spacing w:before="120"/>
        <w:ind w:left="1134"/>
      </w:pPr>
      <w:hyperlink w:anchor="Decision13" w:history="1">
        <w:r w:rsidR="001830B2" w:rsidRPr="0047630B">
          <w:rPr>
            <w:rStyle w:val="Hyperlink"/>
          </w:rPr>
          <w:t>13/CMA.3</w:t>
        </w:r>
      </w:hyperlink>
      <w:r w:rsidR="001830B2">
        <w:tab/>
      </w:r>
      <w:r w:rsidR="00E11916" w:rsidRPr="00E11916">
        <w:t>Matters relating to the Adaptation Fund</w:t>
      </w:r>
      <w:r w:rsidR="001830B2">
        <w:tab/>
      </w:r>
      <w:r w:rsidR="003412A5">
        <w:tab/>
        <w:t>15</w:t>
      </w:r>
    </w:p>
    <w:p w14:paraId="4E4B8F49" w14:textId="5FE04FF2" w:rsidR="001830B2" w:rsidRDefault="005050DA" w:rsidP="001830B2">
      <w:pPr>
        <w:pStyle w:val="TOC1"/>
        <w:tabs>
          <w:tab w:val="clear" w:pos="1559"/>
          <w:tab w:val="clear" w:pos="1985"/>
          <w:tab w:val="left" w:pos="2268"/>
        </w:tabs>
        <w:spacing w:before="120"/>
        <w:ind w:left="1134"/>
      </w:pPr>
      <w:hyperlink w:anchor="Decision14" w:history="1">
        <w:r w:rsidR="001830B2" w:rsidRPr="0047630B">
          <w:rPr>
            <w:rStyle w:val="Hyperlink"/>
          </w:rPr>
          <w:t>14/CMA.3</w:t>
        </w:r>
      </w:hyperlink>
      <w:r w:rsidR="001830B2">
        <w:tab/>
      </w:r>
      <w:r w:rsidR="0000515F" w:rsidRPr="0000515F">
        <w:t>Compilation and synthesis of, and summary report on the in-session workshop on,</w:t>
      </w:r>
      <w:r w:rsidR="0000515F">
        <w:br/>
      </w:r>
      <w:r w:rsidR="0000515F">
        <w:tab/>
      </w:r>
      <w:r w:rsidR="0000515F" w:rsidRPr="0000515F">
        <w:t xml:space="preserve">biennial communications of information related to Article 9, paragraph 5, of the </w:t>
      </w:r>
      <w:r w:rsidR="00DD28EE">
        <w:br/>
      </w:r>
      <w:r w:rsidR="00DD28EE">
        <w:tab/>
      </w:r>
      <w:r w:rsidR="0000515F" w:rsidRPr="0000515F">
        <w:t>Paris Agreement</w:t>
      </w:r>
      <w:r w:rsidR="00DD28EE">
        <w:tab/>
      </w:r>
      <w:r w:rsidR="003412A5">
        <w:tab/>
      </w:r>
      <w:r w:rsidR="00DB0D36">
        <w:t>19</w:t>
      </w:r>
    </w:p>
    <w:p w14:paraId="7E435A9C" w14:textId="64EBEF03" w:rsidR="001830B2" w:rsidRDefault="005050DA" w:rsidP="001830B2">
      <w:pPr>
        <w:pStyle w:val="TOC1"/>
        <w:tabs>
          <w:tab w:val="clear" w:pos="1559"/>
          <w:tab w:val="clear" w:pos="1985"/>
          <w:tab w:val="left" w:pos="2268"/>
        </w:tabs>
        <w:spacing w:before="120"/>
        <w:ind w:left="1134"/>
      </w:pPr>
      <w:hyperlink w:anchor="Decision15" w:history="1">
        <w:r w:rsidR="001830B2" w:rsidRPr="0047630B">
          <w:rPr>
            <w:rStyle w:val="Hyperlink"/>
          </w:rPr>
          <w:t>15/CMA.3</w:t>
        </w:r>
      </w:hyperlink>
      <w:r w:rsidR="001830B2">
        <w:tab/>
      </w:r>
      <w:r w:rsidR="002E0A6C" w:rsidRPr="002E0A6C">
        <w:t xml:space="preserve">Enhancing climate technology development and transfer to support implementation </w:t>
      </w:r>
      <w:r w:rsidR="002E0A6C">
        <w:br/>
      </w:r>
      <w:r w:rsidR="002E0A6C">
        <w:tab/>
      </w:r>
      <w:r w:rsidR="002E0A6C" w:rsidRPr="002E0A6C">
        <w:t>of the Paris Agreement</w:t>
      </w:r>
      <w:r w:rsidR="002E0A6C">
        <w:tab/>
      </w:r>
      <w:r w:rsidR="00DB0D36">
        <w:tab/>
        <w:t>22</w:t>
      </w:r>
    </w:p>
    <w:p w14:paraId="22297383" w14:textId="1D009BAC" w:rsidR="001830B2" w:rsidRDefault="005050DA" w:rsidP="001830B2">
      <w:pPr>
        <w:pStyle w:val="TOC1"/>
        <w:tabs>
          <w:tab w:val="clear" w:pos="1559"/>
          <w:tab w:val="clear" w:pos="1985"/>
          <w:tab w:val="left" w:pos="2268"/>
        </w:tabs>
        <w:spacing w:before="120"/>
        <w:ind w:left="1134"/>
      </w:pPr>
      <w:hyperlink w:anchor="Decision16" w:history="1">
        <w:r w:rsidR="001830B2" w:rsidRPr="0047630B">
          <w:rPr>
            <w:rStyle w:val="Hyperlink"/>
          </w:rPr>
          <w:t>16/CMA.3</w:t>
        </w:r>
      </w:hyperlink>
      <w:r w:rsidR="001830B2">
        <w:tab/>
      </w:r>
      <w:r w:rsidR="009B0BD3" w:rsidRPr="009B0BD3">
        <w:t>Alignment between processes pertaining to the review of the Climate Technology</w:t>
      </w:r>
      <w:r w:rsidR="009B0BD3">
        <w:br/>
      </w:r>
      <w:r w:rsidR="009B0BD3">
        <w:tab/>
      </w:r>
      <w:r w:rsidR="009B0BD3" w:rsidRPr="009B0BD3">
        <w:t>Centre and Network and the periodic assessment referred to in paragraph 69 of</w:t>
      </w:r>
      <w:r w:rsidR="009B0BD3">
        <w:br/>
      </w:r>
      <w:r w:rsidR="009B0BD3">
        <w:tab/>
      </w:r>
      <w:r w:rsidR="009B0BD3" w:rsidRPr="009B0BD3">
        <w:t>decision 1/CP.21</w:t>
      </w:r>
      <w:r w:rsidR="009B0BD3">
        <w:tab/>
      </w:r>
      <w:r w:rsidR="00DB0D36">
        <w:tab/>
        <w:t>25</w:t>
      </w:r>
    </w:p>
    <w:p w14:paraId="02E610FD" w14:textId="77777777" w:rsidR="00FD2C47" w:rsidRDefault="005050DA" w:rsidP="001830B2">
      <w:pPr>
        <w:pStyle w:val="TOC1"/>
        <w:tabs>
          <w:tab w:val="clear" w:pos="1559"/>
          <w:tab w:val="clear" w:pos="1985"/>
          <w:tab w:val="left" w:pos="2268"/>
        </w:tabs>
        <w:spacing w:before="120"/>
        <w:ind w:left="1134"/>
        <w:sectPr w:rsidR="00FD2C47" w:rsidSect="00265564">
          <w:headerReference w:type="even" r:id="rId15"/>
          <w:headerReference w:type="default" r:id="rId16"/>
          <w:footerReference w:type="even" r:id="rId17"/>
          <w:footerReference w:type="default" r:id="rId18"/>
          <w:headerReference w:type="first" r:id="rId19"/>
          <w:footnotePr>
            <w:numRestart w:val="eachSect"/>
          </w:footnotePr>
          <w:type w:val="continuous"/>
          <w:pgSz w:w="11906" w:h="16838" w:code="9"/>
          <w:pgMar w:top="1417" w:right="1134" w:bottom="1134" w:left="1134" w:header="850" w:footer="567" w:gutter="0"/>
          <w:cols w:space="708"/>
          <w:titlePg/>
          <w:docGrid w:linePitch="360"/>
        </w:sectPr>
      </w:pPr>
      <w:hyperlink w:anchor="Decision17" w:history="1">
        <w:r w:rsidR="001830B2" w:rsidRPr="0047630B">
          <w:rPr>
            <w:rStyle w:val="Hyperlink"/>
          </w:rPr>
          <w:t>17/CMA.3</w:t>
        </w:r>
      </w:hyperlink>
      <w:r w:rsidR="001830B2">
        <w:tab/>
      </w:r>
      <w:r w:rsidR="00CC42FD" w:rsidRPr="00CC42FD">
        <w:t>First periodic assessment referred to in paragraph 69 of decision 1/CP.21</w:t>
      </w:r>
      <w:r w:rsidR="00CC42FD">
        <w:tab/>
      </w:r>
      <w:r w:rsidR="00DB0D36">
        <w:tab/>
        <w:t>26</w:t>
      </w:r>
    </w:p>
    <w:p w14:paraId="063B5471" w14:textId="77777777" w:rsidR="00FD2C47" w:rsidRDefault="00FD2C47" w:rsidP="00FD2C47">
      <w:pPr>
        <w:tabs>
          <w:tab w:val="right" w:pos="9638"/>
        </w:tabs>
        <w:spacing w:after="120"/>
        <w:ind w:left="1134"/>
      </w:pPr>
      <w:r>
        <w:rPr>
          <w:i/>
          <w:sz w:val="18"/>
        </w:rPr>
        <w:lastRenderedPageBreak/>
        <w:t>Decision</w:t>
      </w:r>
      <w:r>
        <w:rPr>
          <w:i/>
          <w:sz w:val="18"/>
        </w:rPr>
        <w:tab/>
        <w:t>Page</w:t>
      </w:r>
    </w:p>
    <w:p w14:paraId="7B8D63A3" w14:textId="3BA6A9C0" w:rsidR="001830B2" w:rsidRDefault="005050DA" w:rsidP="001830B2">
      <w:pPr>
        <w:pStyle w:val="TOC1"/>
        <w:tabs>
          <w:tab w:val="clear" w:pos="1559"/>
          <w:tab w:val="clear" w:pos="1985"/>
          <w:tab w:val="left" w:pos="2268"/>
        </w:tabs>
        <w:spacing w:before="120"/>
        <w:ind w:left="1134"/>
      </w:pPr>
      <w:hyperlink w:anchor="Decision18" w:history="1">
        <w:r w:rsidR="001830B2" w:rsidRPr="0047630B">
          <w:rPr>
            <w:rStyle w:val="Hyperlink"/>
          </w:rPr>
          <w:t>18/CMA.3</w:t>
        </w:r>
      </w:hyperlink>
      <w:r w:rsidR="001830B2">
        <w:tab/>
      </w:r>
      <w:r w:rsidR="00560D63" w:rsidRPr="00560D63">
        <w:t xml:space="preserve">Annual technical progress reports of the Paris Committee on Capacity-building </w:t>
      </w:r>
      <w:r w:rsidR="00560D63">
        <w:br/>
      </w:r>
      <w:r w:rsidR="00560D63">
        <w:tab/>
      </w:r>
      <w:r w:rsidR="00560D63" w:rsidRPr="00560D63">
        <w:t>for 2020 and 2021</w:t>
      </w:r>
      <w:r w:rsidR="00560D63">
        <w:tab/>
      </w:r>
      <w:r w:rsidR="00DB0D36">
        <w:tab/>
        <w:t>27</w:t>
      </w:r>
    </w:p>
    <w:p w14:paraId="57225C00" w14:textId="2BFA201F" w:rsidR="001830B2" w:rsidRDefault="005050DA" w:rsidP="001830B2">
      <w:pPr>
        <w:pStyle w:val="TOC1"/>
        <w:tabs>
          <w:tab w:val="clear" w:pos="1559"/>
          <w:tab w:val="clear" w:pos="1985"/>
          <w:tab w:val="left" w:pos="2268"/>
        </w:tabs>
        <w:spacing w:before="120"/>
        <w:ind w:left="1134"/>
      </w:pPr>
      <w:hyperlink w:anchor="Decision19" w:history="1">
        <w:r w:rsidR="001830B2" w:rsidRPr="0047630B">
          <w:rPr>
            <w:rStyle w:val="Hyperlink"/>
          </w:rPr>
          <w:t>19/CMA.3</w:t>
        </w:r>
      </w:hyperlink>
      <w:r w:rsidR="001830B2">
        <w:tab/>
      </w:r>
      <w:r w:rsidR="00AA1630" w:rsidRPr="00AA1630">
        <w:t xml:space="preserve">Warsaw International Mechanism for Loss and Damage associated with </w:t>
      </w:r>
      <w:r w:rsidR="00AA1630">
        <w:br/>
      </w:r>
      <w:r w:rsidR="00AA1630">
        <w:tab/>
      </w:r>
      <w:r w:rsidR="00AA1630" w:rsidRPr="00AA1630">
        <w:t>Climate Change Impacts</w:t>
      </w:r>
      <w:r w:rsidR="00AA1630">
        <w:tab/>
      </w:r>
      <w:r w:rsidR="00DB0D36">
        <w:tab/>
        <w:t>28</w:t>
      </w:r>
    </w:p>
    <w:p w14:paraId="4BED02F1" w14:textId="288C71CE" w:rsidR="001830B2" w:rsidRDefault="005050DA" w:rsidP="001830B2">
      <w:pPr>
        <w:pStyle w:val="TOC1"/>
        <w:tabs>
          <w:tab w:val="clear" w:pos="1559"/>
          <w:tab w:val="clear" w:pos="1985"/>
          <w:tab w:val="left" w:pos="2268"/>
        </w:tabs>
        <w:spacing w:before="120"/>
        <w:ind w:left="1134"/>
      </w:pPr>
      <w:hyperlink w:anchor="Decision20" w:history="1">
        <w:r w:rsidR="001830B2" w:rsidRPr="0047630B">
          <w:rPr>
            <w:rStyle w:val="Hyperlink"/>
          </w:rPr>
          <w:t>20/CMA.3</w:t>
        </w:r>
      </w:hyperlink>
      <w:r w:rsidR="001830B2">
        <w:tab/>
      </w:r>
      <w:r w:rsidR="009428B6" w:rsidRPr="009428B6">
        <w:t>Modalities and procedures for the operation and use of a public registry referred to</w:t>
      </w:r>
      <w:r w:rsidR="009428B6">
        <w:br/>
      </w:r>
      <w:r w:rsidR="009428B6">
        <w:tab/>
      </w:r>
      <w:r w:rsidR="009428B6" w:rsidRPr="009428B6">
        <w:t>in Article 4, paragraph 12, of the Paris Agreement</w:t>
      </w:r>
      <w:r w:rsidR="009428B6">
        <w:tab/>
      </w:r>
      <w:r w:rsidR="00DB0D36">
        <w:tab/>
      </w:r>
      <w:r w:rsidR="00FD2C47">
        <w:t>32</w:t>
      </w:r>
    </w:p>
    <w:p w14:paraId="3DCCC9BD" w14:textId="6AB43ACC" w:rsidR="001830B2" w:rsidRDefault="005050DA" w:rsidP="001830B2">
      <w:pPr>
        <w:pStyle w:val="TOC1"/>
        <w:tabs>
          <w:tab w:val="clear" w:pos="1559"/>
          <w:tab w:val="clear" w:pos="1985"/>
          <w:tab w:val="left" w:pos="2268"/>
        </w:tabs>
        <w:spacing w:before="120"/>
        <w:ind w:left="1134"/>
      </w:pPr>
      <w:hyperlink w:anchor="Decision21" w:history="1">
        <w:r w:rsidR="001830B2" w:rsidRPr="0047630B">
          <w:rPr>
            <w:rStyle w:val="Hyperlink"/>
          </w:rPr>
          <w:t>21/CMA.3</w:t>
        </w:r>
      </w:hyperlink>
      <w:r w:rsidR="001830B2">
        <w:tab/>
      </w:r>
      <w:r w:rsidR="00E51F63" w:rsidRPr="00E51F63">
        <w:t xml:space="preserve">Modalities and procedures for the operation and use of a public registry referred to </w:t>
      </w:r>
      <w:r w:rsidR="00E51F63">
        <w:br/>
      </w:r>
      <w:r w:rsidR="00E51F63">
        <w:tab/>
      </w:r>
      <w:r w:rsidR="00E51F63" w:rsidRPr="00E51F63">
        <w:t>in Article 7, paragraph 12, of the Paris Agreement</w:t>
      </w:r>
      <w:r w:rsidR="00E51F63">
        <w:tab/>
      </w:r>
      <w:r w:rsidR="00FD2C47">
        <w:tab/>
        <w:t>33</w:t>
      </w:r>
    </w:p>
    <w:p w14:paraId="7A708F6B" w14:textId="77C7632F" w:rsidR="001830B2" w:rsidRDefault="005050DA" w:rsidP="001830B2">
      <w:pPr>
        <w:pStyle w:val="TOC1"/>
        <w:tabs>
          <w:tab w:val="clear" w:pos="1559"/>
          <w:tab w:val="clear" w:pos="1985"/>
          <w:tab w:val="left" w:pos="2268"/>
        </w:tabs>
        <w:spacing w:before="120"/>
        <w:ind w:left="1134"/>
      </w:pPr>
      <w:hyperlink w:anchor="Decision22" w:history="1">
        <w:r w:rsidR="001830B2" w:rsidRPr="0047630B">
          <w:rPr>
            <w:rStyle w:val="Hyperlink"/>
          </w:rPr>
          <w:t>22/CMA.3</w:t>
        </w:r>
      </w:hyperlink>
      <w:r w:rsidR="001830B2">
        <w:tab/>
      </w:r>
      <w:r w:rsidR="00630DB9" w:rsidRPr="00630DB9">
        <w:t>Glasgow work programme on Action for Climate Empowerment</w:t>
      </w:r>
      <w:r w:rsidR="00630DB9">
        <w:tab/>
      </w:r>
      <w:r w:rsidR="00FD2C47">
        <w:tab/>
        <w:t>34</w:t>
      </w:r>
    </w:p>
    <w:p w14:paraId="218B6923" w14:textId="36767610" w:rsidR="001830B2" w:rsidRDefault="005050DA" w:rsidP="001830B2">
      <w:pPr>
        <w:pStyle w:val="TOC1"/>
        <w:tabs>
          <w:tab w:val="clear" w:pos="1559"/>
          <w:tab w:val="clear" w:pos="1985"/>
          <w:tab w:val="left" w:pos="2268"/>
        </w:tabs>
        <w:spacing w:before="120"/>
        <w:ind w:left="1134"/>
      </w:pPr>
      <w:hyperlink w:anchor="Decision23" w:history="1">
        <w:r w:rsidR="001830B2" w:rsidRPr="0047630B">
          <w:rPr>
            <w:rStyle w:val="Hyperlink"/>
          </w:rPr>
          <w:t>23/CMA.3</w:t>
        </w:r>
      </w:hyperlink>
      <w:r w:rsidR="001830B2">
        <w:tab/>
      </w:r>
      <w:r w:rsidR="00EE2649" w:rsidRPr="00EE2649">
        <w:t xml:space="preserve">Matters relating to the forum on the impact of the implementation of </w:t>
      </w:r>
      <w:r w:rsidR="00EE2649">
        <w:br/>
      </w:r>
      <w:r w:rsidR="00EE2649">
        <w:tab/>
      </w:r>
      <w:r w:rsidR="00EE2649" w:rsidRPr="00EE2649">
        <w:t>response measures</w:t>
      </w:r>
      <w:r w:rsidR="00EE2649">
        <w:tab/>
      </w:r>
      <w:r w:rsidR="00FD2C47">
        <w:tab/>
        <w:t>44</w:t>
      </w:r>
    </w:p>
    <w:p w14:paraId="33BBD6C2" w14:textId="6488E134" w:rsidR="001830B2" w:rsidRDefault="005050DA" w:rsidP="001830B2">
      <w:pPr>
        <w:pStyle w:val="TOC1"/>
        <w:tabs>
          <w:tab w:val="clear" w:pos="1559"/>
          <w:tab w:val="clear" w:pos="1985"/>
          <w:tab w:val="left" w:pos="2268"/>
        </w:tabs>
        <w:spacing w:before="120"/>
        <w:ind w:left="1134"/>
      </w:pPr>
      <w:hyperlink w:anchor="Decision24" w:history="1">
        <w:r w:rsidR="001830B2" w:rsidRPr="0047630B">
          <w:rPr>
            <w:rStyle w:val="Hyperlink"/>
          </w:rPr>
          <w:t>24/CMA.3</w:t>
        </w:r>
      </w:hyperlink>
      <w:r w:rsidR="001830B2">
        <w:tab/>
      </w:r>
      <w:r w:rsidR="00A15DFE" w:rsidRPr="00A15DFE">
        <w:t xml:space="preserve">Rules of procedure of the committee to facilitate implementation and promote </w:t>
      </w:r>
      <w:r w:rsidR="00A15DFE">
        <w:br/>
      </w:r>
      <w:r w:rsidR="00A15DFE">
        <w:tab/>
      </w:r>
      <w:r w:rsidR="00A15DFE" w:rsidRPr="00A15DFE">
        <w:t>compliance referred to in Article 15, paragraph 2, of the Paris Agreement</w:t>
      </w:r>
      <w:r w:rsidR="00A15DFE">
        <w:tab/>
      </w:r>
      <w:r w:rsidR="00FD2C47">
        <w:tab/>
        <w:t>52</w:t>
      </w:r>
    </w:p>
    <w:p w14:paraId="67405053" w14:textId="434EF013" w:rsidR="001830B2" w:rsidRPr="000615E2" w:rsidRDefault="001830B2" w:rsidP="000615E2">
      <w:pPr>
        <w:pStyle w:val="TOC1"/>
        <w:tabs>
          <w:tab w:val="clear" w:pos="1559"/>
          <w:tab w:val="clear" w:pos="1985"/>
          <w:tab w:val="left" w:pos="2268"/>
        </w:tabs>
        <w:spacing w:before="120"/>
        <w:ind w:left="1134"/>
        <w:rPr>
          <w:i/>
        </w:rPr>
      </w:pPr>
      <w:r w:rsidRPr="000615E2">
        <w:rPr>
          <w:i/>
        </w:rPr>
        <w:t>Resolution</w:t>
      </w:r>
    </w:p>
    <w:p w14:paraId="465CE238" w14:textId="37F3C2CD" w:rsidR="000615E2" w:rsidRPr="001830B2" w:rsidRDefault="005050DA" w:rsidP="000615E2">
      <w:pPr>
        <w:pStyle w:val="TOC1"/>
        <w:tabs>
          <w:tab w:val="clear" w:pos="1559"/>
          <w:tab w:val="clear" w:pos="1985"/>
          <w:tab w:val="left" w:pos="2268"/>
        </w:tabs>
        <w:spacing w:before="120"/>
        <w:ind w:left="1134"/>
      </w:pPr>
      <w:hyperlink w:anchor="Resolution1" w:history="1">
        <w:r w:rsidR="000615E2" w:rsidRPr="0047630B">
          <w:rPr>
            <w:rStyle w:val="Hyperlink"/>
          </w:rPr>
          <w:t>1/CMA.3</w:t>
        </w:r>
      </w:hyperlink>
      <w:r w:rsidR="000615E2">
        <w:tab/>
      </w:r>
      <w:r w:rsidR="00951E4A" w:rsidRPr="00951E4A">
        <w:t>Expression of gratitude to the Government of the United Kingdom of Great Britain</w:t>
      </w:r>
      <w:r w:rsidR="00951E4A">
        <w:br/>
      </w:r>
      <w:r w:rsidR="00951E4A">
        <w:tab/>
      </w:r>
      <w:r w:rsidR="00951E4A" w:rsidRPr="00951E4A">
        <w:t>and Northern Ireland and the people of the city of Glasgow</w:t>
      </w:r>
      <w:r w:rsidR="00951E4A">
        <w:tab/>
      </w:r>
      <w:r w:rsidR="00FD2C47">
        <w:tab/>
        <w:t>61</w:t>
      </w:r>
    </w:p>
    <w:p w14:paraId="7E48E313" w14:textId="4C368802" w:rsidR="00783190" w:rsidRDefault="00783190" w:rsidP="00237801">
      <w:pPr>
        <w:suppressAutoHyphens w:val="0"/>
        <w:spacing w:line="240" w:lineRule="auto"/>
        <w:sectPr w:rsidR="00783190" w:rsidSect="00FD2C47">
          <w:headerReference w:type="even" r:id="rId20"/>
          <w:footnotePr>
            <w:numRestart w:val="eachSect"/>
          </w:footnotePr>
          <w:pgSz w:w="11906" w:h="16838" w:code="9"/>
          <w:pgMar w:top="1417" w:right="1134" w:bottom="1134" w:left="1134" w:header="850" w:footer="567" w:gutter="0"/>
          <w:cols w:space="708"/>
          <w:docGrid w:linePitch="360"/>
        </w:sectPr>
      </w:pPr>
    </w:p>
    <w:p w14:paraId="717841FB" w14:textId="21D23BDA" w:rsidR="00237801" w:rsidRDefault="00237801" w:rsidP="009E5AC3">
      <w:pPr>
        <w:pStyle w:val="RegHChG"/>
        <w:numPr>
          <w:ilvl w:val="0"/>
          <w:numId w:val="0"/>
        </w:numPr>
        <w:spacing w:before="120"/>
        <w:ind w:left="1134" w:hanging="454"/>
      </w:pPr>
      <w:bookmarkStart w:id="3" w:name="Decision1"/>
      <w:bookmarkStart w:id="4" w:name="Decision6"/>
      <w:r>
        <w:lastRenderedPageBreak/>
        <w:t xml:space="preserve">Decision </w:t>
      </w:r>
      <w:r w:rsidR="00B9398B">
        <w:t>6</w:t>
      </w:r>
      <w:r>
        <w:t>/CMA.3</w:t>
      </w:r>
    </w:p>
    <w:bookmarkEnd w:id="3"/>
    <w:bookmarkEnd w:id="4"/>
    <w:p w14:paraId="2D881DEA" w14:textId="136C132B" w:rsidR="00237801" w:rsidRDefault="001A2187" w:rsidP="009E5AC3">
      <w:pPr>
        <w:pStyle w:val="RegHChG"/>
        <w:numPr>
          <w:ilvl w:val="0"/>
          <w:numId w:val="0"/>
        </w:numPr>
        <w:ind w:left="1135" w:hanging="454"/>
      </w:pPr>
      <w:r>
        <w:t>Common time frames</w:t>
      </w:r>
      <w:r w:rsidR="00BA5E62">
        <w:t xml:space="preserve"> for nationally determined contributions referred to in Article 4, paragraph 10, of the Paris Agreement</w:t>
      </w:r>
    </w:p>
    <w:p w14:paraId="0E8299F4" w14:textId="77777777" w:rsidR="00BE76DE" w:rsidRPr="00C571AC" w:rsidRDefault="00BE76DE" w:rsidP="00BE76DE">
      <w:pPr>
        <w:pStyle w:val="SingleTxtG"/>
        <w:ind w:firstLine="567"/>
        <w:rPr>
          <w:i/>
        </w:rPr>
      </w:pPr>
      <w:r w:rsidRPr="00C720DC" w:rsidDel="00673F06">
        <w:rPr>
          <w:i/>
          <w:color w:val="000000"/>
        </w:rPr>
        <w:t>The</w:t>
      </w:r>
      <w:r w:rsidRPr="00C720DC" w:rsidDel="00673F06">
        <w:rPr>
          <w:i/>
        </w:rPr>
        <w:t xml:space="preserve"> Conference of the Parties serving as the meeting of the Parties to the Paris Agreement</w:t>
      </w:r>
      <w:r w:rsidRPr="0000685E" w:rsidDel="00673F06">
        <w:t>,</w:t>
      </w:r>
    </w:p>
    <w:p w14:paraId="4358D525" w14:textId="77777777" w:rsidR="00BE76DE" w:rsidRPr="00C571AC" w:rsidRDefault="00BE76DE" w:rsidP="00BE76DE">
      <w:pPr>
        <w:pStyle w:val="RegSingleTxtG"/>
        <w:numPr>
          <w:ilvl w:val="5"/>
          <w:numId w:val="0"/>
        </w:numPr>
        <w:ind w:left="1134" w:right="1133"/>
      </w:pPr>
      <w:r w:rsidRPr="00C571AC">
        <w:tab/>
      </w:r>
      <w:r w:rsidRPr="00C571AC">
        <w:rPr>
          <w:i/>
        </w:rPr>
        <w:tab/>
        <w:t>Recalling</w:t>
      </w:r>
      <w:r w:rsidRPr="00C571AC">
        <w:t xml:space="preserve"> Article 4 of the Paris Agreement, </w:t>
      </w:r>
    </w:p>
    <w:p w14:paraId="41F5CC6D" w14:textId="77777777" w:rsidR="00BE76DE" w:rsidRPr="00C571AC" w:rsidRDefault="00BE76DE" w:rsidP="00BE76DE">
      <w:pPr>
        <w:pStyle w:val="RegSingleTxtG"/>
        <w:numPr>
          <w:ilvl w:val="0"/>
          <w:numId w:val="0"/>
        </w:numPr>
        <w:ind w:left="1134" w:right="1133"/>
        <w:rPr>
          <w:i/>
        </w:rPr>
      </w:pPr>
      <w:r w:rsidRPr="00C571AC">
        <w:rPr>
          <w:i/>
        </w:rPr>
        <w:tab/>
        <w:t>Also recalling</w:t>
      </w:r>
      <w:r w:rsidRPr="00C571AC">
        <w:t xml:space="preserve"> decision 6/CMA.1, paragraph 2,</w:t>
      </w:r>
    </w:p>
    <w:p w14:paraId="0DB03F3A" w14:textId="70A467A4" w:rsidR="00BE76DE" w:rsidRDefault="009E5AC3" w:rsidP="009E5AC3">
      <w:pPr>
        <w:pStyle w:val="RegSingleTxtG"/>
        <w:numPr>
          <w:ilvl w:val="0"/>
          <w:numId w:val="0"/>
        </w:numPr>
        <w:ind w:left="1134"/>
      </w:pPr>
      <w:r>
        <w:t>1.</w:t>
      </w:r>
      <w:r>
        <w:tab/>
      </w:r>
      <w:r w:rsidR="00BE76DE" w:rsidRPr="00752D63">
        <w:rPr>
          <w:i/>
        </w:rPr>
        <w:t>Reaffirms</w:t>
      </w:r>
      <w:r w:rsidR="00BE76DE">
        <w:t xml:space="preserve"> the nationally determined nature of nationally determined contributions;</w:t>
      </w:r>
    </w:p>
    <w:p w14:paraId="3D764E71" w14:textId="6E8B4A0B" w:rsidR="00BE76DE" w:rsidRPr="00723D62" w:rsidRDefault="009E5AC3" w:rsidP="009E5AC3">
      <w:pPr>
        <w:pStyle w:val="RegSingleTxtG"/>
        <w:numPr>
          <w:ilvl w:val="0"/>
          <w:numId w:val="0"/>
        </w:numPr>
        <w:ind w:left="1134"/>
      </w:pPr>
      <w:r w:rsidRPr="00723D62">
        <w:t>2.</w:t>
      </w:r>
      <w:r w:rsidRPr="00723D62">
        <w:tab/>
      </w:r>
      <w:r w:rsidR="00BE76DE">
        <w:rPr>
          <w:iCs/>
        </w:rPr>
        <w:tab/>
      </w:r>
      <w:r w:rsidR="00BE76DE" w:rsidRPr="00595CE2">
        <w:rPr>
          <w:i/>
        </w:rPr>
        <w:t>Encourages</w:t>
      </w:r>
      <w:r w:rsidR="00BE76DE">
        <w:rPr>
          <w:iCs/>
        </w:rPr>
        <w:t xml:space="preserve"> Parties to</w:t>
      </w:r>
      <w:r w:rsidR="00BE76DE" w:rsidRPr="00C571AC">
        <w:t xml:space="preserve"> communicate in 2025 </w:t>
      </w:r>
      <w:r w:rsidR="00BE76DE" w:rsidRPr="008F3830">
        <w:rPr>
          <w:iCs/>
        </w:rPr>
        <w:t>a</w:t>
      </w:r>
      <w:r w:rsidR="00BE76DE">
        <w:rPr>
          <w:iCs/>
        </w:rPr>
        <w:t xml:space="preserve"> nationally determined contribution </w:t>
      </w:r>
      <w:r w:rsidR="00BE76DE" w:rsidRPr="00C571AC">
        <w:t xml:space="preserve">with an end date of 2035, in 2030 </w:t>
      </w:r>
      <w:r w:rsidR="00BE76DE" w:rsidRPr="008F3830">
        <w:rPr>
          <w:iCs/>
        </w:rPr>
        <w:t>a</w:t>
      </w:r>
      <w:r w:rsidR="00BE76DE">
        <w:rPr>
          <w:iCs/>
        </w:rPr>
        <w:t xml:space="preserve"> nationally determined contribution </w:t>
      </w:r>
      <w:r w:rsidR="00BE76DE" w:rsidRPr="00C571AC">
        <w:t>with an end date of 2040, and so forth every five years thereafter.</w:t>
      </w:r>
    </w:p>
    <w:p w14:paraId="7F8D9116" w14:textId="77777777" w:rsidR="006C7D6D" w:rsidRDefault="006C7D6D" w:rsidP="004B25C7">
      <w:pPr>
        <w:spacing w:before="240"/>
        <w:ind w:left="1134" w:right="1134"/>
        <w:jc w:val="right"/>
        <w:rPr>
          <w:i/>
        </w:rPr>
        <w:sectPr w:rsidR="006C7D6D" w:rsidSect="0040546F">
          <w:headerReference w:type="default" r:id="rId21"/>
          <w:footnotePr>
            <w:numRestart w:val="eachSect"/>
          </w:footnotePr>
          <w:pgSz w:w="11906" w:h="16838" w:code="9"/>
          <w:pgMar w:top="1417" w:right="1134" w:bottom="1134" w:left="1134" w:header="850" w:footer="567" w:gutter="0"/>
          <w:cols w:space="708"/>
          <w:docGrid w:linePitch="360"/>
        </w:sectPr>
      </w:pPr>
      <w:r w:rsidRPr="006C7D6D">
        <w:rPr>
          <w:i/>
        </w:rPr>
        <w:t>12</w:t>
      </w:r>
      <w:r w:rsidRPr="006C7D6D">
        <w:rPr>
          <w:i/>
          <w:vertAlign w:val="superscript"/>
        </w:rPr>
        <w:t>th</w:t>
      </w:r>
      <w:r w:rsidRPr="006C7D6D">
        <w:rPr>
          <w:i/>
        </w:rPr>
        <w:t xml:space="preserve"> plenary meeting</w:t>
      </w:r>
      <w:r w:rsidRPr="006C7D6D">
        <w:rPr>
          <w:i/>
        </w:rPr>
        <w:br/>
        <w:t>13 November 2021</w:t>
      </w:r>
    </w:p>
    <w:p w14:paraId="7FABD9AA" w14:textId="7075E653" w:rsidR="002B29A8" w:rsidRDefault="002B29A8" w:rsidP="009E5AC3">
      <w:pPr>
        <w:pStyle w:val="RegHChG"/>
        <w:numPr>
          <w:ilvl w:val="0"/>
          <w:numId w:val="0"/>
        </w:numPr>
        <w:spacing w:before="120"/>
        <w:ind w:left="1134" w:hanging="454"/>
      </w:pPr>
      <w:bookmarkStart w:id="5" w:name="Decision7"/>
      <w:r>
        <w:lastRenderedPageBreak/>
        <w:t>Decision 7/CMA.3</w:t>
      </w:r>
    </w:p>
    <w:bookmarkEnd w:id="5"/>
    <w:p w14:paraId="7ECA557A" w14:textId="5CEA891F" w:rsidR="002B29A8" w:rsidRDefault="003B72C5" w:rsidP="009E5AC3">
      <w:pPr>
        <w:pStyle w:val="RegHChG"/>
        <w:numPr>
          <w:ilvl w:val="0"/>
          <w:numId w:val="0"/>
        </w:numPr>
        <w:ind w:left="1135" w:hanging="454"/>
      </w:pPr>
      <w:r>
        <w:t>Glasgow</w:t>
      </w:r>
      <w:r w:rsidR="00CE6A9D">
        <w:t>–</w:t>
      </w:r>
      <w:r w:rsidR="00030B55">
        <w:t>Sharm el-Sheikh work programme on the global goal on adaptation</w:t>
      </w:r>
    </w:p>
    <w:p w14:paraId="3968434A" w14:textId="7537663E" w:rsidR="00697035" w:rsidRPr="00DF19B1" w:rsidRDefault="00697035" w:rsidP="00697035">
      <w:pPr>
        <w:tabs>
          <w:tab w:val="left" w:pos="1701"/>
        </w:tabs>
        <w:spacing w:after="120"/>
        <w:ind w:left="1135" w:right="1134"/>
        <w:jc w:val="both"/>
        <w:rPr>
          <w:i/>
          <w:iCs/>
        </w:rPr>
      </w:pPr>
      <w:r>
        <w:rPr>
          <w:i/>
          <w:iCs/>
        </w:rPr>
        <w:tab/>
      </w:r>
      <w:r w:rsidRPr="00DF19B1">
        <w:rPr>
          <w:i/>
          <w:iCs/>
        </w:rPr>
        <w:t>The Conference of the Parties serving as the meeting of Parties to the Paris Agreement</w:t>
      </w:r>
      <w:r w:rsidRPr="005273E1">
        <w:t>,</w:t>
      </w:r>
    </w:p>
    <w:p w14:paraId="6FEA34FD" w14:textId="77777777" w:rsidR="00697035" w:rsidRPr="00A81348" w:rsidRDefault="00697035" w:rsidP="00697035">
      <w:pPr>
        <w:tabs>
          <w:tab w:val="left" w:pos="1701"/>
        </w:tabs>
        <w:spacing w:after="120"/>
        <w:ind w:left="1135" w:right="1134"/>
        <w:jc w:val="both"/>
        <w:rPr>
          <w:i/>
          <w:iCs/>
        </w:rPr>
      </w:pPr>
      <w:r w:rsidRPr="00A81348">
        <w:rPr>
          <w:i/>
          <w:iCs/>
        </w:rPr>
        <w:tab/>
        <w:t xml:space="preserve">Recalling </w:t>
      </w:r>
      <w:r w:rsidRPr="00DF19B1">
        <w:t>the Paris Agreement and the global goal on adaptation referred to in its Article 7, paragraph 1</w:t>
      </w:r>
      <w:r w:rsidRPr="0039385A">
        <w:t>,</w:t>
      </w:r>
    </w:p>
    <w:p w14:paraId="06FFB637" w14:textId="77777777" w:rsidR="00697035" w:rsidRPr="00A81348" w:rsidRDefault="00697035" w:rsidP="00697035">
      <w:pPr>
        <w:tabs>
          <w:tab w:val="left" w:pos="1701"/>
        </w:tabs>
        <w:spacing w:after="120"/>
        <w:ind w:left="1135" w:right="1134"/>
        <w:jc w:val="both"/>
        <w:rPr>
          <w:i/>
          <w:iCs/>
        </w:rPr>
      </w:pPr>
      <w:r w:rsidRPr="00A81348">
        <w:rPr>
          <w:i/>
          <w:iCs/>
        </w:rPr>
        <w:tab/>
        <w:t xml:space="preserve">Also recalling </w:t>
      </w:r>
      <w:r w:rsidRPr="00DF19B1">
        <w:t>Article</w:t>
      </w:r>
      <w:r>
        <w:t>s</w:t>
      </w:r>
      <w:r w:rsidRPr="00DF19B1">
        <w:t xml:space="preserve"> 2</w:t>
      </w:r>
      <w:r>
        <w:t xml:space="preserve"> and 7</w:t>
      </w:r>
      <w:r w:rsidRPr="00DF19B1">
        <w:t xml:space="preserve"> of the Paris Agreement</w:t>
      </w:r>
      <w:r w:rsidRPr="0039385A">
        <w:t>,</w:t>
      </w:r>
      <w:r w:rsidRPr="00A81348">
        <w:rPr>
          <w:i/>
          <w:iCs/>
        </w:rPr>
        <w:t xml:space="preserve"> </w:t>
      </w:r>
    </w:p>
    <w:p w14:paraId="1AFE0977" w14:textId="77777777" w:rsidR="00697035" w:rsidRPr="00A81348" w:rsidRDefault="00697035" w:rsidP="00697035">
      <w:pPr>
        <w:tabs>
          <w:tab w:val="left" w:pos="1701"/>
        </w:tabs>
        <w:spacing w:after="120"/>
        <w:ind w:left="1135" w:right="1134"/>
        <w:jc w:val="both"/>
        <w:rPr>
          <w:i/>
          <w:iCs/>
        </w:rPr>
      </w:pPr>
      <w:r w:rsidRPr="00A81348">
        <w:rPr>
          <w:i/>
          <w:iCs/>
        </w:rPr>
        <w:tab/>
        <w:t xml:space="preserve">Recognizing </w:t>
      </w:r>
      <w:r w:rsidRPr="00DF19B1">
        <w:t>the importance of the global goal on adaptation for effective implementation of the Paris Agreement</w:t>
      </w:r>
      <w:r w:rsidRPr="0039385A">
        <w:t>,</w:t>
      </w:r>
    </w:p>
    <w:p w14:paraId="1EBDD786" w14:textId="77777777" w:rsidR="00697035" w:rsidRPr="00A81348" w:rsidRDefault="00697035" w:rsidP="00697035">
      <w:pPr>
        <w:tabs>
          <w:tab w:val="left" w:pos="1701"/>
        </w:tabs>
        <w:spacing w:after="120"/>
        <w:ind w:left="1135" w:right="1134"/>
        <w:jc w:val="both"/>
        <w:rPr>
          <w:i/>
          <w:iCs/>
        </w:rPr>
      </w:pPr>
      <w:r w:rsidRPr="00A81348">
        <w:rPr>
          <w:i/>
          <w:iCs/>
        </w:rPr>
        <w:tab/>
        <w:t xml:space="preserve">Also recognizing </w:t>
      </w:r>
      <w:r w:rsidRPr="00DF19B1">
        <w:t xml:space="preserve">that </w:t>
      </w:r>
      <w:r>
        <w:t>additional</w:t>
      </w:r>
      <w:r w:rsidRPr="00DF19B1">
        <w:t xml:space="preserve"> work is needed </w:t>
      </w:r>
      <w:r>
        <w:t>in relation to</w:t>
      </w:r>
      <w:r w:rsidRPr="00DF19B1">
        <w:t xml:space="preserve"> the global goal on adaptation</w:t>
      </w:r>
      <w:r w:rsidRPr="00CB11EF">
        <w:rPr>
          <w:iCs/>
        </w:rPr>
        <w:t>,</w:t>
      </w:r>
    </w:p>
    <w:p w14:paraId="7401F97B" w14:textId="77777777" w:rsidR="00697035" w:rsidRPr="00C571AC" w:rsidRDefault="00697035" w:rsidP="00697035">
      <w:pPr>
        <w:tabs>
          <w:tab w:val="left" w:pos="1701"/>
        </w:tabs>
        <w:spacing w:after="120"/>
        <w:ind w:left="1135" w:right="1134"/>
        <w:jc w:val="both"/>
        <w:rPr>
          <w:i/>
        </w:rPr>
      </w:pPr>
      <w:r w:rsidRPr="00C571AC">
        <w:rPr>
          <w:i/>
        </w:rPr>
        <w:tab/>
        <w:t xml:space="preserve">Taking note </w:t>
      </w:r>
      <w:r w:rsidRPr="00C571AC">
        <w:t xml:space="preserve">of the </w:t>
      </w:r>
      <w:r w:rsidRPr="00A81348">
        <w:t>methodological</w:t>
      </w:r>
      <w:r w:rsidRPr="00C571AC">
        <w:t>, empirical, conceptual and political challenges identified in the technical paper of the Adaptation Committee on approaches to reviewing</w:t>
      </w:r>
      <w:r w:rsidRPr="00C571AC" w:rsidDel="000166B4">
        <w:t xml:space="preserve"> the </w:t>
      </w:r>
      <w:r w:rsidRPr="00C571AC">
        <w:t xml:space="preserve">overall progress </w:t>
      </w:r>
      <w:r w:rsidRPr="00C571AC" w:rsidDel="000166B4">
        <w:t xml:space="preserve">made </w:t>
      </w:r>
      <w:r w:rsidRPr="00C571AC">
        <w:t>in achieving the global goal on adaptation,</w:t>
      </w:r>
      <w:r w:rsidRPr="00C571AC">
        <w:rPr>
          <w:rStyle w:val="FootnoteReference"/>
        </w:rPr>
        <w:footnoteReference w:id="2"/>
      </w:r>
      <w:r w:rsidRPr="00C571AC">
        <w:rPr>
          <w:i/>
        </w:rPr>
        <w:t xml:space="preserve"> </w:t>
      </w:r>
    </w:p>
    <w:p w14:paraId="0ACCE0AB" w14:textId="77777777" w:rsidR="00697035" w:rsidRPr="00C571AC" w:rsidRDefault="00697035" w:rsidP="00697035">
      <w:pPr>
        <w:tabs>
          <w:tab w:val="left" w:pos="1701"/>
        </w:tabs>
        <w:spacing w:after="120"/>
        <w:ind w:left="1135" w:right="1134"/>
        <w:jc w:val="both"/>
        <w:rPr>
          <w:i/>
        </w:rPr>
      </w:pPr>
      <w:r w:rsidRPr="00C571AC">
        <w:rPr>
          <w:i/>
        </w:rPr>
        <w:tab/>
        <w:t xml:space="preserve">Recognizing </w:t>
      </w:r>
      <w:r w:rsidRPr="00C571AC">
        <w:t xml:space="preserve">that </w:t>
      </w:r>
      <w:r w:rsidRPr="00A81348">
        <w:t>combining</w:t>
      </w:r>
      <w:r w:rsidRPr="00C571AC">
        <w:t xml:space="preserve"> various approaches to reviewing overall progress </w:t>
      </w:r>
      <w:r w:rsidRPr="00C571AC" w:rsidDel="000166B4">
        <w:t xml:space="preserve">made </w:t>
      </w:r>
      <w:r w:rsidRPr="00C571AC">
        <w:t>in achieving the global goal on adaptation, including qualitative and quantitative approaches, can generate a more holistic picture of adaptation progress and help to balance the strengths and weaknesses of the different approaches,</w:t>
      </w:r>
    </w:p>
    <w:p w14:paraId="70D3B2B2" w14:textId="77777777" w:rsidR="00697035" w:rsidRPr="00C571AC" w:rsidRDefault="00697035" w:rsidP="00697035">
      <w:pPr>
        <w:tabs>
          <w:tab w:val="left" w:pos="1701"/>
        </w:tabs>
        <w:spacing w:after="120"/>
        <w:ind w:left="1135" w:right="1134"/>
        <w:jc w:val="both"/>
        <w:rPr>
          <w:i/>
        </w:rPr>
      </w:pPr>
      <w:r w:rsidRPr="00C571AC">
        <w:rPr>
          <w:i/>
        </w:rPr>
        <w:tab/>
        <w:t xml:space="preserve">Recalling </w:t>
      </w:r>
      <w:r w:rsidRPr="00C571AC">
        <w:t xml:space="preserve">that </w:t>
      </w:r>
      <w:r w:rsidRPr="00A81348">
        <w:t>adaptation</w:t>
      </w:r>
      <w:r w:rsidRPr="00C571AC">
        <w:t xml:space="preserve"> action should follow a country-driven, gender-responsive, participatory and fully transparent approach, taking into consideration vulnerable groups, communities and ecosystems, and should be based on and guided by the best available science and, as appropriate, traditional knowledge, knowledge of indigenous peoples and local knowledge systems with a view to integrating adaptation into relevant socioeconomic and environmental policies and actions, </w:t>
      </w:r>
      <w:r w:rsidRPr="00C571AC" w:rsidDel="00F91BE2">
        <w:t>where</w:t>
      </w:r>
      <w:r w:rsidRPr="00C571AC">
        <w:t xml:space="preserve"> appropriate,</w:t>
      </w:r>
    </w:p>
    <w:p w14:paraId="047B47CF" w14:textId="77777777" w:rsidR="00697035" w:rsidRPr="00C571AC" w:rsidRDefault="00697035" w:rsidP="00697035">
      <w:pPr>
        <w:tabs>
          <w:tab w:val="left" w:pos="1701"/>
        </w:tabs>
        <w:spacing w:after="120"/>
        <w:ind w:left="1135" w:right="1134"/>
        <w:jc w:val="both"/>
        <w:rPr>
          <w:i/>
        </w:rPr>
      </w:pPr>
      <w:r w:rsidRPr="00DF19B1">
        <w:tab/>
      </w:r>
      <w:r w:rsidRPr="00A81348">
        <w:rPr>
          <w:i/>
          <w:iCs/>
        </w:rPr>
        <w:t>Acknowledging</w:t>
      </w:r>
      <w:r w:rsidRPr="00DF19B1">
        <w:t xml:space="preserve"> that climate change is a common concern of humankind</w:t>
      </w:r>
      <w:r w:rsidRPr="00DF19B1" w:rsidDel="005F1845">
        <w:t>,</w:t>
      </w:r>
      <w:r w:rsidRPr="00DF19B1">
        <w:t xml:space="preserve"> Parties should, when taking action to address climate change, respect, promote and consider their respective obligations on human rights, the right to health, the rights of indigenous peoples, local communities, migrants, children, persons with disabilities and people in vulnerable situations and the right to development, as well as gender equality, empowerment of women and intergenerational equity,</w:t>
      </w:r>
    </w:p>
    <w:p w14:paraId="087E8E78" w14:textId="26A04BDE" w:rsidR="00697035" w:rsidRPr="00050ECD" w:rsidRDefault="009E5AC3" w:rsidP="009E5AC3">
      <w:pPr>
        <w:pStyle w:val="RegSingleTxtG"/>
        <w:numPr>
          <w:ilvl w:val="0"/>
          <w:numId w:val="0"/>
        </w:numPr>
        <w:ind w:left="1134"/>
      </w:pPr>
      <w:r w:rsidRPr="00050ECD">
        <w:t>1.</w:t>
      </w:r>
      <w:r w:rsidRPr="00050ECD">
        <w:tab/>
      </w:r>
      <w:r w:rsidR="00697035" w:rsidRPr="00697035">
        <w:rPr>
          <w:i/>
        </w:rPr>
        <w:t>Welcomes</w:t>
      </w:r>
      <w:r w:rsidR="00697035" w:rsidRPr="004A5288">
        <w:t xml:space="preserve"> the work </w:t>
      </w:r>
      <w:r w:rsidR="00697035">
        <w:t>of</w:t>
      </w:r>
      <w:r w:rsidR="00697035" w:rsidRPr="004A5288">
        <w:t xml:space="preserve"> the Adaptation Committee in considering approaches to reviewing the overall progress made in achieving the global goal on adaptation</w:t>
      </w:r>
      <w:r w:rsidR="00697035">
        <w:rPr>
          <w:rStyle w:val="FootnoteReference"/>
        </w:rPr>
        <w:footnoteReference w:id="3"/>
      </w:r>
      <w:r w:rsidR="00697035" w:rsidRPr="004A5288">
        <w:t xml:space="preserve"> referred to in Article 7, paragraph 1, of the Paris Agreement,</w:t>
      </w:r>
      <w:r w:rsidR="00697035">
        <w:rPr>
          <w:rStyle w:val="FootnoteReference"/>
        </w:rPr>
        <w:footnoteReference w:id="4"/>
      </w:r>
      <w:r w:rsidR="00697035" w:rsidRPr="004A5288">
        <w:t xml:space="preserve"> in particular the technical paper and webinar</w:t>
      </w:r>
      <w:r w:rsidR="00697035">
        <w:rPr>
          <w:rStyle w:val="FootnoteReference"/>
        </w:rPr>
        <w:footnoteReference w:id="5"/>
      </w:r>
      <w:r w:rsidR="00697035" w:rsidRPr="004A5288">
        <w:t xml:space="preserve"> on the topic, and the engagement of Parties and non-Party stakeholders in th</w:t>
      </w:r>
      <w:r w:rsidR="00697035">
        <w:t>e</w:t>
      </w:r>
      <w:r w:rsidR="00697035" w:rsidRPr="004A5288">
        <w:t xml:space="preserve"> work</w:t>
      </w:r>
      <w:r w:rsidR="00697035">
        <w:t>;</w:t>
      </w:r>
    </w:p>
    <w:p w14:paraId="7A2C42E5" w14:textId="28963C9E" w:rsidR="00697035" w:rsidRPr="00DF19B1" w:rsidRDefault="009E5AC3" w:rsidP="009E5AC3">
      <w:pPr>
        <w:pStyle w:val="RegSingleTxtG"/>
        <w:numPr>
          <w:ilvl w:val="0"/>
          <w:numId w:val="0"/>
        </w:numPr>
        <w:ind w:left="1134"/>
      </w:pPr>
      <w:r w:rsidRPr="00DF19B1">
        <w:t>2.</w:t>
      </w:r>
      <w:r w:rsidRPr="00DF19B1">
        <w:tab/>
      </w:r>
      <w:r w:rsidR="00697035" w:rsidRPr="00DF19B1">
        <w:rPr>
          <w:i/>
        </w:rPr>
        <w:t xml:space="preserve">Decides </w:t>
      </w:r>
      <w:r w:rsidR="00697035" w:rsidRPr="00DF19B1">
        <w:rPr>
          <w:iCs/>
        </w:rPr>
        <w:t xml:space="preserve">to </w:t>
      </w:r>
      <w:r w:rsidR="00697035" w:rsidRPr="00DF19B1">
        <w:t xml:space="preserve">establish and launch a comprehensive </w:t>
      </w:r>
      <w:r w:rsidR="00697035" w:rsidRPr="007E7566">
        <w:t>two-year Glasgow</w:t>
      </w:r>
      <w:r w:rsidR="00697035">
        <w:t>–</w:t>
      </w:r>
      <w:r w:rsidR="00697035" w:rsidRPr="007E7566">
        <w:t>Sharm el</w:t>
      </w:r>
      <w:r w:rsidR="00697035">
        <w:t>-</w:t>
      </w:r>
      <w:r w:rsidR="00697035" w:rsidRPr="007E7566">
        <w:t>Sheikh work programme on the global goal on adaptation</w:t>
      </w:r>
      <w:r w:rsidR="00697035" w:rsidRPr="00DF19B1">
        <w:t>;</w:t>
      </w:r>
    </w:p>
    <w:p w14:paraId="0F0F38F7" w14:textId="012CA3D8" w:rsidR="00697035" w:rsidRPr="00DF19B1" w:rsidRDefault="009E5AC3" w:rsidP="009E5AC3">
      <w:pPr>
        <w:pStyle w:val="RegSingleTxtG"/>
        <w:numPr>
          <w:ilvl w:val="0"/>
          <w:numId w:val="0"/>
        </w:numPr>
        <w:ind w:left="1134"/>
      </w:pPr>
      <w:r w:rsidRPr="00DF19B1">
        <w:t>3.</w:t>
      </w:r>
      <w:r w:rsidRPr="00DF19B1">
        <w:tab/>
      </w:r>
      <w:r w:rsidR="00697035" w:rsidRPr="00DF19B1">
        <w:rPr>
          <w:i/>
        </w:rPr>
        <w:t>Also decides</w:t>
      </w:r>
      <w:r w:rsidR="00697035" w:rsidRPr="00DF19B1">
        <w:t xml:space="preserve"> that </w:t>
      </w:r>
      <w:r w:rsidR="00697035">
        <w:t xml:space="preserve">implementation of </w:t>
      </w:r>
      <w:r w:rsidR="00697035" w:rsidRPr="00DF19B1">
        <w:t xml:space="preserve">the work programme will </w:t>
      </w:r>
      <w:r w:rsidR="00697035">
        <w:t>start immediately after the third session of the Conference of the Parties serving as the meeting of the Parties to the Paris Agreement</w:t>
      </w:r>
      <w:r w:rsidR="00697035" w:rsidRPr="00DF19B1">
        <w:t>;</w:t>
      </w:r>
    </w:p>
    <w:p w14:paraId="56091340" w14:textId="02909EE7" w:rsidR="00697035" w:rsidRPr="00DF19B1" w:rsidRDefault="009E5AC3" w:rsidP="009E5AC3">
      <w:pPr>
        <w:pStyle w:val="RegSingleTxtG"/>
        <w:numPr>
          <w:ilvl w:val="0"/>
          <w:numId w:val="0"/>
        </w:numPr>
        <w:ind w:left="1134"/>
      </w:pPr>
      <w:r w:rsidRPr="00DF19B1">
        <w:lastRenderedPageBreak/>
        <w:t>4.</w:t>
      </w:r>
      <w:r w:rsidRPr="00DF19B1">
        <w:tab/>
      </w:r>
      <w:r w:rsidR="00697035" w:rsidRPr="00272D95">
        <w:rPr>
          <w:i/>
        </w:rPr>
        <w:t>Further</w:t>
      </w:r>
      <w:r w:rsidR="00697035" w:rsidRPr="00272D95">
        <w:rPr>
          <w:i/>
          <w:iCs/>
        </w:rPr>
        <w:t xml:space="preserve"> decides</w:t>
      </w:r>
      <w:r w:rsidR="00697035" w:rsidRPr="00DF19B1">
        <w:t xml:space="preserve"> that the work programme will </w:t>
      </w:r>
      <w:r w:rsidR="00697035" w:rsidRPr="00272D95">
        <w:rPr>
          <w:iCs/>
        </w:rPr>
        <w:t xml:space="preserve">be carried out jointly </w:t>
      </w:r>
      <w:r w:rsidR="00697035" w:rsidRPr="00DF19B1">
        <w:t xml:space="preserve">by the Subsidiary Body for Scientific and Technological Advice and the Subsidiary Body for Implementation; </w:t>
      </w:r>
    </w:p>
    <w:p w14:paraId="35346EF1" w14:textId="00817C77" w:rsidR="00697035" w:rsidRPr="006C3DB9" w:rsidRDefault="009E5AC3" w:rsidP="009E5AC3">
      <w:pPr>
        <w:pStyle w:val="RegSingleTxtG"/>
        <w:numPr>
          <w:ilvl w:val="0"/>
          <w:numId w:val="0"/>
        </w:numPr>
        <w:ind w:left="1134"/>
      </w:pPr>
      <w:r w:rsidRPr="006C3DB9">
        <w:t>5.</w:t>
      </w:r>
      <w:r w:rsidRPr="006C3DB9">
        <w:tab/>
      </w:r>
      <w:r w:rsidR="00697035">
        <w:rPr>
          <w:i/>
        </w:rPr>
        <w:t>I</w:t>
      </w:r>
      <w:r w:rsidR="00697035" w:rsidRPr="00CE67AE">
        <w:rPr>
          <w:i/>
        </w:rPr>
        <w:t>nvites</w:t>
      </w:r>
      <w:r w:rsidR="00697035" w:rsidRPr="00DF19B1">
        <w:rPr>
          <w:i/>
        </w:rPr>
        <w:t xml:space="preserve"> </w:t>
      </w:r>
      <w:r w:rsidR="00697035" w:rsidRPr="00DF19B1">
        <w:rPr>
          <w:iCs/>
        </w:rPr>
        <w:t xml:space="preserve">the subsidiary bodies to </w:t>
      </w:r>
      <w:r w:rsidR="00697035">
        <w:rPr>
          <w:iCs/>
        </w:rPr>
        <w:t>carry out</w:t>
      </w:r>
      <w:r w:rsidR="00697035" w:rsidRPr="00DF19B1">
        <w:rPr>
          <w:iCs/>
        </w:rPr>
        <w:t xml:space="preserve"> the work programme with contributions from</w:t>
      </w:r>
      <w:r w:rsidR="00697035" w:rsidRPr="00DF19B1" w:rsidDel="000E5655">
        <w:rPr>
          <w:iCs/>
        </w:rPr>
        <w:t xml:space="preserve"> </w:t>
      </w:r>
      <w:r w:rsidR="00697035" w:rsidRPr="00DF19B1">
        <w:rPr>
          <w:iCs/>
        </w:rPr>
        <w:t>the current and incoming Presiden</w:t>
      </w:r>
      <w:r w:rsidR="00697035">
        <w:rPr>
          <w:iCs/>
        </w:rPr>
        <w:t>cies</w:t>
      </w:r>
      <w:r w:rsidR="00697035" w:rsidRPr="00DF19B1">
        <w:rPr>
          <w:iCs/>
        </w:rPr>
        <w:t xml:space="preserve"> of the Conference of the Parties</w:t>
      </w:r>
      <w:r w:rsidR="00697035">
        <w:rPr>
          <w:iCs/>
        </w:rPr>
        <w:t xml:space="preserve">, </w:t>
      </w:r>
      <w:r w:rsidR="00697035" w:rsidRPr="00DF19B1">
        <w:rPr>
          <w:iCs/>
        </w:rPr>
        <w:t>the Adaptation Committee</w:t>
      </w:r>
      <w:r w:rsidR="00697035">
        <w:rPr>
          <w:iCs/>
        </w:rPr>
        <w:t xml:space="preserve">, </w:t>
      </w:r>
      <w:r w:rsidR="00697035" w:rsidRPr="00DF19B1">
        <w:t>Working Group II of the Intergovernmental Panel on Climate Change, as appropriate</w:t>
      </w:r>
      <w:r w:rsidR="00697035">
        <w:rPr>
          <w:iCs/>
        </w:rPr>
        <w:t>, and other relevant constituted bodies and experts</w:t>
      </w:r>
      <w:r w:rsidR="00697035" w:rsidRPr="00DF19B1">
        <w:rPr>
          <w:iCs/>
        </w:rPr>
        <w:t xml:space="preserve">; </w:t>
      </w:r>
    </w:p>
    <w:p w14:paraId="3790F495" w14:textId="6AE579E0" w:rsidR="00697035" w:rsidRPr="00DF19B1" w:rsidRDefault="009E5AC3" w:rsidP="009E5AC3">
      <w:pPr>
        <w:pStyle w:val="RegSingleTxtG"/>
        <w:numPr>
          <w:ilvl w:val="0"/>
          <w:numId w:val="0"/>
        </w:numPr>
        <w:ind w:left="1134"/>
      </w:pPr>
      <w:r w:rsidRPr="00DF19B1">
        <w:t>6.</w:t>
      </w:r>
      <w:r w:rsidRPr="00DF19B1">
        <w:tab/>
      </w:r>
      <w:r w:rsidR="00697035" w:rsidRPr="00DD74F3">
        <w:rPr>
          <w:i/>
          <w:iCs/>
        </w:rPr>
        <w:t>Requests</w:t>
      </w:r>
      <w:r w:rsidR="00697035" w:rsidRPr="00F9514E">
        <w:t xml:space="preserve"> the secretariat to support the implementation of the work programme</w:t>
      </w:r>
      <w:r w:rsidR="00697035">
        <w:t>;</w:t>
      </w:r>
    </w:p>
    <w:p w14:paraId="4F03DA96" w14:textId="0484814E" w:rsidR="00697035" w:rsidRPr="00DF19B1" w:rsidRDefault="009E5AC3" w:rsidP="009E5AC3">
      <w:pPr>
        <w:pStyle w:val="RegSingleTxtG"/>
        <w:numPr>
          <w:ilvl w:val="0"/>
          <w:numId w:val="0"/>
        </w:numPr>
        <w:ind w:left="1134"/>
      </w:pPr>
      <w:bookmarkStart w:id="6" w:name="_Ref87466830"/>
      <w:r w:rsidRPr="00DF19B1">
        <w:t>7.</w:t>
      </w:r>
      <w:r w:rsidRPr="00DF19B1">
        <w:tab/>
      </w:r>
      <w:r w:rsidR="00697035" w:rsidRPr="00DF19B1">
        <w:rPr>
          <w:i/>
        </w:rPr>
        <w:t xml:space="preserve">Decides </w:t>
      </w:r>
      <w:r w:rsidR="00697035" w:rsidRPr="00DF19B1">
        <w:t xml:space="preserve">that the </w:t>
      </w:r>
      <w:r w:rsidR="00697035">
        <w:t xml:space="preserve">objectives of the </w:t>
      </w:r>
      <w:r w:rsidR="00697035" w:rsidRPr="00DF19B1">
        <w:t xml:space="preserve">work programme should </w:t>
      </w:r>
      <w:r w:rsidR="00697035">
        <w:t>be</w:t>
      </w:r>
      <w:r w:rsidR="00697035" w:rsidRPr="00DF19B1">
        <w:t xml:space="preserve"> to, </w:t>
      </w:r>
      <w:r w:rsidR="00697035" w:rsidRPr="00096926">
        <w:t>inter alia</w:t>
      </w:r>
      <w:r w:rsidR="00697035" w:rsidRPr="00DF19B1">
        <w:t>:</w:t>
      </w:r>
      <w:bookmarkEnd w:id="6"/>
    </w:p>
    <w:p w14:paraId="61E579E4" w14:textId="3C82E47E" w:rsidR="00697035" w:rsidRPr="00981F8C" w:rsidRDefault="009E5AC3" w:rsidP="009E5AC3">
      <w:pPr>
        <w:pStyle w:val="RegSingleTxtG2"/>
        <w:numPr>
          <w:ilvl w:val="0"/>
          <w:numId w:val="0"/>
        </w:numPr>
        <w:tabs>
          <w:tab w:val="left" w:pos="1702"/>
        </w:tabs>
        <w:ind w:left="1134" w:firstLine="567"/>
        <w:rPr>
          <w:iCs/>
        </w:rPr>
      </w:pPr>
      <w:r w:rsidRPr="00981F8C">
        <w:rPr>
          <w:iCs/>
          <w:szCs w:val="28"/>
        </w:rPr>
        <w:t>(a)</w:t>
      </w:r>
      <w:r w:rsidRPr="00981F8C">
        <w:rPr>
          <w:iCs/>
          <w:szCs w:val="28"/>
        </w:rPr>
        <w:tab/>
      </w:r>
      <w:r w:rsidR="00697035" w:rsidRPr="00981F8C">
        <w:rPr>
          <w:iCs/>
        </w:rPr>
        <w:t xml:space="preserve">Enable </w:t>
      </w:r>
      <w:r w:rsidR="00697035" w:rsidRPr="00DF19B1">
        <w:t>the full and sustained implementation of the Paris Agreement, towards achieving the global goal on adaptation, with a view to enhancing adaptation action and support;</w:t>
      </w:r>
    </w:p>
    <w:p w14:paraId="3B821205" w14:textId="2B823047" w:rsidR="00697035" w:rsidRPr="00DF19B1" w:rsidRDefault="009E5AC3" w:rsidP="009E5AC3">
      <w:pPr>
        <w:pStyle w:val="RegSingleTxtG2"/>
        <w:numPr>
          <w:ilvl w:val="0"/>
          <w:numId w:val="0"/>
        </w:numPr>
        <w:tabs>
          <w:tab w:val="left" w:pos="1702"/>
        </w:tabs>
        <w:ind w:left="1134" w:firstLine="567"/>
        <w:rPr>
          <w:iCs/>
        </w:rPr>
      </w:pPr>
      <w:r w:rsidRPr="00DF19B1">
        <w:rPr>
          <w:iCs/>
          <w:szCs w:val="28"/>
        </w:rPr>
        <w:t>(b)</w:t>
      </w:r>
      <w:r w:rsidRPr="00DF19B1">
        <w:rPr>
          <w:iCs/>
          <w:szCs w:val="28"/>
        </w:rPr>
        <w:tab/>
      </w:r>
      <w:r w:rsidR="00697035" w:rsidRPr="00DF19B1">
        <w:t xml:space="preserve">Enhance </w:t>
      </w:r>
      <w:r w:rsidR="00697035" w:rsidRPr="00DF19B1">
        <w:rPr>
          <w:iCs/>
        </w:rPr>
        <w:t>understanding</w:t>
      </w:r>
      <w:r w:rsidR="00697035" w:rsidRPr="00DF19B1">
        <w:t xml:space="preserve"> of the global goal on adaptation, including </w:t>
      </w:r>
      <w:r w:rsidR="00697035">
        <w:t xml:space="preserve">of </w:t>
      </w:r>
      <w:r w:rsidR="00697035" w:rsidRPr="00DF19B1">
        <w:t xml:space="preserve">the methodologies, indicators, data and metrics, needs and support </w:t>
      </w:r>
      <w:r w:rsidR="00697035" w:rsidRPr="00ED6F07">
        <w:t xml:space="preserve">needed </w:t>
      </w:r>
      <w:r w:rsidR="00697035">
        <w:t>for</w:t>
      </w:r>
      <w:r w:rsidR="00697035" w:rsidRPr="00ED6F07">
        <w:t xml:space="preserve"> assess</w:t>
      </w:r>
      <w:r w:rsidR="00697035">
        <w:t>ing</w:t>
      </w:r>
      <w:r w:rsidR="00697035" w:rsidRPr="00ED6F07">
        <w:t xml:space="preserve"> progress towards it</w:t>
      </w:r>
      <w:r w:rsidR="00697035" w:rsidRPr="00DF19B1">
        <w:t>;</w:t>
      </w:r>
    </w:p>
    <w:p w14:paraId="07FA1CC4" w14:textId="0B392D0E" w:rsidR="00697035" w:rsidRPr="00DF19B1" w:rsidRDefault="009E5AC3" w:rsidP="009E5AC3">
      <w:pPr>
        <w:pStyle w:val="RegSingleTxtG2"/>
        <w:numPr>
          <w:ilvl w:val="0"/>
          <w:numId w:val="0"/>
        </w:numPr>
        <w:tabs>
          <w:tab w:val="left" w:pos="1702"/>
        </w:tabs>
        <w:ind w:left="1134" w:firstLine="567"/>
        <w:rPr>
          <w:iCs/>
        </w:rPr>
      </w:pPr>
      <w:r w:rsidRPr="00DF19B1">
        <w:rPr>
          <w:iCs/>
          <w:szCs w:val="28"/>
        </w:rPr>
        <w:t>(c)</w:t>
      </w:r>
      <w:r w:rsidRPr="00DF19B1">
        <w:rPr>
          <w:iCs/>
          <w:szCs w:val="28"/>
        </w:rPr>
        <w:tab/>
      </w:r>
      <w:r w:rsidR="00697035" w:rsidRPr="00DF19B1">
        <w:t xml:space="preserve">Contribute </w:t>
      </w:r>
      <w:r w:rsidR="00697035" w:rsidRPr="00DF19B1">
        <w:rPr>
          <w:iCs/>
        </w:rPr>
        <w:t>to</w:t>
      </w:r>
      <w:r w:rsidR="00697035" w:rsidRPr="00DF19B1">
        <w:t xml:space="preserve"> reviewing </w:t>
      </w:r>
      <w:r w:rsidR="00697035" w:rsidRPr="00DF19B1" w:rsidDel="00A22075">
        <w:t xml:space="preserve">the </w:t>
      </w:r>
      <w:r w:rsidR="00697035" w:rsidRPr="00DF19B1">
        <w:t xml:space="preserve">overall progress </w:t>
      </w:r>
      <w:r w:rsidR="00697035" w:rsidRPr="00DF19B1" w:rsidDel="00A22075">
        <w:t xml:space="preserve">made </w:t>
      </w:r>
      <w:r w:rsidR="00697035" w:rsidRPr="00DF19B1">
        <w:t xml:space="preserve">in achieving the global goal on adaptation as part of the global stocktake referred to in Article 7, paragraph 14, and </w:t>
      </w:r>
      <w:r w:rsidR="00697035">
        <w:t>Article </w:t>
      </w:r>
      <w:r w:rsidR="00697035" w:rsidRPr="00DF19B1">
        <w:t>14 of the Paris Agreement with a view to informing the first and subsequent global stocktakes;</w:t>
      </w:r>
    </w:p>
    <w:p w14:paraId="212E419A" w14:textId="60006BEC" w:rsidR="00697035" w:rsidRPr="00DF19B1" w:rsidRDefault="009E5AC3" w:rsidP="009E5AC3">
      <w:pPr>
        <w:pStyle w:val="RegSingleTxtG2"/>
        <w:numPr>
          <w:ilvl w:val="0"/>
          <w:numId w:val="0"/>
        </w:numPr>
        <w:tabs>
          <w:tab w:val="left" w:pos="1702"/>
        </w:tabs>
        <w:ind w:left="1134" w:firstLine="567"/>
        <w:rPr>
          <w:iCs/>
        </w:rPr>
      </w:pPr>
      <w:r w:rsidRPr="00DF19B1">
        <w:rPr>
          <w:iCs/>
          <w:szCs w:val="28"/>
        </w:rPr>
        <w:t>(d)</w:t>
      </w:r>
      <w:r w:rsidRPr="00DF19B1">
        <w:rPr>
          <w:iCs/>
          <w:szCs w:val="28"/>
        </w:rPr>
        <w:tab/>
      </w:r>
      <w:r w:rsidR="00697035" w:rsidRPr="00DF19B1">
        <w:t xml:space="preserve">Enhance </w:t>
      </w:r>
      <w:r w:rsidR="00697035" w:rsidRPr="00DF19B1">
        <w:rPr>
          <w:iCs/>
        </w:rPr>
        <w:t>national</w:t>
      </w:r>
      <w:r w:rsidR="00697035" w:rsidRPr="00DF19B1">
        <w:t xml:space="preserve"> planning and implementation of adaptation actions through the process to formulate and implement national adaptation plans and through nationally determined contributions and adaptation communications;</w:t>
      </w:r>
    </w:p>
    <w:p w14:paraId="069785D8" w14:textId="23ADDCE8" w:rsidR="00697035" w:rsidRPr="00DF19B1" w:rsidRDefault="009E5AC3" w:rsidP="009E5AC3">
      <w:pPr>
        <w:pStyle w:val="RegSingleTxtG2"/>
        <w:numPr>
          <w:ilvl w:val="0"/>
          <w:numId w:val="0"/>
        </w:numPr>
        <w:tabs>
          <w:tab w:val="left" w:pos="1702"/>
        </w:tabs>
        <w:ind w:left="1134" w:firstLine="567"/>
        <w:rPr>
          <w:iCs/>
        </w:rPr>
      </w:pPr>
      <w:r w:rsidRPr="00DF19B1">
        <w:rPr>
          <w:iCs/>
          <w:szCs w:val="28"/>
        </w:rPr>
        <w:t>(e)</w:t>
      </w:r>
      <w:r w:rsidRPr="00DF19B1">
        <w:rPr>
          <w:iCs/>
          <w:szCs w:val="28"/>
        </w:rPr>
        <w:tab/>
      </w:r>
      <w:r w:rsidR="00697035" w:rsidRPr="00DF19B1">
        <w:t>Enable Parties to better communicate their adaptation priorities, implementation and support needs, plans and actions</w:t>
      </w:r>
      <w:r w:rsidR="00697035" w:rsidRPr="00DF19B1" w:rsidDel="00115326">
        <w:t>,</w:t>
      </w:r>
      <w:r w:rsidR="00697035" w:rsidRPr="00DF19B1">
        <w:t xml:space="preserve"> including through adaptation communications and nationally determined contributions;</w:t>
      </w:r>
    </w:p>
    <w:p w14:paraId="7DF65B39" w14:textId="1483E9D2" w:rsidR="00697035" w:rsidRPr="00DF19B1" w:rsidRDefault="009E5AC3" w:rsidP="009E5AC3">
      <w:pPr>
        <w:pStyle w:val="RegSingleTxtG2"/>
        <w:numPr>
          <w:ilvl w:val="0"/>
          <w:numId w:val="0"/>
        </w:numPr>
        <w:tabs>
          <w:tab w:val="left" w:pos="1702"/>
        </w:tabs>
        <w:ind w:left="1134" w:firstLine="567"/>
        <w:rPr>
          <w:iCs/>
        </w:rPr>
      </w:pPr>
      <w:r w:rsidRPr="00DF19B1">
        <w:rPr>
          <w:iCs/>
          <w:szCs w:val="28"/>
        </w:rPr>
        <w:t>(f)</w:t>
      </w:r>
      <w:r w:rsidRPr="00DF19B1">
        <w:rPr>
          <w:iCs/>
          <w:szCs w:val="28"/>
        </w:rPr>
        <w:tab/>
      </w:r>
      <w:r w:rsidR="00697035" w:rsidRPr="00DF19B1">
        <w:t xml:space="preserve">Facilitate the establishment of robust, nationally appropriate systems for monitoring and evaluating </w:t>
      </w:r>
      <w:r w:rsidR="00697035" w:rsidRPr="00DF19B1">
        <w:rPr>
          <w:iCs/>
        </w:rPr>
        <w:t>adaptation</w:t>
      </w:r>
      <w:r w:rsidR="00697035" w:rsidRPr="00DF19B1">
        <w:t xml:space="preserve"> action</w:t>
      </w:r>
      <w:r w:rsidR="00697035" w:rsidRPr="00DF19B1" w:rsidDel="00115326">
        <w:t>s</w:t>
      </w:r>
      <w:r w:rsidR="00697035" w:rsidRPr="00DF19B1">
        <w:t>;</w:t>
      </w:r>
    </w:p>
    <w:p w14:paraId="6F169CE7" w14:textId="59DD293D" w:rsidR="00697035" w:rsidRPr="00DF19B1" w:rsidRDefault="009E5AC3" w:rsidP="009E5AC3">
      <w:pPr>
        <w:pStyle w:val="RegSingleTxtG2"/>
        <w:numPr>
          <w:ilvl w:val="0"/>
          <w:numId w:val="0"/>
        </w:numPr>
        <w:tabs>
          <w:tab w:val="left" w:pos="1702"/>
        </w:tabs>
        <w:ind w:left="1134" w:firstLine="567"/>
      </w:pPr>
      <w:r w:rsidRPr="00DF19B1">
        <w:rPr>
          <w:szCs w:val="28"/>
        </w:rPr>
        <w:t>(g)</w:t>
      </w:r>
      <w:r w:rsidRPr="00DF19B1">
        <w:rPr>
          <w:szCs w:val="28"/>
        </w:rPr>
        <w:tab/>
      </w:r>
      <w:r w:rsidR="00697035" w:rsidRPr="00DF19B1">
        <w:t xml:space="preserve">Strengthen </w:t>
      </w:r>
      <w:r w:rsidR="00697035" w:rsidRPr="00DF19B1">
        <w:rPr>
          <w:iCs/>
        </w:rPr>
        <w:t>implementation</w:t>
      </w:r>
      <w:r w:rsidR="00697035" w:rsidRPr="00DF19B1">
        <w:t xml:space="preserve"> of adaptation action</w:t>
      </w:r>
      <w:r w:rsidR="00697035" w:rsidRPr="00DF19B1" w:rsidDel="00115326">
        <w:t>s</w:t>
      </w:r>
      <w:r w:rsidR="00697035" w:rsidRPr="00DF19B1">
        <w:t xml:space="preserve"> in vulnerable developing countries;</w:t>
      </w:r>
    </w:p>
    <w:p w14:paraId="518E4C38" w14:textId="45514552" w:rsidR="00697035" w:rsidRPr="00DF19B1" w:rsidRDefault="009E5AC3" w:rsidP="009E5AC3">
      <w:pPr>
        <w:pStyle w:val="RegSingleTxtG2"/>
        <w:numPr>
          <w:ilvl w:val="0"/>
          <w:numId w:val="0"/>
        </w:numPr>
        <w:tabs>
          <w:tab w:val="left" w:pos="1702"/>
        </w:tabs>
        <w:ind w:left="1134" w:firstLine="567"/>
      </w:pPr>
      <w:r w:rsidRPr="00DF19B1">
        <w:rPr>
          <w:szCs w:val="28"/>
        </w:rPr>
        <w:t>(h)</w:t>
      </w:r>
      <w:r w:rsidRPr="00DF19B1">
        <w:rPr>
          <w:szCs w:val="28"/>
        </w:rPr>
        <w:tab/>
      </w:r>
      <w:r w:rsidR="00697035" w:rsidRPr="00DF19B1">
        <w:t xml:space="preserve">Enhance </w:t>
      </w:r>
      <w:r w:rsidR="00697035" w:rsidRPr="00DF19B1">
        <w:rPr>
          <w:iCs/>
        </w:rPr>
        <w:t>understanding</w:t>
      </w:r>
      <w:r w:rsidR="00697035" w:rsidRPr="00DF19B1">
        <w:t xml:space="preserve"> of how communication and reporting instruments established under the Convention and the Paris Agreement related to adaptation can complement each other in order to avoid duplication of efforts;</w:t>
      </w:r>
    </w:p>
    <w:p w14:paraId="5B0ED563" w14:textId="74539392" w:rsidR="00697035" w:rsidRPr="00DF19B1" w:rsidRDefault="009E5AC3" w:rsidP="009E5AC3">
      <w:pPr>
        <w:pStyle w:val="RegSingleTxtG"/>
        <w:numPr>
          <w:ilvl w:val="0"/>
          <w:numId w:val="0"/>
        </w:numPr>
        <w:ind w:left="1134"/>
      </w:pPr>
      <w:r w:rsidRPr="00DF19B1">
        <w:t>8.</w:t>
      </w:r>
      <w:r w:rsidRPr="00DF19B1">
        <w:tab/>
      </w:r>
      <w:r w:rsidR="00697035" w:rsidRPr="00DF19B1">
        <w:rPr>
          <w:i/>
        </w:rPr>
        <w:t xml:space="preserve">Agrees </w:t>
      </w:r>
      <w:r w:rsidR="00697035" w:rsidRPr="00DF19B1">
        <w:t>that implementation of the work programme should reflect the country-driven nature of adaptation and avoid creating any additional burden for developing country Parties;</w:t>
      </w:r>
    </w:p>
    <w:p w14:paraId="631D1705" w14:textId="4EBAEE44" w:rsidR="00697035" w:rsidRPr="00DF19B1" w:rsidRDefault="009E5AC3" w:rsidP="009E5AC3">
      <w:pPr>
        <w:pStyle w:val="RegSingleTxtG"/>
        <w:numPr>
          <w:ilvl w:val="0"/>
          <w:numId w:val="0"/>
        </w:numPr>
        <w:ind w:left="1134"/>
      </w:pPr>
      <w:r w:rsidRPr="00DF19B1">
        <w:t>9.</w:t>
      </w:r>
      <w:r w:rsidRPr="00DF19B1">
        <w:tab/>
      </w:r>
      <w:r w:rsidR="00697035" w:rsidRPr="00DF19B1">
        <w:rPr>
          <w:i/>
        </w:rPr>
        <w:t>Decides</w:t>
      </w:r>
      <w:r w:rsidR="00697035" w:rsidRPr="00DF19B1">
        <w:t xml:space="preserve"> that activities carried out under the work programme should build on the work of the Adaptation Committee related to the global goal on adaptation, draw on a variety of sources of information and inputs, including national adaptation plans and adaptation communications, take into account traditional knowledge, knowledge of indigenous peoples and local knowledge systems, and </w:t>
      </w:r>
      <w:r w:rsidR="00697035">
        <w:t>be</w:t>
      </w:r>
      <w:r w:rsidR="00697035" w:rsidRPr="00DF19B1">
        <w:t xml:space="preserve"> gender</w:t>
      </w:r>
      <w:r w:rsidR="00697035">
        <w:t>-</w:t>
      </w:r>
      <w:r w:rsidR="00697035" w:rsidRPr="00DF19B1">
        <w:t>responsive;</w:t>
      </w:r>
    </w:p>
    <w:p w14:paraId="6E0915C5" w14:textId="6481482E" w:rsidR="00697035" w:rsidRPr="00DF19B1" w:rsidRDefault="009E5AC3" w:rsidP="009E5AC3">
      <w:pPr>
        <w:pStyle w:val="RegSingleTxtG"/>
        <w:numPr>
          <w:ilvl w:val="0"/>
          <w:numId w:val="0"/>
        </w:numPr>
        <w:ind w:left="1134"/>
      </w:pPr>
      <w:r w:rsidRPr="00DF19B1">
        <w:t>10.</w:t>
      </w:r>
      <w:r w:rsidRPr="00DF19B1">
        <w:tab/>
      </w:r>
      <w:r w:rsidR="00697035" w:rsidRPr="00DF19B1">
        <w:rPr>
          <w:i/>
        </w:rPr>
        <w:t>Invite</w:t>
      </w:r>
      <w:r w:rsidR="00697035" w:rsidRPr="00DF19B1">
        <w:rPr>
          <w:i/>
          <w:iCs/>
        </w:rPr>
        <w:t xml:space="preserve">s </w:t>
      </w:r>
      <w:r w:rsidR="00697035" w:rsidRPr="00DF19B1">
        <w:t xml:space="preserve">the Intergovernmental Panel on Climate Change to inform the work programme by presenting </w:t>
      </w:r>
      <w:r w:rsidR="00697035">
        <w:t xml:space="preserve">to the subsidiary bodies, at their fifty-sixth sessions </w:t>
      </w:r>
      <w:r w:rsidR="00697035" w:rsidRPr="00DF19B1">
        <w:t>(June 2022)</w:t>
      </w:r>
      <w:r w:rsidR="00697035">
        <w:t xml:space="preserve">, </w:t>
      </w:r>
      <w:r w:rsidR="00697035" w:rsidRPr="00DF19B1">
        <w:t>the findings of the upcoming contribution of Working Group II to its Sixth Assessment Report</w:t>
      </w:r>
      <w:r w:rsidR="00697035">
        <w:t>, once published, that may be relevant to reviewing overall progress made in achieving the global goal on adaptation</w:t>
      </w:r>
      <w:r w:rsidR="00697035" w:rsidRPr="00DF19B1">
        <w:t>, and engage in the work programme by clarifying methodologies and other elements related to the global goal on adaptation;</w:t>
      </w:r>
    </w:p>
    <w:p w14:paraId="6D95298A" w14:textId="1DE13A2B" w:rsidR="00697035" w:rsidRPr="00DF19B1" w:rsidRDefault="009E5AC3" w:rsidP="009E5AC3">
      <w:pPr>
        <w:pStyle w:val="RegSingleTxtG"/>
        <w:numPr>
          <w:ilvl w:val="0"/>
          <w:numId w:val="0"/>
        </w:numPr>
        <w:ind w:left="1134"/>
      </w:pPr>
      <w:r w:rsidRPr="00DF19B1">
        <w:t>11.</w:t>
      </w:r>
      <w:r w:rsidRPr="00DF19B1">
        <w:tab/>
      </w:r>
      <w:r w:rsidR="00697035" w:rsidRPr="00DF19B1">
        <w:rPr>
          <w:i/>
        </w:rPr>
        <w:t>A</w:t>
      </w:r>
      <w:r w:rsidR="00697035" w:rsidRPr="00DF19B1">
        <w:rPr>
          <w:i/>
          <w:iCs/>
        </w:rPr>
        <w:t>grees</w:t>
      </w:r>
      <w:r w:rsidR="00697035" w:rsidRPr="00DF19B1">
        <w:t xml:space="preserve"> that the work programme should be carried out in an inclusive manner with the involvement of Parties, </w:t>
      </w:r>
      <w:r w:rsidR="00697035" w:rsidRPr="00C571AC">
        <w:t xml:space="preserve">on the basis of </w:t>
      </w:r>
      <w:r w:rsidR="00697035" w:rsidRPr="00981F8C">
        <w:t>equitable</w:t>
      </w:r>
      <w:r w:rsidR="00697035" w:rsidRPr="00C571AC">
        <w:t xml:space="preserve"> geographical representation,</w:t>
      </w:r>
      <w:r w:rsidR="00697035" w:rsidRPr="00DF19B1">
        <w:t xml:space="preserve"> as well as observers, relevant constituted bodies under the Convention and </w:t>
      </w:r>
      <w:r w:rsidR="00697035">
        <w:t>the</w:t>
      </w:r>
      <w:r w:rsidR="00697035" w:rsidRPr="00DF19B1">
        <w:t xml:space="preserve"> Paris Agreement, organizations, experts and practitioners, as appropriate; </w:t>
      </w:r>
    </w:p>
    <w:p w14:paraId="0E678075" w14:textId="7CB9888E" w:rsidR="00697035" w:rsidRPr="00DF19B1" w:rsidRDefault="009E5AC3" w:rsidP="009E5AC3">
      <w:pPr>
        <w:pStyle w:val="RegSingleTxtG"/>
        <w:numPr>
          <w:ilvl w:val="0"/>
          <w:numId w:val="0"/>
        </w:numPr>
        <w:ind w:left="1134"/>
      </w:pPr>
      <w:bookmarkStart w:id="7" w:name="_Ref87370803"/>
      <w:r w:rsidRPr="00DF19B1">
        <w:t>12.</w:t>
      </w:r>
      <w:r w:rsidRPr="00DF19B1">
        <w:tab/>
      </w:r>
      <w:r w:rsidR="00697035" w:rsidRPr="00DF19B1">
        <w:rPr>
          <w:i/>
        </w:rPr>
        <w:t>Decides</w:t>
      </w:r>
      <w:r w:rsidR="00697035" w:rsidRPr="00DF19B1">
        <w:t xml:space="preserve"> that four workshops should be conducted per year</w:t>
      </w:r>
      <w:r w:rsidR="00697035">
        <w:t xml:space="preserve">, with the support of the secretariat and under the guidance of the Chairs of the subsidiary bodies, under the work </w:t>
      </w:r>
      <w:r w:rsidR="00697035">
        <w:lastRenderedPageBreak/>
        <w:t>programme</w:t>
      </w:r>
      <w:r w:rsidR="00697035" w:rsidRPr="00DF19B1">
        <w:t>, namely two virtual intersessional workshops and two workshops in conjunction with the sessions of the subsidiary bodies, starting at their fifty-sixth sessions;</w:t>
      </w:r>
      <w:bookmarkEnd w:id="7"/>
    </w:p>
    <w:p w14:paraId="33B7BC95" w14:textId="4D78647E" w:rsidR="00697035" w:rsidRPr="00DF19B1" w:rsidRDefault="009E5AC3" w:rsidP="009E5AC3">
      <w:pPr>
        <w:pStyle w:val="RegSingleTxtG"/>
        <w:numPr>
          <w:ilvl w:val="0"/>
          <w:numId w:val="0"/>
        </w:numPr>
        <w:ind w:left="1134"/>
      </w:pPr>
      <w:bookmarkStart w:id="8" w:name="_Ref87370814"/>
      <w:r w:rsidRPr="00DF19B1">
        <w:t>13.</w:t>
      </w:r>
      <w:r w:rsidRPr="00DF19B1">
        <w:tab/>
      </w:r>
      <w:r w:rsidR="00697035" w:rsidRPr="00DF19B1">
        <w:rPr>
          <w:i/>
        </w:rPr>
        <w:t>Invites</w:t>
      </w:r>
      <w:r w:rsidR="00697035" w:rsidRPr="00DF19B1">
        <w:t xml:space="preserve"> Parties to submit via the submission portal</w:t>
      </w:r>
      <w:r w:rsidR="00697035">
        <w:t>,</w:t>
      </w:r>
      <w:r w:rsidR="00697035">
        <w:rPr>
          <w:rStyle w:val="FootnoteReference"/>
        </w:rPr>
        <w:footnoteReference w:id="6"/>
      </w:r>
      <w:r w:rsidR="00697035" w:rsidRPr="00DF19B1">
        <w:t xml:space="preserve"> by </w:t>
      </w:r>
      <w:r w:rsidR="00697035">
        <w:t xml:space="preserve">30 </w:t>
      </w:r>
      <w:r w:rsidR="00697035" w:rsidRPr="00DF19B1">
        <w:t>April 2022</w:t>
      </w:r>
      <w:r w:rsidR="00697035">
        <w:t>,</w:t>
      </w:r>
      <w:r w:rsidR="00697035" w:rsidRPr="00DF19B1">
        <w:t xml:space="preserve"> </w:t>
      </w:r>
      <w:r w:rsidR="00697035">
        <w:t xml:space="preserve">views </w:t>
      </w:r>
      <w:r w:rsidR="00697035" w:rsidRPr="00DF19B1">
        <w:t xml:space="preserve">on </w:t>
      </w:r>
      <w:r w:rsidR="00697035">
        <w:t xml:space="preserve">how to achieve the objectives referred to in paragraph </w:t>
      </w:r>
      <w:r w:rsidR="00697035">
        <w:fldChar w:fldCharType="begin"/>
      </w:r>
      <w:r w:rsidR="00697035">
        <w:instrText xml:space="preserve"> REF _Ref87466830 \r \h </w:instrText>
      </w:r>
      <w:r w:rsidR="00697035">
        <w:fldChar w:fldCharType="separate"/>
      </w:r>
      <w:r w:rsidR="002C7D97">
        <w:t>7</w:t>
      </w:r>
      <w:r w:rsidR="00697035">
        <w:fldChar w:fldCharType="end"/>
      </w:r>
      <w:r w:rsidR="00697035">
        <w:t xml:space="preserve"> above</w:t>
      </w:r>
      <w:r w:rsidR="00697035" w:rsidRPr="00DF19B1">
        <w:t xml:space="preserve"> under the work programme;</w:t>
      </w:r>
      <w:bookmarkEnd w:id="8"/>
    </w:p>
    <w:p w14:paraId="2ACA5CD3" w14:textId="2E5D5451" w:rsidR="00697035" w:rsidRPr="00DF19B1" w:rsidRDefault="009E5AC3" w:rsidP="009E5AC3">
      <w:pPr>
        <w:pStyle w:val="RegSingleTxtG"/>
        <w:numPr>
          <w:ilvl w:val="0"/>
          <w:numId w:val="0"/>
        </w:numPr>
        <w:ind w:left="1134"/>
      </w:pPr>
      <w:r w:rsidRPr="00DF19B1">
        <w:t>14.</w:t>
      </w:r>
      <w:r w:rsidRPr="00DF19B1">
        <w:tab/>
      </w:r>
      <w:r w:rsidR="00697035" w:rsidRPr="00DF19B1">
        <w:rPr>
          <w:i/>
        </w:rPr>
        <w:t xml:space="preserve">Also invites </w:t>
      </w:r>
      <w:r w:rsidR="00697035" w:rsidRPr="00DF19B1">
        <w:rPr>
          <w:iCs/>
        </w:rPr>
        <w:t xml:space="preserve">the Chairs of the </w:t>
      </w:r>
      <w:r w:rsidR="00697035" w:rsidRPr="00981F8C">
        <w:t>subsidiary</w:t>
      </w:r>
      <w:r w:rsidR="00697035">
        <w:rPr>
          <w:iCs/>
        </w:rPr>
        <w:t xml:space="preserve"> bodies</w:t>
      </w:r>
      <w:r w:rsidR="00697035" w:rsidRPr="00DF19B1">
        <w:rPr>
          <w:iCs/>
        </w:rPr>
        <w:t xml:space="preserve"> to select themes for the workshops referred to in paragraph </w:t>
      </w:r>
      <w:r w:rsidR="00697035" w:rsidRPr="00DF19B1">
        <w:rPr>
          <w:iCs/>
        </w:rPr>
        <w:fldChar w:fldCharType="begin"/>
      </w:r>
      <w:r w:rsidR="00697035" w:rsidRPr="00DF19B1">
        <w:rPr>
          <w:iCs/>
        </w:rPr>
        <w:instrText xml:space="preserve"> REF _Ref87370803 \r \p \h </w:instrText>
      </w:r>
      <w:r w:rsidR="00697035">
        <w:rPr>
          <w:iCs/>
        </w:rPr>
        <w:instrText xml:space="preserve"> \* MERGEFORMAT </w:instrText>
      </w:r>
      <w:r w:rsidR="00697035" w:rsidRPr="00DF19B1">
        <w:rPr>
          <w:iCs/>
        </w:rPr>
      </w:r>
      <w:r w:rsidR="00697035" w:rsidRPr="00DF19B1">
        <w:rPr>
          <w:iCs/>
        </w:rPr>
        <w:fldChar w:fldCharType="separate"/>
      </w:r>
      <w:r w:rsidR="002C7D97">
        <w:rPr>
          <w:iCs/>
        </w:rPr>
        <w:t>12 above</w:t>
      </w:r>
      <w:r w:rsidR="00697035" w:rsidRPr="00DF19B1">
        <w:fldChar w:fldCharType="end"/>
      </w:r>
      <w:r w:rsidR="00697035" w:rsidRPr="00DF19B1">
        <w:rPr>
          <w:iCs/>
        </w:rPr>
        <w:t xml:space="preserve"> on the basis of the submissions referred to in paragraph </w:t>
      </w:r>
      <w:r w:rsidR="00697035" w:rsidRPr="00DF19B1">
        <w:rPr>
          <w:iCs/>
        </w:rPr>
        <w:fldChar w:fldCharType="begin"/>
      </w:r>
      <w:r w:rsidR="00697035" w:rsidRPr="00DF19B1">
        <w:rPr>
          <w:iCs/>
        </w:rPr>
        <w:instrText xml:space="preserve"> REF _Ref87370814 \r \p \h </w:instrText>
      </w:r>
      <w:r w:rsidR="00697035">
        <w:rPr>
          <w:iCs/>
        </w:rPr>
        <w:instrText xml:space="preserve"> \* MERGEFORMAT </w:instrText>
      </w:r>
      <w:r w:rsidR="00697035" w:rsidRPr="00DF19B1">
        <w:rPr>
          <w:iCs/>
        </w:rPr>
      </w:r>
      <w:r w:rsidR="00697035" w:rsidRPr="00DF19B1">
        <w:rPr>
          <w:iCs/>
        </w:rPr>
        <w:fldChar w:fldCharType="separate"/>
      </w:r>
      <w:r w:rsidR="002C7D97">
        <w:rPr>
          <w:iCs/>
        </w:rPr>
        <w:t>13 above</w:t>
      </w:r>
      <w:r w:rsidR="00697035" w:rsidRPr="00DF19B1">
        <w:fldChar w:fldCharType="end"/>
      </w:r>
      <w:r w:rsidR="00697035" w:rsidRPr="00DF19B1">
        <w:rPr>
          <w:iCs/>
        </w:rPr>
        <w:t xml:space="preserve">; </w:t>
      </w:r>
    </w:p>
    <w:p w14:paraId="3057C313" w14:textId="68BB527D" w:rsidR="00697035" w:rsidRPr="00DF19B1" w:rsidRDefault="009E5AC3" w:rsidP="009E5AC3">
      <w:pPr>
        <w:pStyle w:val="RegSingleTxtG"/>
        <w:numPr>
          <w:ilvl w:val="0"/>
          <w:numId w:val="0"/>
        </w:numPr>
        <w:ind w:left="1134"/>
      </w:pPr>
      <w:bookmarkStart w:id="9" w:name="_Ref87471716"/>
      <w:r w:rsidRPr="00DF19B1">
        <w:t>15.</w:t>
      </w:r>
      <w:r w:rsidRPr="00DF19B1">
        <w:tab/>
      </w:r>
      <w:r w:rsidR="00697035" w:rsidRPr="00DF19B1">
        <w:rPr>
          <w:i/>
        </w:rPr>
        <w:t>R</w:t>
      </w:r>
      <w:r w:rsidR="00697035" w:rsidRPr="00DF19B1">
        <w:rPr>
          <w:i/>
          <w:iCs/>
        </w:rPr>
        <w:t>equests</w:t>
      </w:r>
      <w:r w:rsidR="00697035" w:rsidRPr="00DF19B1">
        <w:t xml:space="preserve"> the secretariat</w:t>
      </w:r>
      <w:r w:rsidR="00697035">
        <w:t xml:space="preserve"> to prepare, under the guidance of the Chairs of the subsidiary bodies,</w:t>
      </w:r>
      <w:r w:rsidR="00697035" w:rsidRPr="00DF19B1">
        <w:t xml:space="preserve"> a compilation and synthesis of those submissions for consideration at the workshops;</w:t>
      </w:r>
      <w:bookmarkEnd w:id="9"/>
    </w:p>
    <w:p w14:paraId="31E38120" w14:textId="698E3DB6" w:rsidR="00697035" w:rsidRPr="00DF19B1" w:rsidRDefault="009E5AC3" w:rsidP="009E5AC3">
      <w:pPr>
        <w:pStyle w:val="RegSingleTxtG"/>
        <w:numPr>
          <w:ilvl w:val="0"/>
          <w:numId w:val="0"/>
        </w:numPr>
        <w:ind w:left="1134"/>
      </w:pPr>
      <w:bookmarkStart w:id="10" w:name="_Ref87471871"/>
      <w:r w:rsidRPr="00DF19B1">
        <w:t>16.</w:t>
      </w:r>
      <w:r w:rsidRPr="00DF19B1">
        <w:tab/>
      </w:r>
      <w:r w:rsidR="00697035" w:rsidRPr="00DF19B1">
        <w:rPr>
          <w:i/>
        </w:rPr>
        <w:t xml:space="preserve">Also </w:t>
      </w:r>
      <w:r w:rsidR="00697035" w:rsidRPr="00DF19B1">
        <w:rPr>
          <w:i/>
          <w:iCs/>
        </w:rPr>
        <w:t>requests</w:t>
      </w:r>
      <w:r w:rsidR="00697035" w:rsidRPr="0000176F">
        <w:rPr>
          <w:i/>
        </w:rPr>
        <w:t xml:space="preserve"> </w:t>
      </w:r>
      <w:r w:rsidR="00697035" w:rsidRPr="00A2598F">
        <w:t>the secretariat to prepare</w:t>
      </w:r>
      <w:r w:rsidR="00697035">
        <w:t>, under the guidance of the Chairs of the subsidiary bodies,</w:t>
      </w:r>
      <w:r w:rsidR="00697035" w:rsidRPr="008B77D3">
        <w:t xml:space="preserve"> a single annual report on the workshops </w:t>
      </w:r>
      <w:r w:rsidR="00697035">
        <w:t>for consideration at the sessions of the subsidiary bodies coinciding with the session</w:t>
      </w:r>
      <w:r w:rsidR="00697035" w:rsidDel="00012D27">
        <w:t>s</w:t>
      </w:r>
      <w:r w:rsidR="00697035">
        <w:t xml:space="preserve"> of the </w:t>
      </w:r>
      <w:r w:rsidR="00697035" w:rsidRPr="008B77D3">
        <w:t>Conference of the Parties serving as the meeting of the Parties to the Paris Agreement</w:t>
      </w:r>
      <w:r w:rsidR="00697035">
        <w:t>;</w:t>
      </w:r>
      <w:bookmarkEnd w:id="10"/>
    </w:p>
    <w:p w14:paraId="7FDD7E90" w14:textId="0A4DE671" w:rsidR="00697035" w:rsidRPr="00D712A0" w:rsidRDefault="009E5AC3" w:rsidP="009E5AC3">
      <w:pPr>
        <w:pStyle w:val="RegSingleTxtG"/>
        <w:numPr>
          <w:ilvl w:val="0"/>
          <w:numId w:val="0"/>
        </w:numPr>
        <w:ind w:left="1134"/>
      </w:pPr>
      <w:r w:rsidRPr="00D712A0">
        <w:t>17.</w:t>
      </w:r>
      <w:r w:rsidRPr="00D712A0">
        <w:tab/>
      </w:r>
      <w:r w:rsidR="00697035" w:rsidRPr="00D712A0">
        <w:rPr>
          <w:i/>
        </w:rPr>
        <w:t>Invites</w:t>
      </w:r>
      <w:r w:rsidR="00697035" w:rsidRPr="00D712A0">
        <w:t xml:space="preserve"> the subsidiary bodies to report annually to the Conference of the Parties serving as the meeting of the Parties to the Paris Agreement</w:t>
      </w:r>
      <w:r w:rsidR="00697035">
        <w:t xml:space="preserve">, taking into account the report referred to in paragraph </w:t>
      </w:r>
      <w:r w:rsidR="00697035">
        <w:fldChar w:fldCharType="begin"/>
      </w:r>
      <w:r w:rsidR="00697035">
        <w:instrText xml:space="preserve"> REF _Ref87471871 \r \h </w:instrText>
      </w:r>
      <w:r w:rsidR="00697035">
        <w:fldChar w:fldCharType="separate"/>
      </w:r>
      <w:r w:rsidR="002C7D97">
        <w:t>16</w:t>
      </w:r>
      <w:r w:rsidR="00697035">
        <w:fldChar w:fldCharType="end"/>
      </w:r>
      <w:r w:rsidR="00697035">
        <w:t xml:space="preserve"> above,</w:t>
      </w:r>
      <w:r w:rsidR="00697035" w:rsidRPr="00D712A0">
        <w:t xml:space="preserve"> on progress in implementing the work programme </w:t>
      </w:r>
      <w:r w:rsidR="00697035">
        <w:t xml:space="preserve">with a view to recommending a draft decision thereon </w:t>
      </w:r>
      <w:r w:rsidR="00697035" w:rsidRPr="00D712A0">
        <w:t xml:space="preserve">for consideration </w:t>
      </w:r>
      <w:r w:rsidR="00697035">
        <w:t xml:space="preserve">and adoption </w:t>
      </w:r>
      <w:r w:rsidR="00697035" w:rsidRPr="00D712A0">
        <w:t>by the Conference of the Parties serving as the meeting of the Parties to the Paris Agreement</w:t>
      </w:r>
      <w:r w:rsidR="00697035">
        <w:t xml:space="preserve"> at its fifth session (November 2023)</w:t>
      </w:r>
      <w:r w:rsidR="00697035" w:rsidRPr="00D712A0">
        <w:t>;</w:t>
      </w:r>
    </w:p>
    <w:p w14:paraId="6F4D67A0" w14:textId="744B5D79" w:rsidR="00697035" w:rsidRPr="00DF19B1" w:rsidRDefault="009E5AC3" w:rsidP="009E5AC3">
      <w:pPr>
        <w:pStyle w:val="RegSingleTxtG"/>
        <w:numPr>
          <w:ilvl w:val="0"/>
          <w:numId w:val="0"/>
        </w:numPr>
        <w:ind w:left="1134"/>
        <w:rPr>
          <w:rFonts w:eastAsia="Times New Roman"/>
          <w:i/>
          <w:iCs/>
          <w:color w:val="000000" w:themeColor="text1"/>
        </w:rPr>
      </w:pPr>
      <w:r w:rsidRPr="00DF19B1">
        <w:rPr>
          <w:rFonts w:eastAsia="Times New Roman"/>
          <w:iCs/>
          <w:color w:val="000000" w:themeColor="text1"/>
        </w:rPr>
        <w:t>18.</w:t>
      </w:r>
      <w:r w:rsidRPr="00DF19B1">
        <w:rPr>
          <w:rFonts w:eastAsia="Times New Roman"/>
          <w:iCs/>
          <w:color w:val="000000" w:themeColor="text1"/>
        </w:rPr>
        <w:tab/>
      </w:r>
      <w:r w:rsidR="00697035" w:rsidRPr="00DF19B1">
        <w:rPr>
          <w:rFonts w:eastAsia="Times New Roman"/>
          <w:i/>
          <w:iCs/>
        </w:rPr>
        <w:t>Encourages</w:t>
      </w:r>
      <w:r w:rsidR="00697035" w:rsidRPr="00DF19B1">
        <w:rPr>
          <w:rFonts w:eastAsia="Times New Roman"/>
        </w:rPr>
        <w:t xml:space="preserve"> Parties to make </w:t>
      </w:r>
      <w:r w:rsidR="00697035" w:rsidRPr="00981F8C">
        <w:t>available</w:t>
      </w:r>
      <w:r w:rsidR="00697035" w:rsidRPr="00DF19B1">
        <w:rPr>
          <w:rFonts w:eastAsia="Times New Roman"/>
        </w:rPr>
        <w:t xml:space="preserve"> sufficient resources for the successful and timely implementation of the </w:t>
      </w:r>
      <w:r w:rsidR="00697035">
        <w:rPr>
          <w:rFonts w:eastAsia="Times New Roman"/>
        </w:rPr>
        <w:t>work programme</w:t>
      </w:r>
      <w:r w:rsidR="00697035" w:rsidRPr="00DF19B1">
        <w:rPr>
          <w:rFonts w:eastAsia="Times New Roman"/>
        </w:rPr>
        <w:t>;</w:t>
      </w:r>
    </w:p>
    <w:p w14:paraId="078D5526" w14:textId="3D43FCF0" w:rsidR="00697035" w:rsidRPr="00DF19B1" w:rsidRDefault="009E5AC3" w:rsidP="009E5AC3">
      <w:pPr>
        <w:pStyle w:val="RegSingleTxtG"/>
        <w:numPr>
          <w:ilvl w:val="0"/>
          <w:numId w:val="0"/>
        </w:numPr>
        <w:ind w:left="1134"/>
        <w:rPr>
          <w:rFonts w:eastAsia="Times New Roman"/>
          <w:i/>
          <w:iCs/>
          <w:color w:val="000000" w:themeColor="text1"/>
        </w:rPr>
      </w:pPr>
      <w:r w:rsidRPr="00DF19B1">
        <w:rPr>
          <w:rFonts w:eastAsia="Times New Roman"/>
          <w:iCs/>
          <w:color w:val="000000" w:themeColor="text1"/>
        </w:rPr>
        <w:t>19.</w:t>
      </w:r>
      <w:r w:rsidRPr="00DF19B1">
        <w:rPr>
          <w:rFonts w:eastAsia="Times New Roman"/>
          <w:iCs/>
          <w:color w:val="000000" w:themeColor="text1"/>
        </w:rPr>
        <w:tab/>
      </w:r>
      <w:r w:rsidR="00697035" w:rsidRPr="00DF19B1">
        <w:rPr>
          <w:rFonts w:eastAsia="Times New Roman"/>
          <w:i/>
          <w:iCs/>
        </w:rPr>
        <w:t>Takes note</w:t>
      </w:r>
      <w:r w:rsidR="00697035" w:rsidRPr="00DF19B1">
        <w:rPr>
          <w:rFonts w:eastAsia="Times New Roman"/>
        </w:rPr>
        <w:t xml:space="preserve"> of the estimated budgetary implications of the activities to be undertaken by the secretariat referred to in </w:t>
      </w:r>
      <w:r w:rsidR="00697035" w:rsidRPr="00981F8C">
        <w:t>paragraphs</w:t>
      </w:r>
      <w:r w:rsidR="00697035" w:rsidRPr="00DF19B1">
        <w:rPr>
          <w:rFonts w:eastAsia="Times New Roman"/>
        </w:rPr>
        <w:t xml:space="preserve"> </w:t>
      </w:r>
      <w:r w:rsidR="00697035">
        <w:rPr>
          <w:rFonts w:eastAsia="Times New Roman"/>
        </w:rPr>
        <w:t>6, 12, 15 and 16</w:t>
      </w:r>
      <w:r w:rsidR="00697035" w:rsidRPr="00DF19B1">
        <w:rPr>
          <w:rFonts w:eastAsia="Times New Roman"/>
        </w:rPr>
        <w:t xml:space="preserve"> above;</w:t>
      </w:r>
    </w:p>
    <w:p w14:paraId="54083532" w14:textId="17E16748" w:rsidR="00697035" w:rsidRPr="00DF19B1" w:rsidRDefault="009E5AC3" w:rsidP="009E5AC3">
      <w:pPr>
        <w:pStyle w:val="RegSingleTxtG"/>
        <w:numPr>
          <w:ilvl w:val="0"/>
          <w:numId w:val="0"/>
        </w:numPr>
        <w:ind w:left="1134"/>
      </w:pPr>
      <w:r w:rsidRPr="00DF19B1">
        <w:t>20.</w:t>
      </w:r>
      <w:r w:rsidRPr="00DF19B1">
        <w:tab/>
      </w:r>
      <w:r w:rsidR="00697035" w:rsidRPr="00DF19B1">
        <w:rPr>
          <w:rFonts w:eastAsia="Times New Roman"/>
          <w:i/>
          <w:iCs/>
        </w:rPr>
        <w:t>Requests</w:t>
      </w:r>
      <w:r w:rsidR="00697035" w:rsidRPr="00DF19B1">
        <w:rPr>
          <w:rFonts w:eastAsia="Times New Roman"/>
        </w:rPr>
        <w:t xml:space="preserve"> that the actions of </w:t>
      </w:r>
      <w:r w:rsidR="00697035" w:rsidRPr="00981F8C">
        <w:t>the</w:t>
      </w:r>
      <w:r w:rsidR="00697035" w:rsidRPr="00DF19B1">
        <w:rPr>
          <w:rFonts w:eastAsia="Times New Roman"/>
        </w:rPr>
        <w:t xml:space="preserve"> secretariat called for in this decision be undertaken subject to the availability of financial resources</w:t>
      </w:r>
      <w:r w:rsidR="00697035" w:rsidRPr="00DF19B1">
        <w:t>.</w:t>
      </w:r>
    </w:p>
    <w:p w14:paraId="1B5881D6" w14:textId="782B6D5A" w:rsidR="00FD1D57" w:rsidRDefault="001C00A9" w:rsidP="00FD1D57">
      <w:pPr>
        <w:spacing w:before="240"/>
        <w:ind w:left="1134" w:right="1134"/>
        <w:jc w:val="right"/>
        <w:rPr>
          <w:i/>
        </w:rPr>
        <w:sectPr w:rsidR="00FD1D57" w:rsidSect="00265564">
          <w:headerReference w:type="even" r:id="rId22"/>
          <w:headerReference w:type="default" r:id="rId23"/>
          <w:footerReference w:type="even" r:id="rId24"/>
          <w:footerReference w:type="default" r:id="rId25"/>
          <w:footnotePr>
            <w:numRestart w:val="eachSect"/>
          </w:footnotePr>
          <w:pgSz w:w="11906" w:h="16838" w:code="9"/>
          <w:pgMar w:top="1417" w:right="1134" w:bottom="1134" w:left="1134" w:header="850" w:footer="567" w:gutter="0"/>
          <w:cols w:space="708"/>
          <w:docGrid w:linePitch="360"/>
        </w:sectPr>
      </w:pPr>
      <w:r>
        <w:rPr>
          <w:i/>
        </w:rPr>
        <w:t>12</w:t>
      </w:r>
      <w:r w:rsidRPr="001C00A9">
        <w:rPr>
          <w:i/>
          <w:vertAlign w:val="superscript"/>
        </w:rPr>
        <w:t>th</w:t>
      </w:r>
      <w:r>
        <w:rPr>
          <w:i/>
        </w:rPr>
        <w:t xml:space="preserve"> </w:t>
      </w:r>
      <w:r w:rsidR="00FD1D57" w:rsidRPr="006C7D6D">
        <w:rPr>
          <w:i/>
        </w:rPr>
        <w:t>plenary meeting</w:t>
      </w:r>
      <w:r w:rsidR="00FD1D57" w:rsidRPr="006C7D6D">
        <w:rPr>
          <w:i/>
        </w:rPr>
        <w:br/>
      </w:r>
      <w:r>
        <w:rPr>
          <w:i/>
        </w:rPr>
        <w:t>13</w:t>
      </w:r>
      <w:r w:rsidR="00FD1D57" w:rsidRPr="006C7D6D">
        <w:rPr>
          <w:i/>
        </w:rPr>
        <w:t xml:space="preserve"> November 2021</w:t>
      </w:r>
    </w:p>
    <w:p w14:paraId="7253380C" w14:textId="3CD50D1C" w:rsidR="00EB3C6A" w:rsidRDefault="00EB3C6A" w:rsidP="009E5AC3">
      <w:pPr>
        <w:pStyle w:val="RegHChG"/>
        <w:numPr>
          <w:ilvl w:val="0"/>
          <w:numId w:val="0"/>
        </w:numPr>
        <w:spacing w:before="120"/>
        <w:ind w:left="1134" w:hanging="454"/>
      </w:pPr>
      <w:bookmarkStart w:id="11" w:name="Decision8"/>
      <w:r>
        <w:lastRenderedPageBreak/>
        <w:t>Decision 8/CMA.3</w:t>
      </w:r>
    </w:p>
    <w:bookmarkEnd w:id="11"/>
    <w:p w14:paraId="1EAAC4AF" w14:textId="641F7930" w:rsidR="00CB655E" w:rsidRPr="00CB655E" w:rsidRDefault="00CB655E" w:rsidP="009E5AC3">
      <w:pPr>
        <w:pStyle w:val="RegHChG"/>
        <w:numPr>
          <w:ilvl w:val="0"/>
          <w:numId w:val="0"/>
        </w:numPr>
        <w:ind w:left="1135" w:hanging="454"/>
      </w:pPr>
      <w:r w:rsidRPr="00C20411">
        <w:t>Report of the Adaptation Committee for 2019, 2020 and 2021</w:t>
      </w:r>
    </w:p>
    <w:p w14:paraId="614AC8ED" w14:textId="2CA44B5A" w:rsidR="000B40C8" w:rsidRPr="00DF19B1" w:rsidRDefault="000B40C8" w:rsidP="000B40C8">
      <w:pPr>
        <w:tabs>
          <w:tab w:val="left" w:pos="1701"/>
        </w:tabs>
        <w:spacing w:after="120"/>
        <w:ind w:left="1135" w:right="1134"/>
        <w:jc w:val="both"/>
        <w:rPr>
          <w:i/>
          <w:iCs/>
        </w:rPr>
      </w:pPr>
      <w:r>
        <w:rPr>
          <w:i/>
          <w:iCs/>
        </w:rPr>
        <w:tab/>
      </w:r>
      <w:r w:rsidRPr="00DF19B1">
        <w:rPr>
          <w:i/>
          <w:iCs/>
        </w:rPr>
        <w:t>The Conference of the Parties serving as the meeting of Parties to the Paris Agreement</w:t>
      </w:r>
      <w:r w:rsidRPr="005273E1">
        <w:t>,</w:t>
      </w:r>
    </w:p>
    <w:p w14:paraId="0D0B117B" w14:textId="4736AEEC" w:rsidR="000B40C8" w:rsidRPr="00DF19B1" w:rsidRDefault="009E5AC3" w:rsidP="009E5AC3">
      <w:pPr>
        <w:pStyle w:val="RegSingleTxtG"/>
        <w:numPr>
          <w:ilvl w:val="0"/>
          <w:numId w:val="0"/>
        </w:numPr>
        <w:ind w:left="1134"/>
      </w:pPr>
      <w:r w:rsidRPr="00DF19B1">
        <w:t>1.</w:t>
      </w:r>
      <w:r w:rsidRPr="00DF19B1">
        <w:tab/>
      </w:r>
      <w:r w:rsidR="000B40C8" w:rsidRPr="000B40C8">
        <w:rPr>
          <w:i/>
        </w:rPr>
        <w:t>Welcomes</w:t>
      </w:r>
      <w:r w:rsidR="000B40C8" w:rsidRPr="00DF19B1">
        <w:t xml:space="preserve"> the work of the Adaptation Committee in 2019</w:t>
      </w:r>
      <w:r w:rsidR="000B40C8" w:rsidRPr="00DF19B1" w:rsidDel="00E56244">
        <w:t xml:space="preserve">, 2020 and </w:t>
      </w:r>
      <w:r w:rsidR="000B40C8" w:rsidRPr="00DF19B1">
        <w:t xml:space="preserve">2021 and </w:t>
      </w:r>
      <w:r w:rsidR="000B40C8" w:rsidRPr="000B40C8">
        <w:rPr>
          <w:i/>
        </w:rPr>
        <w:t>takes note</w:t>
      </w:r>
      <w:r w:rsidR="000B40C8" w:rsidRPr="00DF19B1">
        <w:t xml:space="preserve"> </w:t>
      </w:r>
      <w:r w:rsidR="000B40C8" w:rsidRPr="00D56AB6">
        <w:t>of</w:t>
      </w:r>
      <w:r w:rsidR="000B40C8" w:rsidRPr="004B17CA">
        <w:t xml:space="preserve"> </w:t>
      </w:r>
      <w:r w:rsidR="000B40C8" w:rsidRPr="00DF19B1">
        <w:t>the Adaptation Committee’s 2019, 2020 and 2021 reports;</w:t>
      </w:r>
      <w:r w:rsidR="000B40C8">
        <w:rPr>
          <w:rStyle w:val="FootnoteReference"/>
          <w:iCs/>
        </w:rPr>
        <w:footnoteReference w:id="7"/>
      </w:r>
    </w:p>
    <w:p w14:paraId="7CAA45F1" w14:textId="6689956F" w:rsidR="000B40C8" w:rsidRPr="00DF19B1" w:rsidRDefault="009E5AC3" w:rsidP="009E5AC3">
      <w:pPr>
        <w:pStyle w:val="RegSingleTxtG"/>
        <w:numPr>
          <w:ilvl w:val="0"/>
          <w:numId w:val="0"/>
        </w:numPr>
        <w:ind w:left="1134"/>
      </w:pPr>
      <w:r w:rsidRPr="00DF19B1">
        <w:t>2.</w:t>
      </w:r>
      <w:r w:rsidRPr="00DF19B1">
        <w:tab/>
      </w:r>
      <w:r w:rsidR="000B40C8" w:rsidRPr="00DF19B1">
        <w:rPr>
          <w:i/>
          <w:iCs/>
        </w:rPr>
        <w:tab/>
      </w:r>
      <w:r w:rsidR="004B17CA">
        <w:rPr>
          <w:i/>
          <w:iCs/>
        </w:rPr>
        <w:t>W</w:t>
      </w:r>
      <w:r w:rsidR="000B40C8" w:rsidRPr="00DF19B1">
        <w:rPr>
          <w:i/>
          <w:iCs/>
        </w:rPr>
        <w:t>elcomes</w:t>
      </w:r>
      <w:r w:rsidR="000B40C8" w:rsidRPr="00DF19B1">
        <w:t xml:space="preserve"> the technical support and guidance provided by the Adaptation Committee </w:t>
      </w:r>
      <w:r w:rsidR="000B40C8">
        <w:t>for</w:t>
      </w:r>
      <w:r w:rsidR="000B40C8" w:rsidRPr="00DF19B1">
        <w:t xml:space="preserve"> enhancing implementation of adaptation action and support and </w:t>
      </w:r>
      <w:r w:rsidR="000B40C8" w:rsidRPr="00DF19B1">
        <w:rPr>
          <w:i/>
          <w:iCs/>
        </w:rPr>
        <w:t>underlines</w:t>
      </w:r>
      <w:r w:rsidR="000B40C8" w:rsidRPr="00DF19B1">
        <w:t xml:space="preserve"> the importance of balanced</w:t>
      </w:r>
      <w:r w:rsidR="000B40C8" w:rsidRPr="00DF19B1" w:rsidDel="00EF3BFE">
        <w:t>,</w:t>
      </w:r>
      <w:r w:rsidR="000B40C8" w:rsidRPr="00DF19B1">
        <w:t xml:space="preserve"> clear </w:t>
      </w:r>
      <w:r w:rsidR="000B40C8" w:rsidRPr="00DF19B1" w:rsidDel="00EF3BFE">
        <w:t xml:space="preserve">and relevant </w:t>
      </w:r>
      <w:r w:rsidR="000B40C8" w:rsidRPr="00DF19B1">
        <w:t xml:space="preserve">recommendations for all workstream activities </w:t>
      </w:r>
      <w:r w:rsidR="000B40C8">
        <w:t>in</w:t>
      </w:r>
      <w:r w:rsidR="000B40C8" w:rsidRPr="00DF19B1">
        <w:t xml:space="preserve"> its workplans</w:t>
      </w:r>
      <w:r w:rsidR="000B40C8" w:rsidRPr="00DF19B1">
        <w:rPr>
          <w:iCs/>
        </w:rPr>
        <w:t>;</w:t>
      </w:r>
    </w:p>
    <w:p w14:paraId="2B4A197A" w14:textId="1B996377" w:rsidR="000B40C8" w:rsidRPr="00DF19B1" w:rsidRDefault="009E5AC3" w:rsidP="009E5AC3">
      <w:pPr>
        <w:pStyle w:val="RegSingleTxtG"/>
        <w:numPr>
          <w:ilvl w:val="0"/>
          <w:numId w:val="0"/>
        </w:numPr>
        <w:ind w:left="1134"/>
      </w:pPr>
      <w:r w:rsidRPr="00DF19B1">
        <w:t>3.</w:t>
      </w:r>
      <w:r w:rsidRPr="00DF19B1">
        <w:tab/>
      </w:r>
      <w:r w:rsidR="003505F9">
        <w:rPr>
          <w:i/>
        </w:rPr>
        <w:t>W</w:t>
      </w:r>
      <w:r w:rsidR="000B40C8" w:rsidRPr="00DF19B1">
        <w:rPr>
          <w:i/>
        </w:rPr>
        <w:t xml:space="preserve">elcomes </w:t>
      </w:r>
      <w:r w:rsidR="000B40C8" w:rsidRPr="00DF19B1">
        <w:rPr>
          <w:iCs/>
        </w:rPr>
        <w:t>the flexible workplan of the Adaptation Committee for 2022–2024;</w:t>
      </w:r>
      <w:r w:rsidR="000B40C8" w:rsidRPr="00DF19B1">
        <w:rPr>
          <w:rStyle w:val="FootnoteReference"/>
          <w:iCs/>
        </w:rPr>
        <w:footnoteReference w:id="8"/>
      </w:r>
    </w:p>
    <w:p w14:paraId="54C01896" w14:textId="296B7CA4" w:rsidR="000B40C8" w:rsidRPr="00DF19B1" w:rsidRDefault="009E5AC3" w:rsidP="009E5AC3">
      <w:pPr>
        <w:pStyle w:val="RegSingleTxtG"/>
        <w:numPr>
          <w:ilvl w:val="0"/>
          <w:numId w:val="0"/>
        </w:numPr>
        <w:ind w:left="1134"/>
      </w:pPr>
      <w:r w:rsidRPr="00DF19B1">
        <w:t>4.</w:t>
      </w:r>
      <w:r w:rsidRPr="00DF19B1">
        <w:tab/>
      </w:r>
      <w:r w:rsidR="000B40C8" w:rsidRPr="00DF19B1">
        <w:rPr>
          <w:i/>
        </w:rPr>
        <w:t>Invites</w:t>
      </w:r>
      <w:r w:rsidR="000B40C8" w:rsidRPr="00DF19B1">
        <w:t xml:space="preserve"> the Adaptation Committee to improve its efforts to measure the outreach of its events and publications by including, in its flexible workplan, the collection of statistics disaggregated by gender and region o</w:t>
      </w:r>
      <w:r w:rsidR="000B40C8">
        <w:t>n</w:t>
      </w:r>
      <w:r w:rsidR="000B40C8" w:rsidRPr="00DF19B1">
        <w:t xml:space="preserve"> its awareness-raising, outreach and information-sharing efforts such as events and publications;</w:t>
      </w:r>
    </w:p>
    <w:p w14:paraId="687C2654" w14:textId="3A249B6D" w:rsidR="000B40C8" w:rsidRPr="00DF19B1" w:rsidRDefault="009E5AC3" w:rsidP="009E5AC3">
      <w:pPr>
        <w:pStyle w:val="RegSingleTxtG"/>
        <w:numPr>
          <w:ilvl w:val="0"/>
          <w:numId w:val="0"/>
        </w:numPr>
        <w:ind w:left="1134"/>
      </w:pPr>
      <w:r w:rsidRPr="00DF19B1">
        <w:t>5.</w:t>
      </w:r>
      <w:r w:rsidRPr="00DF19B1">
        <w:tab/>
      </w:r>
      <w:r w:rsidR="000B40C8" w:rsidRPr="00DF19B1">
        <w:rPr>
          <w:i/>
          <w:iCs/>
        </w:rPr>
        <w:tab/>
        <w:t>Requests</w:t>
      </w:r>
      <w:r w:rsidR="000B40C8" w:rsidRPr="00DF19B1">
        <w:t xml:space="preserve"> the Adaptation Committee to resume holding its regular meetings and events in person while offering the option of virtual attendance to ensure inclusive participation, including by observers, while acknowledging the challenges posed by online participation;</w:t>
      </w:r>
    </w:p>
    <w:p w14:paraId="7DD75DAC" w14:textId="379DC1E7" w:rsidR="000B40C8" w:rsidRDefault="009E5AC3" w:rsidP="009E5AC3">
      <w:pPr>
        <w:pStyle w:val="RegSingleTxtG"/>
        <w:numPr>
          <w:ilvl w:val="0"/>
          <w:numId w:val="0"/>
        </w:numPr>
        <w:ind w:left="1134"/>
      </w:pPr>
      <w:r>
        <w:t>6.</w:t>
      </w:r>
      <w:r>
        <w:tab/>
      </w:r>
      <w:r w:rsidR="000B40C8">
        <w:rPr>
          <w:i/>
          <w:iCs/>
        </w:rPr>
        <w:t>Also r</w:t>
      </w:r>
      <w:r w:rsidR="000B40C8" w:rsidRPr="00DF19B1">
        <w:rPr>
          <w:i/>
          <w:iCs/>
        </w:rPr>
        <w:t>equests</w:t>
      </w:r>
      <w:r w:rsidR="000B40C8" w:rsidRPr="00DF19B1">
        <w:t xml:space="preserve"> the Adaptation Committee</w:t>
      </w:r>
      <w:r w:rsidR="000B40C8">
        <w:t>,</w:t>
      </w:r>
      <w:r w:rsidR="000B40C8" w:rsidRPr="00DF19B1">
        <w:t xml:space="preserve"> with the engagement of Working Group II of the Intergovernmental Panel on Climate Change, as appropriate, to expedite its work</w:t>
      </w:r>
      <w:r w:rsidR="000B40C8">
        <w:t>,</w:t>
      </w:r>
      <w:r w:rsidR="000B40C8" w:rsidRPr="00DF19B1" w:rsidDel="002F3955">
        <w:t xml:space="preserve"> </w:t>
      </w:r>
      <w:r w:rsidR="000B40C8" w:rsidRPr="00DF19B1">
        <w:t xml:space="preserve">to ensure delivery within </w:t>
      </w:r>
      <w:r w:rsidR="000B40C8">
        <w:t xml:space="preserve">the </w:t>
      </w:r>
      <w:r w:rsidR="000B40C8" w:rsidRPr="00DF19B1">
        <w:t>mandated timelines</w:t>
      </w:r>
      <w:r w:rsidR="000B40C8">
        <w:t>,</w:t>
      </w:r>
      <w:r w:rsidR="000B40C8" w:rsidRPr="00DF19B1">
        <w:t xml:space="preserve"> </w:t>
      </w:r>
      <w:r w:rsidR="000B40C8">
        <w:t>o</w:t>
      </w:r>
      <w:r w:rsidR="000B40C8" w:rsidRPr="00DF19B1">
        <w:t>n developing the draft supplementary guidance for voluntary use by Parties in communicating adaptation information in accordance with the elements contained in the annex to decision 9/CMA.1</w:t>
      </w:r>
      <w:r w:rsidR="000B40C8" w:rsidRPr="00DF19B1">
        <w:rPr>
          <w:rStyle w:val="FootnoteReference"/>
        </w:rPr>
        <w:footnoteReference w:id="9"/>
      </w:r>
      <w:r w:rsidR="000B40C8" w:rsidRPr="00DF19B1">
        <w:t xml:space="preserve"> and </w:t>
      </w:r>
      <w:r w:rsidR="000B40C8">
        <w:t>o</w:t>
      </w:r>
      <w:r w:rsidR="000B40C8" w:rsidRPr="00DF19B1">
        <w:t>n producing the technical paper on methodologies for assessing adaptation needs;</w:t>
      </w:r>
      <w:r w:rsidR="000B40C8" w:rsidRPr="00DF19B1">
        <w:rPr>
          <w:rStyle w:val="FootnoteReference"/>
        </w:rPr>
        <w:footnoteReference w:id="10"/>
      </w:r>
      <w:r w:rsidR="000B40C8" w:rsidRPr="00DF19B1">
        <w:t xml:space="preserve"> </w:t>
      </w:r>
    </w:p>
    <w:p w14:paraId="4A3184AC" w14:textId="47844026" w:rsidR="000B40C8" w:rsidRPr="00DF19B1" w:rsidRDefault="009E5AC3" w:rsidP="009E5AC3">
      <w:pPr>
        <w:pStyle w:val="RegSingleTxtG"/>
        <w:numPr>
          <w:ilvl w:val="0"/>
          <w:numId w:val="0"/>
        </w:numPr>
        <w:ind w:left="1134"/>
        <w:rPr>
          <w:rFonts w:eastAsia="Times New Roman"/>
          <w:i/>
          <w:iCs/>
          <w:color w:val="000000" w:themeColor="text1"/>
        </w:rPr>
      </w:pPr>
      <w:r w:rsidRPr="00DF19B1">
        <w:rPr>
          <w:rFonts w:eastAsia="Times New Roman"/>
          <w:iCs/>
          <w:color w:val="000000" w:themeColor="text1"/>
        </w:rPr>
        <w:t>7.</w:t>
      </w:r>
      <w:r w:rsidRPr="00DF19B1">
        <w:rPr>
          <w:rFonts w:eastAsia="Times New Roman"/>
          <w:iCs/>
          <w:color w:val="000000" w:themeColor="text1"/>
        </w:rPr>
        <w:tab/>
      </w:r>
      <w:r w:rsidR="000B40C8" w:rsidRPr="00DF19B1">
        <w:rPr>
          <w:rFonts w:eastAsia="Times New Roman"/>
          <w:i/>
          <w:iCs/>
        </w:rPr>
        <w:t>Encourages</w:t>
      </w:r>
      <w:r w:rsidR="000B40C8" w:rsidRPr="00DF19B1">
        <w:rPr>
          <w:rFonts w:eastAsia="Times New Roman"/>
        </w:rPr>
        <w:t xml:space="preserve"> Parties to make available sufficient resources for the successful and timely implementation of the </w:t>
      </w:r>
      <w:r w:rsidR="000B40C8" w:rsidRPr="000B40C8">
        <w:t>flexible</w:t>
      </w:r>
      <w:r w:rsidR="000B40C8" w:rsidRPr="00DF19B1">
        <w:rPr>
          <w:iCs/>
        </w:rPr>
        <w:t xml:space="preserve"> </w:t>
      </w:r>
      <w:r w:rsidR="000B40C8">
        <w:rPr>
          <w:rFonts w:eastAsia="Times New Roman"/>
        </w:rPr>
        <w:t xml:space="preserve">workplan </w:t>
      </w:r>
      <w:r w:rsidR="000B40C8" w:rsidRPr="00DF19B1">
        <w:rPr>
          <w:iCs/>
        </w:rPr>
        <w:t>of the Adaptation Committee for 2022–2024</w:t>
      </w:r>
      <w:r w:rsidR="000B40C8">
        <w:rPr>
          <w:rFonts w:eastAsia="Times New Roman"/>
        </w:rPr>
        <w:t>.</w:t>
      </w:r>
    </w:p>
    <w:p w14:paraId="4ED18030" w14:textId="67ED9229" w:rsidR="00B00A1C" w:rsidRDefault="00382975" w:rsidP="00B00A1C">
      <w:pPr>
        <w:spacing w:before="240"/>
        <w:ind w:left="1134" w:right="1134"/>
        <w:jc w:val="right"/>
        <w:rPr>
          <w:i/>
        </w:rPr>
        <w:sectPr w:rsidR="00B00A1C" w:rsidSect="00265564">
          <w:headerReference w:type="even" r:id="rId26"/>
          <w:headerReference w:type="default" r:id="rId27"/>
          <w:footerReference w:type="even" r:id="rId28"/>
          <w:footerReference w:type="default" r:id="rId29"/>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00B00A1C" w:rsidRPr="006C7D6D">
        <w:rPr>
          <w:i/>
        </w:rPr>
        <w:t>plenary meeting</w:t>
      </w:r>
      <w:r w:rsidR="00B00A1C" w:rsidRPr="006C7D6D">
        <w:rPr>
          <w:i/>
        </w:rPr>
        <w:br/>
      </w:r>
      <w:r>
        <w:rPr>
          <w:i/>
        </w:rPr>
        <w:t>13</w:t>
      </w:r>
      <w:r w:rsidR="00B00A1C" w:rsidRPr="006C7D6D">
        <w:rPr>
          <w:i/>
        </w:rPr>
        <w:t xml:space="preserve"> November 2021</w:t>
      </w:r>
    </w:p>
    <w:p w14:paraId="4A5FB1ED" w14:textId="30DEC6A4" w:rsidR="00382975" w:rsidRDefault="00382975" w:rsidP="009E5AC3">
      <w:pPr>
        <w:pStyle w:val="RegHChG"/>
        <w:numPr>
          <w:ilvl w:val="0"/>
          <w:numId w:val="0"/>
        </w:numPr>
        <w:spacing w:before="120"/>
        <w:ind w:left="1134" w:hanging="454"/>
      </w:pPr>
      <w:bookmarkStart w:id="12" w:name="Decision9"/>
      <w:r>
        <w:lastRenderedPageBreak/>
        <w:t xml:space="preserve">Decision </w:t>
      </w:r>
      <w:r w:rsidR="003127A7">
        <w:t>9</w:t>
      </w:r>
      <w:r>
        <w:t>/CMA.3</w:t>
      </w:r>
    </w:p>
    <w:bookmarkEnd w:id="12"/>
    <w:p w14:paraId="5439A3AC" w14:textId="17011879" w:rsidR="00382975" w:rsidRPr="00820826" w:rsidRDefault="00820826" w:rsidP="009E5AC3">
      <w:pPr>
        <w:pStyle w:val="RegHChG"/>
        <w:numPr>
          <w:ilvl w:val="0"/>
          <w:numId w:val="0"/>
        </w:numPr>
        <w:ind w:left="1135" w:hanging="454"/>
      </w:pPr>
      <w:r w:rsidRPr="00820826">
        <w:t>New</w:t>
      </w:r>
      <w:r>
        <w:t xml:space="preserve"> collective quantified goal on climate finance</w:t>
      </w:r>
    </w:p>
    <w:p w14:paraId="59AE63EF" w14:textId="77777777" w:rsidR="000C6D98" w:rsidRPr="006A2378" w:rsidRDefault="000C6D98" w:rsidP="000C6D98">
      <w:pPr>
        <w:pStyle w:val="RegSingleTxtG"/>
        <w:numPr>
          <w:ilvl w:val="0"/>
          <w:numId w:val="0"/>
        </w:numPr>
        <w:tabs>
          <w:tab w:val="clear" w:pos="1701"/>
          <w:tab w:val="left" w:pos="1134"/>
        </w:tabs>
        <w:ind w:left="1134" w:right="1133" w:firstLine="567"/>
      </w:pPr>
      <w:r w:rsidRPr="006A2378" w:rsidDel="00673F06">
        <w:rPr>
          <w:i/>
          <w:color w:val="000000"/>
        </w:rPr>
        <w:t>The</w:t>
      </w:r>
      <w:r w:rsidRPr="006A2378" w:rsidDel="00673F06">
        <w:rPr>
          <w:i/>
        </w:rPr>
        <w:t xml:space="preserve"> Conference of the Parties serving as the meeting of the Parties to the Paris Agreement</w:t>
      </w:r>
      <w:r w:rsidRPr="00C02919">
        <w:rPr>
          <w:iCs/>
        </w:rPr>
        <w:t>,</w:t>
      </w:r>
    </w:p>
    <w:p w14:paraId="123CA843" w14:textId="244EF663" w:rsidR="000C6D98" w:rsidRPr="006A2378" w:rsidRDefault="000C6D98" w:rsidP="000C6D98">
      <w:pPr>
        <w:pStyle w:val="ListParagraph"/>
        <w:tabs>
          <w:tab w:val="left" w:pos="1701"/>
        </w:tabs>
        <w:spacing w:after="120"/>
        <w:ind w:left="1135" w:right="1134"/>
        <w:jc w:val="both"/>
      </w:pPr>
      <w:r w:rsidRPr="006A2378">
        <w:rPr>
          <w:i/>
          <w:iCs/>
        </w:rPr>
        <w:tab/>
        <w:t>Recalling</w:t>
      </w:r>
      <w:r w:rsidRPr="006A2378">
        <w:t xml:space="preserve"> decision</w:t>
      </w:r>
      <w:r w:rsidR="00845661">
        <w:t>s</w:t>
      </w:r>
      <w:r w:rsidRPr="006A2378">
        <w:t xml:space="preserve"> 1/CP.21, paragraph 53,</w:t>
      </w:r>
      <w:r>
        <w:t xml:space="preserve"> and </w:t>
      </w:r>
      <w:r w:rsidRPr="006A2378">
        <w:t>14/CMA.1</w:t>
      </w:r>
      <w:r>
        <w:t>,</w:t>
      </w:r>
    </w:p>
    <w:p w14:paraId="3C0FBD0D" w14:textId="47955900" w:rsidR="000C6D98" w:rsidRPr="006A2378" w:rsidRDefault="009E5AC3" w:rsidP="009E5AC3">
      <w:pPr>
        <w:pStyle w:val="RegSingleTxtG"/>
        <w:numPr>
          <w:ilvl w:val="0"/>
          <w:numId w:val="0"/>
        </w:numPr>
        <w:ind w:left="1134"/>
      </w:pPr>
      <w:r w:rsidRPr="006A2378">
        <w:t>1.</w:t>
      </w:r>
      <w:r w:rsidRPr="006A2378">
        <w:tab/>
      </w:r>
      <w:r w:rsidR="000C6D98" w:rsidRPr="00EB2DD7">
        <w:rPr>
          <w:i/>
          <w:iCs/>
        </w:rPr>
        <w:t xml:space="preserve">Decides </w:t>
      </w:r>
      <w:r w:rsidR="000C6D98" w:rsidRPr="00E565EF">
        <w:t>to initiate</w:t>
      </w:r>
      <w:r w:rsidR="000C6D98" w:rsidRPr="00C571AC">
        <w:t xml:space="preserve"> </w:t>
      </w:r>
      <w:r w:rsidR="000C6D98" w:rsidRPr="006A2378">
        <w:t>the deliberations on setting a new collective quantified goal and to conduct the deliberations in an open, inclusive and transparent manner</w:t>
      </w:r>
      <w:r w:rsidR="000C6D98">
        <w:t>, ensuring participatory representativeness</w:t>
      </w:r>
      <w:r w:rsidR="000C6D98" w:rsidRPr="006A2378">
        <w:t xml:space="preserve">; </w:t>
      </w:r>
    </w:p>
    <w:p w14:paraId="42D463BB" w14:textId="362514A2" w:rsidR="000C6D98" w:rsidRPr="006A2378" w:rsidRDefault="009E5AC3" w:rsidP="009E5AC3">
      <w:pPr>
        <w:pStyle w:val="RegSingleTxtG"/>
        <w:numPr>
          <w:ilvl w:val="0"/>
          <w:numId w:val="0"/>
        </w:numPr>
        <w:ind w:left="1134"/>
      </w:pPr>
      <w:r w:rsidRPr="006A2378">
        <w:t>2.</w:t>
      </w:r>
      <w:r w:rsidRPr="006A2378">
        <w:tab/>
      </w:r>
      <w:r w:rsidR="000C6D98" w:rsidRPr="006A2378">
        <w:rPr>
          <w:i/>
          <w:iCs/>
        </w:rPr>
        <w:t>Recognizes</w:t>
      </w:r>
      <w:r w:rsidR="000C6D98" w:rsidRPr="006A2378">
        <w:t xml:space="preserve"> that the deliberations on the new collective quantified goal will be cyclical in nature, with the political deliberations providing guidance to the technical work to be conducted and the technical work informing the political deliberations;</w:t>
      </w:r>
    </w:p>
    <w:p w14:paraId="6902C5C3" w14:textId="365D58D1" w:rsidR="000C6D98" w:rsidRPr="00906257" w:rsidRDefault="009E5AC3" w:rsidP="009E5AC3">
      <w:pPr>
        <w:pStyle w:val="RegSingleTxtG"/>
        <w:numPr>
          <w:ilvl w:val="0"/>
          <w:numId w:val="0"/>
        </w:numPr>
        <w:ind w:left="1134"/>
      </w:pPr>
      <w:r w:rsidRPr="00906257">
        <w:t>3.</w:t>
      </w:r>
      <w:r w:rsidRPr="00906257">
        <w:tab/>
      </w:r>
      <w:r w:rsidR="000C6D98" w:rsidRPr="00906257">
        <w:rPr>
          <w:i/>
          <w:iCs/>
        </w:rPr>
        <w:t>Decides</w:t>
      </w:r>
      <w:r w:rsidR="000C6D98" w:rsidRPr="00906257">
        <w:t xml:space="preserve"> to establish an ad hoc work programme f</w:t>
      </w:r>
      <w:r w:rsidR="001F26D2">
        <w:t>or</w:t>
      </w:r>
      <w:r w:rsidR="000C6D98" w:rsidRPr="00906257">
        <w:t xml:space="preserve"> 2022</w:t>
      </w:r>
      <w:r w:rsidR="001F26D2">
        <w:t>–</w:t>
      </w:r>
      <w:r w:rsidR="000C6D98" w:rsidRPr="00906257">
        <w:t>2024</w:t>
      </w:r>
      <w:r w:rsidR="000C6D98">
        <w:t xml:space="preserve"> </w:t>
      </w:r>
      <w:r w:rsidR="000C6D98" w:rsidRPr="00906257">
        <w:t xml:space="preserve">under the </w:t>
      </w:r>
      <w:r w:rsidR="000C6D98">
        <w:t>Conference of the Parties serving as the meeting of the Parties to the Paris Agreement (hereinafter referred to as the ad hoc work programme)</w:t>
      </w:r>
      <w:r w:rsidR="000C6D98" w:rsidRPr="00906257">
        <w:t>, to be facilitated by co-chairs, one from a developed country and one from a developing country, appointed</w:t>
      </w:r>
      <w:r w:rsidR="000C6D98">
        <w:t>,</w:t>
      </w:r>
      <w:r w:rsidR="000C6D98" w:rsidRPr="00906257">
        <w:t xml:space="preserve"> </w:t>
      </w:r>
      <w:r w:rsidR="000C6D98" w:rsidRPr="006A5547">
        <w:t>in consultation with the respective constituencies</w:t>
      </w:r>
      <w:r w:rsidR="000C6D98">
        <w:t>,</w:t>
      </w:r>
      <w:r w:rsidR="000C6D98" w:rsidRPr="00906257">
        <w:t xml:space="preserve"> by the President of the Conference of the Parties</w:t>
      </w:r>
      <w:r w:rsidR="000C6D98">
        <w:t xml:space="preserve"> serving as the meeting of the Parties to the Paris Agreement at its third, fourth (November 2022) and fifth (November 2023) sessions, respectively</w:t>
      </w:r>
      <w:r w:rsidR="000C6D98" w:rsidRPr="00906257">
        <w:t>;</w:t>
      </w:r>
    </w:p>
    <w:p w14:paraId="2A69B8F6" w14:textId="0324D072" w:rsidR="000C6D98" w:rsidRPr="00906257" w:rsidRDefault="009E5AC3" w:rsidP="009E5AC3">
      <w:pPr>
        <w:pStyle w:val="RegSingleTxtG"/>
        <w:numPr>
          <w:ilvl w:val="0"/>
          <w:numId w:val="0"/>
        </w:numPr>
        <w:ind w:left="1134"/>
      </w:pPr>
      <w:r w:rsidRPr="00906257">
        <w:t>4.</w:t>
      </w:r>
      <w:r w:rsidRPr="00906257">
        <w:tab/>
      </w:r>
      <w:r w:rsidR="000C6D98">
        <w:rPr>
          <w:i/>
          <w:iCs/>
        </w:rPr>
        <w:t xml:space="preserve">Requests </w:t>
      </w:r>
      <w:r w:rsidR="000C6D98" w:rsidRPr="00E565EF">
        <w:t>the co-chairs of the ad hoc work programme to</w:t>
      </w:r>
      <w:r w:rsidR="000C6D98" w:rsidRPr="00C571AC">
        <w:t xml:space="preserve"> </w:t>
      </w:r>
      <w:r w:rsidR="000C6D98" w:rsidRPr="00906257">
        <w:t>maintain regular consultations with the constituted bodies, in particular the Standing Committee on Finance, as well as United Nations agencies, climate finance experts, academi</w:t>
      </w:r>
      <w:r w:rsidR="000C6D98">
        <w:t>a,</w:t>
      </w:r>
      <w:r w:rsidR="000C6D98" w:rsidRPr="00906257">
        <w:t xml:space="preserve"> </w:t>
      </w:r>
      <w:r w:rsidR="00FB67A5">
        <w:t xml:space="preserve">and </w:t>
      </w:r>
      <w:r w:rsidR="000C6D98" w:rsidRPr="00906257">
        <w:t>private sector and civil society actors</w:t>
      </w:r>
      <w:r w:rsidR="000C6D98">
        <w:t xml:space="preserve"> with a view to informing the work programme</w:t>
      </w:r>
      <w:r w:rsidR="000C6D98" w:rsidRPr="00906257">
        <w:t>;</w:t>
      </w:r>
    </w:p>
    <w:p w14:paraId="34E97728" w14:textId="4FDD9834" w:rsidR="000C6D98" w:rsidRPr="00906257" w:rsidRDefault="009E5AC3" w:rsidP="009E5AC3">
      <w:pPr>
        <w:pStyle w:val="RegSingleTxtG"/>
        <w:numPr>
          <w:ilvl w:val="0"/>
          <w:numId w:val="0"/>
        </w:numPr>
        <w:ind w:left="1134"/>
      </w:pPr>
      <w:r w:rsidRPr="00906257">
        <w:t>5.</w:t>
      </w:r>
      <w:r w:rsidRPr="00906257">
        <w:tab/>
      </w:r>
      <w:r w:rsidR="000C6D98">
        <w:rPr>
          <w:i/>
          <w:iCs/>
        </w:rPr>
        <w:t>D</w:t>
      </w:r>
      <w:r w:rsidR="000C6D98" w:rsidRPr="00906257">
        <w:rPr>
          <w:i/>
          <w:iCs/>
        </w:rPr>
        <w:t>ecides</w:t>
      </w:r>
      <w:r w:rsidR="000C6D98" w:rsidRPr="00906257">
        <w:t xml:space="preserve"> to conduct four technical expert dialogues per year as part of the ad hoc work programme</w:t>
      </w:r>
      <w:r w:rsidR="000C6D98">
        <w:t>, with one of these dialogues to be held in conjunction with the first regular session of the subsidiary bodies for the year and one to be held in conjunction with the session of the Conference of the Parties serving as the meeting of the Parties to the Paris Agreement, and the two remaining dialogues to be organized in separate regions with a view to facilitating inclusive and balanced geographical participation</w:t>
      </w:r>
      <w:r w:rsidR="000C6D98" w:rsidRPr="00906257">
        <w:t>;</w:t>
      </w:r>
    </w:p>
    <w:p w14:paraId="7B8CFF70" w14:textId="28D6B4AA" w:rsidR="000C6D98" w:rsidRPr="00906257" w:rsidRDefault="009E5AC3" w:rsidP="009E5AC3">
      <w:pPr>
        <w:pStyle w:val="RegSingleTxtG"/>
        <w:numPr>
          <w:ilvl w:val="0"/>
          <w:numId w:val="0"/>
        </w:numPr>
        <w:ind w:left="1134"/>
      </w:pPr>
      <w:r w:rsidRPr="00906257">
        <w:t>6.</w:t>
      </w:r>
      <w:r w:rsidRPr="00906257">
        <w:tab/>
      </w:r>
      <w:r w:rsidR="000C6D98" w:rsidRPr="00906257">
        <w:rPr>
          <w:i/>
          <w:iCs/>
        </w:rPr>
        <w:t xml:space="preserve">Requests </w:t>
      </w:r>
      <w:r w:rsidR="000C6D98" w:rsidRPr="00906257">
        <w:t xml:space="preserve">the co-chairs of the </w:t>
      </w:r>
      <w:r w:rsidR="000C6D98">
        <w:t xml:space="preserve">ad hoc </w:t>
      </w:r>
      <w:r w:rsidR="000C6D98" w:rsidRPr="00906257">
        <w:t>work programme to organiz</w:t>
      </w:r>
      <w:r w:rsidR="000C6D98">
        <w:t>e</w:t>
      </w:r>
      <w:r w:rsidR="000C6D98" w:rsidRPr="00906257">
        <w:t xml:space="preserve"> the technical expert dialogues </w:t>
      </w:r>
      <w:r w:rsidR="000C6D98">
        <w:t xml:space="preserve">referred to in paragraph 5 above </w:t>
      </w:r>
      <w:r w:rsidR="000C6D98" w:rsidRPr="00906257">
        <w:t xml:space="preserve">on the </w:t>
      </w:r>
      <w:r w:rsidR="000C6D98">
        <w:t xml:space="preserve">basis of the </w:t>
      </w:r>
      <w:r w:rsidR="000C6D98" w:rsidRPr="00906257">
        <w:t xml:space="preserve">submissions referred to in paragraphs </w:t>
      </w:r>
      <w:r w:rsidR="000C6D98">
        <w:t>1</w:t>
      </w:r>
      <w:r w:rsidR="000C6D98" w:rsidRPr="00906257">
        <w:t>7–</w:t>
      </w:r>
      <w:r w:rsidR="000C6D98">
        <w:t>1</w:t>
      </w:r>
      <w:r w:rsidR="000C6D98" w:rsidRPr="00906257">
        <w:t>8 below</w:t>
      </w:r>
      <w:r w:rsidR="000C6D98">
        <w:t>, and to allow sufficient time for the technical expert dialogues to make substantive progress;</w:t>
      </w:r>
      <w:r w:rsidR="000C6D98" w:rsidRPr="00906257">
        <w:t xml:space="preserve"> </w:t>
      </w:r>
    </w:p>
    <w:p w14:paraId="6B305795" w14:textId="1BBFD18C" w:rsidR="000C6D98" w:rsidRPr="00906257" w:rsidRDefault="009E5AC3" w:rsidP="009E5AC3">
      <w:pPr>
        <w:pStyle w:val="RegSingleTxtG"/>
        <w:numPr>
          <w:ilvl w:val="0"/>
          <w:numId w:val="0"/>
        </w:numPr>
        <w:ind w:left="1134"/>
      </w:pPr>
      <w:r w:rsidRPr="00906257">
        <w:t>7.</w:t>
      </w:r>
      <w:r w:rsidRPr="00906257">
        <w:tab/>
      </w:r>
      <w:r w:rsidR="000C6D98">
        <w:rPr>
          <w:i/>
          <w:iCs/>
        </w:rPr>
        <w:t>Also</w:t>
      </w:r>
      <w:r w:rsidR="000C6D98" w:rsidRPr="00906257">
        <w:rPr>
          <w:i/>
          <w:iCs/>
        </w:rPr>
        <w:t xml:space="preserve"> requests </w:t>
      </w:r>
      <w:r w:rsidR="000C6D98" w:rsidRPr="00906257">
        <w:t xml:space="preserve">the co-chairs </w:t>
      </w:r>
      <w:r w:rsidR="000C6D98">
        <w:t>of the ad hoc work programme</w:t>
      </w:r>
      <w:r w:rsidR="000C6D98" w:rsidRPr="00906257">
        <w:t xml:space="preserve"> to initiate preparations for organiz</w:t>
      </w:r>
      <w:r w:rsidR="000C6D98">
        <w:t>ing</w:t>
      </w:r>
      <w:r w:rsidR="000C6D98" w:rsidRPr="00906257">
        <w:t xml:space="preserve"> the technical expert dialogue</w:t>
      </w:r>
      <w:r w:rsidR="000C6D98">
        <w:t xml:space="preserve">s </w:t>
      </w:r>
      <w:r w:rsidR="000C6D98" w:rsidRPr="005B0849">
        <w:t>referred to in paragraph 5 above</w:t>
      </w:r>
      <w:r w:rsidR="000C6D98" w:rsidRPr="00906257">
        <w:t xml:space="preserve"> t</w:t>
      </w:r>
      <w:r w:rsidR="000C6D98">
        <w:t xml:space="preserve">aking </w:t>
      </w:r>
      <w:r w:rsidR="000C6D98" w:rsidRPr="00906257">
        <w:t xml:space="preserve">into consideration the matters referred to in paragraph </w:t>
      </w:r>
      <w:r w:rsidR="000C6D98">
        <w:t>16</w:t>
      </w:r>
      <w:r w:rsidR="000C6D98" w:rsidRPr="00906257">
        <w:t xml:space="preserve"> below;</w:t>
      </w:r>
    </w:p>
    <w:p w14:paraId="389CDE8C" w14:textId="228D248C" w:rsidR="000C6D98" w:rsidRPr="00906257" w:rsidRDefault="009E5AC3" w:rsidP="009E5AC3">
      <w:pPr>
        <w:pStyle w:val="RegSingleTxtG"/>
        <w:numPr>
          <w:ilvl w:val="0"/>
          <w:numId w:val="0"/>
        </w:numPr>
        <w:ind w:left="1134"/>
      </w:pPr>
      <w:r w:rsidRPr="00906257">
        <w:t>8.</w:t>
      </w:r>
      <w:r w:rsidRPr="00906257">
        <w:tab/>
      </w:r>
      <w:r w:rsidR="000C6D98" w:rsidRPr="00906257">
        <w:rPr>
          <w:i/>
          <w:iCs/>
        </w:rPr>
        <w:t>Further requests</w:t>
      </w:r>
      <w:r w:rsidR="000C6D98" w:rsidRPr="00906257">
        <w:t xml:space="preserve"> the secretariat, in organizing the technical expert dialogues referred to in paragraph </w:t>
      </w:r>
      <w:r w:rsidR="000C6D98">
        <w:t>5</w:t>
      </w:r>
      <w:r w:rsidR="000C6D98" w:rsidRPr="00906257">
        <w:t xml:space="preserve"> above, to ensure the participation of all interested Parties, </w:t>
      </w:r>
      <w:r w:rsidR="000C6D98">
        <w:t>academia,</w:t>
      </w:r>
      <w:r w:rsidR="000C6D98" w:rsidRPr="00906257">
        <w:t xml:space="preserve"> civil society</w:t>
      </w:r>
      <w:r w:rsidR="000C6D98">
        <w:t xml:space="preserve"> actors</w:t>
      </w:r>
      <w:r w:rsidR="000C6D98" w:rsidRPr="00906257">
        <w:t>, including youth, and private sector</w:t>
      </w:r>
      <w:r w:rsidR="000C6D98">
        <w:t xml:space="preserve"> actors</w:t>
      </w:r>
      <w:r w:rsidR="000C6D98" w:rsidRPr="00906257">
        <w:t>, and that all meetings are open to observers and webcast;</w:t>
      </w:r>
    </w:p>
    <w:p w14:paraId="75127E97" w14:textId="4D968585" w:rsidR="000C6D98" w:rsidRPr="00906257" w:rsidRDefault="009E5AC3" w:rsidP="009E5AC3">
      <w:pPr>
        <w:pStyle w:val="RegSingleTxtG"/>
        <w:numPr>
          <w:ilvl w:val="0"/>
          <w:numId w:val="0"/>
        </w:numPr>
        <w:ind w:left="1134"/>
      </w:pPr>
      <w:r w:rsidRPr="00906257">
        <w:t>9.</w:t>
      </w:r>
      <w:r w:rsidRPr="00906257">
        <w:tab/>
      </w:r>
      <w:r w:rsidR="000C6D98" w:rsidRPr="00906257">
        <w:rPr>
          <w:i/>
          <w:iCs/>
        </w:rPr>
        <w:t>Requests</w:t>
      </w:r>
      <w:r w:rsidR="000C6D98" w:rsidRPr="00906257">
        <w:t xml:space="preserve"> the co-chairs </w:t>
      </w:r>
      <w:r w:rsidR="000C6D98">
        <w:t xml:space="preserve">of the ad hoc work programme </w:t>
      </w:r>
      <w:r w:rsidR="000C6D98" w:rsidRPr="00906257">
        <w:t>to prepare a</w:t>
      </w:r>
      <w:r w:rsidR="000C6D98">
        <w:t>n annual</w:t>
      </w:r>
      <w:r w:rsidR="000C6D98" w:rsidRPr="00906257">
        <w:t xml:space="preserve"> report on the work conducted</w:t>
      </w:r>
      <w:r w:rsidR="000C6D98">
        <w:t xml:space="preserve"> under</w:t>
      </w:r>
      <w:r w:rsidR="000C6D98" w:rsidRPr="00906257">
        <w:t xml:space="preserve"> th</w:t>
      </w:r>
      <w:r w:rsidR="000C6D98">
        <w:t>at</w:t>
      </w:r>
      <w:r w:rsidR="000C6D98" w:rsidRPr="00906257">
        <w:t xml:space="preserve"> work programme</w:t>
      </w:r>
      <w:r w:rsidR="000C6D98">
        <w:t xml:space="preserve">, </w:t>
      </w:r>
      <w:r w:rsidR="000C6D98" w:rsidRPr="00906257">
        <w:t xml:space="preserve">including a summary </w:t>
      </w:r>
      <w:r w:rsidR="000C6D98">
        <w:t>and key findings of</w:t>
      </w:r>
      <w:r w:rsidR="000C6D98" w:rsidRPr="00906257">
        <w:t xml:space="preserve"> the technical expert dialogues referred to in paragraph </w:t>
      </w:r>
      <w:r w:rsidR="000C6D98">
        <w:t>5</w:t>
      </w:r>
      <w:r w:rsidR="000C6D98" w:rsidRPr="00906257">
        <w:t xml:space="preserve"> above</w:t>
      </w:r>
      <w:r w:rsidR="000C6D98">
        <w:t>,</w:t>
      </w:r>
      <w:r w:rsidR="000C6D98" w:rsidRPr="00906257">
        <w:t xml:space="preserve"> for consideration by the </w:t>
      </w:r>
      <w:r w:rsidR="000C6D98" w:rsidRPr="001A53EB">
        <w:t>Conference of the Parties serving as the meeting of the Parties to the Paris Agreement</w:t>
      </w:r>
      <w:r w:rsidR="000C6D98" w:rsidRPr="00906257">
        <w:t>;</w:t>
      </w:r>
    </w:p>
    <w:p w14:paraId="618F6FF9" w14:textId="5EA7272B" w:rsidR="000C6D98" w:rsidRPr="00906257" w:rsidRDefault="009E5AC3" w:rsidP="009E5AC3">
      <w:pPr>
        <w:pStyle w:val="RegSingleTxtG"/>
        <w:numPr>
          <w:ilvl w:val="0"/>
          <w:numId w:val="0"/>
        </w:numPr>
        <w:ind w:left="1134"/>
      </w:pPr>
      <w:r w:rsidRPr="00906257">
        <w:t>10.</w:t>
      </w:r>
      <w:r w:rsidRPr="00906257">
        <w:tab/>
      </w:r>
      <w:r w:rsidR="000C6D98" w:rsidRPr="00906257">
        <w:rPr>
          <w:i/>
          <w:iCs/>
        </w:rPr>
        <w:t>Decides</w:t>
      </w:r>
      <w:r w:rsidR="000C6D98" w:rsidRPr="00906257">
        <w:t xml:space="preserve"> to convene high-level ministerial dialogues starting in 2022 and ending in 2024, ensuring effective political engagement and open, meaningful and robust discussion, to be informed by the reports o</w:t>
      </w:r>
      <w:r w:rsidR="001B3381">
        <w:t>n</w:t>
      </w:r>
      <w:r w:rsidR="000C6D98" w:rsidRPr="00906257">
        <w:t xml:space="preserve"> the technical expert dialogues referred to in paragraph </w:t>
      </w:r>
      <w:r w:rsidR="000C6D98">
        <w:t>5</w:t>
      </w:r>
      <w:r w:rsidR="000C6D98" w:rsidRPr="00906257">
        <w:t xml:space="preserve"> above and the submissions referred to in paragraphs </w:t>
      </w:r>
      <w:r w:rsidR="000C6D98">
        <w:t>1</w:t>
      </w:r>
      <w:r w:rsidR="000C6D98" w:rsidRPr="00906257">
        <w:t>7–</w:t>
      </w:r>
      <w:r w:rsidR="000C6D98">
        <w:t>1</w:t>
      </w:r>
      <w:r w:rsidR="000C6D98" w:rsidRPr="00906257">
        <w:t>8 below, with a view to providing</w:t>
      </w:r>
      <w:r w:rsidR="000C6D98">
        <w:t xml:space="preserve"> guidance </w:t>
      </w:r>
      <w:r w:rsidR="000C6D98" w:rsidRPr="00906257">
        <w:t xml:space="preserve">on the further direction </w:t>
      </w:r>
      <w:r w:rsidR="000C6D98">
        <w:t>of</w:t>
      </w:r>
      <w:r w:rsidR="000C6D98" w:rsidRPr="00906257">
        <w:t xml:space="preserve"> the ad hoc work programme </w:t>
      </w:r>
      <w:r w:rsidR="000C6D98">
        <w:t>for</w:t>
      </w:r>
      <w:r w:rsidR="000C6D98" w:rsidRPr="00906257">
        <w:t xml:space="preserve"> the </w:t>
      </w:r>
      <w:r w:rsidR="000C6D98">
        <w:t>following</w:t>
      </w:r>
      <w:r w:rsidR="000C6D98" w:rsidRPr="00906257">
        <w:t xml:space="preserve"> year;</w:t>
      </w:r>
    </w:p>
    <w:p w14:paraId="56C78CE1" w14:textId="2F0B46C8" w:rsidR="000C6D98" w:rsidRPr="00906257" w:rsidRDefault="009E5AC3" w:rsidP="009E5AC3">
      <w:pPr>
        <w:pStyle w:val="RegSingleTxtG"/>
        <w:numPr>
          <w:ilvl w:val="0"/>
          <w:numId w:val="0"/>
        </w:numPr>
        <w:ind w:left="1134"/>
      </w:pPr>
      <w:r w:rsidRPr="00906257">
        <w:t>11.</w:t>
      </w:r>
      <w:r w:rsidRPr="00906257">
        <w:tab/>
      </w:r>
      <w:r w:rsidR="000C6D98" w:rsidRPr="00906257">
        <w:rPr>
          <w:i/>
          <w:iCs/>
        </w:rPr>
        <w:t>Requests</w:t>
      </w:r>
      <w:r w:rsidR="000C6D98" w:rsidRPr="00906257">
        <w:t xml:space="preserve"> the Presiden</w:t>
      </w:r>
      <w:r w:rsidR="000C6D98">
        <w:t>t</w:t>
      </w:r>
      <w:r w:rsidR="000C6D98" w:rsidRPr="00906257">
        <w:t xml:space="preserve"> of the Conference of the Parties to prepare a summary of the deliberations </w:t>
      </w:r>
      <w:r w:rsidR="000C6D98">
        <w:t>at</w:t>
      </w:r>
      <w:r w:rsidR="000C6D98" w:rsidRPr="00906257">
        <w:t xml:space="preserve"> the high-level ministerial dialogues</w:t>
      </w:r>
      <w:r w:rsidR="000C6D98">
        <w:t xml:space="preserve"> referred to in paragraph 10 above</w:t>
      </w:r>
      <w:r w:rsidR="000C6D98" w:rsidRPr="00906257">
        <w:t xml:space="preserve">, </w:t>
      </w:r>
      <w:r w:rsidR="000C6D98" w:rsidRPr="00906257">
        <w:lastRenderedPageBreak/>
        <w:t xml:space="preserve">including recommendations, for consideration by the </w:t>
      </w:r>
      <w:r w:rsidR="000C6D98" w:rsidRPr="007F4AB3">
        <w:t xml:space="preserve">Conference of the Parties serving as the meeting of the Parties to the Paris Agreement </w:t>
      </w:r>
      <w:r w:rsidR="000C6D98" w:rsidRPr="00906257">
        <w:t xml:space="preserve">at </w:t>
      </w:r>
      <w:r w:rsidR="000C6D98" w:rsidRPr="00C571AC">
        <w:t>that</w:t>
      </w:r>
      <w:r w:rsidR="000C6D98" w:rsidRPr="00906257">
        <w:t xml:space="preserve"> session;</w:t>
      </w:r>
    </w:p>
    <w:p w14:paraId="40748362" w14:textId="34D6C9DF" w:rsidR="000C6D98" w:rsidRPr="00906257" w:rsidRDefault="009E5AC3" w:rsidP="009E5AC3">
      <w:pPr>
        <w:pStyle w:val="RegSingleTxtG"/>
        <w:numPr>
          <w:ilvl w:val="0"/>
          <w:numId w:val="0"/>
        </w:numPr>
        <w:ind w:left="1134"/>
      </w:pPr>
      <w:r w:rsidRPr="00906257">
        <w:t>12.</w:t>
      </w:r>
      <w:r w:rsidRPr="00906257">
        <w:tab/>
      </w:r>
      <w:r w:rsidR="000C6D98" w:rsidRPr="00906257">
        <w:rPr>
          <w:i/>
          <w:iCs/>
        </w:rPr>
        <w:t>Decides</w:t>
      </w:r>
      <w:r w:rsidR="000C6D98" w:rsidRPr="00906257">
        <w:t xml:space="preserve"> to continue its deliberations on setting a new collective quantified goal at its fourth, fifth and sixth session</w:t>
      </w:r>
      <w:r w:rsidR="000C6D98">
        <w:t>s</w:t>
      </w:r>
      <w:r w:rsidR="000C6D98" w:rsidRPr="00906257">
        <w:t>, taking stock o</w:t>
      </w:r>
      <w:r w:rsidR="000C6D98">
        <w:t>f</w:t>
      </w:r>
      <w:r w:rsidR="000C6D98" w:rsidRPr="00906257">
        <w:t xml:space="preserve"> the progress made and providing further guidance on the </w:t>
      </w:r>
      <w:r w:rsidR="000C6D98">
        <w:t xml:space="preserve">ad hoc </w:t>
      </w:r>
      <w:r w:rsidR="000C6D98" w:rsidRPr="00906257">
        <w:t xml:space="preserve">work </w:t>
      </w:r>
      <w:r w:rsidR="000C6D98">
        <w:t>programme</w:t>
      </w:r>
      <w:r w:rsidR="000C6D98" w:rsidRPr="00906257">
        <w:t xml:space="preserve">, taking into consideration the </w:t>
      </w:r>
      <w:r w:rsidR="000C6D98">
        <w:t xml:space="preserve">annual </w:t>
      </w:r>
      <w:r w:rsidR="000C6D98" w:rsidRPr="00906257">
        <w:t xml:space="preserve">reports of the co-chairs of the </w:t>
      </w:r>
      <w:r w:rsidR="000C6D98">
        <w:t xml:space="preserve">ad hoc </w:t>
      </w:r>
      <w:r w:rsidR="000C6D98" w:rsidRPr="00906257">
        <w:t xml:space="preserve">work programme </w:t>
      </w:r>
      <w:r w:rsidR="000C6D98">
        <w:t xml:space="preserve">referred to in paragraph 9 above, including the key findings contained therein, </w:t>
      </w:r>
      <w:r w:rsidR="000C6D98" w:rsidRPr="00906257">
        <w:t xml:space="preserve">and the </w:t>
      </w:r>
      <w:r w:rsidR="000C6D98">
        <w:t xml:space="preserve">summary reports on the </w:t>
      </w:r>
      <w:r w:rsidR="000C6D98" w:rsidRPr="00906257">
        <w:t xml:space="preserve">high-level ministerial dialogues referred to in paragraph </w:t>
      </w:r>
      <w:r w:rsidR="000C6D98">
        <w:t>11</w:t>
      </w:r>
      <w:r w:rsidR="000C6D98" w:rsidRPr="00906257">
        <w:t xml:space="preserve"> above</w:t>
      </w:r>
      <w:r w:rsidR="000C6D98">
        <w:t>, including the guidance contained therein</w:t>
      </w:r>
      <w:r w:rsidR="000C6D98" w:rsidRPr="00906257">
        <w:t>;</w:t>
      </w:r>
    </w:p>
    <w:p w14:paraId="50E112CE" w14:textId="68A59F22" w:rsidR="000C6D98" w:rsidRPr="00906257" w:rsidRDefault="009E5AC3" w:rsidP="009E5AC3">
      <w:pPr>
        <w:pStyle w:val="RegSingleTxtG"/>
        <w:numPr>
          <w:ilvl w:val="0"/>
          <w:numId w:val="0"/>
        </w:numPr>
        <w:ind w:left="1134"/>
      </w:pPr>
      <w:r w:rsidRPr="00906257">
        <w:t>13.</w:t>
      </w:r>
      <w:r w:rsidRPr="00906257">
        <w:tab/>
      </w:r>
      <w:r w:rsidR="000C6D98" w:rsidRPr="00906257">
        <w:rPr>
          <w:i/>
          <w:iCs/>
        </w:rPr>
        <w:t xml:space="preserve">Invites </w:t>
      </w:r>
      <w:r w:rsidR="000C6D98" w:rsidRPr="00906257">
        <w:t xml:space="preserve">the </w:t>
      </w:r>
      <w:r w:rsidR="000C6D98" w:rsidRPr="00CC7426">
        <w:t>Presiden</w:t>
      </w:r>
      <w:r w:rsidR="000C6D98">
        <w:t>t</w:t>
      </w:r>
      <w:r w:rsidR="000C6D98" w:rsidRPr="00906257">
        <w:t xml:space="preserve"> of the Conference of the Parties to ensure </w:t>
      </w:r>
      <w:r w:rsidR="00D2160F">
        <w:t xml:space="preserve">the </w:t>
      </w:r>
      <w:r w:rsidR="000C6D98" w:rsidRPr="00906257">
        <w:t xml:space="preserve">coherence and complementarity </w:t>
      </w:r>
      <w:r w:rsidR="00D2160F">
        <w:t>of</w:t>
      </w:r>
      <w:r w:rsidR="000C6D98" w:rsidRPr="00906257">
        <w:t xml:space="preserve"> the</w:t>
      </w:r>
      <w:r w:rsidR="000C6D98" w:rsidRPr="00C571AC">
        <w:t xml:space="preserve"> </w:t>
      </w:r>
      <w:r w:rsidR="000C6D98" w:rsidRPr="00906257">
        <w:t>high-level ministerial dialogues;</w:t>
      </w:r>
    </w:p>
    <w:p w14:paraId="659B3842" w14:textId="710F07A8" w:rsidR="000C6D98" w:rsidRPr="00906257" w:rsidRDefault="009E5AC3" w:rsidP="009E5AC3">
      <w:pPr>
        <w:pStyle w:val="RegSingleTxtG"/>
        <w:numPr>
          <w:ilvl w:val="0"/>
          <w:numId w:val="0"/>
        </w:numPr>
        <w:ind w:left="1134"/>
      </w:pPr>
      <w:r w:rsidRPr="00906257">
        <w:t>14.</w:t>
      </w:r>
      <w:r w:rsidRPr="00906257">
        <w:tab/>
      </w:r>
      <w:r w:rsidR="000C6D98">
        <w:rPr>
          <w:i/>
          <w:iCs/>
        </w:rPr>
        <w:t>R</w:t>
      </w:r>
      <w:r w:rsidR="000C6D98" w:rsidRPr="00906257">
        <w:rPr>
          <w:i/>
          <w:iCs/>
        </w:rPr>
        <w:t xml:space="preserve">equests </w:t>
      </w:r>
      <w:r w:rsidR="000C6D98" w:rsidRPr="00906257">
        <w:t>the secretariat to assist the co-chairs</w:t>
      </w:r>
      <w:r w:rsidR="000C6D98">
        <w:t xml:space="preserve"> of the ad hoc work programme</w:t>
      </w:r>
      <w:r w:rsidR="000C6D98" w:rsidRPr="00906257">
        <w:t xml:space="preserve"> in implementing </w:t>
      </w:r>
      <w:r w:rsidR="00D2160F">
        <w:t>it</w:t>
      </w:r>
      <w:r w:rsidR="000C6D98" w:rsidRPr="00906257">
        <w:t>;</w:t>
      </w:r>
    </w:p>
    <w:p w14:paraId="0ECA2A80" w14:textId="022F7102" w:rsidR="000C6D98" w:rsidRDefault="009E5AC3" w:rsidP="009E5AC3">
      <w:pPr>
        <w:pStyle w:val="RegSingleTxtG"/>
        <w:numPr>
          <w:ilvl w:val="0"/>
          <w:numId w:val="0"/>
        </w:numPr>
        <w:ind w:left="1134"/>
      </w:pPr>
      <w:r>
        <w:t>15.</w:t>
      </w:r>
      <w:r>
        <w:tab/>
      </w:r>
      <w:r w:rsidR="000C6D98" w:rsidRPr="00906257">
        <w:rPr>
          <w:i/>
          <w:iCs/>
        </w:rPr>
        <w:t>Decides</w:t>
      </w:r>
      <w:r w:rsidR="000C6D98" w:rsidRPr="00906257">
        <w:t xml:space="preserve"> that the new collective quantified goal aims at contributing to accelerating the achievement of Article 2 of the Paris Agreement of holding the increase in the global average temperature to well below 2 °C above pre-industrial levels and pursuing efforts to limit the temperature increase to 1.5 °C above pre-industrial levels, recognizing that this would significantly reduce the risks and impacts of climate change</w:t>
      </w:r>
      <w:r w:rsidR="000C6D98">
        <w:t>;</w:t>
      </w:r>
      <w:r w:rsidR="000C6D98" w:rsidRPr="00906257">
        <w:t xml:space="preserve"> increasing the ability to adapt to the adverse impacts of climate change and foster climate resilience and low greenhouse gas emission development in a manner that does not threaten food production</w:t>
      </w:r>
      <w:r w:rsidR="000C6D98">
        <w:t>;</w:t>
      </w:r>
      <w:r w:rsidR="000C6D98" w:rsidRPr="00906257">
        <w:t xml:space="preserve"> and making finance flows consistent with a pathway towards low greenhouse gas emission and climate-resilient development;</w:t>
      </w:r>
    </w:p>
    <w:p w14:paraId="7CCD20E6" w14:textId="593FDDDE" w:rsidR="000C6D98" w:rsidRPr="002E0231" w:rsidRDefault="009E5AC3" w:rsidP="009E5AC3">
      <w:pPr>
        <w:pStyle w:val="RegSingleTxtG"/>
        <w:numPr>
          <w:ilvl w:val="0"/>
          <w:numId w:val="0"/>
        </w:numPr>
        <w:ind w:left="1134"/>
      </w:pPr>
      <w:r w:rsidRPr="002E0231">
        <w:t>16.</w:t>
      </w:r>
      <w:r w:rsidRPr="002E0231">
        <w:tab/>
      </w:r>
      <w:r w:rsidR="000C6D98">
        <w:rPr>
          <w:i/>
          <w:iCs/>
        </w:rPr>
        <w:t>Also d</w:t>
      </w:r>
      <w:r w:rsidR="000C6D98" w:rsidRPr="002E0231">
        <w:rPr>
          <w:i/>
          <w:iCs/>
        </w:rPr>
        <w:t>ecides</w:t>
      </w:r>
      <w:r w:rsidR="000C6D98" w:rsidRPr="002E0231">
        <w:rPr>
          <w:iCs/>
        </w:rPr>
        <w:t xml:space="preserve"> that</w:t>
      </w:r>
      <w:r w:rsidR="000C6D98">
        <w:rPr>
          <w:iCs/>
        </w:rPr>
        <w:t xml:space="preserve"> </w:t>
      </w:r>
      <w:r w:rsidR="000C6D98" w:rsidRPr="002E0231">
        <w:rPr>
          <w:iCs/>
        </w:rPr>
        <w:t xml:space="preserve">the consideration of the </w:t>
      </w:r>
      <w:r w:rsidR="000C6D98">
        <w:rPr>
          <w:iCs/>
        </w:rPr>
        <w:t xml:space="preserve">new </w:t>
      </w:r>
      <w:r w:rsidR="000C6D98" w:rsidRPr="00906257">
        <w:t xml:space="preserve">collective quantified goal </w:t>
      </w:r>
      <w:r w:rsidR="000C6D98">
        <w:t xml:space="preserve">will be </w:t>
      </w:r>
      <w:r w:rsidR="000C6D98" w:rsidRPr="002E0231">
        <w:rPr>
          <w:iCs/>
        </w:rPr>
        <w:t>in line with decision 14/CMA.1</w:t>
      </w:r>
      <w:r w:rsidR="000C6D98">
        <w:rPr>
          <w:iCs/>
        </w:rPr>
        <w:t xml:space="preserve"> and </w:t>
      </w:r>
      <w:r w:rsidR="000C6D98" w:rsidRPr="002E0231">
        <w:rPr>
          <w:iCs/>
        </w:rPr>
        <w:t>take into account the</w:t>
      </w:r>
      <w:r w:rsidR="000C6D98">
        <w:rPr>
          <w:iCs/>
        </w:rPr>
        <w:t xml:space="preserve"> </w:t>
      </w:r>
      <w:r w:rsidR="000C6D98" w:rsidRPr="002E0231">
        <w:rPr>
          <w:iCs/>
        </w:rPr>
        <w:t xml:space="preserve">needs and priorities of developing countries and include, </w:t>
      </w:r>
      <w:r w:rsidR="000C6D98" w:rsidRPr="00506681">
        <w:t>inter alia</w:t>
      </w:r>
      <w:r w:rsidR="000C6D98" w:rsidRPr="002E0231">
        <w:rPr>
          <w:iCs/>
        </w:rPr>
        <w:t>, quantity, quality</w:t>
      </w:r>
      <w:r w:rsidR="000C6D98">
        <w:rPr>
          <w:iCs/>
        </w:rPr>
        <w:t>, scope</w:t>
      </w:r>
      <w:r w:rsidR="000C6D98" w:rsidRPr="002E0231">
        <w:rPr>
          <w:iCs/>
        </w:rPr>
        <w:t xml:space="preserve"> and access features, as well as sources of funding</w:t>
      </w:r>
      <w:r w:rsidR="000C6D98">
        <w:rPr>
          <w:iCs/>
        </w:rPr>
        <w:t>,</w:t>
      </w:r>
      <w:r w:rsidR="000C6D98" w:rsidRPr="002E0231">
        <w:rPr>
          <w:iCs/>
        </w:rPr>
        <w:t xml:space="preserve"> of the goal and transparency arrangements to track</w:t>
      </w:r>
      <w:r w:rsidR="000C6D98" w:rsidRPr="002E0231" w:rsidDel="00B06903">
        <w:rPr>
          <w:iCs/>
        </w:rPr>
        <w:t xml:space="preserve"> </w:t>
      </w:r>
      <w:r w:rsidR="000C6D98" w:rsidRPr="00EB2DD7">
        <w:t>progress</w:t>
      </w:r>
      <w:r w:rsidR="000C6D98" w:rsidRPr="002E0231">
        <w:rPr>
          <w:iCs/>
        </w:rPr>
        <w:t xml:space="preserve"> towards achievement</w:t>
      </w:r>
      <w:r w:rsidR="000C6D98" w:rsidRPr="002E0231" w:rsidDel="00B06903">
        <w:rPr>
          <w:iCs/>
        </w:rPr>
        <w:t xml:space="preserve"> of</w:t>
      </w:r>
      <w:r w:rsidR="000C6D98" w:rsidRPr="002E0231">
        <w:rPr>
          <w:iCs/>
        </w:rPr>
        <w:t xml:space="preserve"> the goal, without prejudice to other elements that will also be considered as the deliberations evolve and taking into consideration the submissions referred to in paragrap</w:t>
      </w:r>
      <w:r w:rsidR="000C6D98" w:rsidRPr="00404896">
        <w:t>h</w:t>
      </w:r>
      <w:r w:rsidR="000C6D98">
        <w:t>s</w:t>
      </w:r>
      <w:r w:rsidR="000C6D98" w:rsidRPr="00404896">
        <w:t xml:space="preserve"> </w:t>
      </w:r>
      <w:r w:rsidR="000C6D98">
        <w:t>1</w:t>
      </w:r>
      <w:r w:rsidR="000C6D98" w:rsidRPr="00404896">
        <w:t>7</w:t>
      </w:r>
      <w:r w:rsidR="000C6D98">
        <w:t>–1</w:t>
      </w:r>
      <w:r w:rsidR="000C6D98" w:rsidRPr="00404896">
        <w:t>8</w:t>
      </w:r>
      <w:r w:rsidR="000C6D98" w:rsidRPr="002E0231">
        <w:rPr>
          <w:iCs/>
        </w:rPr>
        <w:t xml:space="preserve"> below;</w:t>
      </w:r>
    </w:p>
    <w:p w14:paraId="647424CB" w14:textId="4B1E0202" w:rsidR="000C6D98" w:rsidRPr="006A2378" w:rsidRDefault="009E5AC3" w:rsidP="009E5AC3">
      <w:pPr>
        <w:pStyle w:val="RegSingleTxtG"/>
        <w:numPr>
          <w:ilvl w:val="0"/>
          <w:numId w:val="0"/>
        </w:numPr>
        <w:ind w:left="1134"/>
      </w:pPr>
      <w:r w:rsidRPr="006A2378">
        <w:t>17.</w:t>
      </w:r>
      <w:r w:rsidRPr="006A2378">
        <w:tab/>
      </w:r>
      <w:r w:rsidR="000C6D98" w:rsidRPr="002E0231">
        <w:rPr>
          <w:i/>
        </w:rPr>
        <w:t>Invites</w:t>
      </w:r>
      <w:r w:rsidR="000C6D98" w:rsidRPr="006A2378">
        <w:t xml:space="preserve"> Parties, constituted bodies under the Convention and the Paris Agreement, the operating entities of the Financial Mechanism, climate finance institutions, observers</w:t>
      </w:r>
      <w:r w:rsidR="000C6D98" w:rsidRPr="006A2378" w:rsidDel="006209E3">
        <w:t xml:space="preserve"> and observer organizations,</w:t>
      </w:r>
      <w:r w:rsidR="000C6D98" w:rsidRPr="006A2378">
        <w:t xml:space="preserve"> and other stakeholders, particularly from the private sector, to submit</w:t>
      </w:r>
      <w:r w:rsidR="000C6D98" w:rsidRPr="006A2378" w:rsidDel="00286DEB">
        <w:t xml:space="preserve"> </w:t>
      </w:r>
      <w:r w:rsidR="000C6D98" w:rsidRPr="006A2378">
        <w:t>their views on the objective</w:t>
      </w:r>
      <w:r w:rsidR="00C3296E">
        <w:t>s</w:t>
      </w:r>
      <w:r w:rsidR="000C6D98" w:rsidRPr="006A2378">
        <w:t xml:space="preserve"> </w:t>
      </w:r>
      <w:r w:rsidR="00C3296E">
        <w:t xml:space="preserve">referred to </w:t>
      </w:r>
      <w:r w:rsidR="000C6D98" w:rsidRPr="006A2378">
        <w:t xml:space="preserve">in paragraph </w:t>
      </w:r>
      <w:r w:rsidR="000C6D98">
        <w:t>1</w:t>
      </w:r>
      <w:r w:rsidR="000C6D98" w:rsidRPr="006A2378">
        <w:t>5 above</w:t>
      </w:r>
      <w:r w:rsidR="000C6D98">
        <w:t xml:space="preserve"> and on </w:t>
      </w:r>
      <w:r w:rsidR="000C6D98" w:rsidRPr="006A2378">
        <w:t xml:space="preserve">the elements referred to in paragraph </w:t>
      </w:r>
      <w:r w:rsidR="000C6D98">
        <w:t>1</w:t>
      </w:r>
      <w:r w:rsidR="000C6D98" w:rsidRPr="006A2378">
        <w:t>6 above</w:t>
      </w:r>
      <w:r w:rsidR="000C6D98">
        <w:t xml:space="preserve"> </w:t>
      </w:r>
      <w:r w:rsidR="000C6D98" w:rsidRPr="006A2378">
        <w:t>via the submission portal</w:t>
      </w:r>
      <w:r w:rsidR="000C6D98" w:rsidRPr="006A2378">
        <w:rPr>
          <w:rStyle w:val="FootnoteReference"/>
        </w:rPr>
        <w:footnoteReference w:id="11"/>
      </w:r>
      <w:r w:rsidR="000C6D98" w:rsidRPr="006A2378">
        <w:t xml:space="preserve"> by </w:t>
      </w:r>
      <w:r w:rsidR="000C6D98">
        <w:t>February and August 2022</w:t>
      </w:r>
      <w:r w:rsidR="007D16F3">
        <w:t xml:space="preserve"> respectively</w:t>
      </w:r>
      <w:r w:rsidR="000C6D98" w:rsidRPr="006A2378">
        <w:t xml:space="preserve">; </w:t>
      </w:r>
    </w:p>
    <w:p w14:paraId="56B468B8" w14:textId="72AF535D" w:rsidR="000C6D98" w:rsidRPr="006A2378" w:rsidRDefault="009E5AC3" w:rsidP="009E5AC3">
      <w:pPr>
        <w:pStyle w:val="RegSingleTxtG"/>
        <w:numPr>
          <w:ilvl w:val="0"/>
          <w:numId w:val="0"/>
        </w:numPr>
        <w:ind w:left="1134"/>
      </w:pPr>
      <w:r w:rsidRPr="006A2378">
        <w:t>18.</w:t>
      </w:r>
      <w:r w:rsidRPr="006A2378">
        <w:tab/>
      </w:r>
      <w:r w:rsidR="000C6D98" w:rsidRPr="006A2378">
        <w:rPr>
          <w:i/>
          <w:iCs/>
        </w:rPr>
        <w:t>Requests</w:t>
      </w:r>
      <w:r w:rsidR="000C6D98" w:rsidRPr="006A2378">
        <w:t xml:space="preserve"> the secretariat to prepare a technical paper </w:t>
      </w:r>
      <w:r w:rsidR="000C6D98">
        <w:t xml:space="preserve">on </w:t>
      </w:r>
      <w:r w:rsidR="000C6D98" w:rsidRPr="006A2378">
        <w:t xml:space="preserve">the submissions referred to in paragraph </w:t>
      </w:r>
      <w:r w:rsidR="000C6D98">
        <w:t>1</w:t>
      </w:r>
      <w:r w:rsidR="000C6D98" w:rsidRPr="006A2378">
        <w:t>7</w:t>
      </w:r>
      <w:r w:rsidR="000C6D98">
        <w:t xml:space="preserve"> above</w:t>
      </w:r>
      <w:r w:rsidR="000C6D98" w:rsidRPr="006A2378">
        <w:t>;</w:t>
      </w:r>
    </w:p>
    <w:p w14:paraId="6222470A" w14:textId="72B707B3" w:rsidR="000C6D98" w:rsidRPr="006A2378" w:rsidRDefault="009E5AC3" w:rsidP="009E5AC3">
      <w:pPr>
        <w:pStyle w:val="RegSingleTxtG"/>
        <w:numPr>
          <w:ilvl w:val="0"/>
          <w:numId w:val="0"/>
        </w:numPr>
        <w:ind w:left="1134"/>
      </w:pPr>
      <w:r w:rsidRPr="006A2378">
        <w:t>19.</w:t>
      </w:r>
      <w:r w:rsidRPr="006A2378">
        <w:tab/>
      </w:r>
      <w:r w:rsidR="000C6D98" w:rsidRPr="006A2378">
        <w:rPr>
          <w:i/>
        </w:rPr>
        <w:t xml:space="preserve">Agrees </w:t>
      </w:r>
      <w:r w:rsidR="000C6D98" w:rsidRPr="006A2378">
        <w:t xml:space="preserve">that the deliberations shall be informed by and take into consideration, </w:t>
      </w:r>
      <w:r w:rsidR="000C6D98" w:rsidRPr="00506681">
        <w:t>inter alia</w:t>
      </w:r>
      <w:r w:rsidR="000C6D98" w:rsidRPr="006A2378">
        <w:t>:</w:t>
      </w:r>
    </w:p>
    <w:p w14:paraId="580C2F8F" w14:textId="53CCCBE6" w:rsidR="000C6D98" w:rsidRPr="006A2378" w:rsidRDefault="009E5AC3" w:rsidP="009E5AC3">
      <w:pPr>
        <w:pStyle w:val="RegSingleTxtG2"/>
        <w:numPr>
          <w:ilvl w:val="0"/>
          <w:numId w:val="0"/>
        </w:numPr>
        <w:tabs>
          <w:tab w:val="left" w:pos="1702"/>
        </w:tabs>
        <w:ind w:left="1134" w:firstLine="567"/>
      </w:pPr>
      <w:r w:rsidRPr="006A2378">
        <w:rPr>
          <w:szCs w:val="28"/>
        </w:rPr>
        <w:t>(a)</w:t>
      </w:r>
      <w:r w:rsidRPr="006A2378">
        <w:rPr>
          <w:szCs w:val="28"/>
        </w:rPr>
        <w:tab/>
      </w:r>
      <w:r w:rsidR="000C6D98" w:rsidRPr="006A2378">
        <w:t>Inputs from Parties</w:t>
      </w:r>
      <w:r w:rsidR="00DF4F45">
        <w:t>;</w:t>
      </w:r>
      <w:r w:rsidR="000C6D98" w:rsidRPr="006A2378">
        <w:t xml:space="preserve"> constituted bodies, including their relevant outputs, in particular the biennial assessment </w:t>
      </w:r>
      <w:r w:rsidR="00F2610C">
        <w:t>and</w:t>
      </w:r>
      <w:r w:rsidR="000C6D98" w:rsidRPr="006A2378">
        <w:t xml:space="preserve"> overview of climate finance flows and the report on the determination of the needs of developing country </w:t>
      </w:r>
      <w:r w:rsidR="000C6D98">
        <w:t>P</w:t>
      </w:r>
      <w:r w:rsidR="000C6D98" w:rsidRPr="006A2378">
        <w:t>arties related to implementing the Convention and the Paris Agreement of the Standing Committee on Finance</w:t>
      </w:r>
      <w:r w:rsidR="00DF4F45">
        <w:t>;</w:t>
      </w:r>
      <w:r w:rsidR="000C6D98" w:rsidRPr="007A5463">
        <w:t xml:space="preserve"> </w:t>
      </w:r>
      <w:r w:rsidR="000C6D98" w:rsidRPr="006A2378">
        <w:t>international organizations and observers</w:t>
      </w:r>
      <w:r w:rsidR="000C6D98">
        <w:t>,</w:t>
      </w:r>
      <w:r w:rsidR="000C6D98" w:rsidRPr="006A2378">
        <w:t xml:space="preserve"> as well as inputs received through relevant processes under the </w:t>
      </w:r>
      <w:r w:rsidR="000C6D98">
        <w:t>Paris Agreement</w:t>
      </w:r>
      <w:r w:rsidR="000C6D98" w:rsidRPr="006A2378">
        <w:t xml:space="preserve">, including </w:t>
      </w:r>
      <w:r w:rsidR="000C6D98">
        <w:t xml:space="preserve">on </w:t>
      </w:r>
      <w:r w:rsidR="000C6D98" w:rsidRPr="006A2378">
        <w:t>experience gained in</w:t>
      </w:r>
      <w:r w:rsidR="000C6D98" w:rsidRPr="006A2378" w:rsidDel="00861DA1">
        <w:t xml:space="preserve"> </w:t>
      </w:r>
      <w:r w:rsidR="000C6D98" w:rsidRPr="006A2378">
        <w:t>implementing the Convention</w:t>
      </w:r>
      <w:r w:rsidR="000C6D98">
        <w:t xml:space="preserve"> and the Paris Agreement</w:t>
      </w:r>
      <w:r w:rsidR="000C6D98" w:rsidRPr="006A2378">
        <w:t>;</w:t>
      </w:r>
    </w:p>
    <w:p w14:paraId="6689747D" w14:textId="29B304D3" w:rsidR="000C6D98" w:rsidRPr="006A2378" w:rsidRDefault="009E5AC3" w:rsidP="009E5AC3">
      <w:pPr>
        <w:pStyle w:val="RegSingleTxtG2"/>
        <w:numPr>
          <w:ilvl w:val="0"/>
          <w:numId w:val="0"/>
        </w:numPr>
        <w:tabs>
          <w:tab w:val="left" w:pos="1702"/>
        </w:tabs>
        <w:ind w:left="1134" w:firstLine="567"/>
      </w:pPr>
      <w:r w:rsidRPr="006A2378">
        <w:rPr>
          <w:szCs w:val="28"/>
        </w:rPr>
        <w:t>(b)</w:t>
      </w:r>
      <w:r w:rsidRPr="006A2378">
        <w:rPr>
          <w:szCs w:val="28"/>
        </w:rPr>
        <w:tab/>
      </w:r>
      <w:r w:rsidR="000C6D98" w:rsidRPr="006A2378">
        <w:t>The best available scientific information, including the findings of the Intergovernmental Panel on Climate Change;</w:t>
      </w:r>
    </w:p>
    <w:p w14:paraId="4246BCB2" w14:textId="2C35DED9" w:rsidR="000C6D98" w:rsidRPr="006A2378" w:rsidRDefault="009E5AC3" w:rsidP="009E5AC3">
      <w:pPr>
        <w:pStyle w:val="RegSingleTxtG2"/>
        <w:numPr>
          <w:ilvl w:val="0"/>
          <w:numId w:val="0"/>
        </w:numPr>
        <w:tabs>
          <w:tab w:val="left" w:pos="1702"/>
        </w:tabs>
        <w:ind w:left="1134" w:firstLine="567"/>
      </w:pPr>
      <w:r w:rsidRPr="006A2378">
        <w:rPr>
          <w:szCs w:val="28"/>
        </w:rPr>
        <w:t>(c)</w:t>
      </w:r>
      <w:r w:rsidRPr="006A2378">
        <w:rPr>
          <w:szCs w:val="28"/>
        </w:rPr>
        <w:tab/>
      </w:r>
      <w:r w:rsidR="000C6D98" w:rsidRPr="006A2378">
        <w:t>Information from other relevant intergovernmental processes and insights from the business and research communities and from civil society;</w:t>
      </w:r>
    </w:p>
    <w:p w14:paraId="2EC1D7F9" w14:textId="7E5C0B99" w:rsidR="000C6D98" w:rsidRPr="006A2378" w:rsidRDefault="009E5AC3" w:rsidP="009E5AC3">
      <w:pPr>
        <w:pStyle w:val="RegSingleTxtG2"/>
        <w:numPr>
          <w:ilvl w:val="0"/>
          <w:numId w:val="0"/>
        </w:numPr>
        <w:tabs>
          <w:tab w:val="left" w:pos="1702"/>
        </w:tabs>
        <w:ind w:left="1134" w:firstLine="567"/>
      </w:pPr>
      <w:r w:rsidRPr="006A2378">
        <w:rPr>
          <w:szCs w:val="28"/>
        </w:rPr>
        <w:t>(d)</w:t>
      </w:r>
      <w:r w:rsidRPr="006A2378">
        <w:rPr>
          <w:szCs w:val="28"/>
        </w:rPr>
        <w:tab/>
      </w:r>
      <w:r w:rsidR="000C6D98" w:rsidRPr="006A2378">
        <w:t>Information from Parties, particularly information related to the needs of developing countries;</w:t>
      </w:r>
    </w:p>
    <w:p w14:paraId="5D874718" w14:textId="4A857EBE" w:rsidR="000C6D98" w:rsidRPr="006A2378" w:rsidRDefault="009E5AC3" w:rsidP="009E5AC3">
      <w:pPr>
        <w:pStyle w:val="RegSingleTxtG2"/>
        <w:numPr>
          <w:ilvl w:val="0"/>
          <w:numId w:val="0"/>
        </w:numPr>
        <w:tabs>
          <w:tab w:val="left" w:pos="1702"/>
        </w:tabs>
        <w:ind w:left="1134" w:firstLine="567"/>
      </w:pPr>
      <w:r w:rsidRPr="006A2378">
        <w:rPr>
          <w:szCs w:val="28"/>
        </w:rPr>
        <w:lastRenderedPageBreak/>
        <w:t>(e)</w:t>
      </w:r>
      <w:r w:rsidRPr="006A2378">
        <w:rPr>
          <w:szCs w:val="28"/>
        </w:rPr>
        <w:tab/>
      </w:r>
      <w:r w:rsidR="000C6D98" w:rsidRPr="006A2378" w:rsidDel="009951DE">
        <w:t xml:space="preserve">Other </w:t>
      </w:r>
      <w:r w:rsidR="000C6D98" w:rsidRPr="006A2378">
        <w:t xml:space="preserve">technical </w:t>
      </w:r>
      <w:r w:rsidR="000C6D98" w:rsidRPr="006A2378" w:rsidDel="009951DE">
        <w:t xml:space="preserve">reports </w:t>
      </w:r>
      <w:r w:rsidR="000C6D98">
        <w:t xml:space="preserve">prepared </w:t>
      </w:r>
      <w:r w:rsidR="000C6D98" w:rsidRPr="006A2378">
        <w:t>by the secretariat and</w:t>
      </w:r>
      <w:r w:rsidR="000C6D98" w:rsidRPr="006A2378" w:rsidDel="009951DE">
        <w:t xml:space="preserve"> other</w:t>
      </w:r>
      <w:r w:rsidR="000C6D98" w:rsidRPr="006A2378">
        <w:t xml:space="preserve"> independent organi</w:t>
      </w:r>
      <w:r w:rsidR="00EC765C">
        <w:t>z</w:t>
      </w:r>
      <w:r w:rsidR="000C6D98" w:rsidRPr="006A2378">
        <w:t>ations</w:t>
      </w:r>
      <w:r w:rsidR="000C6D98">
        <w:t xml:space="preserve"> and </w:t>
      </w:r>
      <w:r w:rsidR="000C6D98" w:rsidRPr="006A2378" w:rsidDel="005C72CC">
        <w:t>observers</w:t>
      </w:r>
      <w:r w:rsidR="000C6D98" w:rsidRPr="006A2378">
        <w:t>;</w:t>
      </w:r>
    </w:p>
    <w:p w14:paraId="29BF432E" w14:textId="11B43C99" w:rsidR="000C6D98" w:rsidRPr="006A2378" w:rsidRDefault="009E5AC3" w:rsidP="009E5AC3">
      <w:pPr>
        <w:pStyle w:val="RegSingleTxtG"/>
        <w:numPr>
          <w:ilvl w:val="0"/>
          <w:numId w:val="0"/>
        </w:numPr>
        <w:ind w:left="1134"/>
      </w:pPr>
      <w:r w:rsidRPr="006A2378">
        <w:t>20.</w:t>
      </w:r>
      <w:r w:rsidRPr="006A2378">
        <w:tab/>
      </w:r>
      <w:r w:rsidR="000C6D98" w:rsidRPr="006A2378">
        <w:rPr>
          <w:i/>
          <w:iCs/>
        </w:rPr>
        <w:t>Takes note</w:t>
      </w:r>
      <w:r w:rsidR="000C6D98" w:rsidRPr="006A2378">
        <w:t xml:space="preserve"> of the estimated budgetary implications of the activities to be undertaken</w:t>
      </w:r>
      <w:r w:rsidR="00EC765C">
        <w:t xml:space="preserve"> by the secretariat</w:t>
      </w:r>
      <w:r w:rsidR="000C6D98" w:rsidRPr="006A2378">
        <w:t xml:space="preserve"> </w:t>
      </w:r>
      <w:r w:rsidR="00EC765C">
        <w:t xml:space="preserve">referred to </w:t>
      </w:r>
      <w:r w:rsidR="000C6D98" w:rsidRPr="006A2378">
        <w:t xml:space="preserve">in </w:t>
      </w:r>
      <w:r w:rsidR="000C6D98">
        <w:t xml:space="preserve">paragraphs 14 and 18 </w:t>
      </w:r>
      <w:r w:rsidR="00EC765C">
        <w:t>above</w:t>
      </w:r>
      <w:r w:rsidR="000C6D98" w:rsidRPr="006A2378">
        <w:t>;</w:t>
      </w:r>
    </w:p>
    <w:p w14:paraId="2980FEEC" w14:textId="5098D1C4" w:rsidR="000C6D98" w:rsidRPr="006A2378" w:rsidRDefault="009E5AC3" w:rsidP="009E5AC3">
      <w:pPr>
        <w:pStyle w:val="RegSingleTxtG"/>
        <w:numPr>
          <w:ilvl w:val="0"/>
          <w:numId w:val="0"/>
        </w:numPr>
        <w:ind w:left="1134"/>
      </w:pPr>
      <w:r w:rsidRPr="006A2378">
        <w:t>21.</w:t>
      </w:r>
      <w:r w:rsidRPr="006A2378">
        <w:tab/>
      </w:r>
      <w:r w:rsidR="000C6D98" w:rsidRPr="006A2378">
        <w:rPr>
          <w:i/>
          <w:iCs/>
        </w:rPr>
        <w:t>Requests</w:t>
      </w:r>
      <w:r w:rsidR="000C6D98" w:rsidRPr="006A2378">
        <w:t xml:space="preserve"> that the actions of the secretariat called for in </w:t>
      </w:r>
      <w:r w:rsidR="008B227C">
        <w:t>this decision</w:t>
      </w:r>
      <w:r w:rsidR="000C6D98">
        <w:t xml:space="preserve"> </w:t>
      </w:r>
      <w:r w:rsidR="000C6D98" w:rsidRPr="006A2378">
        <w:t>be undertaken subject to the availability of financial resources;</w:t>
      </w:r>
    </w:p>
    <w:p w14:paraId="54C07AF3" w14:textId="2374BD8F" w:rsidR="000C6D98" w:rsidRDefault="009E5AC3" w:rsidP="009E5AC3">
      <w:pPr>
        <w:pStyle w:val="RegSingleTxtG"/>
        <w:numPr>
          <w:ilvl w:val="0"/>
          <w:numId w:val="0"/>
        </w:numPr>
        <w:ind w:left="1134"/>
      </w:pPr>
      <w:r>
        <w:t>22.</w:t>
      </w:r>
      <w:r>
        <w:tab/>
      </w:r>
      <w:r w:rsidR="000C6D98" w:rsidRPr="006A2378">
        <w:rPr>
          <w:i/>
          <w:iCs/>
        </w:rPr>
        <w:t xml:space="preserve">Decides </w:t>
      </w:r>
      <w:r w:rsidR="000C6D98" w:rsidRPr="006A2378">
        <w:t xml:space="preserve">to conclude its deliberations </w:t>
      </w:r>
      <w:r w:rsidR="000C6D98">
        <w:t>by setting</w:t>
      </w:r>
      <w:r w:rsidR="000C6D98" w:rsidRPr="006A2378">
        <w:t xml:space="preserve"> the new collective quantified goal</w:t>
      </w:r>
      <w:r w:rsidR="000C6D98">
        <w:t xml:space="preserve"> </w:t>
      </w:r>
      <w:r w:rsidR="000C6D98" w:rsidRPr="006A2378">
        <w:t>in 2024.</w:t>
      </w:r>
    </w:p>
    <w:p w14:paraId="536B2E01" w14:textId="77777777" w:rsidR="003127A7" w:rsidRDefault="003127A7" w:rsidP="003127A7">
      <w:pPr>
        <w:spacing w:before="240"/>
        <w:ind w:left="1134" w:right="1134"/>
        <w:jc w:val="right"/>
        <w:rPr>
          <w:i/>
        </w:rPr>
        <w:sectPr w:rsidR="003127A7" w:rsidSect="00265564">
          <w:headerReference w:type="even" r:id="rId30"/>
          <w:headerReference w:type="default" r:id="rId31"/>
          <w:footerReference w:type="even" r:id="rId32"/>
          <w:footerReference w:type="default" r:id="rId33"/>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2530BF32" w14:textId="385AF443" w:rsidR="003127A7" w:rsidRDefault="003127A7" w:rsidP="009E5AC3">
      <w:pPr>
        <w:pStyle w:val="RegHChG"/>
        <w:numPr>
          <w:ilvl w:val="0"/>
          <w:numId w:val="0"/>
        </w:numPr>
        <w:spacing w:before="120"/>
        <w:ind w:left="1134" w:hanging="454"/>
      </w:pPr>
      <w:bookmarkStart w:id="13" w:name="Decision10"/>
      <w:r>
        <w:lastRenderedPageBreak/>
        <w:t>Decision 10/CMA.3</w:t>
      </w:r>
    </w:p>
    <w:bookmarkEnd w:id="13"/>
    <w:p w14:paraId="5A23A100" w14:textId="7FAEC876" w:rsidR="003127A7" w:rsidRPr="00820826" w:rsidRDefault="00C22BDD" w:rsidP="009E5AC3">
      <w:pPr>
        <w:pStyle w:val="RegHChG"/>
        <w:numPr>
          <w:ilvl w:val="0"/>
          <w:numId w:val="0"/>
        </w:numPr>
        <w:ind w:left="1135" w:hanging="454"/>
      </w:pPr>
      <w:r>
        <w:t>Matters relating to the Standing Committee on Finance</w:t>
      </w:r>
    </w:p>
    <w:p w14:paraId="7822BD25" w14:textId="77777777" w:rsidR="00F32DCA" w:rsidRPr="00C571AC" w:rsidRDefault="00F32DCA" w:rsidP="00F32DCA">
      <w:pPr>
        <w:pStyle w:val="SingleTxtG"/>
        <w:ind w:firstLine="567"/>
        <w:rPr>
          <w:i/>
        </w:rPr>
      </w:pPr>
      <w:r w:rsidRPr="00C571AC">
        <w:rPr>
          <w:i/>
        </w:rPr>
        <w:t>The Conference of the Parties serving as the meeting of the Parties to the Paris Agreement</w:t>
      </w:r>
      <w:r w:rsidRPr="00C571AC">
        <w:t>,</w:t>
      </w:r>
      <w:r w:rsidRPr="00C571AC">
        <w:rPr>
          <w:i/>
        </w:rPr>
        <w:t xml:space="preserve"> </w:t>
      </w:r>
    </w:p>
    <w:p w14:paraId="67BF2030" w14:textId="17F62FCA" w:rsidR="00F32DCA" w:rsidRPr="00C571AC" w:rsidRDefault="00F32DCA" w:rsidP="00F32DCA">
      <w:pPr>
        <w:pStyle w:val="SingleTxtG"/>
      </w:pPr>
      <w:r w:rsidRPr="00C571AC">
        <w:tab/>
      </w:r>
      <w:r w:rsidRPr="00C571AC">
        <w:tab/>
      </w:r>
      <w:r w:rsidRPr="00C571AC">
        <w:rPr>
          <w:i/>
        </w:rPr>
        <w:t>Recalling</w:t>
      </w:r>
      <w:r w:rsidRPr="00C571AC">
        <w:t xml:space="preserve"> </w:t>
      </w:r>
      <w:r w:rsidRPr="002C35BD">
        <w:t>Article 9 of the Paris Agreement</w:t>
      </w:r>
      <w:r w:rsidRPr="00C571AC">
        <w:t>,</w:t>
      </w:r>
    </w:p>
    <w:p w14:paraId="2A42B312" w14:textId="5A941898" w:rsidR="00F32DCA" w:rsidRPr="00C571AC" w:rsidRDefault="00F32DCA" w:rsidP="00F32DCA">
      <w:pPr>
        <w:pStyle w:val="SingleTxtG"/>
      </w:pPr>
      <w:r w:rsidRPr="00C571AC">
        <w:tab/>
      </w:r>
      <w:r w:rsidRPr="00C571AC">
        <w:tab/>
      </w:r>
      <w:r w:rsidRPr="00C571AC">
        <w:rPr>
          <w:i/>
        </w:rPr>
        <w:t>Also recalling</w:t>
      </w:r>
      <w:r w:rsidRPr="00C571AC">
        <w:t xml:space="preserve"> </w:t>
      </w:r>
      <w:r w:rsidRPr="00521487">
        <w:t xml:space="preserve">decisions </w:t>
      </w:r>
      <w:r>
        <w:t>1/CP.21, paragraphs 53 and 63, 11/CP.25, 14/CMA.1 and 5/CMA.2</w:t>
      </w:r>
      <w:r w:rsidRPr="00C571AC">
        <w:t>,</w:t>
      </w:r>
    </w:p>
    <w:p w14:paraId="5BDC8703" w14:textId="7F98C970" w:rsidR="00F32DCA" w:rsidRPr="000C6CE5" w:rsidRDefault="009E5AC3" w:rsidP="009E5AC3">
      <w:pPr>
        <w:pStyle w:val="RegSingleTxtG"/>
        <w:numPr>
          <w:ilvl w:val="0"/>
          <w:numId w:val="0"/>
        </w:numPr>
        <w:tabs>
          <w:tab w:val="left" w:pos="568"/>
        </w:tabs>
        <w:ind w:left="1135"/>
      </w:pPr>
      <w:r w:rsidRPr="000C6CE5">
        <w:t>1.</w:t>
      </w:r>
      <w:r w:rsidRPr="000C6CE5">
        <w:tab/>
      </w:r>
      <w:r w:rsidR="00F32DCA" w:rsidRPr="00FA3599">
        <w:rPr>
          <w:i/>
        </w:rPr>
        <w:t xml:space="preserve">Affirms </w:t>
      </w:r>
      <w:r w:rsidR="00F32DCA" w:rsidRPr="00506681">
        <w:rPr>
          <w:rStyle w:val="fontstyle31"/>
          <w:iCs/>
        </w:rPr>
        <w:t xml:space="preserve">decision </w:t>
      </w:r>
      <w:r w:rsidR="00914B91" w:rsidRPr="00506681">
        <w:rPr>
          <w:rStyle w:val="fontstyle31"/>
          <w:iCs/>
        </w:rPr>
        <w:t>5</w:t>
      </w:r>
      <w:r w:rsidR="00F32DCA" w:rsidRPr="00506681">
        <w:rPr>
          <w:rStyle w:val="fontstyle31"/>
          <w:iCs/>
        </w:rPr>
        <w:t>/CP.26</w:t>
      </w:r>
      <w:r w:rsidR="00F32DCA">
        <w:rPr>
          <w:rStyle w:val="fontstyle31"/>
          <w:iCs/>
        </w:rPr>
        <w:t>,</w:t>
      </w:r>
      <w:r w:rsidR="00F32DCA" w:rsidRPr="00FA75A3">
        <w:rPr>
          <w:rStyle w:val="fontstyle31"/>
          <w:iCs/>
        </w:rPr>
        <w:t xml:space="preserve"> </w:t>
      </w:r>
      <w:r w:rsidR="00F32DCA">
        <w:rPr>
          <w:rStyle w:val="fontstyle31"/>
          <w:iCs/>
        </w:rPr>
        <w:t>which</w:t>
      </w:r>
      <w:r w:rsidR="00F32DCA" w:rsidRPr="00FA75A3">
        <w:rPr>
          <w:rStyle w:val="fontstyle31"/>
          <w:iCs/>
        </w:rPr>
        <w:t>, inter alia, welcome</w:t>
      </w:r>
      <w:r w:rsidR="00F32DCA">
        <w:rPr>
          <w:rStyle w:val="fontstyle31"/>
          <w:iCs/>
        </w:rPr>
        <w:t>s</w:t>
      </w:r>
      <w:r w:rsidR="00F32DCA" w:rsidRPr="00FA75A3">
        <w:rPr>
          <w:rStyle w:val="fontstyle31"/>
          <w:iCs/>
        </w:rPr>
        <w:t xml:space="preserve"> the reports of the </w:t>
      </w:r>
      <w:r w:rsidR="00F32DCA" w:rsidRPr="003F6AE8">
        <w:t>Standing Committee on Finance</w:t>
      </w:r>
      <w:r w:rsidR="00F32DCA" w:rsidRPr="00FA75A3">
        <w:rPr>
          <w:rStyle w:val="fontstyle31"/>
          <w:iCs/>
        </w:rPr>
        <w:t xml:space="preserve"> and </w:t>
      </w:r>
      <w:r w:rsidR="00F32DCA" w:rsidRPr="00C571AC">
        <w:rPr>
          <w:rStyle w:val="fontstyle31"/>
          <w:iCs/>
        </w:rPr>
        <w:t>endorsed</w:t>
      </w:r>
      <w:r w:rsidR="00F32DCA" w:rsidRPr="00FA75A3">
        <w:rPr>
          <w:rStyle w:val="fontstyle31"/>
          <w:iCs/>
        </w:rPr>
        <w:t xml:space="preserve"> the findings and recommendations contained </w:t>
      </w:r>
      <w:r w:rsidR="00F32DCA">
        <w:rPr>
          <w:rStyle w:val="fontstyle31"/>
          <w:iCs/>
        </w:rPr>
        <w:t>therein</w:t>
      </w:r>
      <w:r w:rsidR="00F32DCA" w:rsidRPr="000C6CE5">
        <w:t>;</w:t>
      </w:r>
    </w:p>
    <w:p w14:paraId="36347740" w14:textId="7018B9B2" w:rsidR="00F32DCA" w:rsidRPr="00841A54" w:rsidRDefault="009E5AC3" w:rsidP="009E5AC3">
      <w:pPr>
        <w:pStyle w:val="RegSingleTxtG"/>
        <w:numPr>
          <w:ilvl w:val="0"/>
          <w:numId w:val="0"/>
        </w:numPr>
        <w:tabs>
          <w:tab w:val="left" w:pos="568"/>
        </w:tabs>
        <w:ind w:left="1135"/>
      </w:pPr>
      <w:r w:rsidRPr="00841A54">
        <w:t>2.</w:t>
      </w:r>
      <w:r w:rsidRPr="00841A54">
        <w:tab/>
      </w:r>
      <w:r w:rsidR="00F32DCA" w:rsidRPr="002D17B6">
        <w:rPr>
          <w:i/>
        </w:rPr>
        <w:t>Invites</w:t>
      </w:r>
      <w:r w:rsidR="00F32DCA">
        <w:rPr>
          <w:i/>
        </w:rPr>
        <w:t xml:space="preserve"> </w:t>
      </w:r>
      <w:r w:rsidR="00F32DCA" w:rsidRPr="00C571AC">
        <w:t>Parties,</w:t>
      </w:r>
      <w:r w:rsidR="000741B9" w:rsidRPr="00C571AC">
        <w:t xml:space="preserve"> the</w:t>
      </w:r>
      <w:r w:rsidR="00F32DCA" w:rsidRPr="00C571AC">
        <w:t xml:space="preserve"> operating entities of the Financial Mechanism, international financial institutions and other stakeholders in the financial sector to submit </w:t>
      </w:r>
      <w:r w:rsidR="000741B9" w:rsidRPr="00C571AC">
        <w:t>via the submission portal</w:t>
      </w:r>
      <w:r w:rsidR="000741B9" w:rsidRPr="00C571AC">
        <w:rPr>
          <w:rStyle w:val="FootnoteReference"/>
        </w:rPr>
        <w:footnoteReference w:id="12"/>
      </w:r>
      <w:r w:rsidR="000741B9" w:rsidRPr="00C571AC">
        <w:t xml:space="preserve"> </w:t>
      </w:r>
      <w:r w:rsidR="00E83219" w:rsidRPr="00C571AC">
        <w:t xml:space="preserve">their </w:t>
      </w:r>
      <w:r w:rsidR="00F32DCA" w:rsidRPr="00C571AC">
        <w:t xml:space="preserve">views regarding ways to achieve Article 2, paragraph 1(c), of the Paris Agreement, including options for approaches and guidelines for implementation, by 30 April 2022 and </w:t>
      </w:r>
      <w:r w:rsidR="00F32DCA" w:rsidRPr="00C571AC">
        <w:rPr>
          <w:i/>
        </w:rPr>
        <w:t>requests</w:t>
      </w:r>
      <w:r w:rsidR="00F32DCA" w:rsidRPr="00C571AC">
        <w:t xml:space="preserve"> the Standing Committee on Finance to submit a synthesis</w:t>
      </w:r>
      <w:r w:rsidR="009C10FF">
        <w:t xml:space="preserve"> </w:t>
      </w:r>
      <w:r w:rsidR="00F32DCA" w:rsidRPr="00C571AC">
        <w:t>for consideration by the Conference of the Parties serving as the meeting of the Parties to the Paris Agreement at its fourth session (November 2022)</w:t>
      </w:r>
      <w:r w:rsidR="00F32DCA" w:rsidRPr="00C571AC">
        <w:rPr>
          <w:szCs w:val="22"/>
        </w:rPr>
        <w:t>;</w:t>
      </w:r>
      <w:r w:rsidR="00F32DCA">
        <w:t xml:space="preserve"> </w:t>
      </w:r>
    </w:p>
    <w:p w14:paraId="15CFA114" w14:textId="6A6CEEF9" w:rsidR="00F32DCA" w:rsidRPr="00B97ED0" w:rsidRDefault="009E5AC3" w:rsidP="009E5AC3">
      <w:pPr>
        <w:pStyle w:val="RegSingleTxtG"/>
        <w:numPr>
          <w:ilvl w:val="0"/>
          <w:numId w:val="0"/>
        </w:numPr>
        <w:tabs>
          <w:tab w:val="left" w:pos="568"/>
        </w:tabs>
        <w:ind w:left="1135"/>
      </w:pPr>
      <w:r w:rsidRPr="00B97ED0">
        <w:t>3.</w:t>
      </w:r>
      <w:r w:rsidRPr="00B97ED0">
        <w:tab/>
      </w:r>
      <w:r w:rsidR="00F32DCA">
        <w:rPr>
          <w:i/>
        </w:rPr>
        <w:t>Also r</w:t>
      </w:r>
      <w:r w:rsidR="00F32DCA" w:rsidRPr="002D17B6">
        <w:rPr>
          <w:i/>
        </w:rPr>
        <w:t>equests</w:t>
      </w:r>
      <w:r w:rsidR="00F32DCA">
        <w:rPr>
          <w:i/>
        </w:rPr>
        <w:t xml:space="preserve"> </w:t>
      </w:r>
      <w:r w:rsidR="00F32DCA" w:rsidRPr="00B31A62">
        <w:rPr>
          <w:noProof/>
        </w:rPr>
        <w:t>the Standing Committee on Finance to continue its work on definitions of climate finance, taking into account the submissions received from Parties on this matter</w:t>
      </w:r>
      <w:r w:rsidR="00F32DCA">
        <w:rPr>
          <w:noProof/>
        </w:rPr>
        <w:t>,</w:t>
      </w:r>
      <w:r w:rsidR="00F32DCA">
        <w:rPr>
          <w:rStyle w:val="FootnoteReference"/>
          <w:noProof/>
        </w:rPr>
        <w:footnoteReference w:id="13"/>
      </w:r>
      <w:r w:rsidR="00F32DCA" w:rsidRPr="00B31A62">
        <w:rPr>
          <w:noProof/>
        </w:rPr>
        <w:t xml:space="preserve"> with a view to providing</w:t>
      </w:r>
      <w:r w:rsidR="00F32DCA">
        <w:rPr>
          <w:noProof/>
        </w:rPr>
        <w:t xml:space="preserve"> </w:t>
      </w:r>
      <w:r w:rsidR="00F32DCA" w:rsidRPr="00B31A62">
        <w:rPr>
          <w:noProof/>
        </w:rPr>
        <w:t xml:space="preserve">input </w:t>
      </w:r>
      <w:r w:rsidR="00F32DCA">
        <w:rPr>
          <w:noProof/>
        </w:rPr>
        <w:t>for</w:t>
      </w:r>
      <w:r w:rsidR="00F32DCA" w:rsidRPr="00B31A62">
        <w:rPr>
          <w:noProof/>
        </w:rPr>
        <w:t xml:space="preserve"> consideration </w:t>
      </w:r>
      <w:r w:rsidR="00F32DCA">
        <w:rPr>
          <w:noProof/>
        </w:rPr>
        <w:t>by</w:t>
      </w:r>
      <w:r w:rsidR="00F32DCA" w:rsidRPr="00B31A62">
        <w:rPr>
          <w:noProof/>
        </w:rPr>
        <w:t xml:space="preserve"> the </w:t>
      </w:r>
      <w:r w:rsidR="00F32DCA" w:rsidRPr="00C571AC">
        <w:t>Conference of the Parties serving as the meeting of the Parties to the Paris Agreement at its fourth session</w:t>
      </w:r>
      <w:r w:rsidR="00F32DCA">
        <w:rPr>
          <w:szCs w:val="22"/>
        </w:rPr>
        <w:t>;</w:t>
      </w:r>
    </w:p>
    <w:p w14:paraId="59633309" w14:textId="0B7A35C1" w:rsidR="00F32DCA" w:rsidRPr="003F6AE8" w:rsidRDefault="009E5AC3" w:rsidP="009E5AC3">
      <w:pPr>
        <w:pStyle w:val="RegSingleTxtG"/>
        <w:numPr>
          <w:ilvl w:val="0"/>
          <w:numId w:val="0"/>
        </w:numPr>
        <w:tabs>
          <w:tab w:val="left" w:pos="568"/>
        </w:tabs>
        <w:ind w:left="1135"/>
      </w:pPr>
      <w:r w:rsidRPr="003F6AE8">
        <w:t>4.</w:t>
      </w:r>
      <w:r w:rsidRPr="003F6AE8">
        <w:tab/>
      </w:r>
      <w:r w:rsidR="00F32DCA">
        <w:rPr>
          <w:i/>
        </w:rPr>
        <w:t>Further r</w:t>
      </w:r>
      <w:r w:rsidR="00F32DCA" w:rsidRPr="002D17B6">
        <w:rPr>
          <w:i/>
        </w:rPr>
        <w:t>equests</w:t>
      </w:r>
      <w:r w:rsidR="00F32DCA">
        <w:rPr>
          <w:i/>
        </w:rPr>
        <w:t xml:space="preserve"> </w:t>
      </w:r>
      <w:r w:rsidR="00F32DCA" w:rsidRPr="003F6AE8">
        <w:t>the Standing Committee on Finance to report to the Conference of the Parties serving as the meeting of the Parties to the Paris Agreement at its fourth session on progress in implementing its 2022 workplan;</w:t>
      </w:r>
      <w:r w:rsidR="00F32DCA" w:rsidRPr="00EC0007">
        <w:rPr>
          <w:rStyle w:val="FootnoteReference"/>
          <w:noProof/>
          <w:color w:val="000000"/>
        </w:rPr>
        <w:footnoteReference w:id="14"/>
      </w:r>
    </w:p>
    <w:p w14:paraId="4DA9D801" w14:textId="2C1A63FA" w:rsidR="00F32DCA" w:rsidRPr="00A516AF" w:rsidRDefault="009E5AC3" w:rsidP="009E5AC3">
      <w:pPr>
        <w:pStyle w:val="RegSingleTxtG"/>
        <w:numPr>
          <w:ilvl w:val="0"/>
          <w:numId w:val="0"/>
        </w:numPr>
        <w:tabs>
          <w:tab w:val="left" w:pos="568"/>
        </w:tabs>
        <w:ind w:left="1135"/>
      </w:pPr>
      <w:r w:rsidRPr="00A516AF">
        <w:t>5.</w:t>
      </w:r>
      <w:r w:rsidRPr="00A516AF">
        <w:tab/>
      </w:r>
      <w:r w:rsidR="00F32DCA">
        <w:rPr>
          <w:i/>
        </w:rPr>
        <w:t>R</w:t>
      </w:r>
      <w:r w:rsidR="00F32DCA" w:rsidRPr="002D17B6">
        <w:rPr>
          <w:i/>
        </w:rPr>
        <w:t>equests</w:t>
      </w:r>
      <w:r w:rsidR="00F32DCA">
        <w:rPr>
          <w:i/>
        </w:rPr>
        <w:t xml:space="preserve"> </w:t>
      </w:r>
      <w:r w:rsidR="00F32DCA" w:rsidRPr="003F6AE8">
        <w:t>the Standing Committee on Finance to consider the guidance provided to it in other relevant decisions of the Conference of the Parties serving as the meeting of the Parties to the Paris Agreement</w:t>
      </w:r>
      <w:r w:rsidR="00F32DCA">
        <w:t>.</w:t>
      </w:r>
    </w:p>
    <w:p w14:paraId="6A230B4F" w14:textId="77777777" w:rsidR="00F32DCA" w:rsidRDefault="00F32DCA" w:rsidP="00F32DCA">
      <w:pPr>
        <w:spacing w:before="240"/>
        <w:ind w:left="1134" w:right="1134"/>
        <w:jc w:val="right"/>
        <w:rPr>
          <w:i/>
        </w:rPr>
        <w:sectPr w:rsidR="00F32DCA" w:rsidSect="00265564">
          <w:headerReference w:type="even" r:id="rId34"/>
          <w:headerReference w:type="default" r:id="rId35"/>
          <w:footerReference w:type="even" r:id="rId36"/>
          <w:footerReference w:type="default" r:id="rId37"/>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68EF0EA2" w14:textId="62816D81" w:rsidR="00970223" w:rsidRDefault="00970223" w:rsidP="009E5AC3">
      <w:pPr>
        <w:pStyle w:val="RegHChG"/>
        <w:numPr>
          <w:ilvl w:val="0"/>
          <w:numId w:val="0"/>
        </w:numPr>
        <w:spacing w:before="120"/>
        <w:ind w:left="1134" w:hanging="454"/>
      </w:pPr>
      <w:bookmarkStart w:id="14" w:name="Decision11"/>
      <w:r>
        <w:lastRenderedPageBreak/>
        <w:t>Decision 11/CMA.3</w:t>
      </w:r>
    </w:p>
    <w:bookmarkEnd w:id="14"/>
    <w:p w14:paraId="36113C3C" w14:textId="1CFE1CEA" w:rsidR="00970223" w:rsidRPr="00820826" w:rsidRDefault="00DD296F" w:rsidP="009E5AC3">
      <w:pPr>
        <w:pStyle w:val="RegHChG"/>
        <w:numPr>
          <w:ilvl w:val="0"/>
          <w:numId w:val="0"/>
        </w:numPr>
        <w:ind w:left="1135" w:hanging="454"/>
      </w:pPr>
      <w:r>
        <w:t>Guidance to the Green Climate Fund</w:t>
      </w:r>
    </w:p>
    <w:p w14:paraId="4AE197CE" w14:textId="77777777" w:rsidR="004C6532" w:rsidRPr="00C720DC" w:rsidRDefault="004C6532" w:rsidP="004C6532">
      <w:pPr>
        <w:pStyle w:val="RegSingleTxtG"/>
        <w:numPr>
          <w:ilvl w:val="0"/>
          <w:numId w:val="0"/>
        </w:numPr>
        <w:tabs>
          <w:tab w:val="clear" w:pos="1701"/>
        </w:tabs>
        <w:ind w:left="1134" w:right="1133" w:firstLine="567"/>
        <w:rPr>
          <w:i/>
        </w:rPr>
      </w:pPr>
      <w:r w:rsidRPr="00C720DC" w:rsidDel="00673F06">
        <w:rPr>
          <w:i/>
          <w:color w:val="000000"/>
        </w:rPr>
        <w:t>The</w:t>
      </w:r>
      <w:r w:rsidRPr="00C720DC" w:rsidDel="00673F06">
        <w:rPr>
          <w:i/>
        </w:rPr>
        <w:t xml:space="preserve"> Conference of the Parties serving as the meeting of the Parties to the Paris Agreement</w:t>
      </w:r>
      <w:r w:rsidRPr="0000685E" w:rsidDel="00673F06">
        <w:t>,</w:t>
      </w:r>
    </w:p>
    <w:p w14:paraId="4B898E21" w14:textId="68AC1123" w:rsidR="004C6532" w:rsidRPr="00E1573B" w:rsidRDefault="009E5AC3" w:rsidP="009E5AC3">
      <w:pPr>
        <w:pStyle w:val="RegSingleTxtG"/>
        <w:numPr>
          <w:ilvl w:val="0"/>
          <w:numId w:val="0"/>
        </w:numPr>
        <w:ind w:left="1134"/>
      </w:pPr>
      <w:r w:rsidRPr="00E1573B">
        <w:t>1.</w:t>
      </w:r>
      <w:r w:rsidRPr="00E1573B">
        <w:tab/>
      </w:r>
      <w:r w:rsidR="004C6532" w:rsidRPr="004C6532">
        <w:rPr>
          <w:i/>
        </w:rPr>
        <w:t>Recommends</w:t>
      </w:r>
      <w:r w:rsidR="004C6532" w:rsidRPr="00E1573B">
        <w:t xml:space="preserve"> that the Conference of the Parties at its twenty-sixth session transmit to the Green Climate Fund the guidance contained in paragraphs </w:t>
      </w:r>
      <w:r w:rsidR="004C6532">
        <w:t>2</w:t>
      </w:r>
      <w:r w:rsidR="004C6532" w:rsidRPr="00E1573B">
        <w:t>–</w:t>
      </w:r>
      <w:r w:rsidR="004C6532">
        <w:t>8</w:t>
      </w:r>
      <w:r w:rsidR="004C6532" w:rsidRPr="00E1573B">
        <w:t xml:space="preserve"> below;</w:t>
      </w:r>
      <w:r w:rsidR="004C6532" w:rsidRPr="00E1573B">
        <w:rPr>
          <w:rStyle w:val="FootnoteReference"/>
        </w:rPr>
        <w:footnoteReference w:id="15"/>
      </w:r>
    </w:p>
    <w:p w14:paraId="771E6F16" w14:textId="3748387E" w:rsidR="004C6532" w:rsidRPr="00E1573B" w:rsidRDefault="009E5AC3" w:rsidP="009E5AC3">
      <w:pPr>
        <w:pStyle w:val="RegSingleTxtG"/>
        <w:numPr>
          <w:ilvl w:val="0"/>
          <w:numId w:val="0"/>
        </w:numPr>
        <w:ind w:left="1134"/>
      </w:pPr>
      <w:r w:rsidRPr="00E1573B">
        <w:t>2.</w:t>
      </w:r>
      <w:r w:rsidRPr="00E1573B">
        <w:tab/>
      </w:r>
      <w:r w:rsidR="004C6532" w:rsidRPr="00E1573B">
        <w:rPr>
          <w:i/>
        </w:rPr>
        <w:t>Welcomes</w:t>
      </w:r>
      <w:r w:rsidR="004C6532" w:rsidRPr="00E1573B">
        <w:t xml:space="preserve"> the reports of the Green Climate Fund to the Conference of the Parties at its twenty-sixth session,</w:t>
      </w:r>
      <w:r w:rsidR="004C6532" w:rsidRPr="00E1573B">
        <w:rPr>
          <w:sz w:val="18"/>
          <w:szCs w:val="18"/>
          <w:vertAlign w:val="superscript"/>
        </w:rPr>
        <w:footnoteReference w:id="16"/>
      </w:r>
      <w:r w:rsidR="004C6532" w:rsidRPr="00E1573B">
        <w:t xml:space="preserve"> including the list of actions taken by the Board of the Green Climate Fund (hereinafter referred to as the Board) in response to guidance received from the Conference of the Parties serving as the meeting of the Parties to the Paris Agreement;</w:t>
      </w:r>
      <w:r w:rsidR="004C6532" w:rsidRPr="00E1573B">
        <w:rPr>
          <w:i/>
        </w:rPr>
        <w:t xml:space="preserve"> </w:t>
      </w:r>
    </w:p>
    <w:p w14:paraId="65989CCB" w14:textId="0BC247C6" w:rsidR="004C6532" w:rsidRPr="00E1573B" w:rsidRDefault="009E5AC3" w:rsidP="009E5AC3">
      <w:pPr>
        <w:pStyle w:val="RegSingleTxtG"/>
        <w:numPr>
          <w:ilvl w:val="0"/>
          <w:numId w:val="0"/>
        </w:numPr>
        <w:ind w:left="1134"/>
      </w:pPr>
      <w:r w:rsidRPr="00E1573B">
        <w:t>3.</w:t>
      </w:r>
      <w:r w:rsidRPr="00E1573B">
        <w:tab/>
      </w:r>
      <w:r w:rsidR="004C6532">
        <w:rPr>
          <w:i/>
        </w:rPr>
        <w:t>Also</w:t>
      </w:r>
      <w:r w:rsidR="004C6532" w:rsidRPr="00E1573B">
        <w:t xml:space="preserve"> </w:t>
      </w:r>
      <w:r w:rsidR="004C6532" w:rsidRPr="00E1573B">
        <w:rPr>
          <w:i/>
        </w:rPr>
        <w:t>welcomes</w:t>
      </w:r>
      <w:r w:rsidR="004C6532" w:rsidRPr="00E1573B">
        <w:t xml:space="preserve"> the continued efforts of the Green Climate Fund to make a significant and ambitious contribution to the global effort to meet the goals set by the international community in relation to combating climate change;</w:t>
      </w:r>
    </w:p>
    <w:p w14:paraId="2AC4170D" w14:textId="02D900B2" w:rsidR="004C6532" w:rsidRPr="00E1573B" w:rsidRDefault="009E5AC3" w:rsidP="009E5AC3">
      <w:pPr>
        <w:pStyle w:val="RegSingleTxtG"/>
        <w:numPr>
          <w:ilvl w:val="0"/>
          <w:numId w:val="0"/>
        </w:numPr>
        <w:ind w:left="1134"/>
      </w:pPr>
      <w:bookmarkStart w:id="15" w:name="_Hlk87476026"/>
      <w:r w:rsidRPr="00E1573B">
        <w:t>4.</w:t>
      </w:r>
      <w:r w:rsidRPr="00E1573B">
        <w:tab/>
      </w:r>
      <w:r w:rsidR="004C6532" w:rsidRPr="00E1573B">
        <w:rPr>
          <w:i/>
        </w:rPr>
        <w:t>Takes note</w:t>
      </w:r>
      <w:r w:rsidR="004C6532" w:rsidRPr="00E1573B">
        <w:t xml:space="preserve"> of the continued efforts of the Board to provide financial resources for activities relevant to averting, minimizing and addressing loss and damage in developing country Parties consistent with the existing investment</w:t>
      </w:r>
      <w:r w:rsidR="00840E07">
        <w:t>,</w:t>
      </w:r>
      <w:r w:rsidR="004C6532" w:rsidRPr="00E1573B">
        <w:t xml:space="preserve"> results framework</w:t>
      </w:r>
      <w:r w:rsidR="004C6532">
        <w:t xml:space="preserve"> and </w:t>
      </w:r>
      <w:r w:rsidR="004C6532" w:rsidRPr="00E1573B">
        <w:t>funding windows and structures of the Green Climate Fund, including through the Project Preparation Facility and the Readiness and Preparatory Support Programme</w:t>
      </w:r>
      <w:bookmarkEnd w:id="15"/>
      <w:r w:rsidR="004C6532" w:rsidRPr="00E1573B">
        <w:t>;</w:t>
      </w:r>
    </w:p>
    <w:p w14:paraId="3FB51880" w14:textId="40045FB9" w:rsidR="004C6532" w:rsidRPr="00E1573B" w:rsidRDefault="009E5AC3" w:rsidP="009E5AC3">
      <w:pPr>
        <w:pStyle w:val="RegSingleTxtG"/>
        <w:numPr>
          <w:ilvl w:val="0"/>
          <w:numId w:val="0"/>
        </w:numPr>
        <w:ind w:left="1134"/>
      </w:pPr>
      <w:r w:rsidRPr="00E1573B">
        <w:t>5.</w:t>
      </w:r>
      <w:r w:rsidRPr="00E1573B">
        <w:tab/>
      </w:r>
      <w:r w:rsidR="004C6532" w:rsidRPr="00E1573B">
        <w:rPr>
          <w:i/>
        </w:rPr>
        <w:t>Welcomes</w:t>
      </w:r>
      <w:r w:rsidR="004C6532" w:rsidRPr="00E1573B">
        <w:t xml:space="preserve"> the Updated Strategic Plan </w:t>
      </w:r>
      <w:r w:rsidR="004C6532">
        <w:t xml:space="preserve">for the Green Climate Fund </w:t>
      </w:r>
      <w:r w:rsidR="004C6532" w:rsidRPr="00E1573B">
        <w:t>for 2020–2023</w:t>
      </w:r>
      <w:r w:rsidR="004C6532">
        <w:t>,</w:t>
      </w:r>
      <w:r w:rsidR="004C6532">
        <w:rPr>
          <w:rStyle w:val="FootnoteReference"/>
        </w:rPr>
        <w:footnoteReference w:id="17"/>
      </w:r>
      <w:r w:rsidR="004C6532">
        <w:t xml:space="preserve"> which is aimed at, inter alia, supporting the Board in guiding and enabling Green Climate Fund programming to promote paradigm shift across both high-impact areas of mitigation potential and countries’ adaptation and resilience needs, including by supporting a wider alignment of financial flows with countries’ climate plans and strategies consistent </w:t>
      </w:r>
      <w:r w:rsidR="004C6532" w:rsidRPr="00B837A5">
        <w:t xml:space="preserve">with </w:t>
      </w:r>
      <w:r w:rsidR="004C6532">
        <w:t>a</w:t>
      </w:r>
      <w:r w:rsidR="004C6532" w:rsidRPr="00B837A5">
        <w:t xml:space="preserve"> pathway towards low</w:t>
      </w:r>
      <w:r w:rsidR="004C6532">
        <w:t>-</w:t>
      </w:r>
      <w:r w:rsidR="004C6532" w:rsidRPr="00B837A5">
        <w:t>emission and climate</w:t>
      </w:r>
      <w:r w:rsidR="004C6532">
        <w:t>-</w:t>
      </w:r>
      <w:r w:rsidR="004C6532" w:rsidRPr="00B837A5">
        <w:t>resilient development</w:t>
      </w:r>
      <w:r w:rsidR="004C6532" w:rsidRPr="00E1573B">
        <w:t>;</w:t>
      </w:r>
    </w:p>
    <w:p w14:paraId="2179CAFB" w14:textId="544396FE" w:rsidR="004C6532" w:rsidRPr="00E1573B" w:rsidRDefault="009E5AC3" w:rsidP="009E5AC3">
      <w:pPr>
        <w:pStyle w:val="RegSingleTxtG"/>
        <w:numPr>
          <w:ilvl w:val="0"/>
          <w:numId w:val="0"/>
        </w:numPr>
        <w:ind w:left="1134"/>
      </w:pPr>
      <w:r w:rsidRPr="00E1573B">
        <w:t>6.</w:t>
      </w:r>
      <w:r w:rsidRPr="00E1573B">
        <w:tab/>
      </w:r>
      <w:r w:rsidR="004C6532" w:rsidRPr="00EE1279">
        <w:rPr>
          <w:i/>
        </w:rPr>
        <w:t>Requests</w:t>
      </w:r>
      <w:r w:rsidR="004C6532">
        <w:t xml:space="preserve"> the Board to continue to enhance support for mitigation proposals, in line with the governing instrument and investment framework, that support countries in contributing to holding the increase in the global average temperature to well below 2</w:t>
      </w:r>
      <w:r w:rsidR="00031999">
        <w:t xml:space="preserve"> </w:t>
      </w:r>
      <w:r w:rsidR="004C6532">
        <w:t>°C above pre-industrial levels and pursuing efforts to limit the temperature increase to 1.5</w:t>
      </w:r>
      <w:r w:rsidR="00031999">
        <w:t xml:space="preserve"> </w:t>
      </w:r>
      <w:r w:rsidR="004C6532">
        <w:t>°C above pre-industrial levels;</w:t>
      </w:r>
    </w:p>
    <w:p w14:paraId="586CC8E9" w14:textId="7D76DE85" w:rsidR="004C6532" w:rsidRPr="00E1573B" w:rsidRDefault="009E5AC3" w:rsidP="009E5AC3">
      <w:pPr>
        <w:pStyle w:val="RegSingleTxtG"/>
        <w:numPr>
          <w:ilvl w:val="0"/>
          <w:numId w:val="0"/>
        </w:numPr>
        <w:ind w:left="1134"/>
      </w:pPr>
      <w:r w:rsidRPr="00E1573B">
        <w:t>7.</w:t>
      </w:r>
      <w:r w:rsidRPr="00E1573B">
        <w:tab/>
      </w:r>
      <w:r w:rsidR="004C6532">
        <w:rPr>
          <w:i/>
        </w:rPr>
        <w:t>T</w:t>
      </w:r>
      <w:r w:rsidR="004C6532" w:rsidRPr="00E1573B">
        <w:rPr>
          <w:i/>
        </w:rPr>
        <w:t>akes note</w:t>
      </w:r>
      <w:r w:rsidR="004C6532" w:rsidRPr="00E1573B">
        <w:t xml:space="preserve"> of the exceptional circumstances of the coronavirus disease 2019 pandemic and its significant impact on the </w:t>
      </w:r>
      <w:r w:rsidR="004C6532">
        <w:t xml:space="preserve">implementation of the </w:t>
      </w:r>
      <w:r w:rsidR="004C6532" w:rsidRPr="00E1573B">
        <w:t>Board’s updated four-year workplan</w:t>
      </w:r>
      <w:r w:rsidR="004C6532">
        <w:t xml:space="preserve">, </w:t>
      </w:r>
      <w:r w:rsidR="004C6532" w:rsidRPr="00155C6F">
        <w:rPr>
          <w:i/>
        </w:rPr>
        <w:t>recognizes</w:t>
      </w:r>
      <w:r w:rsidR="004C6532">
        <w:t xml:space="preserve"> the Board’s efforts during that period and </w:t>
      </w:r>
      <w:r w:rsidR="004C6532" w:rsidRPr="00155C6F">
        <w:rPr>
          <w:i/>
        </w:rPr>
        <w:t>encourages</w:t>
      </w:r>
      <w:r w:rsidR="004C6532">
        <w:t xml:space="preserve"> the </w:t>
      </w:r>
      <w:r w:rsidR="004C6532" w:rsidRPr="00E1573B">
        <w:t xml:space="preserve">Board to </w:t>
      </w:r>
      <w:r w:rsidR="004C6532">
        <w:t xml:space="preserve">continue to </w:t>
      </w:r>
      <w:r w:rsidR="004C6532" w:rsidRPr="00E1573B">
        <w:t xml:space="preserve">improve the efficiency and effectiveness </w:t>
      </w:r>
      <w:r w:rsidR="004C6532">
        <w:t>of its work</w:t>
      </w:r>
      <w:r w:rsidR="004C6532" w:rsidRPr="00E1573B">
        <w:t>;</w:t>
      </w:r>
    </w:p>
    <w:p w14:paraId="31426C39" w14:textId="1194330B" w:rsidR="008C1A24" w:rsidRDefault="009E5AC3" w:rsidP="009E5AC3">
      <w:pPr>
        <w:pStyle w:val="RegSingleTxtG"/>
        <w:numPr>
          <w:ilvl w:val="0"/>
          <w:numId w:val="0"/>
        </w:numPr>
        <w:ind w:left="1134"/>
      </w:pPr>
      <w:r>
        <w:t>8.</w:t>
      </w:r>
      <w:r>
        <w:tab/>
      </w:r>
      <w:r w:rsidR="004C6532" w:rsidRPr="006B1FA0">
        <w:rPr>
          <w:i/>
        </w:rPr>
        <w:t>Requests</w:t>
      </w:r>
      <w:r w:rsidR="004C6532">
        <w:t xml:space="preserve"> the Board to continue to enhance support for the implementation of adaptation projects and programmes, in line with the governing instrument, informed by national adaptation plans and other voluntary adaptation planning processes, and adaptation communications, including those submitted as components of n</w:t>
      </w:r>
      <w:r w:rsidR="004C6532" w:rsidRPr="00C70381">
        <w:t>ationally determined contribution</w:t>
      </w:r>
      <w:r w:rsidR="004C6532">
        <w:t>s, as applicable, with a view to contributing to the global goal on adaptation to enhance adaptive capacity, strengthen resilience and reduce vulnerability to climate change, and in line with the guiding principles and factors for determining terms of financial instruments.</w:t>
      </w:r>
      <w:r w:rsidR="004C6532">
        <w:rPr>
          <w:rStyle w:val="FootnoteReference"/>
        </w:rPr>
        <w:footnoteReference w:id="18"/>
      </w:r>
    </w:p>
    <w:p w14:paraId="20D69819" w14:textId="77777777" w:rsidR="00C67FD4" w:rsidRDefault="00C67FD4" w:rsidP="00C67FD4">
      <w:pPr>
        <w:spacing w:before="240"/>
        <w:ind w:left="1134" w:right="1134"/>
        <w:jc w:val="right"/>
        <w:rPr>
          <w:i/>
        </w:rPr>
        <w:sectPr w:rsidR="00C67FD4" w:rsidSect="00265564">
          <w:headerReference w:type="even" r:id="rId38"/>
          <w:headerReference w:type="default" r:id="rId39"/>
          <w:footerReference w:type="even" r:id="rId40"/>
          <w:footerReference w:type="default" r:id="rId41"/>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4E298799" w14:textId="64CBE981" w:rsidR="00C67FD4" w:rsidRDefault="00C67FD4" w:rsidP="009E5AC3">
      <w:pPr>
        <w:pStyle w:val="RegHChG"/>
        <w:numPr>
          <w:ilvl w:val="0"/>
          <w:numId w:val="0"/>
        </w:numPr>
        <w:spacing w:before="120"/>
        <w:ind w:left="1134" w:hanging="454"/>
      </w:pPr>
      <w:bookmarkStart w:id="16" w:name="Decision12"/>
      <w:r>
        <w:lastRenderedPageBreak/>
        <w:t>Decision 12/CMA.3</w:t>
      </w:r>
    </w:p>
    <w:bookmarkEnd w:id="16"/>
    <w:p w14:paraId="2A43E2FB" w14:textId="2D9B9388" w:rsidR="00C67FD4" w:rsidRPr="00820826" w:rsidRDefault="00C67FD4" w:rsidP="009E5AC3">
      <w:pPr>
        <w:pStyle w:val="RegHChG"/>
        <w:numPr>
          <w:ilvl w:val="0"/>
          <w:numId w:val="0"/>
        </w:numPr>
        <w:ind w:left="1135" w:hanging="454"/>
      </w:pPr>
      <w:r>
        <w:t>Guidance to the G</w:t>
      </w:r>
      <w:r w:rsidR="004F0DCC">
        <w:t>lobal Environment Facility</w:t>
      </w:r>
    </w:p>
    <w:p w14:paraId="1D94E23C" w14:textId="629FC6AF" w:rsidR="00272AEC" w:rsidRPr="00E65270" w:rsidRDefault="00272AEC" w:rsidP="00272AEC">
      <w:pPr>
        <w:pStyle w:val="RegSingleTxtG"/>
        <w:numPr>
          <w:ilvl w:val="0"/>
          <w:numId w:val="0"/>
        </w:numPr>
        <w:ind w:left="1134"/>
      </w:pPr>
      <w:r>
        <w:rPr>
          <w:i/>
          <w:iCs/>
        </w:rPr>
        <w:tab/>
      </w:r>
      <w:r w:rsidRPr="00E65270">
        <w:rPr>
          <w:i/>
          <w:iCs/>
        </w:rPr>
        <w:t>The Conference of the Parties serving as the meeting of the Parties to the Paris Agreement</w:t>
      </w:r>
      <w:r w:rsidRPr="00E65270">
        <w:t>,</w:t>
      </w:r>
    </w:p>
    <w:p w14:paraId="73B7D682" w14:textId="77777777" w:rsidR="00272AEC" w:rsidRPr="00C571AC" w:rsidRDefault="00272AEC" w:rsidP="00272AEC">
      <w:pPr>
        <w:pStyle w:val="RegSingleTxtG"/>
        <w:numPr>
          <w:ilvl w:val="0"/>
          <w:numId w:val="0"/>
        </w:numPr>
        <w:ind w:left="1134"/>
      </w:pPr>
      <w:r w:rsidRPr="00C571AC">
        <w:rPr>
          <w:i/>
        </w:rPr>
        <w:tab/>
        <w:t xml:space="preserve">Recalling </w:t>
      </w:r>
      <w:r w:rsidRPr="00C571AC">
        <w:t>decision 7/CMA.2,</w:t>
      </w:r>
    </w:p>
    <w:p w14:paraId="6EAD3AB3" w14:textId="77777777" w:rsidR="00272AEC" w:rsidRPr="006312E4" w:rsidRDefault="00272AEC" w:rsidP="00272AEC">
      <w:pPr>
        <w:pStyle w:val="RegSingleTxtG"/>
        <w:numPr>
          <w:ilvl w:val="0"/>
          <w:numId w:val="0"/>
        </w:numPr>
        <w:ind w:left="1134"/>
        <w:rPr>
          <w:bCs/>
          <w:iCs/>
        </w:rPr>
      </w:pPr>
      <w:r w:rsidRPr="00C571AC">
        <w:rPr>
          <w:i/>
        </w:rPr>
        <w:tab/>
      </w:r>
      <w:r w:rsidRPr="006312E4">
        <w:rPr>
          <w:bCs/>
          <w:i/>
          <w:iCs/>
        </w:rPr>
        <w:t xml:space="preserve">Noting </w:t>
      </w:r>
      <w:r w:rsidRPr="006312E4">
        <w:rPr>
          <w:bCs/>
          <w:iCs/>
        </w:rPr>
        <w:t>paragraph 9(b) of the</w:t>
      </w:r>
      <w:r w:rsidRPr="00C571AC">
        <w:t xml:space="preserve"> </w:t>
      </w:r>
      <w:r w:rsidRPr="00C571AC">
        <w:rPr>
          <w:rFonts w:eastAsia="Batang"/>
          <w:lang w:eastAsia="en-US"/>
        </w:rPr>
        <w:t>Instrument for the Establishment of the Restructured Global Environment Facility,</w:t>
      </w:r>
      <w:r w:rsidRPr="00C571AC">
        <w:rPr>
          <w:rStyle w:val="FootnoteReference"/>
          <w:rFonts w:eastAsia="Batang"/>
          <w:lang w:eastAsia="en-US"/>
        </w:rPr>
        <w:footnoteReference w:id="19"/>
      </w:r>
      <w:r w:rsidRPr="00C571AC">
        <w:t xml:space="preserve"> </w:t>
      </w:r>
    </w:p>
    <w:p w14:paraId="06B1E070" w14:textId="79CB915A" w:rsidR="00272AEC" w:rsidRPr="00272AEC" w:rsidRDefault="009E5AC3" w:rsidP="009E5AC3">
      <w:pPr>
        <w:pStyle w:val="RegSingleTxtG"/>
        <w:numPr>
          <w:ilvl w:val="0"/>
          <w:numId w:val="0"/>
        </w:numPr>
        <w:ind w:left="1134"/>
        <w:rPr>
          <w:b/>
          <w:bCs/>
        </w:rPr>
      </w:pPr>
      <w:r w:rsidRPr="00272AEC">
        <w:rPr>
          <w:bCs/>
        </w:rPr>
        <w:t>1.</w:t>
      </w:r>
      <w:r w:rsidRPr="00272AEC">
        <w:rPr>
          <w:bCs/>
        </w:rPr>
        <w:tab/>
      </w:r>
      <w:r w:rsidR="00272AEC" w:rsidRPr="00C571AC">
        <w:rPr>
          <w:i/>
        </w:rPr>
        <w:t xml:space="preserve">Recommends </w:t>
      </w:r>
      <w:r w:rsidR="00272AEC" w:rsidRPr="00C571AC">
        <w:t>that the Conference of the Parties at its twenty-sixth session transmit to the Global Environment Facility the guidance contained in paragraphs 2–10 below;</w:t>
      </w:r>
      <w:r w:rsidR="00272AEC" w:rsidRPr="00C571AC">
        <w:rPr>
          <w:rStyle w:val="FootnoteReference"/>
        </w:rPr>
        <w:footnoteReference w:id="20"/>
      </w:r>
    </w:p>
    <w:p w14:paraId="70FBE274" w14:textId="7B940D35" w:rsidR="00272AEC" w:rsidRPr="006312E4" w:rsidRDefault="009E5AC3" w:rsidP="009E5AC3">
      <w:pPr>
        <w:pStyle w:val="RegSingleTxtG"/>
        <w:numPr>
          <w:ilvl w:val="0"/>
          <w:numId w:val="0"/>
        </w:numPr>
        <w:ind w:left="1134"/>
      </w:pPr>
      <w:r w:rsidRPr="006312E4">
        <w:t>2.</w:t>
      </w:r>
      <w:r w:rsidRPr="006312E4">
        <w:tab/>
      </w:r>
      <w:r w:rsidR="00272AEC" w:rsidRPr="006312E4">
        <w:rPr>
          <w:i/>
        </w:rPr>
        <w:t xml:space="preserve">Calls upon </w:t>
      </w:r>
      <w:r w:rsidR="00272AEC" w:rsidRPr="006312E4">
        <w:t xml:space="preserve">developed country Parties to make financial contributions to the Global Environment Facility to contribute to a robust </w:t>
      </w:r>
      <w:r w:rsidR="00272AEC" w:rsidRPr="00C571AC">
        <w:t>eighth</w:t>
      </w:r>
      <w:r w:rsidR="00272AEC" w:rsidRPr="006312E4">
        <w:t xml:space="preserve"> replenishment of the Global Environment Facility to support developing countries in implementing the Paris Agreement and </w:t>
      </w:r>
      <w:r w:rsidR="00272AEC" w:rsidRPr="006312E4">
        <w:rPr>
          <w:i/>
        </w:rPr>
        <w:t>encourages</w:t>
      </w:r>
      <w:r w:rsidR="00272AEC" w:rsidRPr="006312E4">
        <w:t xml:space="preserve"> additional voluntary financial contributions to the eighth replenishment of the Global Environment Facility;</w:t>
      </w:r>
    </w:p>
    <w:p w14:paraId="0A2B7E12" w14:textId="013579F3" w:rsidR="00272AEC" w:rsidRPr="006312E4" w:rsidRDefault="009E5AC3" w:rsidP="009E5AC3">
      <w:pPr>
        <w:pStyle w:val="RegSingleTxtG"/>
        <w:numPr>
          <w:ilvl w:val="0"/>
          <w:numId w:val="0"/>
        </w:numPr>
        <w:ind w:left="1134"/>
        <w:rPr>
          <w:b/>
          <w:bCs/>
        </w:rPr>
      </w:pPr>
      <w:r w:rsidRPr="006312E4">
        <w:rPr>
          <w:bCs/>
        </w:rPr>
        <w:t>3.</w:t>
      </w:r>
      <w:r w:rsidRPr="006312E4">
        <w:rPr>
          <w:bCs/>
        </w:rPr>
        <w:tab/>
      </w:r>
      <w:r w:rsidR="00272AEC" w:rsidRPr="00C571AC">
        <w:rPr>
          <w:i/>
        </w:rPr>
        <w:t>Welcomes</w:t>
      </w:r>
      <w:r w:rsidR="00272AEC" w:rsidRPr="00C571AC">
        <w:t xml:space="preserve"> the actions taken by the </w:t>
      </w:r>
      <w:r w:rsidR="00272AEC" w:rsidRPr="006312E4">
        <w:rPr>
          <w:rFonts w:eastAsia="Calibri"/>
        </w:rPr>
        <w:t>Global Environment Facility</w:t>
      </w:r>
      <w:r w:rsidR="00272AEC" w:rsidRPr="00C571AC">
        <w:t xml:space="preserve"> to provide support to developing country Parties in accordance with Article 13, paragraphs 14–15, of the Paris Agreement for preparing their biennial transparency reports and </w:t>
      </w:r>
      <w:r w:rsidR="00272AEC" w:rsidRPr="006312E4">
        <w:t xml:space="preserve">building their institutional and technical capacity for </w:t>
      </w:r>
      <w:r w:rsidR="000313E2">
        <w:t xml:space="preserve">implementing </w:t>
      </w:r>
      <w:r w:rsidR="00272AEC" w:rsidRPr="006312E4">
        <w:t>the enhanced transparency framewor</w:t>
      </w:r>
      <w:r w:rsidR="00272AEC">
        <w:t>k under the Paris Agreement</w:t>
      </w:r>
      <w:r w:rsidR="00272AEC" w:rsidRPr="00C571AC">
        <w:t>;</w:t>
      </w:r>
    </w:p>
    <w:p w14:paraId="41902AD1" w14:textId="7B658893" w:rsidR="00272AEC" w:rsidRPr="006312E4" w:rsidRDefault="009E5AC3" w:rsidP="009E5AC3">
      <w:pPr>
        <w:pStyle w:val="RegSingleTxtG"/>
        <w:numPr>
          <w:ilvl w:val="0"/>
          <w:numId w:val="0"/>
        </w:numPr>
        <w:ind w:left="1134"/>
      </w:pPr>
      <w:r w:rsidRPr="006312E4">
        <w:t>4.</w:t>
      </w:r>
      <w:r w:rsidRPr="006312E4">
        <w:tab/>
      </w:r>
      <w:r w:rsidR="00272AEC">
        <w:rPr>
          <w:i/>
          <w:iCs/>
        </w:rPr>
        <w:t>Also welcomes</w:t>
      </w:r>
      <w:r w:rsidR="00272AEC" w:rsidRPr="006312E4">
        <w:t xml:space="preserve"> that the Capacity-building Initiative for Transparency, established pursuant to decision 1/CP.21, paragraph 84, will </w:t>
      </w:r>
      <w:r w:rsidR="00272AEC" w:rsidRPr="00C571AC">
        <w:t>continue</w:t>
      </w:r>
      <w:r w:rsidR="00272AEC" w:rsidRPr="006312E4">
        <w:t xml:space="preserve"> to support developing country Parties, upon their request, in building their institutional and technical capacity for </w:t>
      </w:r>
      <w:r w:rsidR="00230FC4">
        <w:t xml:space="preserve">implementing </w:t>
      </w:r>
      <w:r w:rsidR="00272AEC" w:rsidRPr="006312E4">
        <w:t xml:space="preserve">the enhanced transparency framework and </w:t>
      </w:r>
      <w:r w:rsidR="00272AEC" w:rsidRPr="006312E4">
        <w:rPr>
          <w:i/>
          <w:iCs/>
        </w:rPr>
        <w:t>encourages</w:t>
      </w:r>
      <w:r w:rsidR="00272AEC" w:rsidRPr="006312E4">
        <w:t xml:space="preserve"> the Global Environment Facility, Parties and implementing agencies to work collaboratively to ensure that this support is delivered in a timely manner;</w:t>
      </w:r>
    </w:p>
    <w:p w14:paraId="52C76931" w14:textId="0C4CDA76" w:rsidR="00272AEC" w:rsidRPr="002716C1" w:rsidRDefault="009E5AC3" w:rsidP="009E5AC3">
      <w:pPr>
        <w:pStyle w:val="RegSingleTxtG"/>
        <w:numPr>
          <w:ilvl w:val="0"/>
          <w:numId w:val="0"/>
        </w:numPr>
        <w:ind w:left="1134"/>
      </w:pPr>
      <w:r w:rsidRPr="002716C1">
        <w:t>5.</w:t>
      </w:r>
      <w:r w:rsidRPr="002716C1">
        <w:tab/>
      </w:r>
      <w:r w:rsidR="00272AEC">
        <w:rPr>
          <w:i/>
          <w:iCs/>
        </w:rPr>
        <w:t>R</w:t>
      </w:r>
      <w:r w:rsidR="00272AEC" w:rsidRPr="002716C1">
        <w:rPr>
          <w:i/>
          <w:iCs/>
        </w:rPr>
        <w:t>equests</w:t>
      </w:r>
      <w:r w:rsidR="00272AEC" w:rsidRPr="002716C1">
        <w:t xml:space="preserve"> the Global Environment Facility to </w:t>
      </w:r>
      <w:r w:rsidR="00272AEC" w:rsidRPr="00C571AC">
        <w:t>continue</w:t>
      </w:r>
      <w:r w:rsidR="00272AEC" w:rsidRPr="002716C1">
        <w:t xml:space="preserve"> to facilitate improved access to the Capacity-building Initiative for Transparency by developing country Parties;</w:t>
      </w:r>
    </w:p>
    <w:p w14:paraId="471B71C4" w14:textId="4FC9D067" w:rsidR="00272AEC" w:rsidRPr="00D35D7B" w:rsidRDefault="009E5AC3" w:rsidP="009E5AC3">
      <w:pPr>
        <w:pStyle w:val="RegSingleTxtG"/>
        <w:numPr>
          <w:ilvl w:val="0"/>
          <w:numId w:val="0"/>
        </w:numPr>
        <w:ind w:left="1134"/>
      </w:pPr>
      <w:r w:rsidRPr="00D35D7B">
        <w:t>6.</w:t>
      </w:r>
      <w:r w:rsidRPr="00D35D7B">
        <w:tab/>
      </w:r>
      <w:r w:rsidR="00272AEC">
        <w:rPr>
          <w:i/>
          <w:iCs/>
        </w:rPr>
        <w:t>Also r</w:t>
      </w:r>
      <w:r w:rsidR="00272AEC" w:rsidRPr="00D35D7B">
        <w:rPr>
          <w:i/>
          <w:iCs/>
        </w:rPr>
        <w:t xml:space="preserve">equests </w:t>
      </w:r>
      <w:r w:rsidR="00272AEC" w:rsidRPr="00D35D7B">
        <w:rPr>
          <w:iCs/>
        </w:rPr>
        <w:t xml:space="preserve">the </w:t>
      </w:r>
      <w:r w:rsidR="00272AEC" w:rsidRPr="00D35D7B">
        <w:t xml:space="preserve">Global Environment Facility </w:t>
      </w:r>
      <w:r w:rsidR="00272AEC" w:rsidRPr="00D35D7B">
        <w:rPr>
          <w:iCs/>
        </w:rPr>
        <w:t xml:space="preserve">to consider increasing </w:t>
      </w:r>
      <w:r w:rsidR="00272AEC">
        <w:rPr>
          <w:iCs/>
        </w:rPr>
        <w:t>its</w:t>
      </w:r>
      <w:r w:rsidR="00272AEC" w:rsidRPr="00D35D7B">
        <w:rPr>
          <w:iCs/>
        </w:rPr>
        <w:t xml:space="preserve"> support for </w:t>
      </w:r>
      <w:r w:rsidR="00204997">
        <w:rPr>
          <w:iCs/>
        </w:rPr>
        <w:t xml:space="preserve">implementation of </w:t>
      </w:r>
      <w:r w:rsidR="00272AEC" w:rsidRPr="00D35D7B">
        <w:rPr>
          <w:iCs/>
        </w:rPr>
        <w:t xml:space="preserve">the enhanced transparency framework </w:t>
      </w:r>
      <w:r w:rsidR="00272AEC">
        <w:rPr>
          <w:iCs/>
        </w:rPr>
        <w:t>as part of</w:t>
      </w:r>
      <w:r w:rsidR="00272AEC" w:rsidRPr="00D35D7B">
        <w:rPr>
          <w:iCs/>
        </w:rPr>
        <w:t xml:space="preserve"> its </w:t>
      </w:r>
      <w:r w:rsidR="00272AEC" w:rsidRPr="00F7063F">
        <w:rPr>
          <w:iCs/>
        </w:rPr>
        <w:t>eighth</w:t>
      </w:r>
      <w:r w:rsidR="00272AEC" w:rsidRPr="00D35D7B">
        <w:rPr>
          <w:iCs/>
        </w:rPr>
        <w:t xml:space="preserve"> </w:t>
      </w:r>
      <w:r w:rsidR="00272AEC" w:rsidRPr="00C571AC">
        <w:t>replenishment</w:t>
      </w:r>
      <w:r w:rsidR="00272AEC" w:rsidRPr="00D35D7B">
        <w:rPr>
          <w:iCs/>
        </w:rPr>
        <w:t xml:space="preserve"> process</w:t>
      </w:r>
      <w:r w:rsidR="00272AEC" w:rsidRPr="00D35D7B">
        <w:t>;</w:t>
      </w:r>
    </w:p>
    <w:p w14:paraId="02E83470" w14:textId="29BCEC81" w:rsidR="00272AEC" w:rsidRPr="00D35D7B" w:rsidRDefault="009E5AC3" w:rsidP="009E5AC3">
      <w:pPr>
        <w:pStyle w:val="RegSingleTxtG"/>
        <w:numPr>
          <w:ilvl w:val="0"/>
          <w:numId w:val="0"/>
        </w:numPr>
        <w:ind w:left="1134"/>
      </w:pPr>
      <w:r w:rsidRPr="00D35D7B">
        <w:t>7.</w:t>
      </w:r>
      <w:r w:rsidRPr="00D35D7B">
        <w:tab/>
      </w:r>
      <w:r w:rsidR="00272AEC" w:rsidRPr="00C571AC">
        <w:rPr>
          <w:i/>
        </w:rPr>
        <w:t>Further requests</w:t>
      </w:r>
      <w:r w:rsidR="00272AEC" w:rsidRPr="00D35D7B">
        <w:t xml:space="preserve"> the </w:t>
      </w:r>
      <w:r w:rsidR="00272AEC" w:rsidRPr="00D35D7B">
        <w:rPr>
          <w:rFonts w:eastAsia="Calibri"/>
        </w:rPr>
        <w:t xml:space="preserve">Global Environment Facility to contribute to the </w:t>
      </w:r>
      <w:r w:rsidR="00272AEC">
        <w:rPr>
          <w:rFonts w:eastAsia="Calibri"/>
        </w:rPr>
        <w:t>consideration of the support provided to developing country Parties referred to in</w:t>
      </w:r>
      <w:r w:rsidR="00272AEC" w:rsidRPr="00D35D7B">
        <w:rPr>
          <w:rFonts w:eastAsia="Calibri"/>
        </w:rPr>
        <w:t xml:space="preserve"> </w:t>
      </w:r>
      <w:r w:rsidR="00272AEC" w:rsidRPr="00506681">
        <w:rPr>
          <w:rFonts w:eastAsia="Calibri"/>
        </w:rPr>
        <w:t xml:space="preserve">decision </w:t>
      </w:r>
      <w:r w:rsidR="00373C62" w:rsidRPr="00506681">
        <w:rPr>
          <w:rFonts w:eastAsia="Calibri"/>
        </w:rPr>
        <w:t>5</w:t>
      </w:r>
      <w:r w:rsidR="00272AEC" w:rsidRPr="00506681">
        <w:rPr>
          <w:rFonts w:eastAsia="Calibri"/>
        </w:rPr>
        <w:t>/CMA.3</w:t>
      </w:r>
      <w:r w:rsidR="00A02388" w:rsidRPr="00EF05A6">
        <w:rPr>
          <w:rFonts w:eastAsia="Calibri"/>
        </w:rPr>
        <w:t>,</w:t>
      </w:r>
      <w:r w:rsidR="00A02388">
        <w:rPr>
          <w:rFonts w:eastAsia="Calibri"/>
        </w:rPr>
        <w:t xml:space="preserve"> paragraph 42,</w:t>
      </w:r>
      <w:r w:rsidR="00272AEC" w:rsidRPr="00D35D7B">
        <w:rPr>
          <w:rFonts w:eastAsia="Calibri"/>
        </w:rPr>
        <w:t xml:space="preserve"> </w:t>
      </w:r>
      <w:r w:rsidR="00272AEC">
        <w:rPr>
          <w:rFonts w:eastAsia="Calibri"/>
        </w:rPr>
        <w:t>by</w:t>
      </w:r>
      <w:r w:rsidR="00272AEC" w:rsidRPr="00D35D7B">
        <w:rPr>
          <w:rFonts w:eastAsia="Calibri"/>
        </w:rPr>
        <w:t xml:space="preserve">: </w:t>
      </w:r>
    </w:p>
    <w:p w14:paraId="21306410" w14:textId="5662DCC9" w:rsidR="00272AEC" w:rsidRPr="006312E4" w:rsidRDefault="009E5AC3" w:rsidP="009E5AC3">
      <w:pPr>
        <w:pStyle w:val="RegSingleTxtG2"/>
        <w:numPr>
          <w:ilvl w:val="0"/>
          <w:numId w:val="0"/>
        </w:numPr>
        <w:tabs>
          <w:tab w:val="left" w:pos="1702"/>
        </w:tabs>
        <w:ind w:left="1134" w:firstLine="567"/>
      </w:pPr>
      <w:r w:rsidRPr="006312E4">
        <w:rPr>
          <w:szCs w:val="28"/>
        </w:rPr>
        <w:t>(a)</w:t>
      </w:r>
      <w:r w:rsidRPr="006312E4">
        <w:rPr>
          <w:szCs w:val="28"/>
        </w:rPr>
        <w:tab/>
      </w:r>
      <w:r w:rsidR="00272AEC" w:rsidRPr="006312E4">
        <w:t>Estimat</w:t>
      </w:r>
      <w:r w:rsidR="00272AEC">
        <w:t>ing</w:t>
      </w:r>
      <w:r w:rsidR="00272AEC" w:rsidRPr="006312E4">
        <w:t xml:space="preserve"> the cost </w:t>
      </w:r>
      <w:r w:rsidR="00272AEC">
        <w:t xml:space="preserve">to developing countries of implementing </w:t>
      </w:r>
      <w:r w:rsidR="00272AEC" w:rsidRPr="006312E4">
        <w:t>the enhanced transparency framework</w:t>
      </w:r>
      <w:r w:rsidR="00272AEC">
        <w:t xml:space="preserve">, which includes </w:t>
      </w:r>
      <w:r w:rsidR="00272AEC" w:rsidRPr="00C571AC">
        <w:t>establishing</w:t>
      </w:r>
      <w:r w:rsidR="00272AEC">
        <w:t xml:space="preserve"> and enhancing a reporting system, as well as</w:t>
      </w:r>
      <w:r w:rsidR="00272AEC" w:rsidRPr="006312E4">
        <w:t xml:space="preserve"> the </w:t>
      </w:r>
      <w:r w:rsidR="00272AEC">
        <w:t xml:space="preserve">full agreed </w:t>
      </w:r>
      <w:r w:rsidR="00272AEC" w:rsidRPr="006312E4">
        <w:t xml:space="preserve">cost </w:t>
      </w:r>
      <w:r w:rsidR="00272AEC">
        <w:t xml:space="preserve">of </w:t>
      </w:r>
      <w:r w:rsidR="00272AEC" w:rsidRPr="006312E4">
        <w:t xml:space="preserve">reporting </w:t>
      </w:r>
      <w:r w:rsidR="00272AEC">
        <w:t xml:space="preserve">and the cost of </w:t>
      </w:r>
      <w:r w:rsidR="00272AEC" w:rsidRPr="006312E4">
        <w:t>capacity-building</w:t>
      </w:r>
      <w:r w:rsidR="00272AEC">
        <w:t xml:space="preserve"> for reporting</w:t>
      </w:r>
      <w:r w:rsidR="00272AEC" w:rsidRPr="006312E4">
        <w:t>;</w:t>
      </w:r>
    </w:p>
    <w:p w14:paraId="587B7635" w14:textId="6EF55FA3" w:rsidR="00272AEC" w:rsidRPr="006312E4" w:rsidRDefault="009E5AC3" w:rsidP="009E5AC3">
      <w:pPr>
        <w:pStyle w:val="RegSingleTxtG2"/>
        <w:numPr>
          <w:ilvl w:val="0"/>
          <w:numId w:val="0"/>
        </w:numPr>
        <w:tabs>
          <w:tab w:val="left" w:pos="1702"/>
        </w:tabs>
        <w:ind w:left="1134" w:firstLine="567"/>
      </w:pPr>
      <w:r w:rsidRPr="006312E4">
        <w:rPr>
          <w:szCs w:val="28"/>
        </w:rPr>
        <w:t>(b)</w:t>
      </w:r>
      <w:r w:rsidRPr="006312E4">
        <w:rPr>
          <w:szCs w:val="28"/>
        </w:rPr>
        <w:tab/>
      </w:r>
      <w:r w:rsidR="00272AEC">
        <w:t>Considering how to adequately incorporate the costs referred to in paragraph</w:t>
      </w:r>
      <w:r w:rsidR="00637EBF">
        <w:t> </w:t>
      </w:r>
      <w:r w:rsidR="00272AEC">
        <w:t xml:space="preserve">7(a) above into the set-aside of the eighth replenishment process of the Global Environment Facility, while taking the necessary </w:t>
      </w:r>
      <w:r w:rsidR="00272AEC" w:rsidRPr="00C571AC">
        <w:t>measures</w:t>
      </w:r>
      <w:r w:rsidR="00272AEC">
        <w:t xml:space="preserve"> to ensure, as appropriate, that the set-aside does not impact </w:t>
      </w:r>
      <w:r w:rsidR="00272AEC" w:rsidRPr="006312E4">
        <w:t xml:space="preserve">the </w:t>
      </w:r>
      <w:r w:rsidR="00272AEC" w:rsidRPr="002F042B">
        <w:t>allocation of resources to developing countries under the System for Transparent Allocation of Resources</w:t>
      </w:r>
      <w:r w:rsidR="00272AEC" w:rsidRPr="006312E4">
        <w:t>;</w:t>
      </w:r>
    </w:p>
    <w:p w14:paraId="1372A92C" w14:textId="71FC166E" w:rsidR="00272AEC" w:rsidRDefault="009E5AC3" w:rsidP="009E5AC3">
      <w:pPr>
        <w:pStyle w:val="RegSingleTxtG2"/>
        <w:numPr>
          <w:ilvl w:val="0"/>
          <w:numId w:val="0"/>
        </w:numPr>
        <w:tabs>
          <w:tab w:val="left" w:pos="1702"/>
        </w:tabs>
        <w:ind w:left="1134" w:firstLine="567"/>
      </w:pPr>
      <w:r>
        <w:rPr>
          <w:szCs w:val="28"/>
        </w:rPr>
        <w:t>(c)</w:t>
      </w:r>
      <w:r>
        <w:rPr>
          <w:szCs w:val="28"/>
        </w:rPr>
        <w:tab/>
      </w:r>
      <w:r w:rsidR="00272AEC" w:rsidRPr="006312E4">
        <w:t>Report</w:t>
      </w:r>
      <w:r w:rsidR="00272AEC">
        <w:t>ing</w:t>
      </w:r>
      <w:r w:rsidR="00272AEC" w:rsidRPr="006312E4">
        <w:t xml:space="preserve"> to the Conference of the Parties serving as the meeting of the Parties to the Paris Agreement at its fourth </w:t>
      </w:r>
      <w:r w:rsidR="00272AEC" w:rsidRPr="00C571AC">
        <w:t>session</w:t>
      </w:r>
      <w:r w:rsidR="00272AEC" w:rsidRPr="006312E4">
        <w:t xml:space="preserve"> (November 2022) on </w:t>
      </w:r>
      <w:r w:rsidR="00272AEC">
        <w:t>any</w:t>
      </w:r>
      <w:r w:rsidR="00272AEC" w:rsidRPr="006312E4">
        <w:t xml:space="preserve"> actions taken to </w:t>
      </w:r>
      <w:r w:rsidR="00272AEC" w:rsidRPr="006312E4">
        <w:lastRenderedPageBreak/>
        <w:t xml:space="preserve">implement the guidance contained in paragraph </w:t>
      </w:r>
      <w:r w:rsidR="00272AEC">
        <w:t>7</w:t>
      </w:r>
      <w:r w:rsidR="00272AEC" w:rsidRPr="006312E4">
        <w:t>(a–</w:t>
      </w:r>
      <w:r w:rsidR="00272AEC">
        <w:t>b</w:t>
      </w:r>
      <w:r w:rsidR="00272AEC" w:rsidRPr="006312E4">
        <w:t>) above and any changes to the estimated cost</w:t>
      </w:r>
      <w:r w:rsidR="00272AEC">
        <w:t>s</w:t>
      </w:r>
      <w:r w:rsidR="00272AEC" w:rsidRPr="006312E4">
        <w:t xml:space="preserve"> referred to in paragraph </w:t>
      </w:r>
      <w:r w:rsidR="00272AEC">
        <w:t>7</w:t>
      </w:r>
      <w:r w:rsidR="00272AEC" w:rsidRPr="006312E4">
        <w:t>(</w:t>
      </w:r>
      <w:r w:rsidR="00272AEC">
        <w:t>a</w:t>
      </w:r>
      <w:r w:rsidR="00272AEC" w:rsidRPr="006312E4">
        <w:t>) above;</w:t>
      </w:r>
    </w:p>
    <w:p w14:paraId="30D0AF43" w14:textId="798EAFD2" w:rsidR="00272AEC" w:rsidRPr="006312E4" w:rsidRDefault="009E5AC3" w:rsidP="009E5AC3">
      <w:pPr>
        <w:pStyle w:val="RegSingleTxtG2"/>
        <w:numPr>
          <w:ilvl w:val="0"/>
          <w:numId w:val="0"/>
        </w:numPr>
        <w:tabs>
          <w:tab w:val="left" w:pos="1702"/>
        </w:tabs>
        <w:ind w:left="1134" w:firstLine="567"/>
      </w:pPr>
      <w:r w:rsidRPr="006312E4">
        <w:rPr>
          <w:szCs w:val="28"/>
        </w:rPr>
        <w:t>(d)</w:t>
      </w:r>
      <w:r w:rsidRPr="006312E4">
        <w:rPr>
          <w:szCs w:val="28"/>
        </w:rPr>
        <w:tab/>
      </w:r>
      <w:r w:rsidR="00272AEC" w:rsidRPr="00234FB7">
        <w:t>Report</w:t>
      </w:r>
      <w:r w:rsidR="00272AEC">
        <w:t>ing</w:t>
      </w:r>
      <w:r w:rsidR="00272AEC" w:rsidRPr="00234FB7">
        <w:t xml:space="preserve"> to the Conference of the Parties serving as the meeting of the Parties to the Paris Agreement on activities and provision of support under the Capacity-building Initiative for Transparency and on the provision of support for reporting under the Paris Agreement, as well as monitor</w:t>
      </w:r>
      <w:r w:rsidR="00272AEC">
        <w:t>ing</w:t>
      </w:r>
      <w:r w:rsidR="00272AEC" w:rsidRPr="00234FB7">
        <w:t xml:space="preserve"> and report</w:t>
      </w:r>
      <w:r w:rsidR="00272AEC">
        <w:t>ing</w:t>
      </w:r>
      <w:r w:rsidR="00272AEC" w:rsidRPr="00234FB7">
        <w:t xml:space="preserve"> on the timeliness of </w:t>
      </w:r>
      <w:r w:rsidR="00272AEC" w:rsidRPr="00C571AC">
        <w:t>project</w:t>
      </w:r>
      <w:r w:rsidR="00272AEC" w:rsidRPr="00234FB7">
        <w:t xml:space="preserve"> review, approval and preparation, including disaggregated tracking o</w:t>
      </w:r>
      <w:r w:rsidR="00272AEC">
        <w:t>f</w:t>
      </w:r>
      <w:r w:rsidR="00272AEC" w:rsidRPr="00234FB7">
        <w:t xml:space="preserve"> each element of project development </w:t>
      </w:r>
      <w:r w:rsidR="00272AEC">
        <w:t>(</w:t>
      </w:r>
      <w:r w:rsidR="00272AEC" w:rsidRPr="00234FB7">
        <w:t xml:space="preserve">from </w:t>
      </w:r>
      <w:r w:rsidR="00272AEC">
        <w:t>p</w:t>
      </w:r>
      <w:r w:rsidR="00272AEC" w:rsidRPr="00344146">
        <w:t xml:space="preserve">roject </w:t>
      </w:r>
      <w:r w:rsidR="00272AEC">
        <w:t>i</w:t>
      </w:r>
      <w:r w:rsidR="00272AEC" w:rsidRPr="00344146">
        <w:t xml:space="preserve">dentification </w:t>
      </w:r>
      <w:r w:rsidR="00272AEC">
        <w:t>f</w:t>
      </w:r>
      <w:r w:rsidR="00272AEC" w:rsidRPr="00344146">
        <w:t>orm</w:t>
      </w:r>
      <w:r w:rsidR="00272AEC">
        <w:t xml:space="preserve"> </w:t>
      </w:r>
      <w:r w:rsidR="00272AEC" w:rsidRPr="00234FB7">
        <w:t xml:space="preserve">approval to submission of </w:t>
      </w:r>
      <w:r w:rsidR="00272AEC">
        <w:t>c</w:t>
      </w:r>
      <w:r w:rsidR="00272AEC" w:rsidRPr="00E82D4C">
        <w:t xml:space="preserve">hief </w:t>
      </w:r>
      <w:r w:rsidR="00272AEC">
        <w:t>e</w:t>
      </w:r>
      <w:r w:rsidR="00272AEC" w:rsidRPr="00E82D4C">
        <w:t xml:space="preserve">xecutive </w:t>
      </w:r>
      <w:r w:rsidR="00272AEC">
        <w:t>o</w:t>
      </w:r>
      <w:r w:rsidR="00272AEC" w:rsidRPr="00E82D4C">
        <w:t>fficer</w:t>
      </w:r>
      <w:r w:rsidR="00272AEC">
        <w:t xml:space="preserve"> </w:t>
      </w:r>
      <w:r w:rsidR="00272AEC" w:rsidRPr="00234FB7">
        <w:t>approval request and disbursement through implementing agencies</w:t>
      </w:r>
      <w:r w:rsidR="00272AEC">
        <w:t>)</w:t>
      </w:r>
      <w:r w:rsidR="00272AEC" w:rsidRPr="00234FB7">
        <w:t>;</w:t>
      </w:r>
    </w:p>
    <w:p w14:paraId="50E0729C" w14:textId="553F5437" w:rsidR="00272AEC" w:rsidRPr="006312E4" w:rsidRDefault="009E5AC3" w:rsidP="009E5AC3">
      <w:pPr>
        <w:pStyle w:val="RegSingleTxtG"/>
        <w:numPr>
          <w:ilvl w:val="0"/>
          <w:numId w:val="0"/>
        </w:numPr>
        <w:ind w:left="1134"/>
      </w:pPr>
      <w:r w:rsidRPr="006312E4">
        <w:t>8.</w:t>
      </w:r>
      <w:r w:rsidRPr="006312E4">
        <w:tab/>
      </w:r>
      <w:r w:rsidR="00272AEC">
        <w:rPr>
          <w:i/>
        </w:rPr>
        <w:t>R</w:t>
      </w:r>
      <w:r w:rsidR="00272AEC" w:rsidRPr="002716C1">
        <w:rPr>
          <w:i/>
        </w:rPr>
        <w:t xml:space="preserve">equests </w:t>
      </w:r>
      <w:r w:rsidR="00272AEC" w:rsidRPr="002716C1">
        <w:t>the Global Environment Facility</w:t>
      </w:r>
      <w:r w:rsidR="00272AEC" w:rsidRPr="00C571AC">
        <w:t xml:space="preserve"> </w:t>
      </w:r>
      <w:r w:rsidR="00272AEC" w:rsidRPr="002716C1">
        <w:t>to</w:t>
      </w:r>
      <w:r w:rsidR="00272AEC" w:rsidRPr="00C571AC">
        <w:t xml:space="preserve"> </w:t>
      </w:r>
      <w:r w:rsidR="00272AEC" w:rsidRPr="006312E4">
        <w:t>consider combining the application processes for support for producing biennial transparency reports</w:t>
      </w:r>
      <w:r w:rsidR="00272AEC">
        <w:t xml:space="preserve">, </w:t>
      </w:r>
      <w:r w:rsidR="00272AEC" w:rsidRPr="00C571AC">
        <w:t>including</w:t>
      </w:r>
      <w:r w:rsidR="00272AEC">
        <w:t xml:space="preserve"> by </w:t>
      </w:r>
      <w:r w:rsidR="00272AEC" w:rsidRPr="00C571AC">
        <w:t xml:space="preserve">considering raising the funding ceiling </w:t>
      </w:r>
      <w:r w:rsidR="00D90F47" w:rsidRPr="00C571AC">
        <w:t>for</w:t>
      </w:r>
      <w:r w:rsidR="00272AEC" w:rsidRPr="00C571AC">
        <w:t xml:space="preserve"> expedited enabling activity projects,</w:t>
      </w:r>
      <w:r w:rsidR="00272AEC" w:rsidRPr="006312E4">
        <w:t xml:space="preserve"> and for Capacity-building Initiative for Transparency projects, as appropriate</w:t>
      </w:r>
      <w:r w:rsidR="00272AEC">
        <w:t>,</w:t>
      </w:r>
      <w:r w:rsidR="00272AEC" w:rsidRPr="006312E4">
        <w:t xml:space="preserve"> and by developing an expedited process for projects related to preparing biennial transparency reports</w:t>
      </w:r>
      <w:r w:rsidR="00272AEC">
        <w:t>;</w:t>
      </w:r>
    </w:p>
    <w:p w14:paraId="4D999945" w14:textId="19EDDCE1" w:rsidR="00272AEC" w:rsidRDefault="009E5AC3" w:rsidP="009E5AC3">
      <w:pPr>
        <w:pStyle w:val="RegSingleTxtG"/>
        <w:numPr>
          <w:ilvl w:val="0"/>
          <w:numId w:val="0"/>
        </w:numPr>
        <w:ind w:left="1134"/>
      </w:pPr>
      <w:r>
        <w:t>9.</w:t>
      </w:r>
      <w:r>
        <w:tab/>
      </w:r>
      <w:r w:rsidR="00272AEC" w:rsidRPr="00C571AC">
        <w:rPr>
          <w:i/>
        </w:rPr>
        <w:t>Encourages</w:t>
      </w:r>
      <w:r w:rsidR="00272AEC" w:rsidRPr="006312E4">
        <w:t xml:space="preserve"> the </w:t>
      </w:r>
      <w:r w:rsidR="00272AEC" w:rsidRPr="006312E4">
        <w:rPr>
          <w:rFonts w:eastAsia="Calibri"/>
        </w:rPr>
        <w:t>Global Environment Facility</w:t>
      </w:r>
      <w:r w:rsidR="00272AEC" w:rsidRPr="006312E4">
        <w:t xml:space="preserve">, Parties and implementing agencies to work collaboratively to ensure that financing for national inventory reports and biennial transparency reports is delivered in a timely manner, including </w:t>
      </w:r>
      <w:r w:rsidR="00E052DD">
        <w:t>by</w:t>
      </w:r>
      <w:r w:rsidR="00272AEC" w:rsidRPr="006312E4">
        <w:t xml:space="preserve"> utilizing the bundled application modality and expedited procedures for enabling activities</w:t>
      </w:r>
      <w:r w:rsidR="00272AEC">
        <w:t>,</w:t>
      </w:r>
      <w:r w:rsidR="00272AEC" w:rsidRPr="006312E4">
        <w:t xml:space="preserve"> and </w:t>
      </w:r>
      <w:r w:rsidR="00272AEC" w:rsidRPr="006312E4">
        <w:rPr>
          <w:i/>
          <w:iCs/>
        </w:rPr>
        <w:t>requests</w:t>
      </w:r>
      <w:r w:rsidR="00272AEC" w:rsidRPr="006312E4">
        <w:t xml:space="preserve"> the </w:t>
      </w:r>
      <w:r w:rsidR="00272AEC" w:rsidRPr="006312E4">
        <w:rPr>
          <w:rFonts w:eastAsia="Calibri"/>
        </w:rPr>
        <w:t>Global Environment Facility</w:t>
      </w:r>
      <w:r w:rsidR="00272AEC" w:rsidRPr="006312E4">
        <w:t xml:space="preserve"> to monitor the timeliness</w:t>
      </w:r>
      <w:r w:rsidR="00272AEC" w:rsidRPr="006312E4">
        <w:rPr>
          <w:b/>
        </w:rPr>
        <w:t xml:space="preserve"> </w:t>
      </w:r>
      <w:r w:rsidR="00272AEC" w:rsidRPr="00C571AC">
        <w:t>of</w:t>
      </w:r>
      <w:r w:rsidR="00272AEC" w:rsidRPr="006312E4">
        <w:t xml:space="preserve"> project review, approval and preparation, including disaggregated tracking of each </w:t>
      </w:r>
      <w:r w:rsidR="00272AEC">
        <w:t>phase</w:t>
      </w:r>
      <w:r w:rsidR="00272AEC" w:rsidRPr="006312E4">
        <w:t xml:space="preserve"> of project development (</w:t>
      </w:r>
      <w:r w:rsidR="00272AEC">
        <w:t>from p</w:t>
      </w:r>
      <w:r w:rsidR="00272AEC" w:rsidRPr="00344146">
        <w:t xml:space="preserve">roject </w:t>
      </w:r>
      <w:r w:rsidR="00272AEC">
        <w:t>i</w:t>
      </w:r>
      <w:r w:rsidR="00272AEC" w:rsidRPr="00344146">
        <w:t xml:space="preserve">dentification </w:t>
      </w:r>
      <w:r w:rsidR="00272AEC">
        <w:t>f</w:t>
      </w:r>
      <w:r w:rsidR="00272AEC" w:rsidRPr="00344146">
        <w:t>orm</w:t>
      </w:r>
      <w:r w:rsidR="00272AEC">
        <w:t xml:space="preserve"> </w:t>
      </w:r>
      <w:r w:rsidR="00272AEC" w:rsidRPr="006312E4">
        <w:t xml:space="preserve">approval to submission of </w:t>
      </w:r>
      <w:r w:rsidR="00272AEC">
        <w:t>c</w:t>
      </w:r>
      <w:r w:rsidR="00272AEC" w:rsidRPr="00E82D4C">
        <w:t xml:space="preserve">hief </w:t>
      </w:r>
      <w:r w:rsidR="00272AEC">
        <w:t>e</w:t>
      </w:r>
      <w:r w:rsidR="00272AEC" w:rsidRPr="00E82D4C">
        <w:t xml:space="preserve">xecutive </w:t>
      </w:r>
      <w:r w:rsidR="00272AEC">
        <w:t>o</w:t>
      </w:r>
      <w:r w:rsidR="00272AEC" w:rsidRPr="00E82D4C">
        <w:t>fficer</w:t>
      </w:r>
      <w:r w:rsidR="00272AEC">
        <w:t xml:space="preserve"> </w:t>
      </w:r>
      <w:r w:rsidR="00272AEC" w:rsidRPr="006312E4">
        <w:t>approval request</w:t>
      </w:r>
      <w:r w:rsidR="00272AEC">
        <w:t xml:space="preserve"> and disbursement through implementing agencies</w:t>
      </w:r>
      <w:r w:rsidR="00272AEC" w:rsidRPr="006312E4">
        <w:t xml:space="preserve">) and report to the Conference of the Parties serving as the meeting of the Parties to the Paris Agreement at its fourth session on the actions taken to implement the guidance contained in this paragraph; </w:t>
      </w:r>
    </w:p>
    <w:p w14:paraId="19942569" w14:textId="76D9BB28" w:rsidR="00C67FD4" w:rsidRDefault="009E5AC3" w:rsidP="009E5AC3">
      <w:pPr>
        <w:pStyle w:val="RegSingleTxtG"/>
        <w:numPr>
          <w:ilvl w:val="0"/>
          <w:numId w:val="0"/>
        </w:numPr>
        <w:ind w:left="1134"/>
      </w:pPr>
      <w:r>
        <w:t>10.</w:t>
      </w:r>
      <w:r>
        <w:tab/>
      </w:r>
      <w:r w:rsidR="00E052DD" w:rsidRPr="00C571AC">
        <w:rPr>
          <w:i/>
        </w:rPr>
        <w:t>Also r</w:t>
      </w:r>
      <w:r w:rsidR="00272AEC" w:rsidRPr="00C571AC">
        <w:rPr>
          <w:i/>
        </w:rPr>
        <w:t xml:space="preserve">equests </w:t>
      </w:r>
      <w:r w:rsidR="00272AEC" w:rsidRPr="00C571AC">
        <w:t>the Global Environment Facility to consider raising the funding ceiling for expedited enabling activities</w:t>
      </w:r>
      <w:r w:rsidR="00272AEC" w:rsidRPr="00016D5E">
        <w:t>.</w:t>
      </w:r>
    </w:p>
    <w:p w14:paraId="14B1BAEA" w14:textId="77777777" w:rsidR="00FA0635" w:rsidRDefault="00FA0635" w:rsidP="00FA0635">
      <w:pPr>
        <w:spacing w:before="240"/>
        <w:ind w:left="1134" w:right="1134"/>
        <w:jc w:val="right"/>
        <w:rPr>
          <w:i/>
        </w:rPr>
        <w:sectPr w:rsidR="00FA0635" w:rsidSect="00265564">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77BE797E" w14:textId="5027088E" w:rsidR="00FA0635" w:rsidRDefault="00FA0635" w:rsidP="009E5AC3">
      <w:pPr>
        <w:pStyle w:val="RegHChG"/>
        <w:numPr>
          <w:ilvl w:val="0"/>
          <w:numId w:val="0"/>
        </w:numPr>
        <w:spacing w:before="120"/>
        <w:ind w:left="1134" w:hanging="454"/>
      </w:pPr>
      <w:bookmarkStart w:id="17" w:name="Decision13"/>
      <w:r>
        <w:lastRenderedPageBreak/>
        <w:t>Decision 13/CMA.3</w:t>
      </w:r>
    </w:p>
    <w:bookmarkEnd w:id="17"/>
    <w:p w14:paraId="6147DE3E" w14:textId="08BF3404" w:rsidR="00FA0635" w:rsidRPr="00820826" w:rsidRDefault="00092A35" w:rsidP="009E5AC3">
      <w:pPr>
        <w:pStyle w:val="RegHChG"/>
        <w:numPr>
          <w:ilvl w:val="0"/>
          <w:numId w:val="0"/>
        </w:numPr>
        <w:ind w:left="1135" w:hanging="454"/>
      </w:pPr>
      <w:r>
        <w:t>Matters relating to the Adaptation Fund</w:t>
      </w:r>
    </w:p>
    <w:p w14:paraId="21BBB262" w14:textId="33B657C7" w:rsidR="00177FB7" w:rsidRDefault="00177FB7" w:rsidP="00177FB7">
      <w:pPr>
        <w:pStyle w:val="RegSingleTxtG"/>
        <w:numPr>
          <w:ilvl w:val="0"/>
          <w:numId w:val="0"/>
        </w:numPr>
        <w:ind w:left="1134"/>
      </w:pPr>
      <w:r>
        <w:rPr>
          <w:i/>
          <w:iCs/>
        </w:rPr>
        <w:tab/>
      </w:r>
      <w:r w:rsidRPr="007D495E">
        <w:rPr>
          <w:i/>
          <w:iCs/>
        </w:rPr>
        <w:t>The</w:t>
      </w:r>
      <w:r w:rsidRPr="000754FC">
        <w:t xml:space="preserve"> </w:t>
      </w:r>
      <w:r w:rsidRPr="007D495E">
        <w:rPr>
          <w:i/>
          <w:iCs/>
        </w:rPr>
        <w:t>Conference of the Parties serving as the meeting of the Parties to the Paris Agreement</w:t>
      </w:r>
      <w:r w:rsidRPr="00AF0F3C">
        <w:t>,</w:t>
      </w:r>
    </w:p>
    <w:p w14:paraId="38B70C8E" w14:textId="77777777" w:rsidR="00177FB7" w:rsidRDefault="00177FB7" w:rsidP="00177FB7">
      <w:pPr>
        <w:pStyle w:val="RegSingleTxtG"/>
        <w:numPr>
          <w:ilvl w:val="0"/>
          <w:numId w:val="0"/>
        </w:numPr>
        <w:ind w:left="1134"/>
        <w:rPr>
          <w:iCs/>
        </w:rPr>
      </w:pPr>
      <w:r>
        <w:tab/>
      </w:r>
      <w:r w:rsidRPr="007D495E">
        <w:rPr>
          <w:i/>
          <w:iCs/>
        </w:rPr>
        <w:t>Recalling</w:t>
      </w:r>
      <w:r>
        <w:rPr>
          <w:i/>
        </w:rPr>
        <w:t xml:space="preserve"> </w:t>
      </w:r>
      <w:r>
        <w:rPr>
          <w:iCs/>
        </w:rPr>
        <w:t xml:space="preserve">decisions </w:t>
      </w:r>
      <w:r w:rsidRPr="001A3218">
        <w:rPr>
          <w:iCs/>
        </w:rPr>
        <w:t>1/CMP.3, 1/CMP.4, 2/CMP.10, 1/CMP.11, 2/CMP.12, 1/CMP.13, 1/CMP.14 and 3/CMP.15</w:t>
      </w:r>
      <w:r>
        <w:rPr>
          <w:iCs/>
        </w:rPr>
        <w:t>,</w:t>
      </w:r>
    </w:p>
    <w:p w14:paraId="61696AD7" w14:textId="69A84130" w:rsidR="00177FB7" w:rsidRPr="00396193" w:rsidRDefault="009E5AC3" w:rsidP="009E5AC3">
      <w:pPr>
        <w:pStyle w:val="RegSingleTxtG"/>
        <w:numPr>
          <w:ilvl w:val="0"/>
          <w:numId w:val="0"/>
        </w:numPr>
        <w:ind w:left="1134"/>
      </w:pPr>
      <w:r w:rsidRPr="00396193">
        <w:t>1.</w:t>
      </w:r>
      <w:r w:rsidRPr="00396193">
        <w:tab/>
      </w:r>
      <w:r w:rsidR="00177FB7" w:rsidRPr="007D6AF4">
        <w:rPr>
          <w:i/>
        </w:rPr>
        <w:t>Notes with appreciation</w:t>
      </w:r>
      <w:r w:rsidR="00177FB7">
        <w:t xml:space="preserve"> decisions 13/CMA.1, paragraph 1, and 1/CMP.14, </w:t>
      </w:r>
      <w:r w:rsidR="00177FB7" w:rsidRPr="00396193">
        <w:t>paragraph 2, which state that the Adaptation Fund shall serve the Paris Agreement with respect to all matters relating to the Paris Agreement;</w:t>
      </w:r>
    </w:p>
    <w:p w14:paraId="2434B058" w14:textId="294F7E2D" w:rsidR="00177FB7" w:rsidRPr="00396193" w:rsidRDefault="009E5AC3" w:rsidP="009E5AC3">
      <w:pPr>
        <w:pStyle w:val="RegSingleTxtG"/>
        <w:numPr>
          <w:ilvl w:val="0"/>
          <w:numId w:val="0"/>
        </w:numPr>
        <w:ind w:left="1134"/>
      </w:pPr>
      <w:r w:rsidRPr="00396193">
        <w:t>2.</w:t>
      </w:r>
      <w:r w:rsidRPr="00396193">
        <w:tab/>
      </w:r>
      <w:r w:rsidR="00177FB7" w:rsidRPr="00396193">
        <w:rPr>
          <w:i/>
          <w:szCs w:val="24"/>
        </w:rPr>
        <w:t xml:space="preserve">Takes note </w:t>
      </w:r>
      <w:r w:rsidR="00177FB7" w:rsidRPr="00396193">
        <w:rPr>
          <w:szCs w:val="24"/>
        </w:rPr>
        <w:t>of</w:t>
      </w:r>
      <w:r w:rsidR="00177FB7" w:rsidRPr="00C571AC">
        <w:rPr>
          <w:szCs w:val="24"/>
        </w:rPr>
        <w:t xml:space="preserve"> </w:t>
      </w:r>
      <w:r w:rsidR="00177FB7" w:rsidRPr="00396193">
        <w:rPr>
          <w:szCs w:val="24"/>
        </w:rPr>
        <w:t>the</w:t>
      </w:r>
      <w:r w:rsidR="00177FB7" w:rsidRPr="00C571AC">
        <w:rPr>
          <w:szCs w:val="24"/>
        </w:rPr>
        <w:t xml:space="preserve"> </w:t>
      </w:r>
      <w:r w:rsidR="00177FB7" w:rsidRPr="00396193">
        <w:rPr>
          <w:szCs w:val="24"/>
        </w:rPr>
        <w:t xml:space="preserve">annual report of the </w:t>
      </w:r>
      <w:r w:rsidR="00177FB7" w:rsidRPr="00396193">
        <w:t>Adaptation</w:t>
      </w:r>
      <w:r w:rsidR="00177FB7" w:rsidRPr="00396193">
        <w:rPr>
          <w:szCs w:val="24"/>
        </w:rPr>
        <w:t xml:space="preserve"> Fund Board for 2019 and decision 3/CMP.15, paragraph 1;</w:t>
      </w:r>
    </w:p>
    <w:p w14:paraId="145DEB93" w14:textId="4FAFE0CA" w:rsidR="00177FB7" w:rsidRPr="00396193" w:rsidRDefault="009E5AC3" w:rsidP="009E5AC3">
      <w:pPr>
        <w:pStyle w:val="RegSingleTxtG"/>
        <w:numPr>
          <w:ilvl w:val="0"/>
          <w:numId w:val="0"/>
        </w:numPr>
        <w:ind w:left="1134"/>
      </w:pPr>
      <w:r w:rsidRPr="00396193">
        <w:t>3.</w:t>
      </w:r>
      <w:r w:rsidRPr="00396193">
        <w:tab/>
      </w:r>
      <w:r w:rsidR="00177FB7" w:rsidRPr="00396193">
        <w:rPr>
          <w:i/>
          <w:szCs w:val="24"/>
        </w:rPr>
        <w:t xml:space="preserve">Notes </w:t>
      </w:r>
      <w:r w:rsidR="00177FB7" w:rsidRPr="00396193">
        <w:rPr>
          <w:iCs/>
          <w:szCs w:val="24"/>
        </w:rPr>
        <w:t xml:space="preserve">the annual reports of the </w:t>
      </w:r>
      <w:r w:rsidR="00177FB7" w:rsidRPr="00396193">
        <w:t>Adaptation</w:t>
      </w:r>
      <w:r w:rsidR="00177FB7" w:rsidRPr="00396193">
        <w:rPr>
          <w:iCs/>
          <w:szCs w:val="24"/>
        </w:rPr>
        <w:t xml:space="preserve"> Fund Board for </w:t>
      </w:r>
      <w:r w:rsidR="00177FB7" w:rsidRPr="00396193">
        <w:rPr>
          <w:szCs w:val="24"/>
        </w:rPr>
        <w:t>2020 and 2021</w:t>
      </w:r>
      <w:r w:rsidR="00177FB7" w:rsidRPr="00396193">
        <w:rPr>
          <w:rStyle w:val="FootnoteReference"/>
          <w:szCs w:val="18"/>
        </w:rPr>
        <w:footnoteReference w:id="21"/>
      </w:r>
      <w:r w:rsidR="00177FB7" w:rsidRPr="00396193">
        <w:rPr>
          <w:szCs w:val="24"/>
        </w:rPr>
        <w:t xml:space="preserve"> and the information contained therein; </w:t>
      </w:r>
    </w:p>
    <w:p w14:paraId="72232471" w14:textId="6AFEE54E" w:rsidR="00177FB7" w:rsidRPr="00396193" w:rsidRDefault="009E5AC3" w:rsidP="009E5AC3">
      <w:pPr>
        <w:pStyle w:val="RegSingleTxtG"/>
        <w:numPr>
          <w:ilvl w:val="0"/>
          <w:numId w:val="0"/>
        </w:numPr>
        <w:ind w:left="1134"/>
        <w:rPr>
          <w:i/>
          <w:szCs w:val="24"/>
        </w:rPr>
      </w:pPr>
      <w:r w:rsidRPr="00396193">
        <w:rPr>
          <w:szCs w:val="24"/>
        </w:rPr>
        <w:t>4.</w:t>
      </w:r>
      <w:r w:rsidRPr="00396193">
        <w:rPr>
          <w:szCs w:val="24"/>
        </w:rPr>
        <w:tab/>
      </w:r>
      <w:r w:rsidR="00177FB7" w:rsidRPr="00396193">
        <w:rPr>
          <w:i/>
          <w:szCs w:val="24"/>
        </w:rPr>
        <w:t xml:space="preserve">Also notes </w:t>
      </w:r>
      <w:r w:rsidR="00177FB7" w:rsidRPr="00396193">
        <w:rPr>
          <w:szCs w:val="24"/>
        </w:rPr>
        <w:t xml:space="preserve">the following information, actions and </w:t>
      </w:r>
      <w:r w:rsidR="00177FB7" w:rsidRPr="00396193">
        <w:t>decisions</w:t>
      </w:r>
      <w:r w:rsidR="00177FB7" w:rsidRPr="00396193">
        <w:rPr>
          <w:szCs w:val="24"/>
        </w:rPr>
        <w:t xml:space="preserve"> relating to the Adaptation Fund Board presented in the reports referred to in paragraph 3 above: </w:t>
      </w:r>
    </w:p>
    <w:p w14:paraId="4939EC2D" w14:textId="0C3BBE44" w:rsidR="00177FB7" w:rsidRDefault="009E5AC3" w:rsidP="009E5AC3">
      <w:pPr>
        <w:pStyle w:val="RegSingleTxtG2"/>
        <w:numPr>
          <w:ilvl w:val="0"/>
          <w:numId w:val="0"/>
        </w:numPr>
        <w:ind w:left="1134" w:firstLine="567"/>
      </w:pPr>
      <w:r>
        <w:rPr>
          <w:szCs w:val="28"/>
        </w:rPr>
        <w:t>(a)</w:t>
      </w:r>
      <w:r>
        <w:rPr>
          <w:szCs w:val="28"/>
        </w:rPr>
        <w:tab/>
      </w:r>
      <w:r w:rsidR="00177FB7" w:rsidRPr="00396193">
        <w:t xml:space="preserve">The </w:t>
      </w:r>
      <w:r w:rsidR="00177FB7" w:rsidRPr="00396193">
        <w:rPr>
          <w:szCs w:val="24"/>
        </w:rPr>
        <w:t>accreditation</w:t>
      </w:r>
      <w:r w:rsidR="00177FB7" w:rsidRPr="00396193">
        <w:t xml:space="preserve"> of 4 national implementing entities</w:t>
      </w:r>
      <w:r w:rsidR="00177FB7">
        <w:t xml:space="preserve">, 2 multilateral implementing entities and 1 regional implementing entity (with the national implementing entities granted </w:t>
      </w:r>
      <w:r w:rsidR="00177FB7" w:rsidRPr="00600E80">
        <w:rPr>
          <w:szCs w:val="24"/>
        </w:rPr>
        <w:t>direct</w:t>
      </w:r>
      <w:r w:rsidR="00177FB7">
        <w:t xml:space="preserve"> access to resources from the Adaptation Fund), resulting in a total number of accredited implementing entities of 33 national (of which 9 in the least developed countries and 7 in small island developing States), 14 multilateral and 7 regional implementing entities, of which 31 were reaccredited (16 national implementing entities, 4 regional implementing entities and 11 multilateral implementing entities) for accessing resources from the Adaptation Fund directly;</w:t>
      </w:r>
    </w:p>
    <w:p w14:paraId="4E264E31" w14:textId="1F334070" w:rsidR="00177FB7" w:rsidRDefault="009E5AC3" w:rsidP="009E5AC3">
      <w:pPr>
        <w:pStyle w:val="RegSingleTxtG2"/>
        <w:numPr>
          <w:ilvl w:val="0"/>
          <w:numId w:val="0"/>
        </w:numPr>
        <w:ind w:left="1134" w:firstLine="567"/>
      </w:pPr>
      <w:r>
        <w:rPr>
          <w:szCs w:val="28"/>
        </w:rPr>
        <w:t>(b)</w:t>
      </w:r>
      <w:r>
        <w:rPr>
          <w:szCs w:val="28"/>
        </w:rPr>
        <w:tab/>
      </w:r>
      <w:r w:rsidR="00177FB7">
        <w:t>Cumulative project and programme approvals increasing by around 32 per cent to USD 744.58 million between 1 July 2019 and 30 June 2020 and by 12 per cent to USD 831.49 million between 1 July 2020 and 30 June 2021, despite the challenging circumstances related to the coronavirus disease 2019 pandemic;</w:t>
      </w:r>
    </w:p>
    <w:p w14:paraId="2E929175" w14:textId="645B575C" w:rsidR="00177FB7" w:rsidRDefault="009E5AC3" w:rsidP="009E5AC3">
      <w:pPr>
        <w:pStyle w:val="RegSingleTxtG2"/>
        <w:numPr>
          <w:ilvl w:val="0"/>
          <w:numId w:val="0"/>
        </w:numPr>
        <w:ind w:left="1134" w:firstLine="567"/>
      </w:pPr>
      <w:r>
        <w:rPr>
          <w:szCs w:val="28"/>
        </w:rPr>
        <w:t>(c)</w:t>
      </w:r>
      <w:r>
        <w:rPr>
          <w:szCs w:val="28"/>
        </w:rPr>
        <w:tab/>
      </w:r>
      <w:r w:rsidR="00177FB7">
        <w:t>Resources available for new funding approvals amounting to USD 167.2</w:t>
      </w:r>
      <w:r w:rsidR="001F2BDB">
        <w:t>0</w:t>
      </w:r>
      <w:r w:rsidR="00177FB7">
        <w:t xml:space="preserve"> million as at 30 June 2020 and USD 195.69 million as at 30 June 2021;</w:t>
      </w:r>
    </w:p>
    <w:p w14:paraId="47E2FF4F" w14:textId="4FFAD21C" w:rsidR="00177FB7" w:rsidRPr="00A64E71" w:rsidRDefault="009E5AC3" w:rsidP="009E5AC3">
      <w:pPr>
        <w:pStyle w:val="RegSingleTxtG2"/>
        <w:numPr>
          <w:ilvl w:val="0"/>
          <w:numId w:val="0"/>
        </w:numPr>
        <w:ind w:left="1134" w:firstLine="567"/>
      </w:pPr>
      <w:r w:rsidRPr="00A64E71">
        <w:rPr>
          <w:szCs w:val="28"/>
        </w:rPr>
        <w:t>(d)</w:t>
      </w:r>
      <w:r w:rsidRPr="00A64E71">
        <w:rPr>
          <w:szCs w:val="28"/>
        </w:rPr>
        <w:tab/>
      </w:r>
      <w:r w:rsidR="00177FB7" w:rsidRPr="00A64E71">
        <w:t>New funding approvals, including for concrete single-country and regional (multi-country) proposals, grant proposals under the M</w:t>
      </w:r>
      <w:r w:rsidR="00177FB7">
        <w:t xml:space="preserve">edium-Term </w:t>
      </w:r>
      <w:r w:rsidR="00177FB7" w:rsidRPr="00A64E71">
        <w:t>S</w:t>
      </w:r>
      <w:r w:rsidR="00177FB7">
        <w:t>trategy of the Adaptation Fund for 2018–2022</w:t>
      </w:r>
      <w:r w:rsidR="00177FB7" w:rsidRPr="00A64E71">
        <w:rPr>
          <w:rStyle w:val="FootnoteReference"/>
        </w:rPr>
        <w:footnoteReference w:id="22"/>
      </w:r>
      <w:r w:rsidR="00177FB7" w:rsidRPr="00A64E71">
        <w:t xml:space="preserve"> and readiness grants amount</w:t>
      </w:r>
      <w:r w:rsidR="00177FB7">
        <w:t>ing</w:t>
      </w:r>
      <w:r w:rsidR="00177FB7" w:rsidRPr="00A64E71">
        <w:t xml:space="preserve"> to USD 180.5 million as at 30 June 2020 and USD 86.9 million as at 30 June 2021;</w:t>
      </w:r>
    </w:p>
    <w:p w14:paraId="6A695050" w14:textId="795BC0A7" w:rsidR="00177FB7" w:rsidRPr="00A64E71" w:rsidRDefault="009E5AC3" w:rsidP="009E5AC3">
      <w:pPr>
        <w:pStyle w:val="RegSingleTxtG2"/>
        <w:numPr>
          <w:ilvl w:val="0"/>
          <w:numId w:val="0"/>
        </w:numPr>
        <w:ind w:left="1134" w:firstLine="567"/>
      </w:pPr>
      <w:r w:rsidRPr="00A64E71">
        <w:rPr>
          <w:szCs w:val="28"/>
        </w:rPr>
        <w:t>(e)</w:t>
      </w:r>
      <w:r w:rsidRPr="00A64E71">
        <w:rPr>
          <w:szCs w:val="28"/>
        </w:rPr>
        <w:tab/>
      </w:r>
      <w:r w:rsidR="00177FB7">
        <w:t>A</w:t>
      </w:r>
      <w:r w:rsidR="00177FB7" w:rsidRPr="00A64E71">
        <w:t>n a</w:t>
      </w:r>
      <w:r w:rsidR="00177FB7" w:rsidRPr="00A64E71">
        <w:rPr>
          <w:rFonts w:eastAsia="DengXian"/>
        </w:rPr>
        <w:t xml:space="preserve">ctive pipeline of project and programme </w:t>
      </w:r>
      <w:r w:rsidR="00177FB7" w:rsidRPr="00A64E71">
        <w:t>proposals</w:t>
      </w:r>
      <w:r w:rsidR="00177FB7" w:rsidRPr="00A64E71">
        <w:rPr>
          <w:rFonts w:eastAsia="DengXian"/>
        </w:rPr>
        <w:t xml:space="preserve"> submitted but not approved amounting to around USD 286 million</w:t>
      </w:r>
      <w:r w:rsidR="00177FB7" w:rsidRPr="00A64E71">
        <w:rPr>
          <w:rFonts w:eastAsia="DengXian"/>
        </w:rPr>
        <w:fldChar w:fldCharType="begin"/>
      </w:r>
      <w:r w:rsidR="00177FB7" w:rsidRPr="00A64E71">
        <w:rPr>
          <w:rFonts w:eastAsia="DengXian"/>
        </w:rPr>
        <w:instrText xml:space="preserve"> LINK Excel.Sheet.12 "https://worldbankgroup-my.sharepoint.com/personal/bkretschmer_adaptation-fund_org/Documents/Desktop/Active pipeline_June 2020_ Rev 1.xlsx" Sheet3!R76C6 \a \f 4 \h  \* MERGEFORMAT </w:instrText>
      </w:r>
      <w:r w:rsidR="00177FB7" w:rsidRPr="00A64E71">
        <w:rPr>
          <w:rFonts w:eastAsia="DengXian"/>
        </w:rPr>
        <w:fldChar w:fldCharType="separate"/>
      </w:r>
      <w:r w:rsidR="00177FB7" w:rsidRPr="00A64E71">
        <w:rPr>
          <w:rFonts w:eastAsia="DengXian"/>
        </w:rPr>
        <w:t xml:space="preserve"> </w:t>
      </w:r>
      <w:r w:rsidR="00177FB7" w:rsidRPr="00A64E71">
        <w:rPr>
          <w:rFonts w:eastAsia="DengXian"/>
        </w:rPr>
        <w:fldChar w:fldCharType="end"/>
      </w:r>
      <w:r w:rsidR="00177FB7" w:rsidRPr="00A64E71">
        <w:rPr>
          <w:rFonts w:eastAsia="DengXian"/>
        </w:rPr>
        <w:t>as at 30 June 2020 and USD 279 million as at 30 June 2021, reflecting an upward trend from previous years;</w:t>
      </w:r>
    </w:p>
    <w:p w14:paraId="653B0C5D" w14:textId="2D5823A6" w:rsidR="00177FB7" w:rsidRPr="00A40B1C" w:rsidRDefault="009E5AC3" w:rsidP="009E5AC3">
      <w:pPr>
        <w:pStyle w:val="RegSingleTxtG2"/>
        <w:numPr>
          <w:ilvl w:val="0"/>
          <w:numId w:val="0"/>
        </w:numPr>
        <w:ind w:left="1134" w:firstLine="567"/>
      </w:pPr>
      <w:bookmarkStart w:id="18" w:name="_Hlk86340608"/>
      <w:r w:rsidRPr="00A40B1C">
        <w:rPr>
          <w:szCs w:val="28"/>
        </w:rPr>
        <w:t>(f)</w:t>
      </w:r>
      <w:r w:rsidRPr="00A40B1C">
        <w:rPr>
          <w:szCs w:val="28"/>
        </w:rPr>
        <w:tab/>
      </w:r>
      <w:r w:rsidR="00177FB7">
        <w:t>The c</w:t>
      </w:r>
      <w:r w:rsidR="00177FB7" w:rsidRPr="00F07F2B">
        <w:t xml:space="preserve">umulative receipts </w:t>
      </w:r>
      <w:r w:rsidR="00177FB7">
        <w:t xml:space="preserve">of </w:t>
      </w:r>
      <w:r w:rsidR="00177FB7" w:rsidRPr="00F07F2B">
        <w:t>USD 1,107.40 million</w:t>
      </w:r>
      <w:r w:rsidR="00177FB7">
        <w:t xml:space="preserve">, as at </w:t>
      </w:r>
      <w:r w:rsidR="00177FB7" w:rsidRPr="00376CDE">
        <w:t>30 June 2021</w:t>
      </w:r>
      <w:r w:rsidR="00177FB7">
        <w:t>,</w:t>
      </w:r>
      <w:r w:rsidR="00177FB7" w:rsidRPr="00F07F2B">
        <w:t xml:space="preserve"> into the A</w:t>
      </w:r>
      <w:r w:rsidR="00177FB7">
        <w:t xml:space="preserve">daptation </w:t>
      </w:r>
      <w:r w:rsidR="00177FB7" w:rsidRPr="00F07F2B">
        <w:t>F</w:t>
      </w:r>
      <w:r w:rsidR="00177FB7">
        <w:t>und</w:t>
      </w:r>
      <w:r w:rsidR="00177FB7" w:rsidRPr="00F07F2B">
        <w:t xml:space="preserve"> Trust Fund, comprising USD 208.38 million from the monetization of </w:t>
      </w:r>
      <w:r w:rsidR="00177FB7">
        <w:t>certified emission reductions</w:t>
      </w:r>
      <w:r w:rsidR="00177FB7" w:rsidRPr="00F07F2B">
        <w:t xml:space="preserve">, USD 858.82 million from contributions and USD 40.21 million from investment income earned on the </w:t>
      </w:r>
      <w:r w:rsidR="00177FB7" w:rsidRPr="00A40B1C">
        <w:t>Trust Fund balance;</w:t>
      </w:r>
    </w:p>
    <w:bookmarkEnd w:id="18"/>
    <w:p w14:paraId="25563CEE" w14:textId="63AADFCA" w:rsidR="00177FB7" w:rsidRPr="00396193" w:rsidRDefault="009E5AC3" w:rsidP="009E5AC3">
      <w:pPr>
        <w:pStyle w:val="RegSingleTxtG2"/>
        <w:numPr>
          <w:ilvl w:val="0"/>
          <w:numId w:val="0"/>
        </w:numPr>
        <w:ind w:left="1134" w:firstLine="567"/>
        <w:rPr>
          <w:iCs/>
          <w:szCs w:val="24"/>
        </w:rPr>
      </w:pPr>
      <w:r w:rsidRPr="00396193">
        <w:rPr>
          <w:iCs/>
          <w:szCs w:val="28"/>
        </w:rPr>
        <w:t>(g)</w:t>
      </w:r>
      <w:r w:rsidRPr="00396193">
        <w:rPr>
          <w:iCs/>
          <w:szCs w:val="28"/>
        </w:rPr>
        <w:tab/>
      </w:r>
      <w:r w:rsidR="00177FB7" w:rsidRPr="00BE00B5">
        <w:t xml:space="preserve">Contributions amounting to USD 200.89 million between 1 July 2019 and 30 June 2021 from the Governments of Germany, Ireland, Norway, Poland, Spain, Sweden and Switzerland, as well as the governments of the Brussels-Capital, Flemish and Walloon Regions of Belgium; new pledges amounting to USD 116 million from the Governments of Germany, Ireland, Italy and Sweden, as well as the governments of the Brussels-Capital and Walloon Regions of Belgium, towards the Adaptation Fund resource mobilization target of </w:t>
      </w:r>
      <w:r w:rsidR="00177FB7" w:rsidRPr="00BE00B5">
        <w:lastRenderedPageBreak/>
        <w:t xml:space="preserve">USD 120 </w:t>
      </w:r>
      <w:r w:rsidR="00177FB7" w:rsidRPr="00396193">
        <w:t xml:space="preserve">million per year for the biennium 2020–2021; direct funding of EUR 10 million from the European Commission for a programme under the Adaptation Fund </w:t>
      </w:r>
      <w:r w:rsidR="00177FB7">
        <w:t>I</w:t>
      </w:r>
      <w:r w:rsidR="00177FB7" w:rsidRPr="00396193">
        <w:t xml:space="preserve">nnovation </w:t>
      </w:r>
      <w:r w:rsidR="00177FB7">
        <w:t>F</w:t>
      </w:r>
      <w:r w:rsidR="00177FB7" w:rsidRPr="00396193">
        <w:t>acility</w:t>
      </w:r>
      <w:r w:rsidR="00177FB7" w:rsidRPr="00396193">
        <w:rPr>
          <w:iCs/>
          <w:szCs w:val="24"/>
        </w:rPr>
        <w:t>; and the transfer of aggregated contributions from the United Nations Foundation, comprising various individual donations made between 1 July 2019 and 30 June 2020</w:t>
      </w:r>
      <w:r w:rsidR="00177FB7">
        <w:rPr>
          <w:iCs/>
          <w:szCs w:val="24"/>
        </w:rPr>
        <w:t>,</w:t>
      </w:r>
      <w:r w:rsidR="00177FB7" w:rsidRPr="00396193">
        <w:rPr>
          <w:iCs/>
          <w:szCs w:val="24"/>
        </w:rPr>
        <w:t xml:space="preserve"> prepared by the Adaptation Fund Board </w:t>
      </w:r>
      <w:r w:rsidR="00177FB7">
        <w:rPr>
          <w:iCs/>
          <w:szCs w:val="24"/>
        </w:rPr>
        <w:t>s</w:t>
      </w:r>
      <w:r w:rsidR="00177FB7" w:rsidRPr="00396193">
        <w:rPr>
          <w:iCs/>
          <w:szCs w:val="24"/>
        </w:rPr>
        <w:t>ecretariat and the trustee;</w:t>
      </w:r>
    </w:p>
    <w:p w14:paraId="786C3493" w14:textId="02E9F00D" w:rsidR="00177FB7" w:rsidRPr="001C42F6" w:rsidRDefault="009E5AC3" w:rsidP="009E5AC3">
      <w:pPr>
        <w:pStyle w:val="RegSingleTxtG2"/>
        <w:numPr>
          <w:ilvl w:val="0"/>
          <w:numId w:val="0"/>
        </w:numPr>
        <w:ind w:left="1134" w:firstLine="567"/>
        <w:rPr>
          <w:iCs/>
          <w:szCs w:val="24"/>
        </w:rPr>
      </w:pPr>
      <w:r w:rsidRPr="001C42F6">
        <w:rPr>
          <w:iCs/>
          <w:szCs w:val="28"/>
        </w:rPr>
        <w:t>(h)</w:t>
      </w:r>
      <w:r w:rsidRPr="001C42F6">
        <w:rPr>
          <w:iCs/>
          <w:szCs w:val="28"/>
        </w:rPr>
        <w:tab/>
      </w:r>
      <w:r w:rsidR="00177FB7" w:rsidRPr="00396193">
        <w:t>Outstanding</w:t>
      </w:r>
      <w:r w:rsidR="00177FB7" w:rsidRPr="00396193">
        <w:rPr>
          <w:iCs/>
          <w:szCs w:val="24"/>
        </w:rPr>
        <w:t xml:space="preserve"> pledges of USD 21.85 million as at 30 June 2020 and outstanding contributions of USD 36.27 million</w:t>
      </w:r>
      <w:r w:rsidR="00177FB7" w:rsidRPr="001C42F6">
        <w:rPr>
          <w:iCs/>
          <w:szCs w:val="24"/>
        </w:rPr>
        <w:t xml:space="preserve"> as at 30 June 2021;</w:t>
      </w:r>
    </w:p>
    <w:p w14:paraId="6A29DB7E" w14:textId="042B0EF8" w:rsidR="00177FB7" w:rsidRPr="009E0E29" w:rsidRDefault="009E5AC3" w:rsidP="009E5AC3">
      <w:pPr>
        <w:pStyle w:val="RegSingleTxtG2"/>
        <w:numPr>
          <w:ilvl w:val="0"/>
          <w:numId w:val="0"/>
        </w:numPr>
        <w:ind w:left="1134" w:firstLine="567"/>
      </w:pPr>
      <w:r w:rsidRPr="009E0E29">
        <w:rPr>
          <w:szCs w:val="28"/>
        </w:rPr>
        <w:t>(i)</w:t>
      </w:r>
      <w:r w:rsidRPr="009E0E29">
        <w:rPr>
          <w:szCs w:val="28"/>
        </w:rPr>
        <w:tab/>
      </w:r>
      <w:r w:rsidR="00177FB7" w:rsidRPr="009E0E29">
        <w:t>The approval of 29 single-country project or programme proposals submitted by implementing entities, totalling USD 174 million, of which 9 proposals submitted by national implementing entities, amounting to USD 14.5 million; 1 single-country proposal submitted by a regional implementing entity</w:t>
      </w:r>
      <w:r w:rsidR="00A67A8C">
        <w:t>,</w:t>
      </w:r>
      <w:r w:rsidR="00177FB7" w:rsidRPr="009E0E29">
        <w:t xml:space="preserve"> amounting to USD 9.9 million; and 19 single-country proposals submitted by multilateral implementing entities, totalling USD 149.6 million;</w:t>
      </w:r>
    </w:p>
    <w:p w14:paraId="62D666C9" w14:textId="430DD181" w:rsidR="00177FB7" w:rsidRPr="009E0E29" w:rsidRDefault="009E5AC3" w:rsidP="009E5AC3">
      <w:pPr>
        <w:pStyle w:val="RegSingleTxtG2"/>
        <w:numPr>
          <w:ilvl w:val="0"/>
          <w:numId w:val="0"/>
        </w:numPr>
        <w:ind w:left="1134" w:firstLine="567"/>
      </w:pPr>
      <w:r w:rsidRPr="009E0E29">
        <w:rPr>
          <w:szCs w:val="28"/>
        </w:rPr>
        <w:t>(j)</w:t>
      </w:r>
      <w:r w:rsidRPr="009E0E29">
        <w:rPr>
          <w:szCs w:val="28"/>
        </w:rPr>
        <w:tab/>
      </w:r>
      <w:r w:rsidR="00177FB7" w:rsidRPr="009E0E29">
        <w:t>The recommendation of the Project and Programme Review Committee to approve nine regional (multi-country) projects amounting to USD 93.9 million, for which funding was not readily available for one project from the tentatively set-aside amount, and the resulting decision of the Adaptation Fund Board to place it on a waitlist, to be approved intersessional</w:t>
      </w:r>
      <w:r w:rsidR="00177FB7">
        <w:t>l</w:t>
      </w:r>
      <w:r w:rsidR="00177FB7" w:rsidRPr="009E0E29">
        <w:t>y subject to the availability of funds;</w:t>
      </w:r>
    </w:p>
    <w:p w14:paraId="56320A14" w14:textId="08265EC1" w:rsidR="00177FB7" w:rsidRPr="001C42F6" w:rsidRDefault="009E5AC3" w:rsidP="009E5AC3">
      <w:pPr>
        <w:pStyle w:val="RegSingleTxtG2"/>
        <w:numPr>
          <w:ilvl w:val="0"/>
          <w:numId w:val="0"/>
        </w:numPr>
        <w:ind w:left="1134" w:firstLine="567"/>
        <w:rPr>
          <w:rFonts w:eastAsia="Times New Roman"/>
        </w:rPr>
      </w:pPr>
      <w:r w:rsidRPr="001C42F6">
        <w:rPr>
          <w:rFonts w:eastAsia="Times New Roman"/>
          <w:szCs w:val="28"/>
        </w:rPr>
        <w:t>(k)</w:t>
      </w:r>
      <w:r w:rsidRPr="001C42F6">
        <w:rPr>
          <w:rFonts w:eastAsia="Times New Roman"/>
          <w:szCs w:val="28"/>
        </w:rPr>
        <w:tab/>
      </w:r>
      <w:r w:rsidR="00177FB7" w:rsidRPr="009E0E29">
        <w:t>The ongoing implementation of activities under the Medium-Term Strategy of the Adaptation Fund for 2018–2022, with the second, third, fourth</w:t>
      </w:r>
      <w:r w:rsidR="00177FB7" w:rsidRPr="00A64E71">
        <w:t xml:space="preserve"> and fifth review cycles for grant funding windows for innovation, learning and project scale-up and the approval by the A</w:t>
      </w:r>
      <w:r w:rsidR="00177FB7">
        <w:t xml:space="preserve">daptation </w:t>
      </w:r>
      <w:r w:rsidR="00177FB7" w:rsidRPr="00A64E71">
        <w:t>F</w:t>
      </w:r>
      <w:r w:rsidR="00177FB7">
        <w:t xml:space="preserve">und </w:t>
      </w:r>
      <w:r w:rsidR="00177FB7" w:rsidRPr="00A64E71">
        <w:t>B</w:t>
      </w:r>
      <w:r w:rsidR="00177FB7">
        <w:t>oard</w:t>
      </w:r>
      <w:r w:rsidR="00177FB7" w:rsidRPr="00A64E71">
        <w:t xml:space="preserve"> of the first four small-grant proposals</w:t>
      </w:r>
      <w:r w:rsidR="00177FB7">
        <w:t xml:space="preserve"> for innovation</w:t>
      </w:r>
      <w:r w:rsidR="00177FB7" w:rsidRPr="00A64E71">
        <w:t xml:space="preserve">, the first grant proposal </w:t>
      </w:r>
      <w:r w:rsidR="00177FB7">
        <w:t xml:space="preserve">for </w:t>
      </w:r>
      <w:r w:rsidR="00177FB7" w:rsidRPr="00A64E71">
        <w:t xml:space="preserve">project scale-up and two grant proposals </w:t>
      </w:r>
      <w:r w:rsidR="00177FB7">
        <w:t>for learning,</w:t>
      </w:r>
      <w:r w:rsidR="00177FB7" w:rsidRPr="00A64E71">
        <w:t xml:space="preserve"> totalling USD 1,348,322</w:t>
      </w:r>
      <w:r w:rsidR="00177FB7" w:rsidRPr="0008731C">
        <w:t xml:space="preserve">; </w:t>
      </w:r>
      <w:r w:rsidR="00177FB7">
        <w:t xml:space="preserve">and </w:t>
      </w:r>
      <w:r w:rsidR="00177FB7" w:rsidRPr="0008731C">
        <w:t xml:space="preserve">the launch of two new innovation aggregator programmes, totalling USD 10 million, that offer small grants for innovation to non-accredited entities via two accredited </w:t>
      </w:r>
      <w:r w:rsidR="00177FB7">
        <w:t>multilateral implementing entities;</w:t>
      </w:r>
    </w:p>
    <w:p w14:paraId="58B99208" w14:textId="1CDA922C"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(l)</w:t>
      </w:r>
      <w:r w:rsidRPr="001C42F6">
        <w:rPr>
          <w:rFonts w:eastAsia="Times New Roman"/>
          <w:szCs w:val="28"/>
        </w:rPr>
        <w:tab/>
      </w:r>
      <w:r w:rsidR="00177FB7" w:rsidRPr="001C42F6">
        <w:rPr>
          <w:rFonts w:eastAsia="Times New Roman"/>
          <w:color w:val="000000" w:themeColor="text1"/>
        </w:rPr>
        <w:t>The facilitation of the 2</w:t>
      </w:r>
      <w:r w:rsidR="00177FB7" w:rsidRPr="001C42F6">
        <w:rPr>
          <w:rFonts w:eastAsia="Times New Roman"/>
          <w:color w:val="000000" w:themeColor="text1"/>
          <w:vertAlign w:val="superscript"/>
        </w:rPr>
        <w:t>nd</w:t>
      </w:r>
      <w:r w:rsidR="00177FB7" w:rsidRPr="001C42F6">
        <w:rPr>
          <w:rFonts w:eastAsia="Times New Roman"/>
          <w:color w:val="000000" w:themeColor="text1"/>
        </w:rPr>
        <w:t xml:space="preserve"> meeting of the Committee of the Community of Practice for Direct </w:t>
      </w:r>
      <w:r w:rsidR="00177FB7" w:rsidRPr="002E03E8">
        <w:t>Access</w:t>
      </w:r>
      <w:r w:rsidR="00177FB7" w:rsidRPr="001C42F6">
        <w:rPr>
          <w:rFonts w:eastAsia="Times New Roman"/>
          <w:color w:val="000000" w:themeColor="text1"/>
        </w:rPr>
        <w:t xml:space="preserve"> Entities, held with the participation of the Green Climate Fund;</w:t>
      </w:r>
    </w:p>
    <w:p w14:paraId="622424E8" w14:textId="110235E7"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(m)</w:t>
      </w:r>
      <w:r w:rsidRPr="001C42F6">
        <w:rPr>
          <w:rFonts w:eastAsia="Times New Roman"/>
          <w:szCs w:val="28"/>
        </w:rPr>
        <w:tab/>
      </w:r>
      <w:r w:rsidR="00177FB7">
        <w:t>N</w:t>
      </w:r>
      <w:r w:rsidR="00177FB7" w:rsidRPr="00A64E71">
        <w:t>ew activities under the M</w:t>
      </w:r>
      <w:r w:rsidR="00177FB7">
        <w:t>edium-</w:t>
      </w:r>
      <w:r w:rsidR="00177FB7" w:rsidRPr="00A64E71">
        <w:t>T</w:t>
      </w:r>
      <w:r w:rsidR="00177FB7">
        <w:t xml:space="preserve">erm </w:t>
      </w:r>
      <w:r w:rsidR="00177FB7" w:rsidRPr="00A64E71">
        <w:t>S</w:t>
      </w:r>
      <w:r w:rsidR="00177FB7">
        <w:t>trategy of the Adaptation Fund for 2018–2022,</w:t>
      </w:r>
      <w:r w:rsidR="00177FB7" w:rsidRPr="00A64E71">
        <w:t xml:space="preserve"> includ</w:t>
      </w:r>
      <w:r w:rsidR="00177FB7">
        <w:t>ing</w:t>
      </w:r>
      <w:r w:rsidR="00177FB7" w:rsidRPr="00A64E71">
        <w:t xml:space="preserve"> the approval of large grants for innovation and a funding window for enhanced direct access</w:t>
      </w:r>
      <w:r w:rsidR="00177FB7">
        <w:t>;</w:t>
      </w:r>
      <w:r w:rsidR="00177FB7" w:rsidRPr="00A64E71">
        <w:t xml:space="preserve"> the </w:t>
      </w:r>
      <w:r w:rsidR="00177FB7" w:rsidRPr="001C42F6">
        <w:rPr>
          <w:rFonts w:eastAsia="Arial"/>
        </w:rPr>
        <w:t xml:space="preserve">endorsement of the principles of locally led adaptation action following </w:t>
      </w:r>
      <w:r w:rsidR="00177FB7" w:rsidRPr="00A64E71">
        <w:t>engagement</w:t>
      </w:r>
      <w:r w:rsidR="00177FB7" w:rsidRPr="001C42F6">
        <w:rPr>
          <w:rFonts w:eastAsia="Arial"/>
        </w:rPr>
        <w:t xml:space="preserve"> with the Global Commission; and the launch of </w:t>
      </w:r>
      <w:r w:rsidR="00177FB7">
        <w:t>t</w:t>
      </w:r>
      <w:r w:rsidR="00177FB7" w:rsidRPr="00A64E71">
        <w:t>he Adaptation Fund Climate Innovation Accelerator</w:t>
      </w:r>
      <w:r w:rsidR="00177FB7">
        <w:t>;</w:t>
      </w:r>
    </w:p>
    <w:p w14:paraId="1FA8B69E" w14:textId="09D6D050" w:rsidR="00177FB7" w:rsidRPr="001C42F6" w:rsidRDefault="009E5AC3" w:rsidP="009E5AC3">
      <w:pPr>
        <w:pStyle w:val="RegSingleTxtG2"/>
        <w:numPr>
          <w:ilvl w:val="0"/>
          <w:numId w:val="0"/>
        </w:numPr>
        <w:ind w:left="1134" w:firstLine="567"/>
        <w:rPr>
          <w:rFonts w:eastAsia="Times New Roman"/>
        </w:rPr>
      </w:pPr>
      <w:r w:rsidRPr="001C42F6">
        <w:rPr>
          <w:rFonts w:eastAsia="Times New Roman"/>
          <w:szCs w:val="28"/>
        </w:rPr>
        <w:t>(n)</w:t>
      </w:r>
      <w:r w:rsidRPr="001C42F6">
        <w:rPr>
          <w:rFonts w:eastAsia="Times New Roman"/>
          <w:szCs w:val="28"/>
        </w:rPr>
        <w:tab/>
      </w:r>
      <w:r w:rsidR="00177FB7">
        <w:t>The launch of</w:t>
      </w:r>
      <w:r w:rsidR="00177FB7" w:rsidRPr="00A64E71">
        <w:t xml:space="preserve"> a virtual learning course on unlocking adaptation finance and accessing the A</w:t>
      </w:r>
      <w:r w:rsidR="00177FB7">
        <w:t xml:space="preserve">daptation </w:t>
      </w:r>
      <w:r w:rsidR="00177FB7" w:rsidRPr="00A64E71">
        <w:t>F</w:t>
      </w:r>
      <w:r w:rsidR="00177FB7">
        <w:t>und</w:t>
      </w:r>
      <w:r w:rsidR="00177FB7" w:rsidRPr="00A64E71">
        <w:t>;</w:t>
      </w:r>
    </w:p>
    <w:p w14:paraId="2672992D" w14:textId="601E6A09" w:rsidR="00177FB7" w:rsidRDefault="009E5AC3" w:rsidP="009E5AC3">
      <w:pPr>
        <w:pStyle w:val="RegSingleTxtG2"/>
        <w:numPr>
          <w:ilvl w:val="0"/>
          <w:numId w:val="0"/>
        </w:numPr>
        <w:ind w:left="1134" w:firstLine="567"/>
      </w:pPr>
      <w:r>
        <w:rPr>
          <w:szCs w:val="28"/>
        </w:rPr>
        <w:t>(o)</w:t>
      </w:r>
      <w:r>
        <w:rPr>
          <w:szCs w:val="28"/>
        </w:rPr>
        <w:tab/>
      </w:r>
      <w:r w:rsidR="00177FB7">
        <w:t>The a</w:t>
      </w:r>
      <w:r w:rsidR="00177FB7" w:rsidRPr="00A64E71">
        <w:t>pprov</w:t>
      </w:r>
      <w:r w:rsidR="00177FB7">
        <w:t>al of</w:t>
      </w:r>
      <w:r w:rsidR="00177FB7" w:rsidRPr="00A64E71">
        <w:t xml:space="preserve"> funding decisions for readiness grants amount</w:t>
      </w:r>
      <w:r w:rsidR="00177FB7">
        <w:t>ing</w:t>
      </w:r>
      <w:r w:rsidR="00177FB7" w:rsidRPr="00A64E71">
        <w:t xml:space="preserve"> to USD 234,820, consisting of South–South cooperation grants and technical assistance grants for the environmental and social safeguards policy and </w:t>
      </w:r>
      <w:r w:rsidR="00177FB7">
        <w:t xml:space="preserve">the </w:t>
      </w:r>
      <w:r w:rsidR="00177FB7" w:rsidRPr="00A64E71">
        <w:t>gender policy</w:t>
      </w:r>
      <w:r w:rsidR="00177FB7">
        <w:t>;</w:t>
      </w:r>
      <w:r w:rsidR="00177FB7" w:rsidRPr="00A64E71">
        <w:t xml:space="preserve"> </w:t>
      </w:r>
      <w:r w:rsidR="00177FB7">
        <w:t>and a</w:t>
      </w:r>
      <w:r w:rsidR="00177FB7" w:rsidRPr="00A64E71">
        <w:t xml:space="preserve"> new readiness </w:t>
      </w:r>
      <w:r w:rsidR="00177FB7">
        <w:t xml:space="preserve">support </w:t>
      </w:r>
      <w:r w:rsidR="00177FB7" w:rsidRPr="00A64E71">
        <w:t>package grant window following a successful pilot phase</w:t>
      </w:r>
      <w:r w:rsidR="00177FB7">
        <w:t>;</w:t>
      </w:r>
    </w:p>
    <w:p w14:paraId="156B1BA8" w14:textId="0A906279" w:rsidR="00177FB7" w:rsidRPr="00347D56" w:rsidRDefault="009E5AC3" w:rsidP="009E5AC3">
      <w:pPr>
        <w:pStyle w:val="RegSingleTxtG2"/>
        <w:numPr>
          <w:ilvl w:val="0"/>
          <w:numId w:val="0"/>
        </w:numPr>
        <w:tabs>
          <w:tab w:val="left" w:pos="1702"/>
        </w:tabs>
        <w:ind w:left="1134" w:firstLine="567"/>
      </w:pPr>
      <w:r w:rsidRPr="00347D56">
        <w:rPr>
          <w:szCs w:val="28"/>
        </w:rPr>
        <w:t>(p)</w:t>
      </w:r>
      <w:r w:rsidRPr="00347D56">
        <w:rPr>
          <w:szCs w:val="28"/>
        </w:rPr>
        <w:tab/>
      </w:r>
      <w:r w:rsidR="00177FB7">
        <w:t>The organization of virtual r</w:t>
      </w:r>
      <w:r w:rsidR="00177FB7" w:rsidRPr="00347D56">
        <w:t xml:space="preserve">eadiness events for accredited </w:t>
      </w:r>
      <w:r w:rsidR="00177FB7">
        <w:t>national implementing entities</w:t>
      </w:r>
      <w:r w:rsidR="00177FB7" w:rsidRPr="00347D56">
        <w:t>, including two webinars on project development, a global accreditation training workshop and a country exchange for South–South learning;</w:t>
      </w:r>
    </w:p>
    <w:p w14:paraId="4910BA5F" w14:textId="236591A0" w:rsidR="00177FB7" w:rsidRPr="001C42F6" w:rsidRDefault="009E5AC3" w:rsidP="009E5AC3">
      <w:pPr>
        <w:pStyle w:val="RegSingleTxtG2"/>
        <w:numPr>
          <w:ilvl w:val="0"/>
          <w:numId w:val="0"/>
        </w:numPr>
        <w:ind w:left="1134" w:firstLine="567"/>
        <w:rPr>
          <w:rFonts w:eastAsia="Times New Roman"/>
        </w:rPr>
      </w:pPr>
      <w:r w:rsidRPr="001C42F6">
        <w:rPr>
          <w:rFonts w:eastAsia="Times New Roman"/>
          <w:szCs w:val="28"/>
        </w:rPr>
        <w:t>(q)</w:t>
      </w:r>
      <w:r w:rsidRPr="001C42F6">
        <w:rPr>
          <w:rFonts w:eastAsia="Times New Roman"/>
          <w:szCs w:val="28"/>
        </w:rPr>
        <w:tab/>
      </w:r>
      <w:r w:rsidR="00177FB7" w:rsidRPr="00A64E71">
        <w:t xml:space="preserve">Cumulative disbursements to the 121 projects approved since </w:t>
      </w:r>
      <w:r w:rsidR="00177FB7">
        <w:t xml:space="preserve">the </w:t>
      </w:r>
      <w:r w:rsidR="00177FB7" w:rsidRPr="00A64E71">
        <w:t>operationalization of the A</w:t>
      </w:r>
      <w:r w:rsidR="00177FB7">
        <w:t xml:space="preserve">daptation </w:t>
      </w:r>
      <w:r w:rsidR="00177FB7" w:rsidRPr="00A64E71">
        <w:t>F</w:t>
      </w:r>
      <w:r w:rsidR="00177FB7">
        <w:t>und</w:t>
      </w:r>
      <w:r w:rsidR="00177FB7" w:rsidRPr="00A64E71">
        <w:t xml:space="preserve"> </w:t>
      </w:r>
      <w:r w:rsidR="00177FB7">
        <w:t>amounting to</w:t>
      </w:r>
      <w:r w:rsidR="00177FB7" w:rsidRPr="00A64E71">
        <w:t xml:space="preserve"> USD 485.9 million, including USD 76.2 million disbursed </w:t>
      </w:r>
      <w:r w:rsidR="00177FB7">
        <w:t>between 1 July 2020 and 30 June 2021</w:t>
      </w:r>
      <w:r w:rsidR="00177FB7" w:rsidRPr="00A64E71">
        <w:t>;</w:t>
      </w:r>
    </w:p>
    <w:p w14:paraId="21CAAD26" w14:textId="5766F22D" w:rsidR="00177FB7" w:rsidRPr="00A64E71" w:rsidRDefault="009E5AC3" w:rsidP="009E5AC3">
      <w:pPr>
        <w:pStyle w:val="RegSingleTxtG2"/>
        <w:numPr>
          <w:ilvl w:val="0"/>
          <w:numId w:val="0"/>
        </w:numPr>
        <w:ind w:left="1134" w:firstLine="567"/>
      </w:pPr>
      <w:r w:rsidRPr="00A64E71">
        <w:rPr>
          <w:szCs w:val="28"/>
        </w:rPr>
        <w:t>(r)</w:t>
      </w:r>
      <w:r w:rsidRPr="00A64E71">
        <w:rPr>
          <w:szCs w:val="28"/>
        </w:rPr>
        <w:tab/>
      </w:r>
      <w:r w:rsidR="00177FB7">
        <w:t>The</w:t>
      </w:r>
      <w:r w:rsidR="00177FB7" w:rsidRPr="001C42F6">
        <w:rPr>
          <w:rFonts w:eastAsia="Times New Roman"/>
        </w:rPr>
        <w:t xml:space="preserve"> </w:t>
      </w:r>
      <w:r w:rsidR="00177FB7" w:rsidRPr="002E03E8">
        <w:t>implementation</w:t>
      </w:r>
      <w:r w:rsidR="00177FB7" w:rsidRPr="001C42F6">
        <w:rPr>
          <w:rFonts w:eastAsia="Times New Roman"/>
        </w:rPr>
        <w:t xml:space="preserve"> of proactive measures to support Parties and implementing entities in mitigating the effects of the pandemic and minimizing any related disruption, and to mitigate the impact on the portfolio of the Adaptation Fund</w:t>
      </w:r>
      <w:r w:rsidR="00177FB7" w:rsidRPr="00A64E71">
        <w:t>;</w:t>
      </w:r>
    </w:p>
    <w:p w14:paraId="77614E16" w14:textId="70430D6D"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(s)</w:t>
      </w:r>
      <w:r w:rsidRPr="001C42F6">
        <w:rPr>
          <w:rFonts w:eastAsia="Times New Roman"/>
          <w:szCs w:val="28"/>
        </w:rPr>
        <w:tab/>
      </w:r>
      <w:r w:rsidR="00177FB7">
        <w:t>The issuance of</w:t>
      </w:r>
      <w:r w:rsidR="00177FB7" w:rsidRPr="00A64E71">
        <w:t xml:space="preserve"> targeted communication and messaging on themes such as the unique value of the pioneering scalable work of the A</w:t>
      </w:r>
      <w:r w:rsidR="00177FB7">
        <w:t xml:space="preserve">daptation </w:t>
      </w:r>
      <w:r w:rsidR="00177FB7" w:rsidRPr="00A64E71">
        <w:t>F</w:t>
      </w:r>
      <w:r w:rsidR="00177FB7">
        <w:t>und</w:t>
      </w:r>
      <w:r w:rsidR="00177FB7" w:rsidRPr="00A64E71">
        <w:t>, the implementation of the M</w:t>
      </w:r>
      <w:r w:rsidR="00177FB7">
        <w:t>edium-</w:t>
      </w:r>
      <w:r w:rsidR="00177FB7" w:rsidRPr="00A64E71">
        <w:t>T</w:t>
      </w:r>
      <w:r w:rsidR="00177FB7">
        <w:t xml:space="preserve">erm </w:t>
      </w:r>
      <w:r w:rsidR="00177FB7" w:rsidRPr="00A64E71">
        <w:t>S</w:t>
      </w:r>
      <w:r w:rsidR="00177FB7">
        <w:t>trategy of</w:t>
      </w:r>
      <w:r w:rsidR="00177FB7" w:rsidRPr="00A64E71">
        <w:t xml:space="preserve"> the A</w:t>
      </w:r>
      <w:r w:rsidR="00177FB7">
        <w:t xml:space="preserve">daptation </w:t>
      </w:r>
      <w:r w:rsidR="00177FB7" w:rsidRPr="00A64E71">
        <w:t>F</w:t>
      </w:r>
      <w:r w:rsidR="00177FB7">
        <w:t>und for 2018–2022</w:t>
      </w:r>
      <w:r w:rsidR="00177FB7" w:rsidRPr="00A64E71">
        <w:t>, the response of the A</w:t>
      </w:r>
      <w:r w:rsidR="00177FB7">
        <w:t xml:space="preserve">daptation </w:t>
      </w:r>
      <w:r w:rsidR="00177FB7" w:rsidRPr="00A64E71">
        <w:t>F</w:t>
      </w:r>
      <w:r w:rsidR="00177FB7">
        <w:t>und</w:t>
      </w:r>
      <w:r w:rsidR="00177FB7" w:rsidRPr="00A64E71">
        <w:t xml:space="preserve"> to </w:t>
      </w:r>
      <w:r w:rsidR="00177FB7">
        <w:t xml:space="preserve">the pandemic </w:t>
      </w:r>
      <w:r w:rsidR="00177FB7" w:rsidRPr="00A64E71">
        <w:t>and the value of the A</w:t>
      </w:r>
      <w:r w:rsidR="00177FB7">
        <w:t xml:space="preserve">daptation </w:t>
      </w:r>
      <w:r w:rsidR="00177FB7" w:rsidRPr="00A64E71">
        <w:t>F</w:t>
      </w:r>
      <w:r w:rsidR="00177FB7">
        <w:t>und</w:t>
      </w:r>
      <w:r w:rsidR="00177FB7" w:rsidRPr="00A64E71">
        <w:t xml:space="preserve"> in building broader resilience;</w:t>
      </w:r>
    </w:p>
    <w:p w14:paraId="6AFDA68A" w14:textId="2465CBAA" w:rsidR="00177FB7" w:rsidRPr="00A64E71" w:rsidRDefault="009E5AC3" w:rsidP="009E5AC3">
      <w:pPr>
        <w:pStyle w:val="RegSingleTxtG2"/>
        <w:numPr>
          <w:ilvl w:val="0"/>
          <w:numId w:val="0"/>
        </w:numPr>
        <w:ind w:left="1134" w:firstLine="567"/>
      </w:pPr>
      <w:r w:rsidRPr="00A64E71">
        <w:rPr>
          <w:szCs w:val="28"/>
        </w:rPr>
        <w:lastRenderedPageBreak/>
        <w:t>(t)</w:t>
      </w:r>
      <w:r w:rsidRPr="00A64E71">
        <w:rPr>
          <w:szCs w:val="28"/>
        </w:rPr>
        <w:tab/>
      </w:r>
      <w:r w:rsidR="00177FB7">
        <w:t>The promotion of l</w:t>
      </w:r>
      <w:r w:rsidR="00177FB7" w:rsidRPr="00A64E71">
        <w:t>inkages of the A</w:t>
      </w:r>
      <w:r w:rsidR="00177FB7">
        <w:t xml:space="preserve">daptation </w:t>
      </w:r>
      <w:r w:rsidR="00177FB7" w:rsidRPr="00A64E71">
        <w:t>F</w:t>
      </w:r>
      <w:r w:rsidR="00177FB7">
        <w:t>und</w:t>
      </w:r>
      <w:r w:rsidR="00177FB7" w:rsidRPr="00A64E71">
        <w:t xml:space="preserve"> with other bodies under the Convention, such as the Adaptation Committee, the Climate Technology Centre and Network, the G</w:t>
      </w:r>
      <w:r w:rsidR="00177FB7">
        <w:t xml:space="preserve">lobal </w:t>
      </w:r>
      <w:r w:rsidR="00177FB7" w:rsidRPr="00A64E71">
        <w:t>E</w:t>
      </w:r>
      <w:r w:rsidR="00177FB7">
        <w:t xml:space="preserve">nvironment </w:t>
      </w:r>
      <w:r w:rsidR="00177FB7" w:rsidRPr="00A64E71">
        <w:t>F</w:t>
      </w:r>
      <w:r w:rsidR="00177FB7">
        <w:t>acility,</w:t>
      </w:r>
      <w:r w:rsidR="00177FB7" w:rsidRPr="00A64E71">
        <w:t xml:space="preserve"> the G</w:t>
      </w:r>
      <w:r w:rsidR="00177FB7">
        <w:t xml:space="preserve">reen </w:t>
      </w:r>
      <w:r w:rsidR="00177FB7" w:rsidRPr="00A64E71">
        <w:t>C</w:t>
      </w:r>
      <w:r w:rsidR="00177FB7">
        <w:t xml:space="preserve">limate </w:t>
      </w:r>
      <w:r w:rsidR="00177FB7" w:rsidRPr="00A64E71">
        <w:t>F</w:t>
      </w:r>
      <w:r w:rsidR="00177FB7">
        <w:t>und</w:t>
      </w:r>
      <w:r w:rsidR="00177FB7" w:rsidRPr="00A64E71">
        <w:t>, the P</w:t>
      </w:r>
      <w:r w:rsidR="00177FB7">
        <w:t xml:space="preserve">aris </w:t>
      </w:r>
      <w:r w:rsidR="00177FB7" w:rsidRPr="00A64E71">
        <w:t>C</w:t>
      </w:r>
      <w:r w:rsidR="00177FB7">
        <w:t xml:space="preserve">ommittee on </w:t>
      </w:r>
      <w:r w:rsidR="00177FB7" w:rsidRPr="00A64E71">
        <w:t>C</w:t>
      </w:r>
      <w:r w:rsidR="00177FB7">
        <w:t>apacity-building</w:t>
      </w:r>
      <w:r w:rsidR="00177FB7" w:rsidRPr="00A64E71">
        <w:t xml:space="preserve"> and the Standing Committee on Finance</w:t>
      </w:r>
      <w:r w:rsidR="00177FB7">
        <w:t xml:space="preserve"> – t</w:t>
      </w:r>
      <w:r w:rsidR="00177FB7" w:rsidRPr="00A64E71">
        <w:t>he A</w:t>
      </w:r>
      <w:r w:rsidR="00177FB7">
        <w:t xml:space="preserve">daptation </w:t>
      </w:r>
      <w:r w:rsidR="00177FB7" w:rsidRPr="00A64E71">
        <w:t>F</w:t>
      </w:r>
      <w:r w:rsidR="00177FB7">
        <w:t xml:space="preserve">und </w:t>
      </w:r>
      <w:r w:rsidR="00177FB7" w:rsidRPr="00A64E71">
        <w:t>B</w:t>
      </w:r>
      <w:r w:rsidR="00177FB7">
        <w:t>oard</w:t>
      </w:r>
      <w:r w:rsidR="00177FB7" w:rsidRPr="00A64E71">
        <w:t xml:space="preserve"> held discussions on linkages between the A</w:t>
      </w:r>
      <w:r w:rsidR="00177FB7">
        <w:t xml:space="preserve">daptation </w:t>
      </w:r>
      <w:r w:rsidR="00177FB7" w:rsidRPr="00A64E71">
        <w:t>F</w:t>
      </w:r>
      <w:r w:rsidR="00177FB7">
        <w:t>und</w:t>
      </w:r>
      <w:r w:rsidR="00177FB7" w:rsidRPr="00A64E71">
        <w:t xml:space="preserve"> and the G</w:t>
      </w:r>
      <w:r w:rsidR="00177FB7">
        <w:t xml:space="preserve">reen </w:t>
      </w:r>
      <w:r w:rsidR="00177FB7" w:rsidRPr="00A64E71">
        <w:t>C</w:t>
      </w:r>
      <w:r w:rsidR="00177FB7">
        <w:t xml:space="preserve">limate </w:t>
      </w:r>
      <w:r w:rsidR="00177FB7" w:rsidRPr="00A64E71">
        <w:t>F</w:t>
      </w:r>
      <w:r w:rsidR="00177FB7">
        <w:t>und</w:t>
      </w:r>
      <w:r w:rsidR="00177FB7" w:rsidRPr="00A64E71">
        <w:t xml:space="preserve">, including </w:t>
      </w:r>
      <w:r w:rsidR="00177FB7">
        <w:t>through</w:t>
      </w:r>
      <w:r w:rsidR="00177FB7" w:rsidRPr="00A64E71">
        <w:t xml:space="preserve"> a framework for promoting the scaling up of funded projects and the C</w:t>
      </w:r>
      <w:r w:rsidR="00177FB7">
        <w:t xml:space="preserve">ommunity of </w:t>
      </w:r>
      <w:r w:rsidR="00177FB7" w:rsidRPr="00A64E71">
        <w:t>P</w:t>
      </w:r>
      <w:r w:rsidR="00177FB7">
        <w:t xml:space="preserve">ractice for </w:t>
      </w:r>
      <w:r w:rsidR="00177FB7" w:rsidRPr="00A64E71">
        <w:t>D</w:t>
      </w:r>
      <w:r w:rsidR="00177FB7">
        <w:t xml:space="preserve">irect </w:t>
      </w:r>
      <w:r w:rsidR="00177FB7" w:rsidRPr="00A64E71">
        <w:t>A</w:t>
      </w:r>
      <w:r w:rsidR="00177FB7">
        <w:t xml:space="preserve">ccess </w:t>
      </w:r>
      <w:r w:rsidR="00177FB7" w:rsidRPr="00A64E71">
        <w:t>E</w:t>
      </w:r>
      <w:r w:rsidR="00177FB7">
        <w:t>ntities</w:t>
      </w:r>
      <w:r w:rsidR="00177FB7" w:rsidRPr="00A64E71">
        <w:t>;</w:t>
      </w:r>
    </w:p>
    <w:p w14:paraId="1FEAE26A" w14:textId="2CE33B47"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(u)</w:t>
      </w:r>
      <w:r w:rsidRPr="001C42F6">
        <w:rPr>
          <w:rFonts w:eastAsia="Times New Roman"/>
          <w:szCs w:val="28"/>
        </w:rPr>
        <w:tab/>
      </w:r>
      <w:r w:rsidR="00177FB7">
        <w:t>P</w:t>
      </w:r>
      <w:r w:rsidR="00177FB7" w:rsidRPr="00A64E71">
        <w:t>olicy decisions regarding project approval and implementation, including to streamline the project and programme review process, to update the policy for project and programme delays and to make readiness grants available throughout the year by including an additional review cycle;</w:t>
      </w:r>
    </w:p>
    <w:p w14:paraId="10FCADBD" w14:textId="207E6B33" w:rsidR="00177FB7" w:rsidRPr="00A64E71" w:rsidRDefault="009E5AC3" w:rsidP="009E5AC3">
      <w:pPr>
        <w:pStyle w:val="RegSingleTxtG2"/>
        <w:numPr>
          <w:ilvl w:val="0"/>
          <w:numId w:val="0"/>
        </w:numPr>
        <w:ind w:left="1134" w:firstLine="567"/>
      </w:pPr>
      <w:r w:rsidRPr="00A64E71">
        <w:rPr>
          <w:szCs w:val="28"/>
        </w:rPr>
        <w:t>(v)</w:t>
      </w:r>
      <w:r w:rsidRPr="00A64E71">
        <w:rPr>
          <w:szCs w:val="28"/>
        </w:rPr>
        <w:tab/>
      </w:r>
      <w:r w:rsidR="00177FB7" w:rsidRPr="00A64E71">
        <w:t>The approv</w:t>
      </w:r>
      <w:r w:rsidR="00177FB7">
        <w:t>al of</w:t>
      </w:r>
      <w:r w:rsidR="00177FB7" w:rsidRPr="00A64E71">
        <w:t xml:space="preserve"> the updated A</w:t>
      </w:r>
      <w:r w:rsidR="00177FB7">
        <w:t xml:space="preserve">daptation </w:t>
      </w:r>
      <w:r w:rsidR="00177FB7" w:rsidRPr="00A64E71">
        <w:t>F</w:t>
      </w:r>
      <w:r w:rsidR="00177FB7">
        <w:t>und</w:t>
      </w:r>
      <w:r w:rsidR="00177FB7" w:rsidRPr="00A64E71">
        <w:t xml:space="preserve"> gender policy and action plan and </w:t>
      </w:r>
      <w:r w:rsidR="00177FB7">
        <w:t>application of</w:t>
      </w:r>
      <w:r w:rsidR="00177FB7" w:rsidRPr="00A64E71">
        <w:t xml:space="preserve"> the updated A</w:t>
      </w:r>
      <w:r w:rsidR="00177FB7">
        <w:t xml:space="preserve">daptation </w:t>
      </w:r>
      <w:r w:rsidR="00177FB7" w:rsidRPr="00A64E71">
        <w:t>F</w:t>
      </w:r>
      <w:r w:rsidR="00177FB7">
        <w:t>und</w:t>
      </w:r>
      <w:r w:rsidR="00177FB7" w:rsidRPr="00A64E71">
        <w:t xml:space="preserve"> project performance report template </w:t>
      </w:r>
      <w:r w:rsidR="00177FB7">
        <w:t xml:space="preserve">by implementing entities </w:t>
      </w:r>
      <w:r w:rsidR="00177FB7" w:rsidRPr="00A64E71">
        <w:t xml:space="preserve">to track progress more systematically; </w:t>
      </w:r>
    </w:p>
    <w:p w14:paraId="48A1EC19" w14:textId="4F58E60D" w:rsidR="00177FB7" w:rsidRPr="001C42F6" w:rsidRDefault="009E5AC3" w:rsidP="009E5AC3">
      <w:pPr>
        <w:pStyle w:val="RegSingleTxtG2"/>
        <w:numPr>
          <w:ilvl w:val="0"/>
          <w:numId w:val="0"/>
        </w:numPr>
        <w:ind w:left="1134" w:firstLine="567"/>
        <w:rPr>
          <w:rFonts w:eastAsia="Times New Roman"/>
          <w:color w:val="000000" w:themeColor="text1"/>
        </w:rPr>
      </w:pPr>
      <w:r w:rsidRPr="001C42F6">
        <w:rPr>
          <w:rFonts w:eastAsia="Times New Roman"/>
          <w:szCs w:val="28"/>
        </w:rPr>
        <w:t>(w)</w:t>
      </w:r>
      <w:r w:rsidRPr="001C42F6">
        <w:rPr>
          <w:rFonts w:eastAsia="Times New Roman"/>
          <w:szCs w:val="28"/>
        </w:rPr>
        <w:tab/>
      </w:r>
      <w:r w:rsidR="00177FB7">
        <w:t>C</w:t>
      </w:r>
      <w:r w:rsidR="00177FB7" w:rsidRPr="00A64E71">
        <w:t>onsider</w:t>
      </w:r>
      <w:r w:rsidR="00177FB7">
        <w:t>ation</w:t>
      </w:r>
      <w:r w:rsidR="00177FB7" w:rsidRPr="00A64E71">
        <w:t xml:space="preserve"> </w:t>
      </w:r>
      <w:r w:rsidR="00177FB7">
        <w:t xml:space="preserve">of </w:t>
      </w:r>
      <w:r w:rsidR="00177FB7" w:rsidRPr="00A64E71">
        <w:t xml:space="preserve">options for further enhancing civil society participation and engagement in </w:t>
      </w:r>
      <w:r w:rsidR="00177FB7">
        <w:t>Adaptation Fund</w:t>
      </w:r>
      <w:r w:rsidR="00177FB7" w:rsidRPr="00A64E71">
        <w:t xml:space="preserve"> work;</w:t>
      </w:r>
    </w:p>
    <w:p w14:paraId="06EB5D04" w14:textId="6802D2AB" w:rsidR="00177FB7" w:rsidRDefault="009E5AC3" w:rsidP="009E5AC3">
      <w:pPr>
        <w:pStyle w:val="RegSingleTxtG2"/>
        <w:numPr>
          <w:ilvl w:val="0"/>
          <w:numId w:val="0"/>
        </w:numPr>
        <w:ind w:left="1134" w:firstLine="567"/>
      </w:pPr>
      <w:r>
        <w:rPr>
          <w:szCs w:val="28"/>
        </w:rPr>
        <w:t>(x)</w:t>
      </w:r>
      <w:r>
        <w:rPr>
          <w:szCs w:val="28"/>
        </w:rPr>
        <w:tab/>
      </w:r>
      <w:r w:rsidR="00177FB7">
        <w:t xml:space="preserve">The implementation of activities of the </w:t>
      </w:r>
      <w:r w:rsidR="00177FB7" w:rsidRPr="00A64E71">
        <w:t>T</w:t>
      </w:r>
      <w:r w:rsidR="00177FB7">
        <w:t xml:space="preserve">echnical </w:t>
      </w:r>
      <w:r w:rsidR="00177FB7" w:rsidRPr="00A64E71">
        <w:t>E</w:t>
      </w:r>
      <w:r w:rsidR="00177FB7">
        <w:t xml:space="preserve">valuation </w:t>
      </w:r>
      <w:r w:rsidR="00177FB7" w:rsidRPr="00A64E71">
        <w:t>R</w:t>
      </w:r>
      <w:r w:rsidR="00177FB7">
        <w:t xml:space="preserve">eference </w:t>
      </w:r>
      <w:r w:rsidR="00177FB7" w:rsidRPr="00A64E71">
        <w:t>G</w:t>
      </w:r>
      <w:r w:rsidR="00177FB7">
        <w:t>roup of the Adaptation Fund</w:t>
      </w:r>
      <w:r w:rsidR="00177FB7" w:rsidRPr="00A64E71">
        <w:t xml:space="preserve"> as the basis for developing and approving </w:t>
      </w:r>
      <w:r w:rsidR="00177FB7">
        <w:t xml:space="preserve">its </w:t>
      </w:r>
      <w:r w:rsidR="00177FB7" w:rsidRPr="00A64E71">
        <w:t>multi-year strategy and work programme and corresponding two-year budget</w:t>
      </w:r>
      <w:r w:rsidR="00177FB7">
        <w:t>,</w:t>
      </w:r>
      <w:r w:rsidR="00177FB7" w:rsidRPr="00A64E71">
        <w:t xml:space="preserve"> </w:t>
      </w:r>
      <w:r w:rsidR="00177FB7">
        <w:t>including</w:t>
      </w:r>
      <w:r w:rsidR="00177FB7" w:rsidRPr="00A64E71">
        <w:t xml:space="preserve"> evaluative activities as part of the multi-year strategy and work programme</w:t>
      </w:r>
      <w:r w:rsidR="00177FB7">
        <w:t xml:space="preserve"> approved by the Adaptation Fund Board</w:t>
      </w:r>
      <w:r w:rsidR="00177FB7" w:rsidRPr="00A64E71">
        <w:t xml:space="preserve">, </w:t>
      </w:r>
      <w:r w:rsidR="00177FB7">
        <w:t>such as</w:t>
      </w:r>
      <w:r w:rsidR="00177FB7" w:rsidRPr="00A64E71">
        <w:t xml:space="preserve"> the revision of the A</w:t>
      </w:r>
      <w:r w:rsidR="00177FB7">
        <w:t xml:space="preserve">daptation </w:t>
      </w:r>
      <w:r w:rsidR="00177FB7" w:rsidRPr="00A64E71">
        <w:t>F</w:t>
      </w:r>
      <w:r w:rsidR="00177FB7">
        <w:t>und</w:t>
      </w:r>
      <w:r w:rsidR="00177FB7" w:rsidRPr="00A64E71">
        <w:t xml:space="preserve"> evaluation framework and the midterm review of the M</w:t>
      </w:r>
      <w:r w:rsidR="00177FB7">
        <w:t>edium-</w:t>
      </w:r>
      <w:r w:rsidR="00177FB7" w:rsidRPr="00A64E71">
        <w:t>T</w:t>
      </w:r>
      <w:r w:rsidR="00177FB7">
        <w:t xml:space="preserve">erm </w:t>
      </w:r>
      <w:r w:rsidR="00177FB7" w:rsidRPr="00A64E71">
        <w:t>S</w:t>
      </w:r>
      <w:r w:rsidR="00177FB7">
        <w:t>trategy of the Adaptation Fund for 2018–2022;</w:t>
      </w:r>
      <w:r w:rsidR="00177FB7">
        <w:rPr>
          <w:rStyle w:val="FootnoteReference"/>
        </w:rPr>
        <w:footnoteReference w:id="23"/>
      </w:r>
    </w:p>
    <w:p w14:paraId="0E5C2571" w14:textId="65F0F563" w:rsidR="00177FB7" w:rsidRPr="00396193" w:rsidRDefault="009E5AC3" w:rsidP="009E5AC3">
      <w:pPr>
        <w:pStyle w:val="RegSingleTxtG"/>
        <w:numPr>
          <w:ilvl w:val="0"/>
          <w:numId w:val="0"/>
        </w:numPr>
        <w:ind w:left="1134"/>
      </w:pPr>
      <w:r w:rsidRPr="00396193">
        <w:t>5.</w:t>
      </w:r>
      <w:r w:rsidRPr="00396193">
        <w:tab/>
      </w:r>
      <w:r w:rsidR="00177FB7" w:rsidRPr="00FB0768">
        <w:rPr>
          <w:i/>
          <w:iCs/>
        </w:rPr>
        <w:t xml:space="preserve">Welcomes with </w:t>
      </w:r>
      <w:r w:rsidR="00177FB7" w:rsidRPr="00396193">
        <w:rPr>
          <w:i/>
          <w:iCs/>
        </w:rPr>
        <w:t>appreciation</w:t>
      </w:r>
      <w:r w:rsidR="00177FB7" w:rsidRPr="00396193">
        <w:t xml:space="preserve"> the decision of the Adaptation Fund Board to increase the finance access cap per country from USD 10 million to USD 20 million and the number of accredited national implementing entities per eligible developing country Party from one to two;</w:t>
      </w:r>
      <w:r w:rsidR="00177FB7" w:rsidRPr="00396193">
        <w:rPr>
          <w:rStyle w:val="FootnoteReference"/>
          <w:szCs w:val="24"/>
        </w:rPr>
        <w:footnoteReference w:id="24"/>
      </w:r>
      <w:r w:rsidR="00177FB7" w:rsidRPr="00396193">
        <w:t xml:space="preserve"> </w:t>
      </w:r>
    </w:p>
    <w:p w14:paraId="0015225E" w14:textId="7AB752D0" w:rsidR="00177FB7" w:rsidRPr="00396193" w:rsidRDefault="009E5AC3" w:rsidP="009E5AC3">
      <w:pPr>
        <w:pStyle w:val="RegSingleTxtG"/>
        <w:numPr>
          <w:ilvl w:val="0"/>
          <w:numId w:val="0"/>
        </w:numPr>
        <w:ind w:left="1134"/>
        <w:rPr>
          <w:iCs/>
        </w:rPr>
      </w:pPr>
      <w:r w:rsidRPr="00396193">
        <w:rPr>
          <w:iCs/>
        </w:rPr>
        <w:t>6.</w:t>
      </w:r>
      <w:r w:rsidRPr="00396193">
        <w:rPr>
          <w:iCs/>
        </w:rPr>
        <w:tab/>
      </w:r>
      <w:r w:rsidR="00177FB7" w:rsidRPr="00396193">
        <w:rPr>
          <w:i/>
        </w:rPr>
        <w:t>Welcomes</w:t>
      </w:r>
      <w:r w:rsidR="00177FB7" w:rsidRPr="00396193">
        <w:rPr>
          <w:iCs/>
        </w:rPr>
        <w:t xml:space="preserve"> the financial pledges to the Adaptation Fund made by the European Commission, the Governments of </w:t>
      </w:r>
      <w:r w:rsidR="00177FB7">
        <w:rPr>
          <w:iCs/>
        </w:rPr>
        <w:t xml:space="preserve">Canada, </w:t>
      </w:r>
      <w:r w:rsidR="00177FB7" w:rsidRPr="00396193">
        <w:rPr>
          <w:iCs/>
        </w:rPr>
        <w:t>Finland, Germany, Ireland, Norway, Qatar, Spain, Sweden, Switzerland, the United Kingdom of Great Britain and Northern Ireland and the United States of America, as well as the governments of the Brussels-Capital</w:t>
      </w:r>
      <w:r w:rsidR="00177FB7">
        <w:rPr>
          <w:iCs/>
        </w:rPr>
        <w:t xml:space="preserve">, </w:t>
      </w:r>
      <w:r w:rsidR="00177FB7" w:rsidRPr="00396193">
        <w:rPr>
          <w:iCs/>
        </w:rPr>
        <w:t xml:space="preserve">Flemish </w:t>
      </w:r>
      <w:r w:rsidR="00177FB7">
        <w:rPr>
          <w:iCs/>
        </w:rPr>
        <w:t xml:space="preserve">and Walloon </w:t>
      </w:r>
      <w:r w:rsidR="00177FB7" w:rsidRPr="00396193">
        <w:rPr>
          <w:iCs/>
        </w:rPr>
        <w:t>Regions of Belgium and the provincial government of Quebec, equivalent to USD</w:t>
      </w:r>
      <w:r w:rsidR="00177FB7">
        <w:rPr>
          <w:iCs/>
        </w:rPr>
        <w:t xml:space="preserve"> 356 </w:t>
      </w:r>
      <w:r w:rsidR="00177FB7" w:rsidRPr="00396193">
        <w:rPr>
          <w:iCs/>
        </w:rPr>
        <w:t>million;</w:t>
      </w:r>
    </w:p>
    <w:p w14:paraId="45D41A1C" w14:textId="63597A57" w:rsidR="00177FB7" w:rsidRPr="00062FB2" w:rsidRDefault="009E5AC3" w:rsidP="009E5AC3">
      <w:pPr>
        <w:pStyle w:val="RegSingleTxtG"/>
        <w:numPr>
          <w:ilvl w:val="0"/>
          <w:numId w:val="0"/>
        </w:numPr>
        <w:ind w:left="1134"/>
      </w:pPr>
      <w:r w:rsidRPr="00062FB2">
        <w:t>7.</w:t>
      </w:r>
      <w:r w:rsidRPr="00062FB2">
        <w:tab/>
      </w:r>
      <w:r w:rsidR="00177FB7" w:rsidRPr="00BD7B52">
        <w:rPr>
          <w:i/>
        </w:rPr>
        <w:t>Takes note</w:t>
      </w:r>
      <w:r w:rsidR="00177FB7" w:rsidRPr="00BD7B52">
        <w:t xml:space="preserve"> of decision </w:t>
      </w:r>
      <w:r w:rsidR="003B5A25" w:rsidRPr="00BD7B52">
        <w:t>3</w:t>
      </w:r>
      <w:r w:rsidR="00177FB7" w:rsidRPr="00BD7B52">
        <w:t xml:space="preserve">/CMP.16, </w:t>
      </w:r>
      <w:r w:rsidR="00177FB7" w:rsidRPr="00BD7B52">
        <w:rPr>
          <w:i/>
        </w:rPr>
        <w:t>confirms</w:t>
      </w:r>
      <w:r w:rsidR="00177FB7" w:rsidRPr="00BD7B52">
        <w:t xml:space="preserve"> that developing country Parties to the Paris Agreement that are particularly vulnerable to the adverse effects of climate change are eligible for funding</w:t>
      </w:r>
      <w:r w:rsidR="00177FB7" w:rsidRPr="00062FB2">
        <w:t xml:space="preserve"> from the Adaptation Fund, </w:t>
      </w:r>
      <w:r w:rsidR="00177FB7" w:rsidRPr="00062FB2">
        <w:rPr>
          <w:i/>
        </w:rPr>
        <w:t>recall</w:t>
      </w:r>
      <w:r w:rsidR="00177FB7" w:rsidRPr="00062FB2">
        <w:rPr>
          <w:i/>
          <w:iCs/>
        </w:rPr>
        <w:t>s</w:t>
      </w:r>
      <w:r w:rsidR="00177FB7" w:rsidRPr="00062FB2">
        <w:t xml:space="preserve"> decision 1/CMP.3, paragraph 4, and </w:t>
      </w:r>
      <w:r w:rsidR="00177FB7" w:rsidRPr="00062FB2">
        <w:rPr>
          <w:i/>
        </w:rPr>
        <w:t>invites</w:t>
      </w:r>
      <w:r w:rsidR="00177FB7" w:rsidRPr="00062FB2">
        <w:t xml:space="preserve"> the Conference of the Parties serving as the meeting</w:t>
      </w:r>
      <w:r w:rsidR="00177FB7">
        <w:t xml:space="preserve"> of the Parties to the Kyoto Protocol</w:t>
      </w:r>
      <w:r w:rsidR="00177FB7" w:rsidRPr="00E80DB9">
        <w:t xml:space="preserve"> to request the </w:t>
      </w:r>
      <w:r w:rsidR="00177FB7" w:rsidRPr="00062FB2">
        <w:t>Adaptation Fund Board to amend the relevant operational policies and guidelines, as well as its strategic priorities, policies and guidelines accordingly;</w:t>
      </w:r>
    </w:p>
    <w:p w14:paraId="74FA7338" w14:textId="39789E30" w:rsidR="00177FB7" w:rsidRPr="006957AF" w:rsidRDefault="009E5AC3" w:rsidP="009E5AC3">
      <w:pPr>
        <w:pStyle w:val="RegSingleTxtG"/>
        <w:numPr>
          <w:ilvl w:val="0"/>
          <w:numId w:val="0"/>
        </w:numPr>
        <w:ind w:left="1134"/>
      </w:pPr>
      <w:r w:rsidRPr="006957AF">
        <w:t>8.</w:t>
      </w:r>
      <w:r w:rsidRPr="006957AF">
        <w:tab/>
      </w:r>
      <w:r w:rsidR="00177FB7" w:rsidRPr="00062FB2">
        <w:rPr>
          <w:i/>
        </w:rPr>
        <w:t>Takes note</w:t>
      </w:r>
      <w:r w:rsidR="00177FB7" w:rsidRPr="00062FB2">
        <w:t xml:space="preserve"> of decision </w:t>
      </w:r>
      <w:r w:rsidR="003B5A25" w:rsidRPr="00062FB2">
        <w:t>3</w:t>
      </w:r>
      <w:r w:rsidR="00177FB7" w:rsidRPr="00062FB2">
        <w:t>/CMP.16,</w:t>
      </w:r>
      <w:r w:rsidR="00177FB7" w:rsidRPr="00062FB2">
        <w:rPr>
          <w:i/>
        </w:rPr>
        <w:t xml:space="preserve"> confirms</w:t>
      </w:r>
      <w:r w:rsidR="00177FB7" w:rsidRPr="00062FB2">
        <w:t xml:space="preserve"> that Parties to the Paris Agreement are eligible for membership on the Adaptation Fund Board, </w:t>
      </w:r>
      <w:r w:rsidR="00177FB7" w:rsidRPr="00062FB2">
        <w:rPr>
          <w:i/>
          <w:iCs/>
        </w:rPr>
        <w:t>recalls</w:t>
      </w:r>
      <w:r w:rsidR="00177FB7" w:rsidRPr="00062FB2">
        <w:t xml:space="preserve"> decision 1/CMP.3, paragraph</w:t>
      </w:r>
      <w:r w:rsidR="00D74EF3" w:rsidRPr="00062FB2">
        <w:t> </w:t>
      </w:r>
      <w:r w:rsidR="00177FB7" w:rsidRPr="00062FB2">
        <w:t xml:space="preserve">4, and </w:t>
      </w:r>
      <w:r w:rsidR="00177FB7" w:rsidRPr="00062FB2">
        <w:rPr>
          <w:i/>
        </w:rPr>
        <w:t>invites</w:t>
      </w:r>
      <w:r w:rsidR="00177FB7" w:rsidRPr="00062FB2">
        <w:t xml:space="preserve"> the Conference of the Parties</w:t>
      </w:r>
      <w:r w:rsidR="00177FB7">
        <w:t xml:space="preserve"> serving as the meeting of the Parties to the Kyoto Protocol</w:t>
      </w:r>
      <w:r w:rsidR="00177FB7" w:rsidRPr="006957AF">
        <w:t xml:space="preserve"> to request the </w:t>
      </w:r>
      <w:r w:rsidR="00177FB7">
        <w:t xml:space="preserve">Adaptation Fund </w:t>
      </w:r>
      <w:r w:rsidR="00177FB7" w:rsidRPr="006957AF">
        <w:t xml:space="preserve">Board to amend the relevant </w:t>
      </w:r>
      <w:r w:rsidR="00177FB7" w:rsidRPr="00E55885">
        <w:t>procedures and modalities</w:t>
      </w:r>
      <w:r w:rsidR="00177FB7">
        <w:t>;</w:t>
      </w:r>
    </w:p>
    <w:p w14:paraId="47232B05" w14:textId="2A8B34E2" w:rsidR="00177FB7" w:rsidRDefault="009E5AC3" w:rsidP="009E5AC3">
      <w:pPr>
        <w:pStyle w:val="RegSingleTxtG"/>
        <w:numPr>
          <w:ilvl w:val="0"/>
          <w:numId w:val="0"/>
        </w:numPr>
        <w:ind w:left="1134"/>
      </w:pPr>
      <w:r>
        <w:t>9.</w:t>
      </w:r>
      <w:r>
        <w:tab/>
      </w:r>
      <w:r w:rsidR="00177FB7">
        <w:rPr>
          <w:i/>
          <w:iCs/>
        </w:rPr>
        <w:t>Requests</w:t>
      </w:r>
      <w:r w:rsidR="00177FB7">
        <w:t xml:space="preserve"> </w:t>
      </w:r>
      <w:r w:rsidR="00177FB7" w:rsidRPr="007678BE">
        <w:t xml:space="preserve">the </w:t>
      </w:r>
      <w:r w:rsidR="00177FB7">
        <w:t xml:space="preserve">Adaptation Fund </w:t>
      </w:r>
      <w:r w:rsidR="00177FB7" w:rsidRPr="007678BE">
        <w:t xml:space="preserve">Board </w:t>
      </w:r>
      <w:r w:rsidR="00177FB7">
        <w:t xml:space="preserve">to </w:t>
      </w:r>
      <w:r w:rsidR="00177FB7" w:rsidRPr="007678BE">
        <w:t>provide a</w:t>
      </w:r>
      <w:r w:rsidR="00177FB7">
        <w:t>n</w:t>
      </w:r>
      <w:r w:rsidR="00177FB7" w:rsidRPr="007678BE">
        <w:t xml:space="preserve"> update on its progress </w:t>
      </w:r>
      <w:r w:rsidR="00177FB7">
        <w:t>in</w:t>
      </w:r>
      <w:r w:rsidR="00177FB7" w:rsidRPr="007678BE">
        <w:t xml:space="preserve"> assisting developing countr</w:t>
      </w:r>
      <w:r w:rsidR="00177FB7">
        <w:t>y</w:t>
      </w:r>
      <w:r w:rsidR="00177FB7" w:rsidRPr="007678BE">
        <w:t xml:space="preserve"> </w:t>
      </w:r>
      <w:r w:rsidR="00177FB7">
        <w:t>Parties in</w:t>
      </w:r>
      <w:r w:rsidR="00177FB7" w:rsidRPr="007678BE">
        <w:t xml:space="preserve"> meet</w:t>
      </w:r>
      <w:r w:rsidR="00177FB7">
        <w:t>ing</w:t>
      </w:r>
      <w:r w:rsidR="00177FB7" w:rsidRPr="007678BE">
        <w:t xml:space="preserve"> the</w:t>
      </w:r>
      <w:r w:rsidR="00177FB7">
        <w:t>ir</w:t>
      </w:r>
      <w:r w:rsidR="00177FB7" w:rsidRPr="007678BE">
        <w:t xml:space="preserve"> adaptation commitments </w:t>
      </w:r>
      <w:r w:rsidR="00177FB7">
        <w:t>under</w:t>
      </w:r>
      <w:r w:rsidR="00177FB7" w:rsidRPr="007678BE">
        <w:t xml:space="preserve"> the Paris Agreement</w:t>
      </w:r>
      <w:r w:rsidR="00177FB7">
        <w:t xml:space="preserve">; </w:t>
      </w:r>
    </w:p>
    <w:p w14:paraId="2B364C70" w14:textId="72CC8159" w:rsidR="00177FB7" w:rsidRPr="00DF070B" w:rsidRDefault="009E5AC3" w:rsidP="009E5AC3">
      <w:pPr>
        <w:pStyle w:val="RegSingleTxtG"/>
        <w:numPr>
          <w:ilvl w:val="0"/>
          <w:numId w:val="0"/>
        </w:numPr>
        <w:ind w:left="1134"/>
        <w:rPr>
          <w:szCs w:val="24"/>
          <w:u w:val="single"/>
        </w:rPr>
      </w:pPr>
      <w:r w:rsidRPr="00DF070B">
        <w:rPr>
          <w:szCs w:val="24"/>
        </w:rPr>
        <w:t>10.</w:t>
      </w:r>
      <w:r w:rsidRPr="00DF070B">
        <w:rPr>
          <w:szCs w:val="24"/>
        </w:rPr>
        <w:tab/>
      </w:r>
      <w:r w:rsidR="00177FB7" w:rsidRPr="00570CE7">
        <w:rPr>
          <w:i/>
          <w:iCs/>
          <w:szCs w:val="24"/>
        </w:rPr>
        <w:t>Reiterates</w:t>
      </w:r>
      <w:r w:rsidR="00177FB7" w:rsidRPr="00570CE7">
        <w:rPr>
          <w:szCs w:val="24"/>
        </w:rPr>
        <w:t xml:space="preserve"> the encouragement </w:t>
      </w:r>
      <w:r w:rsidR="00177FB7">
        <w:rPr>
          <w:szCs w:val="24"/>
        </w:rPr>
        <w:t>to scale</w:t>
      </w:r>
      <w:r w:rsidR="00177FB7" w:rsidRPr="00570CE7">
        <w:rPr>
          <w:szCs w:val="24"/>
        </w:rPr>
        <w:t xml:space="preserve"> up financial resources</w:t>
      </w:r>
      <w:r w:rsidR="00177FB7">
        <w:rPr>
          <w:szCs w:val="24"/>
        </w:rPr>
        <w:t>, including the provision of voluntary support,</w:t>
      </w:r>
      <w:r w:rsidR="00177FB7" w:rsidRPr="00570CE7">
        <w:rPr>
          <w:szCs w:val="24"/>
        </w:rPr>
        <w:t xml:space="preserve"> that are additional to the share of proceeds levied on certified emission </w:t>
      </w:r>
      <w:r w:rsidR="00177FB7" w:rsidRPr="00570CE7">
        <w:rPr>
          <w:szCs w:val="24"/>
        </w:rPr>
        <w:lastRenderedPageBreak/>
        <w:t>reductions in order to support the resource mobilization efforts of the Adaptation Fund Board with a view to strengthening the Adaptation Fund;</w:t>
      </w:r>
      <w:r w:rsidR="00177FB7">
        <w:rPr>
          <w:rStyle w:val="FootnoteReference"/>
          <w:szCs w:val="24"/>
        </w:rPr>
        <w:footnoteReference w:id="25"/>
      </w:r>
    </w:p>
    <w:p w14:paraId="5D1F348F" w14:textId="6FCEFCFE" w:rsidR="00177FB7" w:rsidRPr="007F0B58" w:rsidRDefault="009E5AC3" w:rsidP="009E5AC3">
      <w:pPr>
        <w:pStyle w:val="RegSingleTxtG"/>
        <w:numPr>
          <w:ilvl w:val="0"/>
          <w:numId w:val="0"/>
        </w:numPr>
        <w:ind w:left="1134"/>
      </w:pPr>
      <w:r w:rsidRPr="007F0B58">
        <w:t>11.</w:t>
      </w:r>
      <w:r w:rsidRPr="007F0B58">
        <w:tab/>
      </w:r>
      <w:r w:rsidR="00177FB7">
        <w:rPr>
          <w:i/>
        </w:rPr>
        <w:t>Requests</w:t>
      </w:r>
      <w:r w:rsidR="00177FB7" w:rsidRPr="007F0B58">
        <w:rPr>
          <w:i/>
        </w:rPr>
        <w:t xml:space="preserve"> </w:t>
      </w:r>
      <w:r w:rsidR="00177FB7" w:rsidRPr="007F0B58">
        <w:t xml:space="preserve">the Adaptation Fund Board, in line with its existing mandate and decisions 1/CMP.3 and </w:t>
      </w:r>
      <w:r w:rsidR="00177FB7">
        <w:t>1/CMP.4</w:t>
      </w:r>
      <w:r w:rsidR="00177FB7" w:rsidRPr="007F0B58">
        <w:t>, to consider and provide an update on its activities and scope of support in relation to assisting developing country Parties to the Paris Agreement, including information on:</w:t>
      </w:r>
    </w:p>
    <w:p w14:paraId="113043EB" w14:textId="53DA111A" w:rsidR="00177FB7" w:rsidRPr="00FB0768" w:rsidRDefault="009E5AC3" w:rsidP="009E5AC3">
      <w:pPr>
        <w:pStyle w:val="RegSingleTxtG2"/>
        <w:numPr>
          <w:ilvl w:val="0"/>
          <w:numId w:val="0"/>
        </w:numPr>
        <w:ind w:left="1134" w:firstLine="567"/>
        <w:rPr>
          <w:u w:val="single"/>
        </w:rPr>
      </w:pPr>
      <w:r w:rsidRPr="00FB0768">
        <w:rPr>
          <w:szCs w:val="28"/>
        </w:rPr>
        <w:t>(a)</w:t>
      </w:r>
      <w:r w:rsidRPr="00FB0768">
        <w:rPr>
          <w:szCs w:val="28"/>
        </w:rPr>
        <w:tab/>
      </w:r>
      <w:r w:rsidR="00177FB7" w:rsidRPr="00BE00B5">
        <w:t>Actions in relation to needs and priorities identified in adaptation planning processes, including</w:t>
      </w:r>
      <w:r w:rsidR="00177FB7" w:rsidRPr="00FB0768">
        <w:rPr>
          <w:rFonts w:eastAsia="Times New Roman" w:cstheme="minorHAnsi"/>
          <w:color w:val="000000"/>
          <w:lang w:eastAsia="en-GB"/>
        </w:rPr>
        <w:t xml:space="preserve"> national adaptation plans, nationally determined contributions, adaptation communications and other voluntary adaptation reports, taking into consideration gaps and challenges faced by countries;</w:t>
      </w:r>
    </w:p>
    <w:p w14:paraId="03AA4C6A" w14:textId="6A62300B" w:rsidR="00177FB7" w:rsidRPr="00BE00B5" w:rsidRDefault="009E5AC3" w:rsidP="009E5AC3">
      <w:pPr>
        <w:pStyle w:val="RegSingleTxtG2"/>
        <w:numPr>
          <w:ilvl w:val="0"/>
          <w:numId w:val="0"/>
        </w:numPr>
        <w:ind w:left="1134" w:firstLine="567"/>
        <w:rPr>
          <w:u w:val="single"/>
        </w:rPr>
      </w:pPr>
      <w:r w:rsidRPr="00BE00B5">
        <w:rPr>
          <w:szCs w:val="28"/>
        </w:rPr>
        <w:t>(b)</w:t>
      </w:r>
      <w:r w:rsidRPr="00BE00B5">
        <w:rPr>
          <w:szCs w:val="28"/>
        </w:rPr>
        <w:tab/>
      </w:r>
      <w:r w:rsidR="00177FB7" w:rsidRPr="00BE00B5">
        <w:rPr>
          <w:rFonts w:cstheme="minorHAnsi"/>
          <w:color w:val="000000"/>
        </w:rPr>
        <w:t>Institutional capacity-</w:t>
      </w:r>
      <w:r w:rsidR="00177FB7" w:rsidRPr="009D5300">
        <w:t>building</w:t>
      </w:r>
      <w:r w:rsidR="00177FB7" w:rsidRPr="00BE00B5">
        <w:rPr>
          <w:rFonts w:cstheme="minorHAnsi"/>
          <w:color w:val="000000"/>
        </w:rPr>
        <w:t xml:space="preserve"> in countries aimed at enhancing access to the Adaptation Fund;</w:t>
      </w:r>
    </w:p>
    <w:p w14:paraId="37424145" w14:textId="2D63D7FF" w:rsidR="00177FB7" w:rsidRPr="007B195A" w:rsidRDefault="009E5AC3" w:rsidP="009E5AC3">
      <w:pPr>
        <w:pStyle w:val="RegSingleTxtG2"/>
        <w:numPr>
          <w:ilvl w:val="0"/>
          <w:numId w:val="0"/>
        </w:numPr>
        <w:ind w:left="1134" w:firstLine="567"/>
        <w:rPr>
          <w:u w:val="single"/>
        </w:rPr>
      </w:pPr>
      <w:r w:rsidRPr="007B195A">
        <w:rPr>
          <w:szCs w:val="28"/>
        </w:rPr>
        <w:t>(c)</w:t>
      </w:r>
      <w:r w:rsidRPr="007B195A">
        <w:rPr>
          <w:szCs w:val="28"/>
        </w:rPr>
        <w:tab/>
      </w:r>
      <w:r w:rsidR="00177FB7" w:rsidRPr="00BE00B5">
        <w:rPr>
          <w:rFonts w:eastAsia="Times New Roman" w:cstheme="minorHAnsi"/>
          <w:color w:val="000000"/>
          <w:lang w:eastAsia="en-GB"/>
        </w:rPr>
        <w:t xml:space="preserve">Efforts to support the </w:t>
      </w:r>
      <w:r w:rsidR="00177FB7" w:rsidRPr="009D5300">
        <w:t>global</w:t>
      </w:r>
      <w:r w:rsidR="00177FB7" w:rsidRPr="00BE00B5">
        <w:rPr>
          <w:rFonts w:eastAsia="Times New Roman" w:cstheme="minorHAnsi"/>
          <w:color w:val="000000"/>
          <w:lang w:eastAsia="en-GB"/>
        </w:rPr>
        <w:t xml:space="preserve"> goal on adaptation of enhancing adaptive capacity, </w:t>
      </w:r>
      <w:r w:rsidR="00177FB7" w:rsidRPr="007B195A">
        <w:rPr>
          <w:rFonts w:eastAsia="Times New Roman" w:cstheme="minorHAnsi"/>
          <w:color w:val="000000"/>
          <w:lang w:eastAsia="en-GB"/>
        </w:rPr>
        <w:t>strengthening resilience and reducing vulnerability to climate change with a view to contributing to sustainable development and ensuring an adequate adaptation response in the context of the global temperature goal referred to in Article 2 of the Paris Agreement;</w:t>
      </w:r>
    </w:p>
    <w:p w14:paraId="03CEC7D7" w14:textId="59ABC2FA" w:rsidR="00177FB7" w:rsidRPr="00BE00B5" w:rsidRDefault="009E5AC3" w:rsidP="009E5AC3">
      <w:pPr>
        <w:pStyle w:val="RegSingleTxtG"/>
        <w:numPr>
          <w:ilvl w:val="0"/>
          <w:numId w:val="0"/>
        </w:numPr>
        <w:ind w:left="1134"/>
      </w:pPr>
      <w:r w:rsidRPr="00BE00B5">
        <w:t>12.</w:t>
      </w:r>
      <w:r w:rsidRPr="00BE00B5">
        <w:tab/>
      </w:r>
      <w:r w:rsidR="00177FB7" w:rsidRPr="00BE00B5">
        <w:rPr>
          <w:i/>
          <w:iCs/>
        </w:rPr>
        <w:t>Notes</w:t>
      </w:r>
      <w:r w:rsidR="00177FB7" w:rsidRPr="00BE00B5">
        <w:t xml:space="preserve"> the summary by the Adaptation Fund Board</w:t>
      </w:r>
      <w:r w:rsidR="00177FB7" w:rsidRPr="00BE00B5">
        <w:rPr>
          <w:rStyle w:val="FootnoteReference"/>
        </w:rPr>
        <w:footnoteReference w:id="26"/>
      </w:r>
      <w:r w:rsidR="00177FB7" w:rsidRPr="00BE00B5">
        <w:t xml:space="preserve"> of its consideration of its rules of procedure; the implications of the Adaptation Fund receiving the share of proceeds from activities under Articles 6, 12 and 17 of the Kyoto Protocol when the Adaptation Fund serves the Paris Agreement; and</w:t>
      </w:r>
      <w:r w:rsidR="00177FB7" w:rsidRPr="00C571AC">
        <w:t xml:space="preserve"> </w:t>
      </w:r>
      <w:r w:rsidR="00177FB7" w:rsidRPr="00BE00B5">
        <w:t>any other matter so as to ensure that the Adaptation Fund serves the Paris Agreement smoothly;</w:t>
      </w:r>
      <w:r w:rsidR="00177FB7" w:rsidRPr="00BE00B5">
        <w:rPr>
          <w:rStyle w:val="FootnoteReference"/>
        </w:rPr>
        <w:footnoteReference w:id="27"/>
      </w:r>
    </w:p>
    <w:p w14:paraId="2ED5396E" w14:textId="4A20716A" w:rsidR="00177FB7" w:rsidRPr="00BE00B5" w:rsidRDefault="009E5AC3" w:rsidP="009E5AC3">
      <w:pPr>
        <w:pStyle w:val="RegSingleTxtG"/>
        <w:numPr>
          <w:ilvl w:val="0"/>
          <w:numId w:val="0"/>
        </w:numPr>
        <w:ind w:left="1134"/>
      </w:pPr>
      <w:r w:rsidRPr="00BE00B5">
        <w:t>13.</w:t>
      </w:r>
      <w:r w:rsidRPr="00BE00B5">
        <w:tab/>
      </w:r>
      <w:r w:rsidR="00177FB7" w:rsidRPr="00BE00B5">
        <w:rPr>
          <w:i/>
          <w:iCs/>
        </w:rPr>
        <w:t>Encourages</w:t>
      </w:r>
      <w:r w:rsidR="00177FB7" w:rsidRPr="00BE00B5">
        <w:t xml:space="preserve"> the Adaptation Fund Board to continue its consideration of its rules of procedure in the context of serving the Paris Agreement, including after the Subsidiary Body for Implementation has concluded its consideration of matters related to membership of the Adaptation Fund Board</w:t>
      </w:r>
      <w:r w:rsidR="00177FB7">
        <w:t>.</w:t>
      </w:r>
      <w:r w:rsidR="00177FB7" w:rsidRPr="00BE00B5">
        <w:rPr>
          <w:rStyle w:val="FootnoteReference"/>
        </w:rPr>
        <w:footnoteReference w:id="28"/>
      </w:r>
    </w:p>
    <w:p w14:paraId="3255C02B" w14:textId="77777777" w:rsidR="00D65E5A" w:rsidRDefault="00D65E5A" w:rsidP="00D65E5A">
      <w:pPr>
        <w:spacing w:before="240"/>
        <w:ind w:left="1134" w:right="1134"/>
        <w:jc w:val="right"/>
        <w:rPr>
          <w:i/>
        </w:rPr>
        <w:sectPr w:rsidR="00D65E5A" w:rsidSect="00265564">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04357795" w14:textId="68B9D90D" w:rsidR="00D31131" w:rsidRDefault="00D31131" w:rsidP="009E5AC3">
      <w:pPr>
        <w:pStyle w:val="RegHChG"/>
        <w:numPr>
          <w:ilvl w:val="0"/>
          <w:numId w:val="0"/>
        </w:numPr>
        <w:spacing w:before="120"/>
        <w:ind w:left="1134" w:hanging="454"/>
      </w:pPr>
      <w:bookmarkStart w:id="19" w:name="Decision14"/>
      <w:r>
        <w:lastRenderedPageBreak/>
        <w:t>Decision 14/CMA.3</w:t>
      </w:r>
    </w:p>
    <w:bookmarkEnd w:id="19"/>
    <w:p w14:paraId="12393ABE" w14:textId="11526971" w:rsidR="00D31131" w:rsidRPr="00820826" w:rsidRDefault="0034390F" w:rsidP="009E5AC3">
      <w:pPr>
        <w:pStyle w:val="RegHChG"/>
        <w:numPr>
          <w:ilvl w:val="0"/>
          <w:numId w:val="0"/>
        </w:numPr>
        <w:ind w:left="1135" w:hanging="454"/>
      </w:pPr>
      <w:r>
        <w:t>Compilation and synthesis of, and summary report on the in-session workshop on, biennial communications of information related to Article 9, paragraph 5, of the Paris Agreement</w:t>
      </w:r>
    </w:p>
    <w:p w14:paraId="7CF3E5F6" w14:textId="77777777" w:rsidR="00E01870" w:rsidRDefault="00E01870" w:rsidP="00E01870">
      <w:pPr>
        <w:pStyle w:val="RegSingleTxtG"/>
        <w:numPr>
          <w:ilvl w:val="0"/>
          <w:numId w:val="0"/>
        </w:numPr>
        <w:tabs>
          <w:tab w:val="clear" w:pos="1701"/>
        </w:tabs>
        <w:ind w:left="1134" w:right="1133" w:firstLine="567"/>
        <w:rPr>
          <w:i/>
          <w:iCs/>
        </w:rPr>
      </w:pPr>
      <w:r w:rsidRPr="00094A66">
        <w:rPr>
          <w:i/>
          <w:color w:val="000000"/>
        </w:rPr>
        <w:t>The Conference of the Parties serving as the meeting of the Parties to the Paris Agreement</w:t>
      </w:r>
      <w:r w:rsidRPr="00D5424B">
        <w:rPr>
          <w:color w:val="000000"/>
        </w:rPr>
        <w:t>,</w:t>
      </w:r>
      <w:r w:rsidRPr="00094A66">
        <w:rPr>
          <w:i/>
          <w:iCs/>
        </w:rPr>
        <w:t xml:space="preserve"> </w:t>
      </w:r>
    </w:p>
    <w:p w14:paraId="33C9F758" w14:textId="77777777" w:rsidR="00E01870" w:rsidRDefault="00E01870" w:rsidP="00E01870">
      <w:pPr>
        <w:pStyle w:val="RegSingleTxtG"/>
        <w:numPr>
          <w:ilvl w:val="0"/>
          <w:numId w:val="0"/>
        </w:numPr>
        <w:ind w:left="1701" w:right="142"/>
        <w:rPr>
          <w:iCs/>
          <w:color w:val="000000"/>
        </w:rPr>
      </w:pPr>
      <w:r w:rsidRPr="00094A66">
        <w:rPr>
          <w:i/>
          <w:color w:val="000000"/>
        </w:rPr>
        <w:t xml:space="preserve">Recalling </w:t>
      </w:r>
      <w:r w:rsidRPr="00094A66">
        <w:rPr>
          <w:iCs/>
          <w:color w:val="000000"/>
        </w:rPr>
        <w:t>Article 9</w:t>
      </w:r>
      <w:r>
        <w:rPr>
          <w:iCs/>
          <w:color w:val="000000"/>
        </w:rPr>
        <w:t xml:space="preserve">, </w:t>
      </w:r>
      <w:r>
        <w:t>paragraphs 1–5,</w:t>
      </w:r>
      <w:r w:rsidRPr="00094A66">
        <w:rPr>
          <w:iCs/>
          <w:color w:val="000000"/>
        </w:rPr>
        <w:t xml:space="preserve"> of the Paris Agreement, </w:t>
      </w:r>
    </w:p>
    <w:p w14:paraId="6622B0E0" w14:textId="77777777" w:rsidR="00E01870" w:rsidRDefault="00E01870" w:rsidP="00E01870">
      <w:pPr>
        <w:pStyle w:val="RegSingleTxtG"/>
        <w:numPr>
          <w:ilvl w:val="0"/>
          <w:numId w:val="0"/>
        </w:numPr>
        <w:ind w:left="1701" w:right="142"/>
        <w:rPr>
          <w:iCs/>
          <w:color w:val="000000"/>
        </w:rPr>
      </w:pPr>
      <w:r>
        <w:rPr>
          <w:i/>
          <w:iCs/>
        </w:rPr>
        <w:t>Also</w:t>
      </w:r>
      <w:r w:rsidRPr="00094A66">
        <w:rPr>
          <w:i/>
          <w:iCs/>
        </w:rPr>
        <w:t xml:space="preserve"> recalling</w:t>
      </w:r>
      <w:r>
        <w:t xml:space="preserve"> Articles 3, 4, 7, 10, 11 and 14 of the Paris Agreement,</w:t>
      </w:r>
    </w:p>
    <w:p w14:paraId="5BE86D45" w14:textId="77777777" w:rsidR="00E01870" w:rsidRPr="00094A66" w:rsidRDefault="00E01870" w:rsidP="00E01870">
      <w:pPr>
        <w:spacing w:before="120" w:after="120"/>
        <w:ind w:left="1134" w:right="1174" w:firstLine="567"/>
        <w:rPr>
          <w:iCs/>
        </w:rPr>
      </w:pPr>
      <w:r>
        <w:rPr>
          <w:i/>
          <w:color w:val="000000"/>
        </w:rPr>
        <w:t>Further</w:t>
      </w:r>
      <w:r w:rsidRPr="00094A66">
        <w:rPr>
          <w:i/>
          <w:color w:val="000000"/>
        </w:rPr>
        <w:t xml:space="preserve"> recalling</w:t>
      </w:r>
      <w:r w:rsidRPr="00094A66">
        <w:rPr>
          <w:iCs/>
          <w:color w:val="000000"/>
        </w:rPr>
        <w:t xml:space="preserve"> decisions </w:t>
      </w:r>
      <w:r>
        <w:rPr>
          <w:iCs/>
          <w:color w:val="000000"/>
        </w:rPr>
        <w:t xml:space="preserve">3/CP.19, </w:t>
      </w:r>
      <w:r w:rsidRPr="00094A66">
        <w:rPr>
          <w:iCs/>
          <w:color w:val="000000"/>
        </w:rPr>
        <w:t>1/CP.21</w:t>
      </w:r>
      <w:r>
        <w:rPr>
          <w:iCs/>
          <w:color w:val="000000"/>
        </w:rPr>
        <w:t xml:space="preserve">, 13/CP.22, 12/CP.23 and </w:t>
      </w:r>
      <w:r w:rsidRPr="00094A66">
        <w:rPr>
          <w:iCs/>
          <w:color w:val="000000"/>
        </w:rPr>
        <w:t>1</w:t>
      </w:r>
      <w:r>
        <w:rPr>
          <w:iCs/>
          <w:color w:val="000000"/>
        </w:rPr>
        <w:t>2</w:t>
      </w:r>
      <w:r w:rsidRPr="00094A66">
        <w:rPr>
          <w:iCs/>
          <w:color w:val="000000"/>
        </w:rPr>
        <w:t>/CMA.1</w:t>
      </w:r>
      <w:r>
        <w:rPr>
          <w:iCs/>
          <w:color w:val="000000"/>
        </w:rPr>
        <w:t>, paragraphs 9–11,</w:t>
      </w:r>
    </w:p>
    <w:p w14:paraId="7EB4DF7B" w14:textId="77777777" w:rsidR="00E01870" w:rsidRDefault="00E01870" w:rsidP="00E01870">
      <w:pPr>
        <w:spacing w:before="120" w:after="120"/>
        <w:ind w:left="1134" w:right="1174" w:firstLine="567"/>
        <w:rPr>
          <w:color w:val="000000"/>
        </w:rPr>
      </w:pPr>
      <w:r w:rsidRPr="00133F81">
        <w:rPr>
          <w:i/>
          <w:iCs/>
          <w:color w:val="000000"/>
        </w:rPr>
        <w:t>Underlin</w:t>
      </w:r>
      <w:r>
        <w:rPr>
          <w:i/>
          <w:iCs/>
          <w:color w:val="000000"/>
        </w:rPr>
        <w:t>ing</w:t>
      </w:r>
      <w:r w:rsidRPr="00133F81">
        <w:rPr>
          <w:i/>
          <w:iCs/>
          <w:color w:val="000000"/>
        </w:rPr>
        <w:t xml:space="preserve"> </w:t>
      </w:r>
      <w:r w:rsidRPr="004F0EBC">
        <w:rPr>
          <w:color w:val="000000"/>
        </w:rPr>
        <w:t>the importance of Article 9, paragraphs 1 and 3, of the Paris Agreement</w:t>
      </w:r>
      <w:r w:rsidRPr="004F0EBC" w:rsidDel="00E65C5B">
        <w:rPr>
          <w:color w:val="000000"/>
        </w:rPr>
        <w:t xml:space="preserve"> on this matter</w:t>
      </w:r>
      <w:r w:rsidRPr="004F0EBC">
        <w:rPr>
          <w:color w:val="000000"/>
        </w:rPr>
        <w:t>,</w:t>
      </w:r>
    </w:p>
    <w:p w14:paraId="7BEE75B4" w14:textId="77777777" w:rsidR="00E01870" w:rsidRPr="001A4244" w:rsidRDefault="00E01870" w:rsidP="00E01870">
      <w:pPr>
        <w:spacing w:before="120" w:after="120"/>
        <w:ind w:left="1134" w:right="1174" w:firstLine="567"/>
        <w:jc w:val="both"/>
        <w:rPr>
          <w:rFonts w:cstheme="minorHAnsi"/>
          <w:strike/>
        </w:rPr>
      </w:pPr>
      <w:r w:rsidRPr="00D76478">
        <w:rPr>
          <w:rFonts w:cstheme="minorHAnsi"/>
          <w:i/>
          <w:iCs/>
        </w:rPr>
        <w:t>Recalling</w:t>
      </w:r>
      <w:r>
        <w:rPr>
          <w:rFonts w:cstheme="minorHAnsi"/>
        </w:rPr>
        <w:t xml:space="preserve"> that </w:t>
      </w:r>
      <w:r w:rsidRPr="00972239">
        <w:rPr>
          <w:rFonts w:cstheme="minorHAnsi"/>
        </w:rPr>
        <w:t>developed country Parties, as part of a global effort, should continue to take the lead in mobilizing climate finance from a wide variety of sources, instruments and channels, noting the significant role of public funds, through a variety of actions, including supporting country-driven strategies, and taking into account the needs and priorities of developing country Parties</w:t>
      </w:r>
      <w:r>
        <w:rPr>
          <w:rFonts w:cstheme="minorHAnsi"/>
        </w:rPr>
        <w:t>,</w:t>
      </w:r>
      <w:r w:rsidRPr="00972239">
        <w:rPr>
          <w:rFonts w:cstheme="minorHAnsi"/>
        </w:rPr>
        <w:t xml:space="preserve"> and that such mobilization of climate finance should represent a progression beyond previous efforts</w:t>
      </w:r>
      <w:r>
        <w:rPr>
          <w:rFonts w:cstheme="minorHAnsi"/>
        </w:rPr>
        <w:t xml:space="preserve">, </w:t>
      </w:r>
    </w:p>
    <w:p w14:paraId="06267CB2" w14:textId="77777777" w:rsidR="00E01870" w:rsidRDefault="00E01870" w:rsidP="00E01870">
      <w:pPr>
        <w:spacing w:before="120" w:after="120"/>
        <w:ind w:left="1134" w:right="1174" w:firstLine="567"/>
        <w:jc w:val="both"/>
      </w:pPr>
      <w:r w:rsidRPr="00E11211">
        <w:rPr>
          <w:i/>
        </w:rPr>
        <w:t xml:space="preserve">Underlining </w:t>
      </w:r>
      <w:r>
        <w:t>the</w:t>
      </w:r>
      <w:r w:rsidRPr="00E11211">
        <w:t xml:space="preserve"> </w:t>
      </w:r>
      <w:r w:rsidRPr="00A23CF6">
        <w:t xml:space="preserve">commitment to continuously improve </w:t>
      </w:r>
      <w:r>
        <w:t xml:space="preserve">the </w:t>
      </w:r>
      <w:r w:rsidRPr="00A23CF6">
        <w:t>transparency</w:t>
      </w:r>
      <w:r w:rsidRPr="00E11211">
        <w:t xml:space="preserve"> of climate finance flows</w:t>
      </w:r>
      <w:r w:rsidRPr="00A23CF6">
        <w:t xml:space="preserve"> and </w:t>
      </w:r>
      <w:r w:rsidRPr="00E11211">
        <w:t xml:space="preserve">enhance </w:t>
      </w:r>
      <w:r w:rsidRPr="00A23CF6">
        <w:t>accountability</w:t>
      </w:r>
      <w:r>
        <w:t>,</w:t>
      </w:r>
    </w:p>
    <w:p w14:paraId="0D8A6759" w14:textId="24BB8D17" w:rsidR="00E01870" w:rsidRDefault="009E5AC3" w:rsidP="009E5AC3">
      <w:pPr>
        <w:pStyle w:val="RegSingleTxtG"/>
        <w:numPr>
          <w:ilvl w:val="0"/>
          <w:numId w:val="0"/>
        </w:numPr>
        <w:ind w:left="1134"/>
      </w:pPr>
      <w:r>
        <w:t>1.</w:t>
      </w:r>
      <w:r>
        <w:tab/>
      </w:r>
      <w:r w:rsidR="00E01870" w:rsidRPr="00562EEB">
        <w:rPr>
          <w:i/>
        </w:rPr>
        <w:t xml:space="preserve">Recognizes </w:t>
      </w:r>
      <w:r w:rsidR="00E01870" w:rsidRPr="00094A66">
        <w:t xml:space="preserve">the importance of predictability and clarity of information on financial support </w:t>
      </w:r>
      <w:r w:rsidR="00E01870">
        <w:t xml:space="preserve">for </w:t>
      </w:r>
      <w:r w:rsidR="00E01870" w:rsidRPr="00094A66" w:rsidDel="00D454E2">
        <w:t xml:space="preserve">the </w:t>
      </w:r>
      <w:r w:rsidR="00E01870" w:rsidRPr="00094A66">
        <w:t>implement</w:t>
      </w:r>
      <w:r w:rsidR="00E01870" w:rsidRPr="00094A66" w:rsidDel="005B3F80">
        <w:t>ation of</w:t>
      </w:r>
      <w:r w:rsidR="00E01870" w:rsidRPr="00094A66">
        <w:t xml:space="preserve"> the Paris Agreement</w:t>
      </w:r>
      <w:r w:rsidR="00E01870">
        <w:t xml:space="preserve"> in accordance with decision 12/CMA.1</w:t>
      </w:r>
      <w:r w:rsidR="00E01870" w:rsidRPr="00094A66">
        <w:t xml:space="preserve">; </w:t>
      </w:r>
    </w:p>
    <w:p w14:paraId="11AB7B08" w14:textId="15CAEB8F" w:rsidR="00E01870" w:rsidRPr="00B731F3" w:rsidRDefault="009E5AC3" w:rsidP="009E5AC3">
      <w:pPr>
        <w:pStyle w:val="RegSingleTxtG"/>
        <w:numPr>
          <w:ilvl w:val="0"/>
          <w:numId w:val="0"/>
        </w:numPr>
        <w:ind w:left="1134"/>
        <w:rPr>
          <w:iCs/>
        </w:rPr>
      </w:pPr>
      <w:r w:rsidRPr="00B731F3">
        <w:rPr>
          <w:iCs/>
        </w:rPr>
        <w:t>2.</w:t>
      </w:r>
      <w:r w:rsidRPr="00B731F3">
        <w:rPr>
          <w:iCs/>
        </w:rPr>
        <w:tab/>
      </w:r>
      <w:r w:rsidR="00E01870" w:rsidRPr="00B731F3">
        <w:rPr>
          <w:i/>
          <w:iCs/>
        </w:rPr>
        <w:t>Reiterates</w:t>
      </w:r>
      <w:r w:rsidR="00E01870">
        <w:t xml:space="preserve"> that developed country Parties shall biennially communicate indicative quantitative and qualitative information related to Article 9, paragraphs 1 and 3, of the Paris Agreement, as applicable, including, as available, projected levels of public financial resources to be provided to developing country Parties, and that other Parties providing resources are encouraged to communicate biennially such information on a voluntary basis;</w:t>
      </w:r>
      <w:r w:rsidR="00E01870">
        <w:rPr>
          <w:rStyle w:val="FootnoteReference"/>
        </w:rPr>
        <w:footnoteReference w:id="29"/>
      </w:r>
    </w:p>
    <w:p w14:paraId="7A9B9022" w14:textId="04CD1FE3" w:rsidR="00E01870" w:rsidRPr="004F0EBC" w:rsidRDefault="009E5AC3" w:rsidP="009E5AC3">
      <w:pPr>
        <w:pStyle w:val="RegSingleTxtG"/>
        <w:numPr>
          <w:ilvl w:val="0"/>
          <w:numId w:val="0"/>
        </w:numPr>
        <w:ind w:left="1134"/>
      </w:pPr>
      <w:bookmarkStart w:id="20" w:name="_Hlk86869666"/>
      <w:r w:rsidRPr="004F0EBC">
        <w:t>3.</w:t>
      </w:r>
      <w:r w:rsidRPr="004F0EBC">
        <w:tab/>
      </w:r>
      <w:r w:rsidR="00E01870" w:rsidRPr="004F0EBC">
        <w:rPr>
          <w:i/>
          <w:iCs/>
        </w:rPr>
        <w:t>Welcomes</w:t>
      </w:r>
      <w:r w:rsidR="00E01870">
        <w:rPr>
          <w:i/>
          <w:iCs/>
        </w:rPr>
        <w:t xml:space="preserve"> </w:t>
      </w:r>
      <w:r w:rsidR="00E01870" w:rsidRPr="004F0EBC">
        <w:t>the first biennial communications of developed country Parties received to date</w:t>
      </w:r>
      <w:r w:rsidR="00E01870" w:rsidRPr="002221A2">
        <w:rPr>
          <w:rStyle w:val="FootnoteReference"/>
          <w:szCs w:val="18"/>
        </w:rPr>
        <w:footnoteReference w:id="30"/>
      </w:r>
      <w:r w:rsidR="00E01870" w:rsidRPr="004F0EBC">
        <w:t xml:space="preserve"> in accordance with decision 12/CMA.1; </w:t>
      </w:r>
    </w:p>
    <w:p w14:paraId="3CF56B54" w14:textId="65F1B582" w:rsidR="00E01870" w:rsidRPr="00673AF0" w:rsidRDefault="009E5AC3" w:rsidP="009E5AC3">
      <w:pPr>
        <w:pStyle w:val="RegSingleTxtG"/>
        <w:numPr>
          <w:ilvl w:val="0"/>
          <w:numId w:val="0"/>
        </w:numPr>
        <w:ind w:left="1134"/>
        <w:rPr>
          <w:i/>
        </w:rPr>
      </w:pPr>
      <w:r w:rsidRPr="00673AF0">
        <w:t>4.</w:t>
      </w:r>
      <w:r w:rsidRPr="00673AF0">
        <w:tab/>
      </w:r>
      <w:r w:rsidR="00E01870" w:rsidRPr="004F0EBC">
        <w:rPr>
          <w:i/>
        </w:rPr>
        <w:t xml:space="preserve">Recognizes with concern </w:t>
      </w:r>
      <w:r w:rsidR="00E01870" w:rsidRPr="004F0EBC">
        <w:rPr>
          <w:iCs/>
        </w:rPr>
        <w:t>that</w:t>
      </w:r>
      <w:r w:rsidR="00E01870">
        <w:rPr>
          <w:iCs/>
        </w:rPr>
        <w:t xml:space="preserve"> </w:t>
      </w:r>
      <w:r w:rsidR="00E01870" w:rsidRPr="004F0EBC">
        <w:rPr>
          <w:iCs/>
        </w:rPr>
        <w:t xml:space="preserve">not all developed </w:t>
      </w:r>
      <w:r w:rsidR="00E01870" w:rsidRPr="00562EEB">
        <w:t>country</w:t>
      </w:r>
      <w:r w:rsidR="00E01870" w:rsidRPr="004F0EBC">
        <w:rPr>
          <w:iCs/>
        </w:rPr>
        <w:t xml:space="preserve"> Parties </w:t>
      </w:r>
      <w:r w:rsidR="00E01870">
        <w:rPr>
          <w:iCs/>
        </w:rPr>
        <w:t xml:space="preserve">have </w:t>
      </w:r>
      <w:r w:rsidR="00E01870" w:rsidRPr="004F0EBC">
        <w:rPr>
          <w:iCs/>
        </w:rPr>
        <w:t xml:space="preserve">provided </w:t>
      </w:r>
      <w:r w:rsidR="00E01870" w:rsidRPr="004F0EBC">
        <w:t xml:space="preserve">biennial communications </w:t>
      </w:r>
      <w:r w:rsidR="00E01870" w:rsidRPr="003E37F9">
        <w:rPr>
          <w:iCs/>
        </w:rPr>
        <w:t>in accordance with Article 9, paragraph 5</w:t>
      </w:r>
      <w:r w:rsidR="00E01870">
        <w:rPr>
          <w:iCs/>
        </w:rPr>
        <w:t>, of the Paris Agreement</w:t>
      </w:r>
      <w:r w:rsidR="00E01870" w:rsidRPr="003E37F9">
        <w:rPr>
          <w:iCs/>
        </w:rPr>
        <w:t xml:space="preserve"> and as specified in the annex </w:t>
      </w:r>
      <w:r w:rsidR="00E01870">
        <w:rPr>
          <w:iCs/>
        </w:rPr>
        <w:t xml:space="preserve">to </w:t>
      </w:r>
      <w:r w:rsidR="00E01870" w:rsidRPr="003E37F9">
        <w:rPr>
          <w:iCs/>
        </w:rPr>
        <w:t>decision 12/CMA.1;</w:t>
      </w:r>
    </w:p>
    <w:p w14:paraId="2E233C79" w14:textId="3845B9B2" w:rsidR="00E01870" w:rsidRPr="00747F00" w:rsidRDefault="009E5AC3" w:rsidP="009E5AC3">
      <w:pPr>
        <w:pStyle w:val="RegSingleTxtG"/>
        <w:numPr>
          <w:ilvl w:val="0"/>
          <w:numId w:val="0"/>
        </w:numPr>
        <w:ind w:left="1134"/>
      </w:pPr>
      <w:r w:rsidRPr="00747F00">
        <w:t>5.</w:t>
      </w:r>
      <w:r w:rsidRPr="00747F00">
        <w:tab/>
      </w:r>
      <w:r w:rsidR="00E01870" w:rsidRPr="00673AF0">
        <w:rPr>
          <w:i/>
        </w:rPr>
        <w:t>U</w:t>
      </w:r>
      <w:r w:rsidR="00E01870" w:rsidRPr="00A61F51">
        <w:rPr>
          <w:i/>
          <w:iCs/>
        </w:rPr>
        <w:t>rges</w:t>
      </w:r>
      <w:r w:rsidR="00E01870">
        <w:t xml:space="preserve"> </w:t>
      </w:r>
      <w:r w:rsidR="00E01870" w:rsidRPr="00747F00">
        <w:t xml:space="preserve">developed country Parties </w:t>
      </w:r>
      <w:r w:rsidR="00E01870">
        <w:t>to submit</w:t>
      </w:r>
      <w:r w:rsidR="00E01870" w:rsidRPr="00747F00">
        <w:t xml:space="preserve"> </w:t>
      </w:r>
      <w:r w:rsidR="00E01870">
        <w:t>biennial communications</w:t>
      </w:r>
      <w:r w:rsidR="00E01870" w:rsidRPr="00747F00">
        <w:t xml:space="preserve"> in 2022;</w:t>
      </w:r>
    </w:p>
    <w:p w14:paraId="18D3C853" w14:textId="4CE996A9" w:rsidR="00E01870" w:rsidRDefault="009E5AC3" w:rsidP="009E5AC3">
      <w:pPr>
        <w:pStyle w:val="RegSingleTxtG"/>
        <w:numPr>
          <w:ilvl w:val="0"/>
          <w:numId w:val="0"/>
        </w:numPr>
        <w:ind w:left="1134"/>
      </w:pPr>
      <w:r>
        <w:t>6.</w:t>
      </w:r>
      <w:r>
        <w:tab/>
      </w:r>
      <w:r w:rsidR="00E01870" w:rsidRPr="00F94088">
        <w:rPr>
          <w:i/>
          <w:iCs/>
        </w:rPr>
        <w:t>Wel</w:t>
      </w:r>
      <w:r w:rsidR="00E01870" w:rsidRPr="00E11211">
        <w:rPr>
          <w:i/>
          <w:iCs/>
        </w:rPr>
        <w:t>come</w:t>
      </w:r>
      <w:r w:rsidR="00E01870">
        <w:rPr>
          <w:i/>
          <w:iCs/>
        </w:rPr>
        <w:t>s</w:t>
      </w:r>
      <w:r w:rsidR="00E01870" w:rsidRPr="00E11211">
        <w:t xml:space="preserve"> the compilation and synthesis</w:t>
      </w:r>
      <w:r w:rsidR="00E01870" w:rsidRPr="002221A2">
        <w:rPr>
          <w:rStyle w:val="FootnoteReference"/>
          <w:szCs w:val="18"/>
        </w:rPr>
        <w:footnoteReference w:id="31"/>
      </w:r>
      <w:r w:rsidR="00E01870" w:rsidRPr="00E11211">
        <w:t xml:space="preserve"> </w:t>
      </w:r>
      <w:r w:rsidR="00E01870">
        <w:t xml:space="preserve">prepared by the secretariat of the information contained in </w:t>
      </w:r>
      <w:r w:rsidR="00E01870" w:rsidDel="00CD494E">
        <w:t xml:space="preserve">the </w:t>
      </w:r>
      <w:r w:rsidR="00E01870">
        <w:t>first biennial communications in accordance with Article 9, paragraph 5, of the Paris Agreement</w:t>
      </w:r>
      <w:r w:rsidR="00E01870" w:rsidRPr="00E11211">
        <w:t>;</w:t>
      </w:r>
    </w:p>
    <w:p w14:paraId="0FB8CDE1" w14:textId="4D4E38E5" w:rsidR="00E01870" w:rsidRPr="004F0EBC" w:rsidRDefault="009E5AC3" w:rsidP="009E5AC3">
      <w:pPr>
        <w:pStyle w:val="RegSingleTxtG"/>
        <w:numPr>
          <w:ilvl w:val="0"/>
          <w:numId w:val="0"/>
        </w:numPr>
        <w:ind w:left="1134"/>
        <w:rPr>
          <w:sz w:val="18"/>
          <w:szCs w:val="18"/>
        </w:rPr>
      </w:pPr>
      <w:r w:rsidRPr="004F0EBC">
        <w:rPr>
          <w:szCs w:val="18"/>
        </w:rPr>
        <w:t>7.</w:t>
      </w:r>
      <w:r w:rsidRPr="004F0EBC">
        <w:rPr>
          <w:szCs w:val="18"/>
        </w:rPr>
        <w:tab/>
      </w:r>
      <w:r w:rsidR="00E01870" w:rsidRPr="004F0EBC">
        <w:rPr>
          <w:i/>
          <w:iCs/>
        </w:rPr>
        <w:t xml:space="preserve">Underscores </w:t>
      </w:r>
      <w:r w:rsidR="00E01870" w:rsidRPr="004F0EBC">
        <w:t xml:space="preserve">the importance of </w:t>
      </w:r>
      <w:r w:rsidR="00E01870">
        <w:t xml:space="preserve">the </w:t>
      </w:r>
      <w:r w:rsidR="00E01870" w:rsidRPr="004F0EBC">
        <w:t xml:space="preserve">information contained in the biennial communications referred to in paragraph </w:t>
      </w:r>
      <w:r w:rsidR="00E01870" w:rsidRPr="0098616B">
        <w:t>2</w:t>
      </w:r>
      <w:r w:rsidR="00E01870">
        <w:t xml:space="preserve"> </w:t>
      </w:r>
      <w:r w:rsidR="00E01870" w:rsidRPr="004F0EBC">
        <w:t xml:space="preserve">above and identified in the compilation and synthesis referred to in paragraph </w:t>
      </w:r>
      <w:r w:rsidR="00E01870" w:rsidRPr="0098616B">
        <w:t>6</w:t>
      </w:r>
      <w:r w:rsidR="00E01870" w:rsidRPr="004F0EBC">
        <w:t xml:space="preserve"> above, including </w:t>
      </w:r>
      <w:r w:rsidR="00E01870">
        <w:t xml:space="preserve">in relation </w:t>
      </w:r>
      <w:r w:rsidR="00E01870" w:rsidRPr="004F0EBC">
        <w:t>to:</w:t>
      </w:r>
    </w:p>
    <w:p w14:paraId="3FBEED48" w14:textId="12B538BC" w:rsidR="00E01870" w:rsidRPr="00734775" w:rsidRDefault="009E5AC3" w:rsidP="009E5AC3">
      <w:pPr>
        <w:pStyle w:val="RegSingleTxtG2"/>
        <w:numPr>
          <w:ilvl w:val="0"/>
          <w:numId w:val="0"/>
        </w:numPr>
        <w:tabs>
          <w:tab w:val="left" w:pos="1702"/>
        </w:tabs>
        <w:ind w:left="1134" w:firstLine="567"/>
        <w:rPr>
          <w:sz w:val="18"/>
          <w:szCs w:val="18"/>
        </w:rPr>
      </w:pPr>
      <w:r w:rsidRPr="00734775">
        <w:rPr>
          <w:szCs w:val="28"/>
        </w:rPr>
        <w:t>(a)</w:t>
      </w:r>
      <w:r w:rsidRPr="00734775">
        <w:rPr>
          <w:szCs w:val="28"/>
        </w:rPr>
        <w:tab/>
      </w:r>
      <w:r w:rsidR="00E01870" w:rsidRPr="005810FC">
        <w:t>Mak</w:t>
      </w:r>
      <w:r w:rsidR="00E01870">
        <w:t>ing</w:t>
      </w:r>
      <w:r w:rsidR="00E01870" w:rsidRPr="005810FC">
        <w:t xml:space="preserve"> finance flows consistent with a pathway toward</w:t>
      </w:r>
      <w:r w:rsidR="00E01870">
        <w:t>s</w:t>
      </w:r>
      <w:r w:rsidR="00E01870" w:rsidRPr="005810FC">
        <w:t xml:space="preserve"> low-emission and climate</w:t>
      </w:r>
      <w:r w:rsidR="00E01870">
        <w:t>-</w:t>
      </w:r>
      <w:r w:rsidR="00E01870" w:rsidRPr="005810FC">
        <w:t xml:space="preserve">resilient development in </w:t>
      </w:r>
      <w:r w:rsidR="00E01870">
        <w:t>accordance</w:t>
      </w:r>
      <w:r w:rsidR="00E01870" w:rsidRPr="005810FC">
        <w:t xml:space="preserve"> with Article 2, paragraph 1(c), of the Paris Agreement;</w:t>
      </w:r>
    </w:p>
    <w:p w14:paraId="1AA1B402" w14:textId="38C257F6" w:rsidR="00E01870" w:rsidRPr="005810FC" w:rsidRDefault="009E5AC3" w:rsidP="009E5AC3">
      <w:pPr>
        <w:pStyle w:val="RegSingleTxtG2"/>
        <w:numPr>
          <w:ilvl w:val="0"/>
          <w:numId w:val="0"/>
        </w:numPr>
        <w:tabs>
          <w:tab w:val="left" w:pos="1702"/>
        </w:tabs>
        <w:ind w:left="1134" w:firstLine="567"/>
      </w:pPr>
      <w:r w:rsidRPr="005810FC">
        <w:rPr>
          <w:szCs w:val="28"/>
        </w:rPr>
        <w:lastRenderedPageBreak/>
        <w:t>(b)</w:t>
      </w:r>
      <w:r w:rsidRPr="005810FC">
        <w:rPr>
          <w:szCs w:val="28"/>
        </w:rPr>
        <w:tab/>
      </w:r>
      <w:r w:rsidR="00E01870" w:rsidRPr="005810FC">
        <w:t>Develop</w:t>
      </w:r>
      <w:r w:rsidR="00E01870">
        <w:t>ing</w:t>
      </w:r>
      <w:r w:rsidR="00E01870" w:rsidRPr="005810FC">
        <w:t xml:space="preserve"> actions and plans for mobilizing private climate finance;</w:t>
      </w:r>
    </w:p>
    <w:p w14:paraId="488363D4" w14:textId="47F90F07" w:rsidR="00E01870" w:rsidRDefault="009E5AC3" w:rsidP="009E5AC3">
      <w:pPr>
        <w:pStyle w:val="RegSingleTxtG2"/>
        <w:numPr>
          <w:ilvl w:val="0"/>
          <w:numId w:val="0"/>
        </w:numPr>
        <w:tabs>
          <w:tab w:val="left" w:pos="1702"/>
        </w:tabs>
        <w:ind w:left="1134" w:firstLine="567"/>
      </w:pPr>
      <w:r>
        <w:rPr>
          <w:szCs w:val="28"/>
        </w:rPr>
        <w:t>(c)</w:t>
      </w:r>
      <w:r>
        <w:rPr>
          <w:szCs w:val="28"/>
        </w:rPr>
        <w:tab/>
      </w:r>
      <w:r w:rsidR="00E01870" w:rsidRPr="005810FC">
        <w:t>Effectively address</w:t>
      </w:r>
      <w:r w:rsidR="00E01870">
        <w:t>ing</w:t>
      </w:r>
      <w:r w:rsidR="00E01870" w:rsidRPr="005810FC">
        <w:t xml:space="preserve"> the needs and priorities of developing countries, including striking a balance between support for mitigation and adaptation; </w:t>
      </w:r>
    </w:p>
    <w:p w14:paraId="73999135" w14:textId="13E80AF5" w:rsidR="00E01870" w:rsidRPr="005810FC" w:rsidRDefault="009E5AC3" w:rsidP="009E5AC3">
      <w:pPr>
        <w:pStyle w:val="RegSingleTxtG2"/>
        <w:numPr>
          <w:ilvl w:val="0"/>
          <w:numId w:val="0"/>
        </w:numPr>
        <w:tabs>
          <w:tab w:val="left" w:pos="1702"/>
        </w:tabs>
        <w:ind w:left="1134" w:firstLine="567"/>
      </w:pPr>
      <w:r w:rsidRPr="005810FC">
        <w:rPr>
          <w:szCs w:val="28"/>
        </w:rPr>
        <w:t>(d)</w:t>
      </w:r>
      <w:r w:rsidRPr="005810FC">
        <w:rPr>
          <w:szCs w:val="28"/>
        </w:rPr>
        <w:tab/>
      </w:r>
      <w:r w:rsidR="00E01870" w:rsidRPr="005810FC">
        <w:t>Integrat</w:t>
      </w:r>
      <w:r w:rsidR="00E01870">
        <w:t>ing</w:t>
      </w:r>
      <w:r w:rsidR="00E01870" w:rsidRPr="005810FC">
        <w:t xml:space="preserve"> climate change considerations, including climate resilience, into international development assistance; </w:t>
      </w:r>
    </w:p>
    <w:p w14:paraId="65648C3F" w14:textId="75ECAE4F" w:rsidR="00E01870" w:rsidRPr="005810FC" w:rsidRDefault="009E5AC3" w:rsidP="009E5AC3">
      <w:pPr>
        <w:pStyle w:val="RegSingleTxtG2"/>
        <w:numPr>
          <w:ilvl w:val="0"/>
          <w:numId w:val="0"/>
        </w:numPr>
        <w:tabs>
          <w:tab w:val="left" w:pos="1702"/>
        </w:tabs>
        <w:ind w:left="1134" w:firstLine="567"/>
      </w:pPr>
      <w:r w:rsidRPr="005810FC">
        <w:rPr>
          <w:szCs w:val="28"/>
        </w:rPr>
        <w:t>(e)</w:t>
      </w:r>
      <w:r w:rsidRPr="005810FC">
        <w:rPr>
          <w:szCs w:val="28"/>
        </w:rPr>
        <w:tab/>
      </w:r>
      <w:r w:rsidR="00E01870" w:rsidRPr="005810FC">
        <w:t>Improv</w:t>
      </w:r>
      <w:r w:rsidR="00E01870">
        <w:t>ing</w:t>
      </w:r>
      <w:r w:rsidR="00E01870" w:rsidRPr="005810FC">
        <w:t xml:space="preserve"> enabling environments to strengthen the absorptive capacity of developing countries; </w:t>
      </w:r>
    </w:p>
    <w:p w14:paraId="5D653F9A" w14:textId="6F6AF959" w:rsidR="00E01870" w:rsidRPr="005810FC" w:rsidRDefault="009E5AC3" w:rsidP="009E5AC3">
      <w:pPr>
        <w:pStyle w:val="RegSingleTxtG2"/>
        <w:numPr>
          <w:ilvl w:val="0"/>
          <w:numId w:val="0"/>
        </w:numPr>
        <w:tabs>
          <w:tab w:val="left" w:pos="1702"/>
        </w:tabs>
        <w:ind w:left="1134" w:firstLine="567"/>
      </w:pPr>
      <w:r w:rsidRPr="005810FC">
        <w:rPr>
          <w:szCs w:val="28"/>
        </w:rPr>
        <w:t>(f)</w:t>
      </w:r>
      <w:r w:rsidRPr="005810FC">
        <w:rPr>
          <w:szCs w:val="28"/>
        </w:rPr>
        <w:tab/>
      </w:r>
      <w:r w:rsidR="00E01870" w:rsidRPr="005810FC">
        <w:t>Reflect</w:t>
      </w:r>
      <w:r w:rsidR="00E01870">
        <w:t>ing</w:t>
      </w:r>
      <w:r w:rsidR="00E01870" w:rsidRPr="005810FC">
        <w:t xml:space="preserve"> on lessons learned for informing future efforts in</w:t>
      </w:r>
      <w:r w:rsidR="00E01870">
        <w:t xml:space="preserve"> providing,</w:t>
      </w:r>
      <w:r w:rsidR="00E01870" w:rsidRPr="005810FC">
        <w:t xml:space="preserve"> mobilizing and delivering climate finance</w:t>
      </w:r>
      <w:r w:rsidR="00E01870">
        <w:t>;</w:t>
      </w:r>
    </w:p>
    <w:p w14:paraId="1045D44F" w14:textId="6E37D81E" w:rsidR="00E01870" w:rsidRDefault="009E5AC3" w:rsidP="009E5AC3">
      <w:pPr>
        <w:pStyle w:val="RegSingleTxtG"/>
        <w:numPr>
          <w:ilvl w:val="0"/>
          <w:numId w:val="0"/>
        </w:numPr>
        <w:ind w:left="1134"/>
      </w:pPr>
      <w:r>
        <w:t>8.</w:t>
      </w:r>
      <w:r>
        <w:tab/>
      </w:r>
      <w:r w:rsidR="00E01870">
        <w:rPr>
          <w:i/>
        </w:rPr>
        <w:t xml:space="preserve">Welcomes </w:t>
      </w:r>
      <w:r w:rsidR="00E01870" w:rsidRPr="001221C3">
        <w:t>the summary report</w:t>
      </w:r>
      <w:r w:rsidR="00E01870">
        <w:rPr>
          <w:rStyle w:val="FootnoteReference"/>
        </w:rPr>
        <w:footnoteReference w:id="32"/>
      </w:r>
      <w:r w:rsidR="00E01870" w:rsidRPr="001221C3">
        <w:t xml:space="preserve"> on the </w:t>
      </w:r>
      <w:r w:rsidR="00E01870">
        <w:t xml:space="preserve">biennial in-session workshop on </w:t>
      </w:r>
      <w:r w:rsidR="00E01870" w:rsidRPr="00B875B8">
        <w:rPr>
          <w:szCs w:val="18"/>
        </w:rPr>
        <w:t>information to be provided by Parties in accordance with Article 9, paragraph</w:t>
      </w:r>
      <w:r w:rsidR="00E01870">
        <w:rPr>
          <w:szCs w:val="18"/>
        </w:rPr>
        <w:t xml:space="preserve"> </w:t>
      </w:r>
      <w:r w:rsidR="00E01870" w:rsidRPr="00B875B8">
        <w:rPr>
          <w:szCs w:val="18"/>
        </w:rPr>
        <w:t xml:space="preserve">5, of the Paris </w:t>
      </w:r>
      <w:r w:rsidR="00E01870" w:rsidRPr="00562EEB">
        <w:t>Agreement</w:t>
      </w:r>
      <w:r w:rsidR="00E01870">
        <w:rPr>
          <w:szCs w:val="18"/>
        </w:rPr>
        <w:t xml:space="preserve"> held on 11 June 2021</w:t>
      </w:r>
      <w:r w:rsidR="00E01870" w:rsidRPr="00D70861">
        <w:t xml:space="preserve"> and </w:t>
      </w:r>
      <w:r w:rsidR="00E01870" w:rsidRPr="00D70861">
        <w:rPr>
          <w:i/>
        </w:rPr>
        <w:t xml:space="preserve">invites </w:t>
      </w:r>
      <w:r w:rsidR="00E01870" w:rsidRPr="00D70861">
        <w:t>Parties and relevant institutions to consider the key findings and messages contained therein;</w:t>
      </w:r>
    </w:p>
    <w:p w14:paraId="61EE9A9C" w14:textId="7F8D63BA" w:rsidR="00E01870" w:rsidRPr="002221A2" w:rsidRDefault="009E5AC3" w:rsidP="009E5AC3">
      <w:pPr>
        <w:pStyle w:val="RegSingleTxtG"/>
        <w:numPr>
          <w:ilvl w:val="0"/>
          <w:numId w:val="0"/>
        </w:numPr>
        <w:ind w:left="1134"/>
      </w:pPr>
      <w:r w:rsidRPr="002221A2">
        <w:t>9.</w:t>
      </w:r>
      <w:r w:rsidRPr="002221A2">
        <w:tab/>
      </w:r>
      <w:r w:rsidR="00E01870">
        <w:rPr>
          <w:i/>
        </w:rPr>
        <w:t>Recalls</w:t>
      </w:r>
      <w:r w:rsidR="00E01870" w:rsidRPr="001221C3">
        <w:t xml:space="preserve"> that the </w:t>
      </w:r>
      <w:r w:rsidR="00E01870">
        <w:t>next biennial</w:t>
      </w:r>
      <w:r w:rsidR="00E01870" w:rsidRPr="001221C3">
        <w:t xml:space="preserve"> in-session workshop on </w:t>
      </w:r>
      <w:r w:rsidR="00E01870" w:rsidRPr="00C571AC">
        <w:rPr>
          <w:rFonts w:cs="Arial"/>
        </w:rPr>
        <w:t>information to be provided by Parties in accordance with Article 9, paragraph 5, of the Paris Agreement will be held in 2023;</w:t>
      </w:r>
      <w:r w:rsidR="00E01870" w:rsidRPr="00C571AC">
        <w:rPr>
          <w:rStyle w:val="FootnoteReference"/>
          <w:rFonts w:cs="Arial"/>
        </w:rPr>
        <w:footnoteReference w:id="33"/>
      </w:r>
    </w:p>
    <w:p w14:paraId="19AE508E" w14:textId="354051C3" w:rsidR="00E01870" w:rsidRPr="002221A2" w:rsidRDefault="009E5AC3" w:rsidP="009E5AC3">
      <w:pPr>
        <w:pStyle w:val="RegSingleTxtG"/>
        <w:numPr>
          <w:ilvl w:val="0"/>
          <w:numId w:val="0"/>
        </w:numPr>
        <w:ind w:left="1134"/>
      </w:pPr>
      <w:r w:rsidRPr="002221A2">
        <w:t>10.</w:t>
      </w:r>
      <w:r w:rsidRPr="002221A2">
        <w:tab/>
      </w:r>
      <w:r w:rsidR="00E01870">
        <w:rPr>
          <w:i/>
        </w:rPr>
        <w:t xml:space="preserve">Notes </w:t>
      </w:r>
      <w:r w:rsidR="00E01870" w:rsidRPr="00CE092B">
        <w:rPr>
          <w:iCs/>
        </w:rPr>
        <w:t>that the</w:t>
      </w:r>
      <w:r w:rsidR="00E01870" w:rsidRPr="00C571AC">
        <w:t xml:space="preserve"> </w:t>
      </w:r>
      <w:r w:rsidR="00E01870" w:rsidRPr="002221A2">
        <w:t xml:space="preserve">elements for discussion at the workshop referred to in paragraph </w:t>
      </w:r>
      <w:r w:rsidR="00E01870" w:rsidRPr="0098616B">
        <w:t>9</w:t>
      </w:r>
      <w:r w:rsidR="00E01870" w:rsidRPr="002221A2">
        <w:t xml:space="preserve"> above </w:t>
      </w:r>
      <w:r w:rsidR="00E01870">
        <w:t xml:space="preserve">will be based on </w:t>
      </w:r>
      <w:r w:rsidR="00E01870" w:rsidRPr="00D76478">
        <w:t xml:space="preserve">the information </w:t>
      </w:r>
      <w:r w:rsidR="00E01870">
        <w:t xml:space="preserve">in the </w:t>
      </w:r>
      <w:r w:rsidR="00E01870" w:rsidRPr="00FF5DDB">
        <w:t>compilation and synthesis</w:t>
      </w:r>
      <w:r w:rsidR="00E01870" w:rsidRPr="00D76478">
        <w:t xml:space="preserve"> </w:t>
      </w:r>
      <w:r w:rsidR="00E01870">
        <w:t xml:space="preserve">reports </w:t>
      </w:r>
      <w:r w:rsidR="00E01870" w:rsidRPr="00D76478">
        <w:t>referred to in paragraph</w:t>
      </w:r>
      <w:r w:rsidR="00E01870">
        <w:t>s</w:t>
      </w:r>
      <w:r w:rsidR="00E01870" w:rsidRPr="00D76478">
        <w:t xml:space="preserve"> </w:t>
      </w:r>
      <w:r w:rsidR="00E01870" w:rsidRPr="0098616B">
        <w:t>6</w:t>
      </w:r>
      <w:r w:rsidR="00E01870" w:rsidRPr="00D76478">
        <w:t xml:space="preserve"> </w:t>
      </w:r>
      <w:r w:rsidR="00E01870">
        <w:t xml:space="preserve">above and </w:t>
      </w:r>
      <w:r w:rsidR="00E01870" w:rsidRPr="0098616B">
        <w:t xml:space="preserve">16 </w:t>
      </w:r>
      <w:r w:rsidR="00E01870" w:rsidRPr="00F96E09">
        <w:t>below and</w:t>
      </w:r>
      <w:r w:rsidR="00E01870">
        <w:t xml:space="preserve"> the summary report referred in paragraph </w:t>
      </w:r>
      <w:r w:rsidR="00E01870" w:rsidRPr="0098616B">
        <w:t>8</w:t>
      </w:r>
      <w:r w:rsidR="00E01870">
        <w:t xml:space="preserve"> above,</w:t>
      </w:r>
      <w:r w:rsidR="00E01870" w:rsidRPr="00D76478">
        <w:t xml:space="preserve"> </w:t>
      </w:r>
      <w:r w:rsidR="00E01870">
        <w:t>including lessons learned;</w:t>
      </w:r>
    </w:p>
    <w:p w14:paraId="4F55110E" w14:textId="28F40A6A" w:rsidR="00E01870" w:rsidRPr="008E788F" w:rsidRDefault="009E5AC3" w:rsidP="009E5AC3">
      <w:pPr>
        <w:pStyle w:val="RegSingleTxtG"/>
        <w:numPr>
          <w:ilvl w:val="0"/>
          <w:numId w:val="0"/>
        </w:numPr>
        <w:ind w:left="1134"/>
        <w:rPr>
          <w:rFonts w:eastAsia="Calibri"/>
        </w:rPr>
      </w:pPr>
      <w:r w:rsidRPr="008E788F">
        <w:rPr>
          <w:rFonts w:eastAsia="Calibri"/>
        </w:rPr>
        <w:t>11.</w:t>
      </w:r>
      <w:r w:rsidRPr="008E788F">
        <w:rPr>
          <w:rFonts w:eastAsia="Calibri"/>
        </w:rPr>
        <w:tab/>
      </w:r>
      <w:r w:rsidR="00E01870">
        <w:rPr>
          <w:i/>
          <w:iCs/>
        </w:rPr>
        <w:t>R</w:t>
      </w:r>
      <w:r w:rsidR="00E01870" w:rsidRPr="00CF7E36">
        <w:rPr>
          <w:i/>
          <w:iCs/>
        </w:rPr>
        <w:t>equests</w:t>
      </w:r>
      <w:r w:rsidR="00E01870">
        <w:t xml:space="preserve"> the secretariat to organize the workshop referred to in paragraph </w:t>
      </w:r>
      <w:r w:rsidR="00E01870" w:rsidRPr="00D34161">
        <w:t>9</w:t>
      </w:r>
      <w:r w:rsidR="00E01870">
        <w:t xml:space="preserve"> above and prepare a summary report on the workshop for consideration by the Conference of the Parties serving as the meeting of the Parties to the Paris Agreement at its fifth session (November 202</w:t>
      </w:r>
      <w:r w:rsidR="00E01870" w:rsidRPr="006D64A6">
        <w:t>3);</w:t>
      </w:r>
    </w:p>
    <w:p w14:paraId="0D7C2C24" w14:textId="22B8DC9C" w:rsidR="00E01870" w:rsidRPr="00967249" w:rsidRDefault="009E5AC3" w:rsidP="009E5AC3">
      <w:pPr>
        <w:pStyle w:val="RegSingleTxtG"/>
        <w:numPr>
          <w:ilvl w:val="0"/>
          <w:numId w:val="0"/>
        </w:numPr>
        <w:ind w:left="1134"/>
        <w:rPr>
          <w:color w:val="000000"/>
        </w:rPr>
      </w:pPr>
      <w:r w:rsidRPr="00967249">
        <w:rPr>
          <w:color w:val="000000"/>
        </w:rPr>
        <w:t>12.</w:t>
      </w:r>
      <w:r w:rsidRPr="00967249">
        <w:rPr>
          <w:color w:val="000000"/>
        </w:rPr>
        <w:tab/>
      </w:r>
      <w:r w:rsidR="00E01870">
        <w:rPr>
          <w:i/>
          <w:iCs/>
        </w:rPr>
        <w:t>Also</w:t>
      </w:r>
      <w:r w:rsidR="00E01870" w:rsidRPr="00967249">
        <w:rPr>
          <w:i/>
          <w:iCs/>
        </w:rPr>
        <w:t xml:space="preserve"> requests</w:t>
      </w:r>
      <w:r w:rsidR="00E01870" w:rsidRPr="00BE6D76">
        <w:t xml:space="preserve"> developed country Parties to submit their </w:t>
      </w:r>
      <w:r w:rsidR="00E01870">
        <w:t>second</w:t>
      </w:r>
      <w:r w:rsidR="00E01870" w:rsidRPr="00BE6D76">
        <w:t xml:space="preserve"> biennial communications in 2022</w:t>
      </w:r>
      <w:r w:rsidR="00E01870" w:rsidRPr="00D70861">
        <w:t>, in accordance with decision 12/CMA.1</w:t>
      </w:r>
      <w:r w:rsidR="00E01870">
        <w:t>,</w:t>
      </w:r>
      <w:r w:rsidR="00E01870" w:rsidRPr="00D70861">
        <w:t xml:space="preserve"> paragraph 4</w:t>
      </w:r>
      <w:r w:rsidR="00E01870">
        <w:t xml:space="preserve">, </w:t>
      </w:r>
      <w:r w:rsidR="00E01870" w:rsidRPr="00967249">
        <w:t>before 31</w:t>
      </w:r>
      <w:r w:rsidR="00E01870">
        <w:t> </w:t>
      </w:r>
      <w:r w:rsidR="00E01870" w:rsidRPr="00967249">
        <w:t>December 2022</w:t>
      </w:r>
      <w:r w:rsidR="00E01870" w:rsidRPr="00D70861">
        <w:t>;</w:t>
      </w:r>
    </w:p>
    <w:p w14:paraId="6FB623B0" w14:textId="1A935F39" w:rsidR="00E01870" w:rsidRPr="002F71B8" w:rsidRDefault="009E5AC3" w:rsidP="009E5AC3">
      <w:pPr>
        <w:pStyle w:val="RegSingleTxtG"/>
        <w:numPr>
          <w:ilvl w:val="0"/>
          <w:numId w:val="0"/>
        </w:numPr>
        <w:ind w:left="1134"/>
      </w:pPr>
      <w:r w:rsidRPr="002F71B8">
        <w:t>13.</w:t>
      </w:r>
      <w:r w:rsidRPr="002F71B8">
        <w:tab/>
      </w:r>
      <w:r w:rsidR="00E01870" w:rsidRPr="00194D80">
        <w:rPr>
          <w:i/>
        </w:rPr>
        <w:t>Invites</w:t>
      </w:r>
      <w:r w:rsidR="00E01870">
        <w:rPr>
          <w:i/>
        </w:rPr>
        <w:t xml:space="preserve"> </w:t>
      </w:r>
      <w:r w:rsidR="00E01870" w:rsidRPr="00824D5E">
        <w:t xml:space="preserve">developed country Parties </w:t>
      </w:r>
      <w:r w:rsidR="00E01870" w:rsidRPr="00194D80">
        <w:rPr>
          <w:color w:val="000000"/>
        </w:rPr>
        <w:t xml:space="preserve">to take into account the areas </w:t>
      </w:r>
      <w:r w:rsidR="00E01870">
        <w:rPr>
          <w:color w:val="000000"/>
        </w:rPr>
        <w:t>for</w:t>
      </w:r>
      <w:r w:rsidR="00E01870" w:rsidRPr="00194D80">
        <w:rPr>
          <w:color w:val="000000"/>
        </w:rPr>
        <w:t xml:space="preserve"> improvement identified </w:t>
      </w:r>
      <w:r w:rsidR="00E01870">
        <w:t xml:space="preserve">in the summary report referred to in paragraph </w:t>
      </w:r>
      <w:r w:rsidR="00E01870" w:rsidRPr="00673EE3">
        <w:t>8</w:t>
      </w:r>
      <w:r w:rsidR="00E01870">
        <w:t xml:space="preserve"> above in preparing</w:t>
      </w:r>
      <w:r w:rsidR="00E01870" w:rsidRPr="00824D5E">
        <w:t xml:space="preserve"> </w:t>
      </w:r>
      <w:r w:rsidR="00E01870">
        <w:t xml:space="preserve">their second </w:t>
      </w:r>
      <w:r w:rsidR="00E01870" w:rsidRPr="00824D5E">
        <w:t>biennial communications</w:t>
      </w:r>
      <w:r w:rsidR="00E01870">
        <w:t xml:space="preserve"> in 2022</w:t>
      </w:r>
      <w:r w:rsidR="00E01870" w:rsidRPr="00824D5E">
        <w:t xml:space="preserve"> </w:t>
      </w:r>
      <w:r w:rsidR="00E01870">
        <w:t xml:space="preserve">in accordance with the annex to decision 12/CMA.1, </w:t>
      </w:r>
      <w:r w:rsidR="00E01870" w:rsidRPr="002F71B8">
        <w:t>particular</w:t>
      </w:r>
      <w:r w:rsidR="00E01870">
        <w:t>ly in relation to:</w:t>
      </w:r>
      <w:r w:rsidR="00E01870" w:rsidRPr="00194D80">
        <w:rPr>
          <w:b/>
          <w:bCs/>
        </w:rPr>
        <w:t xml:space="preserve"> </w:t>
      </w:r>
    </w:p>
    <w:p w14:paraId="39840322" w14:textId="75CB7D50" w:rsidR="00E01870" w:rsidRPr="002F71B8" w:rsidRDefault="009E5AC3" w:rsidP="009E5AC3">
      <w:pPr>
        <w:pStyle w:val="RegSingleTxtG2"/>
        <w:numPr>
          <w:ilvl w:val="0"/>
          <w:numId w:val="0"/>
        </w:numPr>
        <w:tabs>
          <w:tab w:val="left" w:pos="1702"/>
        </w:tabs>
        <w:ind w:left="1134" w:firstLine="567"/>
      </w:pPr>
      <w:r w:rsidRPr="002F71B8">
        <w:rPr>
          <w:szCs w:val="28"/>
        </w:rPr>
        <w:t>(a)</w:t>
      </w:r>
      <w:r w:rsidRPr="002F71B8">
        <w:rPr>
          <w:szCs w:val="28"/>
        </w:rPr>
        <w:tab/>
      </w:r>
      <w:r w:rsidR="00E01870">
        <w:t xml:space="preserve">The </w:t>
      </w:r>
      <w:r w:rsidR="00E01870" w:rsidRPr="002F71B8">
        <w:t>indicative projections of climate finance for developing countries and specific plans for scaling up the provision and mobilization of climate finance;</w:t>
      </w:r>
    </w:p>
    <w:p w14:paraId="18791448" w14:textId="3741E3C3" w:rsidR="00E01870" w:rsidRPr="002F71B8" w:rsidRDefault="009E5AC3" w:rsidP="009E5AC3">
      <w:pPr>
        <w:pStyle w:val="RegSingleTxtG2"/>
        <w:numPr>
          <w:ilvl w:val="0"/>
          <w:numId w:val="0"/>
        </w:numPr>
        <w:tabs>
          <w:tab w:val="left" w:pos="1702"/>
        </w:tabs>
        <w:ind w:left="1134" w:firstLine="567"/>
      </w:pPr>
      <w:r w:rsidRPr="002F71B8">
        <w:rPr>
          <w:szCs w:val="28"/>
        </w:rPr>
        <w:t>(b)</w:t>
      </w:r>
      <w:r w:rsidRPr="002F71B8">
        <w:rPr>
          <w:szCs w:val="28"/>
        </w:rPr>
        <w:tab/>
      </w:r>
      <w:r w:rsidR="00E01870">
        <w:t xml:space="preserve">The </w:t>
      </w:r>
      <w:r w:rsidR="00E01870" w:rsidRPr="002F71B8">
        <w:t xml:space="preserve">information provided on projected levels of climate finance and lack of detail on themes, </w:t>
      </w:r>
      <w:r w:rsidR="00E01870">
        <w:t xml:space="preserve">various </w:t>
      </w:r>
      <w:r w:rsidR="00E01870" w:rsidRPr="002F71B8">
        <w:t>channels and instruments across the biennial communications</w:t>
      </w:r>
      <w:r w:rsidR="00E01870">
        <w:t>;</w:t>
      </w:r>
    </w:p>
    <w:p w14:paraId="780BDB54" w14:textId="53928695" w:rsidR="00E01870" w:rsidRDefault="009E5AC3" w:rsidP="009E5AC3">
      <w:pPr>
        <w:pStyle w:val="RegSingleTxtG2"/>
        <w:numPr>
          <w:ilvl w:val="0"/>
          <w:numId w:val="0"/>
        </w:numPr>
        <w:tabs>
          <w:tab w:val="left" w:pos="1702"/>
        </w:tabs>
        <w:ind w:left="1134" w:firstLine="567"/>
      </w:pPr>
      <w:r>
        <w:rPr>
          <w:szCs w:val="28"/>
        </w:rPr>
        <w:t>(c)</w:t>
      </w:r>
      <w:r>
        <w:rPr>
          <w:szCs w:val="28"/>
        </w:rPr>
        <w:tab/>
      </w:r>
      <w:r w:rsidR="00E01870">
        <w:t xml:space="preserve">The </w:t>
      </w:r>
      <w:r w:rsidR="00E01870" w:rsidRPr="002F71B8">
        <w:t xml:space="preserve">information on the shares of projected climate finance </w:t>
      </w:r>
      <w:r w:rsidR="00E01870">
        <w:t>for</w:t>
      </w:r>
      <w:r w:rsidR="00E01870" w:rsidRPr="002F71B8">
        <w:t xml:space="preserve"> adaptation and mitigation, and on plans for addressing the balance between the two</w:t>
      </w:r>
      <w:r w:rsidR="00E01870">
        <w:t>;</w:t>
      </w:r>
      <w:r w:rsidR="00E01870" w:rsidRPr="002F71B8">
        <w:t xml:space="preserve"> </w:t>
      </w:r>
    </w:p>
    <w:p w14:paraId="79EA2929" w14:textId="2CF1CEAD" w:rsidR="00E01870" w:rsidRPr="007D3D80" w:rsidRDefault="009E5AC3" w:rsidP="009E5AC3">
      <w:pPr>
        <w:pStyle w:val="RegSingleTxtG"/>
        <w:numPr>
          <w:ilvl w:val="0"/>
          <w:numId w:val="0"/>
        </w:numPr>
        <w:ind w:left="1134"/>
      </w:pPr>
      <w:r w:rsidRPr="007D3D80">
        <w:t>14.</w:t>
      </w:r>
      <w:r w:rsidRPr="007D3D80">
        <w:tab/>
      </w:r>
      <w:r w:rsidR="00E01870" w:rsidRPr="00BC54F2">
        <w:rPr>
          <w:i/>
        </w:rPr>
        <w:t>Recognizes</w:t>
      </w:r>
      <w:r w:rsidR="00E01870" w:rsidRPr="00967249">
        <w:rPr>
          <w:iCs/>
        </w:rPr>
        <w:t xml:space="preserve"> that developed country Parties submitted information related to Article 9, paragraphs 1 and 3, of the Paris Agreement for the first time in 2020 and that improvements based on lessons learned should be considered when </w:t>
      </w:r>
      <w:r w:rsidR="00E01870" w:rsidRPr="00562EEB">
        <w:t>preparing</w:t>
      </w:r>
      <w:r w:rsidR="00E01870" w:rsidRPr="00967249">
        <w:rPr>
          <w:iCs/>
        </w:rPr>
        <w:t xml:space="preserve"> biennial communications in 2022, taking into account the areas </w:t>
      </w:r>
      <w:r w:rsidR="00E01870">
        <w:rPr>
          <w:iCs/>
        </w:rPr>
        <w:t>for</w:t>
      </w:r>
      <w:r w:rsidR="00E01870" w:rsidRPr="00967249">
        <w:rPr>
          <w:iCs/>
        </w:rPr>
        <w:t xml:space="preserve"> improvement identified in the summary report referred to in paragraph </w:t>
      </w:r>
      <w:r w:rsidR="00E01870" w:rsidRPr="00673EE3">
        <w:t>8</w:t>
      </w:r>
      <w:r w:rsidR="00E01870" w:rsidRPr="00967249">
        <w:rPr>
          <w:iCs/>
        </w:rPr>
        <w:t xml:space="preserve"> above</w:t>
      </w:r>
      <w:r w:rsidR="00E01870">
        <w:rPr>
          <w:iCs/>
        </w:rPr>
        <w:t>,</w:t>
      </w:r>
      <w:r w:rsidR="00E01870" w:rsidRPr="00967249">
        <w:rPr>
          <w:iCs/>
        </w:rPr>
        <w:t xml:space="preserve"> and</w:t>
      </w:r>
      <w:r w:rsidR="00E01870">
        <w:rPr>
          <w:iCs/>
        </w:rPr>
        <w:t>,</w:t>
      </w:r>
      <w:r w:rsidR="00E01870" w:rsidRPr="00967249">
        <w:rPr>
          <w:iCs/>
        </w:rPr>
        <w:t xml:space="preserve"> in accordance with </w:t>
      </w:r>
      <w:r w:rsidR="00E01870">
        <w:rPr>
          <w:iCs/>
        </w:rPr>
        <w:t xml:space="preserve">decision </w:t>
      </w:r>
      <w:r w:rsidR="00E01870" w:rsidRPr="00967249">
        <w:rPr>
          <w:iCs/>
        </w:rPr>
        <w:t xml:space="preserve">12/CMA.1 and its annex, including enhancing the quality and granularity of information on programmes, including projected levels, channels and instruments, particularly on climate finance for </w:t>
      </w:r>
      <w:r w:rsidR="00E01870">
        <w:rPr>
          <w:iCs/>
        </w:rPr>
        <w:t xml:space="preserve">the </w:t>
      </w:r>
      <w:r w:rsidR="00E01870" w:rsidRPr="00967249">
        <w:rPr>
          <w:iCs/>
        </w:rPr>
        <w:t>least develop</w:t>
      </w:r>
      <w:r w:rsidR="00E01870">
        <w:rPr>
          <w:iCs/>
        </w:rPr>
        <w:t>ed</w:t>
      </w:r>
      <w:r w:rsidR="00E01870" w:rsidRPr="00967249">
        <w:rPr>
          <w:iCs/>
        </w:rPr>
        <w:t xml:space="preserve"> countries </w:t>
      </w:r>
      <w:r w:rsidR="00E01870">
        <w:rPr>
          <w:iCs/>
        </w:rPr>
        <w:t xml:space="preserve">and </w:t>
      </w:r>
      <w:r w:rsidR="00E01870" w:rsidRPr="00967249">
        <w:rPr>
          <w:iCs/>
        </w:rPr>
        <w:t>small island develop</w:t>
      </w:r>
      <w:r w:rsidR="00E01870">
        <w:rPr>
          <w:iCs/>
        </w:rPr>
        <w:t>ing</w:t>
      </w:r>
      <w:r w:rsidR="00E01870" w:rsidRPr="00967249">
        <w:rPr>
          <w:iCs/>
        </w:rPr>
        <w:t xml:space="preserve"> </w:t>
      </w:r>
      <w:r w:rsidR="00E01870">
        <w:rPr>
          <w:iCs/>
        </w:rPr>
        <w:t>S</w:t>
      </w:r>
      <w:r w:rsidR="00E01870" w:rsidRPr="00967249">
        <w:rPr>
          <w:iCs/>
        </w:rPr>
        <w:t xml:space="preserve">tates, and </w:t>
      </w:r>
      <w:r w:rsidR="00E01870">
        <w:rPr>
          <w:iCs/>
        </w:rPr>
        <w:t xml:space="preserve">on </w:t>
      </w:r>
      <w:r w:rsidR="00E01870" w:rsidRPr="00967249">
        <w:rPr>
          <w:iCs/>
        </w:rPr>
        <w:t>relevant methodologies and assumptions</w:t>
      </w:r>
      <w:r w:rsidR="00E01870">
        <w:rPr>
          <w:iCs/>
        </w:rPr>
        <w:t>;</w:t>
      </w:r>
    </w:p>
    <w:p w14:paraId="273A0FA5" w14:textId="4D18012C" w:rsidR="00E01870" w:rsidRPr="00D70861" w:rsidRDefault="009E5AC3" w:rsidP="009E5AC3">
      <w:pPr>
        <w:pStyle w:val="RegSingleTxtG"/>
        <w:numPr>
          <w:ilvl w:val="0"/>
          <w:numId w:val="0"/>
        </w:numPr>
        <w:ind w:left="1134"/>
      </w:pPr>
      <w:r w:rsidRPr="00D70861">
        <w:t>15.</w:t>
      </w:r>
      <w:r w:rsidRPr="00D70861">
        <w:tab/>
      </w:r>
      <w:r w:rsidR="00E01870" w:rsidRPr="00D70861">
        <w:rPr>
          <w:i/>
          <w:iCs/>
        </w:rPr>
        <w:t>Encourages</w:t>
      </w:r>
      <w:r w:rsidR="00E01870" w:rsidRPr="00D70861">
        <w:t xml:space="preserve"> other Parties providing resources to communicate biennially </w:t>
      </w:r>
      <w:r w:rsidR="00E01870">
        <w:t xml:space="preserve">the </w:t>
      </w:r>
      <w:r w:rsidR="00E01870" w:rsidRPr="00D70861">
        <w:t xml:space="preserve">information referred to in paragraph 2 above on a voluntary basis; </w:t>
      </w:r>
    </w:p>
    <w:p w14:paraId="7976E941" w14:textId="58DDB93B" w:rsidR="00E01870" w:rsidRDefault="009E5AC3" w:rsidP="009E5AC3">
      <w:pPr>
        <w:pStyle w:val="RegSingleTxtG"/>
        <w:numPr>
          <w:ilvl w:val="0"/>
          <w:numId w:val="0"/>
        </w:numPr>
        <w:ind w:left="1134"/>
        <w:rPr>
          <w:rFonts w:eastAsia="Calibri"/>
        </w:rPr>
      </w:pPr>
      <w:r>
        <w:rPr>
          <w:rFonts w:eastAsia="Calibri"/>
        </w:rPr>
        <w:lastRenderedPageBreak/>
        <w:t>16.</w:t>
      </w:r>
      <w:r>
        <w:rPr>
          <w:rFonts w:eastAsia="Calibri"/>
        </w:rPr>
        <w:tab/>
      </w:r>
      <w:r w:rsidR="00E01870" w:rsidRPr="00A64F60">
        <w:rPr>
          <w:rFonts w:eastAsia="Calibri"/>
          <w:i/>
          <w:iCs/>
        </w:rPr>
        <w:t>Requests</w:t>
      </w:r>
      <w:r w:rsidR="00E01870">
        <w:rPr>
          <w:rFonts w:eastAsia="Calibri"/>
        </w:rPr>
        <w:t xml:space="preserve"> the secretariat to prepare a compilation and synthesis of the biennial communications in accordance with decision 12/CMA.1, paragraph 7;</w:t>
      </w:r>
    </w:p>
    <w:p w14:paraId="61DF6B48" w14:textId="054F9397" w:rsidR="00E01870" w:rsidRPr="00967249" w:rsidRDefault="009E5AC3" w:rsidP="009E5AC3">
      <w:pPr>
        <w:pStyle w:val="RegSingleTxtG"/>
        <w:numPr>
          <w:ilvl w:val="0"/>
          <w:numId w:val="0"/>
        </w:numPr>
        <w:ind w:left="1134"/>
        <w:rPr>
          <w:iCs/>
        </w:rPr>
      </w:pPr>
      <w:r w:rsidRPr="00967249">
        <w:rPr>
          <w:iCs/>
        </w:rPr>
        <w:t>17.</w:t>
      </w:r>
      <w:r w:rsidRPr="00967249">
        <w:rPr>
          <w:iCs/>
        </w:rPr>
        <w:tab/>
      </w:r>
      <w:r w:rsidR="00E01870" w:rsidRPr="00967249">
        <w:rPr>
          <w:i/>
        </w:rPr>
        <w:t xml:space="preserve">Welcomes </w:t>
      </w:r>
      <w:r w:rsidR="00E01870">
        <w:t xml:space="preserve">the </w:t>
      </w:r>
      <w:r w:rsidR="00E01870" w:rsidRPr="00967249">
        <w:rPr>
          <w:iCs/>
        </w:rPr>
        <w:t xml:space="preserve">deliberations </w:t>
      </w:r>
      <w:r w:rsidR="00E01870">
        <w:rPr>
          <w:iCs/>
        </w:rPr>
        <w:t>at</w:t>
      </w:r>
      <w:r w:rsidR="00E01870" w:rsidRPr="00967249">
        <w:rPr>
          <w:iCs/>
        </w:rPr>
        <w:t xml:space="preserve"> the first high-level ministerial dialogue on climate finance in accordance with decision 12/CMA.1, paragraph 10, and </w:t>
      </w:r>
      <w:r w:rsidR="00E01870" w:rsidRPr="00967249">
        <w:rPr>
          <w:i/>
        </w:rPr>
        <w:t xml:space="preserve">looks forward </w:t>
      </w:r>
      <w:r w:rsidR="00E01870" w:rsidRPr="000E12C1">
        <w:t>to</w:t>
      </w:r>
      <w:r w:rsidR="00E01870" w:rsidRPr="00967249">
        <w:rPr>
          <w:iCs/>
        </w:rPr>
        <w:t xml:space="preserve"> the summary </w:t>
      </w:r>
      <w:r w:rsidR="00E01870">
        <w:rPr>
          <w:iCs/>
        </w:rPr>
        <w:t xml:space="preserve">thereof </w:t>
      </w:r>
      <w:r w:rsidR="00E01870" w:rsidRPr="00967249">
        <w:rPr>
          <w:iCs/>
        </w:rPr>
        <w:t>to be prepared by the Presidency of the Conference of the Parties;</w:t>
      </w:r>
    </w:p>
    <w:p w14:paraId="53238EFC" w14:textId="772FF179" w:rsidR="00E01870" w:rsidRPr="001221C3" w:rsidRDefault="009E5AC3" w:rsidP="009E5AC3">
      <w:pPr>
        <w:pStyle w:val="RegSingleTxtG"/>
        <w:numPr>
          <w:ilvl w:val="0"/>
          <w:numId w:val="0"/>
        </w:numPr>
        <w:ind w:left="1134"/>
      </w:pPr>
      <w:r w:rsidRPr="001221C3">
        <w:t>18.</w:t>
      </w:r>
      <w:r w:rsidRPr="001221C3">
        <w:tab/>
      </w:r>
      <w:r w:rsidR="00E01870" w:rsidRPr="00FA66E4">
        <w:rPr>
          <w:i/>
        </w:rPr>
        <w:t>Takes note</w:t>
      </w:r>
      <w:r w:rsidR="00E01870" w:rsidRPr="001221C3">
        <w:t xml:space="preserve"> of the estimated budgetary implications of the activities to be undertaken by the secretariat</w:t>
      </w:r>
      <w:r w:rsidR="00E01870">
        <w:t xml:space="preserve"> referred to in paragraphs </w:t>
      </w:r>
      <w:r w:rsidR="00E01870" w:rsidRPr="00673EE3">
        <w:t>11</w:t>
      </w:r>
      <w:r w:rsidR="00E01870">
        <w:t xml:space="preserve"> and </w:t>
      </w:r>
      <w:r w:rsidR="00E01870" w:rsidRPr="00673EE3">
        <w:t>16</w:t>
      </w:r>
      <w:r w:rsidR="00E01870">
        <w:t xml:space="preserve"> above</w:t>
      </w:r>
      <w:r w:rsidR="00E01870" w:rsidRPr="001221C3">
        <w:t>;</w:t>
      </w:r>
    </w:p>
    <w:p w14:paraId="16312D9F" w14:textId="04D19439" w:rsidR="00E01870" w:rsidRPr="000E12C1" w:rsidRDefault="009E5AC3" w:rsidP="009E5AC3">
      <w:pPr>
        <w:pStyle w:val="RegSingleTxtG"/>
        <w:numPr>
          <w:ilvl w:val="0"/>
          <w:numId w:val="0"/>
        </w:numPr>
        <w:ind w:left="1134"/>
        <w:rPr>
          <w:u w:val="single"/>
        </w:rPr>
      </w:pPr>
      <w:r w:rsidRPr="000E12C1">
        <w:t>19.</w:t>
      </w:r>
      <w:r w:rsidRPr="000E12C1">
        <w:tab/>
      </w:r>
      <w:r w:rsidR="00E01870" w:rsidRPr="000E12C1">
        <w:rPr>
          <w:i/>
        </w:rPr>
        <w:t>Requests</w:t>
      </w:r>
      <w:r w:rsidR="00E01870" w:rsidRPr="001221C3">
        <w:t xml:space="preserve"> that the actions of the secretariat called for in this decision be undertaken subject to the availability of financial resource</w:t>
      </w:r>
      <w:bookmarkEnd w:id="20"/>
      <w:r w:rsidR="00E01870">
        <w:t>s.</w:t>
      </w:r>
    </w:p>
    <w:p w14:paraId="146BA2D5" w14:textId="77777777" w:rsidR="000A008B" w:rsidRDefault="000A008B" w:rsidP="000A008B">
      <w:pPr>
        <w:spacing w:before="240"/>
        <w:ind w:left="1134" w:right="1134"/>
        <w:jc w:val="right"/>
        <w:rPr>
          <w:i/>
        </w:rPr>
        <w:sectPr w:rsidR="000A008B" w:rsidSect="00265564">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339A6C10" w14:textId="3FA3CFB8" w:rsidR="000A008B" w:rsidRDefault="000A008B" w:rsidP="009E5AC3">
      <w:pPr>
        <w:pStyle w:val="RegHChG"/>
        <w:numPr>
          <w:ilvl w:val="0"/>
          <w:numId w:val="0"/>
        </w:numPr>
        <w:spacing w:before="120"/>
        <w:ind w:left="1134" w:hanging="454"/>
      </w:pPr>
      <w:bookmarkStart w:id="21" w:name="Decision15"/>
      <w:r>
        <w:lastRenderedPageBreak/>
        <w:t>Decision 15/CMA.3</w:t>
      </w:r>
    </w:p>
    <w:p w14:paraId="463082B2" w14:textId="1D529A14" w:rsidR="000A008B" w:rsidRPr="00820826" w:rsidRDefault="007672E5" w:rsidP="009E5AC3">
      <w:pPr>
        <w:pStyle w:val="RegHChG"/>
        <w:numPr>
          <w:ilvl w:val="0"/>
          <w:numId w:val="0"/>
        </w:numPr>
        <w:ind w:left="1135" w:hanging="454"/>
      </w:pPr>
      <w:bookmarkStart w:id="22" w:name="_Hlk89181736"/>
      <w:bookmarkEnd w:id="21"/>
      <w:r>
        <w:t>Enhancing climate technology development and transfer to support implementation of the Paris Agreement</w:t>
      </w:r>
    </w:p>
    <w:bookmarkEnd w:id="22"/>
    <w:p w14:paraId="10C07D73" w14:textId="5319651A" w:rsidR="00C26921" w:rsidRPr="00FD7892" w:rsidRDefault="00C26921" w:rsidP="00C26921">
      <w:pPr>
        <w:pStyle w:val="RegSingleTxtG"/>
        <w:numPr>
          <w:ilvl w:val="0"/>
          <w:numId w:val="0"/>
        </w:numPr>
        <w:ind w:left="1135"/>
        <w:rPr>
          <w:i/>
        </w:rPr>
      </w:pPr>
      <w:r>
        <w:rPr>
          <w:i/>
        </w:rPr>
        <w:tab/>
      </w:r>
      <w:r w:rsidRPr="00FD7892">
        <w:rPr>
          <w:i/>
        </w:rPr>
        <w:t>The Conference of the Parties serving as the meeting of the Parties to the Paris Agreement</w:t>
      </w:r>
      <w:r w:rsidRPr="00FD7892">
        <w:t>,</w:t>
      </w:r>
    </w:p>
    <w:p w14:paraId="43995914" w14:textId="77777777" w:rsidR="00C26921" w:rsidRPr="00FD7892" w:rsidRDefault="00C26921" w:rsidP="00C26921">
      <w:pPr>
        <w:pStyle w:val="RegSingleTxtG"/>
        <w:numPr>
          <w:ilvl w:val="0"/>
          <w:numId w:val="0"/>
        </w:numPr>
        <w:ind w:left="1135"/>
        <w:rPr>
          <w:i/>
        </w:rPr>
      </w:pPr>
      <w:r w:rsidRPr="00FD7892">
        <w:rPr>
          <w:i/>
        </w:rPr>
        <w:tab/>
        <w:t xml:space="preserve">Recalling </w:t>
      </w:r>
      <w:r w:rsidRPr="00FD7892">
        <w:t>Article 10 of the Paris Agreement,</w:t>
      </w:r>
    </w:p>
    <w:p w14:paraId="6CFB25DC" w14:textId="5B7653C2" w:rsidR="00C26921" w:rsidRPr="00FD7892" w:rsidRDefault="00C26921" w:rsidP="00C26921">
      <w:pPr>
        <w:pStyle w:val="RegSingleTxtG"/>
        <w:numPr>
          <w:ilvl w:val="0"/>
          <w:numId w:val="0"/>
        </w:numPr>
        <w:ind w:left="1135"/>
        <w:rPr>
          <w:iCs/>
        </w:rPr>
      </w:pPr>
      <w:r w:rsidRPr="00FD7892">
        <w:rPr>
          <w:i/>
        </w:rPr>
        <w:tab/>
        <w:t xml:space="preserve">Also recalling </w:t>
      </w:r>
      <w:r w:rsidRPr="00FD7892">
        <w:rPr>
          <w:iCs/>
        </w:rPr>
        <w:t>decision</w:t>
      </w:r>
      <w:r w:rsidR="0091018C">
        <w:rPr>
          <w:iCs/>
        </w:rPr>
        <w:t>s</w:t>
      </w:r>
      <w:r w:rsidRPr="00FD7892">
        <w:rPr>
          <w:iCs/>
        </w:rPr>
        <w:t xml:space="preserve"> 1/CP.21, paragraphs 66 and 68, 15/CMA.1 and 8/CMA.2,</w:t>
      </w:r>
    </w:p>
    <w:p w14:paraId="79E861B4" w14:textId="27BFD16A" w:rsidR="00C26921" w:rsidRPr="00FD7892" w:rsidRDefault="009E5AC3" w:rsidP="009E5AC3">
      <w:pPr>
        <w:pStyle w:val="RegSingleTxtG"/>
        <w:numPr>
          <w:ilvl w:val="0"/>
          <w:numId w:val="0"/>
        </w:numPr>
        <w:ind w:left="1134"/>
      </w:pPr>
      <w:r w:rsidRPr="00FD7892">
        <w:t>1.</w:t>
      </w:r>
      <w:r w:rsidRPr="00FD7892">
        <w:tab/>
      </w:r>
      <w:r w:rsidR="00C26921" w:rsidRPr="00C26921">
        <w:rPr>
          <w:i/>
        </w:rPr>
        <w:t xml:space="preserve">Welcomes </w:t>
      </w:r>
      <w:r w:rsidR="00C26921" w:rsidRPr="00FD7892">
        <w:t>the joint annual reports of the Technology Executive Committee and the Climate Technology Centre and Network for 2020 and 2021</w:t>
      </w:r>
      <w:r w:rsidR="00C26921" w:rsidRPr="00FD7892">
        <w:rPr>
          <w:rStyle w:val="FootnoteReference"/>
        </w:rPr>
        <w:footnoteReference w:id="34"/>
      </w:r>
      <w:r w:rsidR="00C26921" w:rsidRPr="00FD7892">
        <w:t xml:space="preserve"> and </w:t>
      </w:r>
      <w:r w:rsidR="00C26921" w:rsidRPr="00C26921">
        <w:rPr>
          <w:i/>
          <w:iCs/>
        </w:rPr>
        <w:t>commends</w:t>
      </w:r>
      <w:r w:rsidR="00C26921" w:rsidRPr="00FD7892">
        <w:t xml:space="preserve"> their efforts to advance their work, as guided by the technology framework;</w:t>
      </w:r>
    </w:p>
    <w:p w14:paraId="62F92F19" w14:textId="24DC0530" w:rsidR="00C26921" w:rsidRPr="00FD7892" w:rsidRDefault="009E5AC3" w:rsidP="009E5AC3">
      <w:pPr>
        <w:pStyle w:val="RegSingleTxtG"/>
        <w:numPr>
          <w:ilvl w:val="0"/>
          <w:numId w:val="0"/>
        </w:numPr>
        <w:tabs>
          <w:tab w:val="left" w:pos="568"/>
        </w:tabs>
        <w:ind w:left="1134"/>
      </w:pPr>
      <w:r w:rsidRPr="00FD7892">
        <w:t>2.</w:t>
      </w:r>
      <w:r w:rsidRPr="00FD7892">
        <w:tab/>
      </w:r>
      <w:r w:rsidR="00C26921">
        <w:rPr>
          <w:i/>
        </w:rPr>
        <w:t>W</w:t>
      </w:r>
      <w:r w:rsidR="00C26921" w:rsidRPr="00FD7892">
        <w:rPr>
          <w:i/>
        </w:rPr>
        <w:t>elcomes</w:t>
      </w:r>
      <w:r w:rsidR="00C26921" w:rsidRPr="00FD7892">
        <w:t xml:space="preserve"> the continuing collaboration of the Technology Executive Committee and the Climate Technology Centre and Network</w:t>
      </w:r>
      <w:r w:rsidR="00C26921" w:rsidRPr="00FD7892" w:rsidDel="006E36DC">
        <w:t xml:space="preserve"> </w:t>
      </w:r>
      <w:r w:rsidR="00C26921" w:rsidRPr="00FD7892">
        <w:t xml:space="preserve">and </w:t>
      </w:r>
      <w:r w:rsidR="00C26921" w:rsidRPr="00FD7892">
        <w:rPr>
          <w:i/>
          <w:iCs/>
        </w:rPr>
        <w:t>invites</w:t>
      </w:r>
      <w:r w:rsidR="00C26921" w:rsidRPr="00FD7892">
        <w:t xml:space="preserve"> them to strengthen their collaboration and the provision of feedback between them with a view to</w:t>
      </w:r>
      <w:r w:rsidR="00C26921" w:rsidRPr="00FD7892" w:rsidDel="005909F3">
        <w:t xml:space="preserve"> </w:t>
      </w:r>
      <w:r w:rsidR="00C26921" w:rsidRPr="00FD7892">
        <w:t xml:space="preserve">ensuring coherence and synergy and effective implementation of </w:t>
      </w:r>
      <w:r w:rsidR="00C26921" w:rsidRPr="00FD7892" w:rsidDel="00B34685">
        <w:t xml:space="preserve">the </w:t>
      </w:r>
      <w:r w:rsidR="00C26921" w:rsidRPr="00FD7892" w:rsidDel="00F53519">
        <w:t xml:space="preserve">mandates </w:t>
      </w:r>
      <w:r w:rsidR="00C26921" w:rsidRPr="00FD7892" w:rsidDel="005F767F">
        <w:t>of</w:t>
      </w:r>
      <w:r w:rsidR="00C26921" w:rsidRPr="00FD7892">
        <w:t xml:space="preserve"> the Technology Mechanism, </w:t>
      </w:r>
      <w:r w:rsidR="00C26921" w:rsidRPr="00DA34E5">
        <w:t>inter alia</w:t>
      </w:r>
      <w:r w:rsidR="00C26921">
        <w:t>,</w:t>
      </w:r>
      <w:r w:rsidR="00C26921" w:rsidRPr="00FD7892">
        <w:t xml:space="preserve"> by exploring the </w:t>
      </w:r>
      <w:r w:rsidR="00C26921" w:rsidRPr="00FD7892" w:rsidDel="00AD3F50">
        <w:t>preparation</w:t>
      </w:r>
      <w:r w:rsidR="00C26921" w:rsidRPr="00FD7892">
        <w:t xml:space="preserve"> of a joint programme;</w:t>
      </w:r>
    </w:p>
    <w:p w14:paraId="0C90C3E7" w14:textId="3E036F92" w:rsidR="00C26921" w:rsidRPr="00FD7892" w:rsidRDefault="009E5AC3" w:rsidP="009E5AC3">
      <w:pPr>
        <w:pStyle w:val="RegSingleTxtG"/>
        <w:numPr>
          <w:ilvl w:val="0"/>
          <w:numId w:val="0"/>
        </w:numPr>
        <w:tabs>
          <w:tab w:val="left" w:pos="568"/>
        </w:tabs>
        <w:ind w:left="1134"/>
      </w:pPr>
      <w:r w:rsidRPr="00FD7892">
        <w:t>3.</w:t>
      </w:r>
      <w:r w:rsidRPr="00FD7892">
        <w:tab/>
      </w:r>
      <w:r w:rsidR="00C26921" w:rsidRPr="00FD7892">
        <w:rPr>
          <w:i/>
          <w:iCs/>
        </w:rPr>
        <w:t>Takes note</w:t>
      </w:r>
      <w:r w:rsidR="00C26921" w:rsidRPr="00FD7892">
        <w:t xml:space="preserve"> of the information provided in the joint annual report for 2020 on how the Technology Executive Committee and the Climate Technology Centre and Network have incorporated the guidance contained in the technology framework into their respective workplan and programme of work;</w:t>
      </w:r>
      <w:r w:rsidR="00C26921" w:rsidRPr="00FD7892">
        <w:rPr>
          <w:rStyle w:val="FootnoteReference"/>
        </w:rPr>
        <w:footnoteReference w:id="35"/>
      </w:r>
    </w:p>
    <w:p w14:paraId="28B82506" w14:textId="1975246F" w:rsidR="00C26921" w:rsidRPr="00FD7892" w:rsidRDefault="009E5AC3" w:rsidP="009E5AC3">
      <w:pPr>
        <w:pStyle w:val="RegSingleTxtG"/>
        <w:numPr>
          <w:ilvl w:val="0"/>
          <w:numId w:val="0"/>
        </w:numPr>
        <w:tabs>
          <w:tab w:val="left" w:pos="568"/>
        </w:tabs>
        <w:ind w:left="1134"/>
      </w:pPr>
      <w:r w:rsidRPr="00FD7892">
        <w:t>4.</w:t>
      </w:r>
      <w:r w:rsidRPr="00FD7892">
        <w:tab/>
      </w:r>
      <w:r w:rsidR="00C26921" w:rsidRPr="00FD7892">
        <w:rPr>
          <w:i/>
        </w:rPr>
        <w:t xml:space="preserve">Acknowledges with appreciation </w:t>
      </w:r>
      <w:r w:rsidR="00C26921" w:rsidRPr="00FD7892">
        <w:rPr>
          <w:iCs/>
        </w:rPr>
        <w:t xml:space="preserve">the commencement of the joint activities of the </w:t>
      </w:r>
      <w:r w:rsidR="00C26921" w:rsidRPr="00FD7892">
        <w:t>Technology Executive Committee and the Climate Technology Centre and Network on technology and nationally determined contributions,</w:t>
      </w:r>
      <w:r w:rsidR="00C26921" w:rsidRPr="00FD7892">
        <w:rPr>
          <w:rStyle w:val="FootnoteReference"/>
        </w:rPr>
        <w:footnoteReference w:id="36"/>
      </w:r>
      <w:r w:rsidR="00C26921" w:rsidRPr="00FD7892">
        <w:t xml:space="preserve"> and on technology and gender, and the preparation of a joint publication on technology and nationally determined contributions</w:t>
      </w:r>
      <w:r w:rsidR="00C26921" w:rsidRPr="00FD7892">
        <w:rPr>
          <w:rStyle w:val="FootnoteReference"/>
        </w:rPr>
        <w:footnoteReference w:id="37"/>
      </w:r>
      <w:r w:rsidR="00C26921" w:rsidRPr="00FD7892">
        <w:t xml:space="preserve"> and of joint recommendations on how to stimulate the uptake of climate technology solutions to support the implementation of nationally determined contributions</w:t>
      </w:r>
      <w:r w:rsidR="00C26921">
        <w:t>;</w:t>
      </w:r>
      <w:r w:rsidR="00C26921" w:rsidRPr="00FD7892">
        <w:rPr>
          <w:rStyle w:val="FootnoteReference"/>
        </w:rPr>
        <w:footnoteReference w:id="38"/>
      </w:r>
    </w:p>
    <w:p w14:paraId="3B71222F" w14:textId="1263CB26" w:rsidR="00C26921" w:rsidRPr="00FD7892" w:rsidRDefault="009E5AC3" w:rsidP="009E5AC3">
      <w:pPr>
        <w:pStyle w:val="RegSingleTxtG"/>
        <w:numPr>
          <w:ilvl w:val="0"/>
          <w:numId w:val="0"/>
        </w:numPr>
        <w:tabs>
          <w:tab w:val="left" w:pos="568"/>
        </w:tabs>
        <w:ind w:left="1134"/>
      </w:pPr>
      <w:r w:rsidRPr="00FD7892">
        <w:t>5.</w:t>
      </w:r>
      <w:r w:rsidRPr="00FD7892">
        <w:tab/>
      </w:r>
      <w:r w:rsidR="00C26921" w:rsidRPr="00FD7892">
        <w:rPr>
          <w:i/>
        </w:rPr>
        <w:t>Invites</w:t>
      </w:r>
      <w:r w:rsidR="00C26921" w:rsidRPr="00FD7892">
        <w:t xml:space="preserve"> Parties and relevant stakeholders, in planning and implementing action related to nationally determined contributions, to consider and build on the recommendations contained in the joint publication referred to in paragraph</w:t>
      </w:r>
      <w:r w:rsidR="00C26921">
        <w:t xml:space="preserve"> 4 above</w:t>
      </w:r>
      <w:r w:rsidR="00C26921" w:rsidRPr="00FD7892">
        <w:t xml:space="preserve">; </w:t>
      </w:r>
    </w:p>
    <w:p w14:paraId="7E393817" w14:textId="6342BD44" w:rsidR="00C26921" w:rsidRPr="00FD7892" w:rsidRDefault="009E5AC3" w:rsidP="009E5AC3">
      <w:pPr>
        <w:pStyle w:val="RegSingleTxtG"/>
        <w:numPr>
          <w:ilvl w:val="0"/>
          <w:numId w:val="0"/>
        </w:numPr>
        <w:tabs>
          <w:tab w:val="left" w:pos="568"/>
        </w:tabs>
        <w:ind w:left="1134"/>
      </w:pPr>
      <w:r w:rsidRPr="00FD7892">
        <w:t>6.</w:t>
      </w:r>
      <w:r w:rsidRPr="00FD7892">
        <w:tab/>
      </w:r>
      <w:r w:rsidR="00C26921" w:rsidRPr="00FD7892">
        <w:rPr>
          <w:i/>
        </w:rPr>
        <w:t xml:space="preserve">Also invites </w:t>
      </w:r>
      <w:r w:rsidR="00C26921" w:rsidRPr="00FD7892">
        <w:rPr>
          <w:iCs/>
        </w:rPr>
        <w:t xml:space="preserve">the Technology Executive </w:t>
      </w:r>
      <w:r w:rsidR="00C26921" w:rsidRPr="00C26921">
        <w:t>Committee</w:t>
      </w:r>
      <w:r w:rsidR="00C26921" w:rsidRPr="00FD7892">
        <w:rPr>
          <w:iCs/>
        </w:rPr>
        <w:t xml:space="preserve"> and the Climate Technology Centre and Network to:</w:t>
      </w:r>
    </w:p>
    <w:p w14:paraId="7429D472" w14:textId="182BCC21" w:rsidR="00C26921" w:rsidRPr="00FD7892" w:rsidRDefault="009E5AC3" w:rsidP="009E5AC3">
      <w:pPr>
        <w:pStyle w:val="RegSingleTxtG2"/>
        <w:numPr>
          <w:ilvl w:val="0"/>
          <w:numId w:val="0"/>
        </w:numPr>
        <w:tabs>
          <w:tab w:val="left" w:pos="1702"/>
          <w:tab w:val="num" w:pos="2269"/>
        </w:tabs>
        <w:ind w:left="1134" w:firstLine="567"/>
      </w:pPr>
      <w:r w:rsidRPr="00FD7892">
        <w:rPr>
          <w:szCs w:val="28"/>
        </w:rPr>
        <w:t>(a)</w:t>
      </w:r>
      <w:r w:rsidRPr="00FD7892">
        <w:rPr>
          <w:szCs w:val="28"/>
        </w:rPr>
        <w:tab/>
      </w:r>
      <w:r w:rsidR="00C26921" w:rsidRPr="00FD7892">
        <w:t>Continue their work on technology and nationally determined contributions</w:t>
      </w:r>
      <w:r w:rsidR="00C26921" w:rsidRPr="00C26921">
        <w:rPr>
          <w:iCs/>
        </w:rPr>
        <w:t xml:space="preserve"> in 2022–2023</w:t>
      </w:r>
      <w:r w:rsidR="00C26921" w:rsidRPr="00FD7892">
        <w:t xml:space="preserve">, in particular </w:t>
      </w:r>
      <w:r w:rsidR="00C26921">
        <w:t xml:space="preserve">by </w:t>
      </w:r>
      <w:r w:rsidR="00C26921" w:rsidRPr="00FD7892">
        <w:t>implementing relevant recommendations in the joint publication referred to in paragraph</w:t>
      </w:r>
      <w:r w:rsidR="00C26921">
        <w:t xml:space="preserve"> 4 above</w:t>
      </w:r>
      <w:r w:rsidR="00C26921" w:rsidRPr="00FD7892">
        <w:t>;</w:t>
      </w:r>
    </w:p>
    <w:p w14:paraId="03C810A1" w14:textId="5A9EC657" w:rsidR="00C26921" w:rsidRPr="00FD7892" w:rsidRDefault="009E5AC3" w:rsidP="009E5AC3">
      <w:pPr>
        <w:pStyle w:val="RegSingleTxtG2"/>
        <w:numPr>
          <w:ilvl w:val="0"/>
          <w:numId w:val="0"/>
        </w:numPr>
        <w:tabs>
          <w:tab w:val="left" w:pos="1702"/>
          <w:tab w:val="num" w:pos="2269"/>
        </w:tabs>
        <w:ind w:left="1134" w:firstLine="567"/>
      </w:pPr>
      <w:r w:rsidRPr="00FD7892">
        <w:rPr>
          <w:szCs w:val="28"/>
        </w:rPr>
        <w:t>(b)</w:t>
      </w:r>
      <w:r w:rsidRPr="00FD7892">
        <w:rPr>
          <w:szCs w:val="28"/>
        </w:rPr>
        <w:tab/>
      </w:r>
      <w:r w:rsidR="00C26921" w:rsidRPr="00C571AC">
        <w:t xml:space="preserve">Enhance </w:t>
      </w:r>
      <w:r w:rsidR="00C26921" w:rsidRPr="00C26921">
        <w:t>their</w:t>
      </w:r>
      <w:r w:rsidR="00C26921" w:rsidRPr="00C571AC">
        <w:t xml:space="preserve"> efforts to ensure full and effective implementation of the technology framework through their respective workplan and programme of work; </w:t>
      </w:r>
    </w:p>
    <w:p w14:paraId="2D32A3AA" w14:textId="648B99F9" w:rsidR="00C26921" w:rsidRPr="00B51064" w:rsidRDefault="009E5AC3" w:rsidP="009E5AC3">
      <w:pPr>
        <w:pStyle w:val="RegHChG"/>
        <w:numPr>
          <w:ilvl w:val="0"/>
          <w:numId w:val="0"/>
        </w:numPr>
        <w:tabs>
          <w:tab w:val="left" w:pos="1135"/>
        </w:tabs>
        <w:ind w:left="1135" w:hanging="454"/>
      </w:pPr>
      <w:r w:rsidRPr="00B51064">
        <w:t>I.</w:t>
      </w:r>
      <w:r w:rsidRPr="00B51064">
        <w:tab/>
      </w:r>
      <w:r w:rsidR="00C26921" w:rsidRPr="00E52214">
        <w:t xml:space="preserve">Activities and performance of the Technology Executive Committee in </w:t>
      </w:r>
      <w:r w:rsidR="00C26921">
        <w:t>2020</w:t>
      </w:r>
      <w:r w:rsidR="006904E0">
        <w:t>–</w:t>
      </w:r>
      <w:r w:rsidR="00C26921">
        <w:t>2021</w:t>
      </w:r>
    </w:p>
    <w:p w14:paraId="0ABD8CEC" w14:textId="084F480C" w:rsidR="00C26921" w:rsidRPr="00FD7892" w:rsidRDefault="009E5AC3" w:rsidP="009E5AC3">
      <w:pPr>
        <w:pStyle w:val="RegSingleTxtG"/>
        <w:numPr>
          <w:ilvl w:val="0"/>
          <w:numId w:val="0"/>
        </w:numPr>
        <w:tabs>
          <w:tab w:val="left" w:pos="568"/>
        </w:tabs>
        <w:ind w:left="1134"/>
        <w:rPr>
          <w:iCs/>
        </w:rPr>
      </w:pPr>
      <w:r w:rsidRPr="00FD7892">
        <w:rPr>
          <w:iCs/>
        </w:rPr>
        <w:t>7.</w:t>
      </w:r>
      <w:r w:rsidRPr="00FD7892">
        <w:rPr>
          <w:iCs/>
        </w:rPr>
        <w:tab/>
      </w:r>
      <w:r w:rsidR="00C26921" w:rsidRPr="00FD7892">
        <w:rPr>
          <w:i/>
        </w:rPr>
        <w:t>Appreciates</w:t>
      </w:r>
      <w:r w:rsidR="00C26921" w:rsidRPr="00FD7892">
        <w:t xml:space="preserve"> the flexibility of the Technology Executive Committee </w:t>
      </w:r>
      <w:r w:rsidR="00C26921" w:rsidRPr="00FD7892">
        <w:rPr>
          <w:iCs/>
        </w:rPr>
        <w:t xml:space="preserve">in adapting to new ways of working, including through the use of virtual platforms for meetings and events, </w:t>
      </w:r>
      <w:r w:rsidR="00C26921" w:rsidRPr="00FD7892">
        <w:t xml:space="preserve">and in constructively engaging with its members, task forces, observers and other relevant </w:t>
      </w:r>
      <w:r w:rsidR="00C26921" w:rsidRPr="00FD7892">
        <w:lastRenderedPageBreak/>
        <w:t xml:space="preserve">stakeholders, thereby </w:t>
      </w:r>
      <w:r w:rsidR="00C26921" w:rsidRPr="00FD7892">
        <w:rPr>
          <w:iCs/>
        </w:rPr>
        <w:t xml:space="preserve">facilitating progress in successfully </w:t>
      </w:r>
      <w:r w:rsidR="00C26921" w:rsidRPr="00C26921">
        <w:t>implementing</w:t>
      </w:r>
      <w:r w:rsidR="00C26921" w:rsidRPr="00FD7892">
        <w:rPr>
          <w:iCs/>
        </w:rPr>
        <w:t xml:space="preserve"> </w:t>
      </w:r>
      <w:r w:rsidR="00C26921" w:rsidRPr="00FD7892">
        <w:t xml:space="preserve">activities in its </w:t>
      </w:r>
      <w:r w:rsidR="00C26921">
        <w:t xml:space="preserve">rolling </w:t>
      </w:r>
      <w:r w:rsidR="00C26921" w:rsidRPr="00FD7892">
        <w:t>workplan</w:t>
      </w:r>
      <w:r w:rsidR="00C26921">
        <w:t xml:space="preserve"> for 2019–2022</w:t>
      </w:r>
      <w:r w:rsidR="00C26921" w:rsidRPr="00FD7892">
        <w:t>;</w:t>
      </w:r>
      <w:r w:rsidR="00C26921" w:rsidRPr="00FD7892">
        <w:rPr>
          <w:rStyle w:val="FootnoteReference"/>
        </w:rPr>
        <w:footnoteReference w:id="39"/>
      </w:r>
    </w:p>
    <w:p w14:paraId="24D3FD3F" w14:textId="30F6D4D2" w:rsidR="00C26921" w:rsidRDefault="009E5AC3" w:rsidP="009E5AC3">
      <w:pPr>
        <w:pStyle w:val="RegSingleTxtG"/>
        <w:numPr>
          <w:ilvl w:val="0"/>
          <w:numId w:val="0"/>
        </w:numPr>
        <w:tabs>
          <w:tab w:val="left" w:pos="568"/>
        </w:tabs>
        <w:ind w:left="1134"/>
      </w:pPr>
      <w:r>
        <w:t>8.</w:t>
      </w:r>
      <w:r>
        <w:tab/>
      </w:r>
      <w:r w:rsidR="00C26921">
        <w:rPr>
          <w:i/>
          <w:iCs/>
        </w:rPr>
        <w:t>I</w:t>
      </w:r>
      <w:r w:rsidR="00C26921" w:rsidRPr="00FD7892">
        <w:rPr>
          <w:i/>
          <w:iCs/>
        </w:rPr>
        <w:t xml:space="preserve">nvites </w:t>
      </w:r>
      <w:r w:rsidR="00C26921" w:rsidRPr="00E52214">
        <w:t xml:space="preserve">Parties and relevant stakeholders to consider the </w:t>
      </w:r>
      <w:r w:rsidR="00C26921" w:rsidRPr="0089415E">
        <w:t>key messages and recommendations of the Technology Executive Committee for 2020</w:t>
      </w:r>
      <w:r w:rsidR="00CB02F9">
        <w:t>–</w:t>
      </w:r>
      <w:r w:rsidR="00C26921" w:rsidRPr="0089415E">
        <w:t>2021 on technology policy in the following areas: technology needs assessment; technologies for averting, minimizing and addressing loss and damage in coastal zones; international collaborative research, development and demonstration; innovative approaches to stimulating the uptake of existing clean technology solutions; and endogenous capacities and technologies;</w:t>
      </w:r>
      <w:r w:rsidR="00C26921" w:rsidRPr="0089415E">
        <w:rPr>
          <w:rStyle w:val="FootnoteReference"/>
        </w:rPr>
        <w:footnoteReference w:id="40"/>
      </w:r>
    </w:p>
    <w:p w14:paraId="73A7269C" w14:textId="71179688" w:rsidR="00C26921" w:rsidRPr="00C571AC" w:rsidRDefault="009E5AC3" w:rsidP="009E5AC3">
      <w:pPr>
        <w:pStyle w:val="RegSingleTxtG"/>
        <w:numPr>
          <w:ilvl w:val="0"/>
          <w:numId w:val="0"/>
        </w:numPr>
        <w:tabs>
          <w:tab w:val="left" w:pos="568"/>
        </w:tabs>
        <w:ind w:left="1134"/>
      </w:pPr>
      <w:r w:rsidRPr="00C571AC">
        <w:t>9.</w:t>
      </w:r>
      <w:r w:rsidRPr="00C571AC">
        <w:tab/>
      </w:r>
      <w:r w:rsidR="00C26921" w:rsidRPr="00FD7892">
        <w:rPr>
          <w:i/>
        </w:rPr>
        <w:t>Notes with appreciation</w:t>
      </w:r>
      <w:r w:rsidR="00C26921" w:rsidRPr="00FD7892">
        <w:rPr>
          <w:iCs/>
        </w:rPr>
        <w:t xml:space="preserve"> </w:t>
      </w:r>
      <w:r w:rsidR="00C26921" w:rsidRPr="00FD7892">
        <w:t>the collaboration of the Technology Executive Committee with other constituted bodies and relevant organizations in implementing its workplan activities;</w:t>
      </w:r>
    </w:p>
    <w:p w14:paraId="6E812EDF" w14:textId="5CE24FAD" w:rsidR="00C26921" w:rsidRDefault="009E5AC3" w:rsidP="009E5AC3">
      <w:pPr>
        <w:pStyle w:val="RegSingleTxtG"/>
        <w:numPr>
          <w:ilvl w:val="0"/>
          <w:numId w:val="0"/>
        </w:numPr>
        <w:tabs>
          <w:tab w:val="left" w:pos="568"/>
        </w:tabs>
        <w:ind w:left="1134"/>
      </w:pPr>
      <w:r>
        <w:t>10.</w:t>
      </w:r>
      <w:r>
        <w:tab/>
      </w:r>
      <w:r w:rsidR="00C26921" w:rsidRPr="00090CA4">
        <w:rPr>
          <w:i/>
          <w:iCs/>
        </w:rPr>
        <w:t>Welcomes</w:t>
      </w:r>
      <w:r w:rsidR="00C26921" w:rsidRPr="00090CA4">
        <w:t xml:space="preserve"> the successful organization of the Technology Day </w:t>
      </w:r>
      <w:r w:rsidR="00C26921">
        <w:t>events in 2020</w:t>
      </w:r>
      <w:r w:rsidR="00C61ADB">
        <w:t>–</w:t>
      </w:r>
      <w:r w:rsidR="00C26921">
        <w:t>2021</w:t>
      </w:r>
      <w:r w:rsidR="00C26921">
        <w:rPr>
          <w:rStyle w:val="FootnoteReference"/>
        </w:rPr>
        <w:footnoteReference w:id="41"/>
      </w:r>
      <w:r w:rsidR="00C26921">
        <w:t xml:space="preserve"> to promote innovative approaches </w:t>
      </w:r>
      <w:r w:rsidR="006C0BA4">
        <w:t>t</w:t>
      </w:r>
      <w:r w:rsidR="00C26921">
        <w:t xml:space="preserve">o adaptation technologies related to climate-smart agriculture and ocean and coastal adaptation and </w:t>
      </w:r>
      <w:r w:rsidR="00C26921" w:rsidRPr="00244C03">
        <w:rPr>
          <w:i/>
          <w:iCs/>
        </w:rPr>
        <w:t>encourage</w:t>
      </w:r>
      <w:r w:rsidR="00C26921">
        <w:rPr>
          <w:i/>
          <w:iCs/>
        </w:rPr>
        <w:t>s</w:t>
      </w:r>
      <w:r w:rsidR="00C26921">
        <w:t xml:space="preserve"> the </w:t>
      </w:r>
      <w:r w:rsidR="00C26921" w:rsidRPr="00E52214">
        <w:t>Technology Executive Committee</w:t>
      </w:r>
      <w:r w:rsidR="00C26921">
        <w:t xml:space="preserve"> to continue using such events to strengthen the impacts of its work and to reach target audiences;</w:t>
      </w:r>
    </w:p>
    <w:p w14:paraId="6CF0191F" w14:textId="160870F6" w:rsidR="00C26921" w:rsidRPr="00FD7892" w:rsidRDefault="009E5AC3" w:rsidP="009E5AC3">
      <w:pPr>
        <w:pStyle w:val="RegSingleTxtG"/>
        <w:numPr>
          <w:ilvl w:val="0"/>
          <w:numId w:val="0"/>
        </w:numPr>
        <w:tabs>
          <w:tab w:val="left" w:pos="568"/>
        </w:tabs>
        <w:ind w:left="1134"/>
      </w:pPr>
      <w:r w:rsidRPr="00FD7892">
        <w:t>11.</w:t>
      </w:r>
      <w:r w:rsidRPr="00FD7892">
        <w:tab/>
      </w:r>
      <w:r w:rsidR="00C26921" w:rsidRPr="00FD7892">
        <w:rPr>
          <w:i/>
        </w:rPr>
        <w:t xml:space="preserve">Commends </w:t>
      </w:r>
      <w:r w:rsidR="00C26921" w:rsidRPr="00FD7892">
        <w:t xml:space="preserve">the Technology Executive Committee on its efforts to mainstream gender considerations in its work, including through a structured approach that strives to ensure that gender focal points play an active role and gender balance is achieved with regard to the speakers at all its events in 2021, and </w:t>
      </w:r>
      <w:r w:rsidR="00C26921" w:rsidRPr="00FD7892">
        <w:rPr>
          <w:i/>
          <w:iCs/>
        </w:rPr>
        <w:t>looks forward</w:t>
      </w:r>
      <w:r w:rsidR="00C26921" w:rsidRPr="00FD7892">
        <w:t xml:space="preserve"> to its continuing efforts on this matter; </w:t>
      </w:r>
    </w:p>
    <w:p w14:paraId="52009AB2" w14:textId="1AE6744D" w:rsidR="00C26921" w:rsidRPr="00C571AC" w:rsidRDefault="009E5AC3" w:rsidP="009E5AC3">
      <w:pPr>
        <w:pStyle w:val="RegSingleTxtG"/>
        <w:numPr>
          <w:ilvl w:val="0"/>
          <w:numId w:val="0"/>
        </w:numPr>
        <w:tabs>
          <w:tab w:val="left" w:pos="568"/>
        </w:tabs>
        <w:ind w:left="1134"/>
      </w:pPr>
      <w:r w:rsidRPr="00C571AC">
        <w:t>12.</w:t>
      </w:r>
      <w:r w:rsidRPr="00C571AC">
        <w:tab/>
      </w:r>
      <w:r w:rsidR="00C26921" w:rsidRPr="00FD7892">
        <w:rPr>
          <w:i/>
          <w:iCs/>
        </w:rPr>
        <w:tab/>
      </w:r>
      <w:r w:rsidR="00C26921" w:rsidRPr="00C571AC">
        <w:rPr>
          <w:i/>
        </w:rPr>
        <w:t xml:space="preserve">Invites </w:t>
      </w:r>
      <w:r w:rsidR="00C26921" w:rsidRPr="00C571AC">
        <w:t xml:space="preserve">the Technology Executive Committee to </w:t>
      </w:r>
      <w:r w:rsidR="00C26921" w:rsidRPr="00C571AC" w:rsidDel="008E209A">
        <w:t xml:space="preserve">further </w:t>
      </w:r>
      <w:r w:rsidR="00C26921" w:rsidRPr="00C571AC">
        <w:t xml:space="preserve">increase its activities on outreach and stakeholder engagement to disseminate its policy </w:t>
      </w:r>
      <w:r w:rsidR="00C26921" w:rsidRPr="00C26921">
        <w:t>and</w:t>
      </w:r>
      <w:r w:rsidR="00C26921" w:rsidRPr="00C571AC">
        <w:t xml:space="preserve"> publications, especially to target audiences; </w:t>
      </w:r>
    </w:p>
    <w:p w14:paraId="7C3B6FCF" w14:textId="4D3239F6" w:rsidR="00C26921" w:rsidRPr="00FD7892" w:rsidRDefault="009E5AC3" w:rsidP="009E5AC3">
      <w:pPr>
        <w:pStyle w:val="RegSingleTxtG"/>
        <w:numPr>
          <w:ilvl w:val="0"/>
          <w:numId w:val="0"/>
        </w:numPr>
        <w:tabs>
          <w:tab w:val="left" w:pos="568"/>
        </w:tabs>
        <w:ind w:left="1134"/>
      </w:pPr>
      <w:r w:rsidRPr="00FD7892">
        <w:t>13.</w:t>
      </w:r>
      <w:r w:rsidRPr="00FD7892">
        <w:tab/>
      </w:r>
      <w:r w:rsidR="00C26921" w:rsidRPr="00FD7892">
        <w:rPr>
          <w:i/>
          <w:iCs/>
        </w:rPr>
        <w:t>Notes</w:t>
      </w:r>
      <w:r w:rsidR="00C26921" w:rsidRPr="00FD7892">
        <w:t xml:space="preserve"> </w:t>
      </w:r>
      <w:r w:rsidR="00C26921" w:rsidRPr="006F0F41">
        <w:rPr>
          <w:i/>
        </w:rPr>
        <w:t>with concern</w:t>
      </w:r>
      <w:r w:rsidR="00C26921" w:rsidRPr="00FD7892">
        <w:t xml:space="preserve"> that the Technology Executive Committee membership composition prevents certain Parties from fully participating in its work;</w:t>
      </w:r>
    </w:p>
    <w:p w14:paraId="0F3D4D8A" w14:textId="75620A4E" w:rsidR="00C26921" w:rsidRPr="00FD7892" w:rsidRDefault="009E5AC3" w:rsidP="009E5AC3">
      <w:pPr>
        <w:pStyle w:val="RegHChG"/>
        <w:numPr>
          <w:ilvl w:val="0"/>
          <w:numId w:val="0"/>
        </w:numPr>
        <w:tabs>
          <w:tab w:val="left" w:pos="1135"/>
        </w:tabs>
        <w:ind w:left="1135" w:hanging="454"/>
      </w:pPr>
      <w:r w:rsidRPr="00FD7892">
        <w:t>II.</w:t>
      </w:r>
      <w:r w:rsidRPr="00FD7892">
        <w:tab/>
      </w:r>
      <w:r w:rsidR="00C26921" w:rsidRPr="00B51064">
        <w:t xml:space="preserve">Activities and performance of the Climate Technology Centre and Network in </w:t>
      </w:r>
      <w:r w:rsidR="00C26921">
        <w:t>2020</w:t>
      </w:r>
      <w:r w:rsidR="006904E0">
        <w:t>–</w:t>
      </w:r>
      <w:r w:rsidR="00C26921">
        <w:t>2021</w:t>
      </w:r>
    </w:p>
    <w:p w14:paraId="3DD46BFE" w14:textId="6AF5DE67" w:rsidR="00C26921" w:rsidRPr="00FD7892" w:rsidRDefault="009E5AC3" w:rsidP="009E5AC3">
      <w:pPr>
        <w:pStyle w:val="RegSingleTxtG"/>
        <w:numPr>
          <w:ilvl w:val="0"/>
          <w:numId w:val="0"/>
        </w:numPr>
        <w:tabs>
          <w:tab w:val="left" w:pos="568"/>
        </w:tabs>
        <w:ind w:left="1134"/>
      </w:pPr>
      <w:r w:rsidRPr="00FD7892">
        <w:t>14.</w:t>
      </w:r>
      <w:r w:rsidRPr="00FD7892">
        <w:tab/>
      </w:r>
      <w:r w:rsidR="00C26921" w:rsidRPr="00FD7892">
        <w:rPr>
          <w:i/>
        </w:rPr>
        <w:t xml:space="preserve">Welcomes </w:t>
      </w:r>
      <w:r w:rsidR="00C26921" w:rsidRPr="00FD7892">
        <w:t>the initiative of the Climate Technology Centre and Network to adapt to operational challenges resulting from the continuing</w:t>
      </w:r>
      <w:r w:rsidR="00C26921">
        <w:t xml:space="preserve"> </w:t>
      </w:r>
      <w:r w:rsidR="00C26921" w:rsidRPr="00FD7892">
        <w:t>pandemic by focusing on the implementation of technical assistance requests and making use of online stakeholder engagement and capacity-building activities;</w:t>
      </w:r>
    </w:p>
    <w:p w14:paraId="193FC658" w14:textId="6482048F" w:rsidR="00C26921" w:rsidRPr="00FD7892" w:rsidRDefault="009E5AC3" w:rsidP="009E5AC3">
      <w:pPr>
        <w:pStyle w:val="RegSingleTxtG"/>
        <w:numPr>
          <w:ilvl w:val="0"/>
          <w:numId w:val="0"/>
        </w:numPr>
        <w:tabs>
          <w:tab w:val="left" w:pos="568"/>
        </w:tabs>
        <w:ind w:left="1134"/>
      </w:pPr>
      <w:r w:rsidRPr="00FD7892">
        <w:t>15.</w:t>
      </w:r>
      <w:r w:rsidRPr="00FD7892">
        <w:tab/>
      </w:r>
      <w:r w:rsidR="00C26921" w:rsidRPr="00FD7892">
        <w:rPr>
          <w:i/>
        </w:rPr>
        <w:t>Takes</w:t>
      </w:r>
      <w:r w:rsidR="00C26921" w:rsidRPr="00FD7892">
        <w:t xml:space="preserve"> </w:t>
      </w:r>
      <w:r w:rsidR="00C26921" w:rsidRPr="00FD7892">
        <w:rPr>
          <w:i/>
        </w:rPr>
        <w:t>note</w:t>
      </w:r>
      <w:r w:rsidR="00C26921" w:rsidRPr="00FD7892">
        <w:t xml:space="preserve"> of the activities, performance and key messages of the Climate Technology Centre and Network in 2020</w:t>
      </w:r>
      <w:r w:rsidR="0086167C">
        <w:t>–</w:t>
      </w:r>
      <w:r w:rsidR="00C26921" w:rsidRPr="00FD7892">
        <w:t>2021, including challenges faced and lessons learned;</w:t>
      </w:r>
    </w:p>
    <w:p w14:paraId="3EA8D3FE" w14:textId="15471F21" w:rsidR="00C26921" w:rsidRPr="00FD7892" w:rsidRDefault="009E5AC3" w:rsidP="009E5AC3">
      <w:pPr>
        <w:pStyle w:val="RegSingleTxtG"/>
        <w:numPr>
          <w:ilvl w:val="0"/>
          <w:numId w:val="0"/>
        </w:numPr>
        <w:tabs>
          <w:tab w:val="left" w:pos="568"/>
        </w:tabs>
        <w:ind w:left="1134"/>
      </w:pPr>
      <w:r w:rsidRPr="00FD7892">
        <w:t>16.</w:t>
      </w:r>
      <w:r w:rsidRPr="00FD7892">
        <w:tab/>
      </w:r>
      <w:r w:rsidR="00C26921" w:rsidRPr="00FD7892">
        <w:tab/>
      </w:r>
      <w:r w:rsidR="00C26921" w:rsidRPr="00C571AC">
        <w:rPr>
          <w:i/>
        </w:rPr>
        <w:t>Welcomes</w:t>
      </w:r>
      <w:r w:rsidR="00C26921" w:rsidRPr="00C571AC">
        <w:t xml:space="preserve"> the efforts of </w:t>
      </w:r>
      <w:r w:rsidR="00C26921" w:rsidRPr="00FD7892">
        <w:t xml:space="preserve">the Climate Technology Centre and Network </w:t>
      </w:r>
      <w:r w:rsidR="00C26921" w:rsidRPr="00C571AC">
        <w:t>to be more inclusive by implementing its gender action plan and enhancing engagement with the constituencies of women and gender, youth and indigenous people</w:t>
      </w:r>
      <w:r w:rsidR="0086167C" w:rsidRPr="00C571AC">
        <w:t>s</w:t>
      </w:r>
      <w:r w:rsidR="00C26921" w:rsidRPr="00C571AC">
        <w:t xml:space="preserve"> organizations</w:t>
      </w:r>
      <w:r w:rsidR="00C26921" w:rsidRPr="00FD7892">
        <w:t>;</w:t>
      </w:r>
    </w:p>
    <w:p w14:paraId="6DD98FB0" w14:textId="5308D7AE" w:rsidR="00C26921" w:rsidRPr="00FD7892" w:rsidRDefault="009E5AC3" w:rsidP="009E5AC3">
      <w:pPr>
        <w:pStyle w:val="RegSingleTxtG"/>
        <w:numPr>
          <w:ilvl w:val="0"/>
          <w:numId w:val="0"/>
        </w:numPr>
        <w:tabs>
          <w:tab w:val="left" w:pos="568"/>
        </w:tabs>
        <w:ind w:left="1134"/>
      </w:pPr>
      <w:r w:rsidRPr="00FD7892">
        <w:t>17.</w:t>
      </w:r>
      <w:r w:rsidRPr="00FD7892">
        <w:tab/>
      </w:r>
      <w:r w:rsidR="00C26921" w:rsidRPr="00FD7892">
        <w:rPr>
          <w:i/>
        </w:rPr>
        <w:t xml:space="preserve">Notes </w:t>
      </w:r>
      <w:r w:rsidR="00C26921" w:rsidRPr="00131366">
        <w:rPr>
          <w:i/>
        </w:rPr>
        <w:t>with appreciation</w:t>
      </w:r>
      <w:r w:rsidR="00C26921" w:rsidRPr="00FD7892">
        <w:rPr>
          <w:i/>
        </w:rPr>
        <w:t xml:space="preserve"> </w:t>
      </w:r>
      <w:r w:rsidR="00C26921" w:rsidRPr="00FD7892">
        <w:t xml:space="preserve">that the Climate Technology Centre and Network is now the largest provider of readiness support for technology under the Green Climate Fund Readiness and Preparatory Support Programme and </w:t>
      </w:r>
      <w:r w:rsidR="00C26921" w:rsidRPr="00FD7892">
        <w:rPr>
          <w:i/>
        </w:rPr>
        <w:t>encourages</w:t>
      </w:r>
      <w:r w:rsidR="00C26921" w:rsidRPr="00FD7892">
        <w:t xml:space="preserve"> the Climate Technology Centre and Network to continue its collaboration</w:t>
      </w:r>
      <w:r w:rsidR="00C26921">
        <w:t xml:space="preserve"> </w:t>
      </w:r>
      <w:r w:rsidR="00C26921" w:rsidRPr="00FD7892">
        <w:t xml:space="preserve">through </w:t>
      </w:r>
      <w:r w:rsidR="00C26921">
        <w:t>the R</w:t>
      </w:r>
      <w:r w:rsidR="00C26921" w:rsidRPr="00FD7892">
        <w:t xml:space="preserve">eadiness </w:t>
      </w:r>
      <w:r w:rsidR="00C26921">
        <w:t>and Preparatory Support P</w:t>
      </w:r>
      <w:r w:rsidR="00C26921" w:rsidRPr="00FD7892">
        <w:t xml:space="preserve">rogramme and to extend its </w:t>
      </w:r>
      <w:r w:rsidR="00C26921">
        <w:t xml:space="preserve">engagement </w:t>
      </w:r>
      <w:r w:rsidR="00C26921" w:rsidRPr="00FD7892">
        <w:t>through the Project Preparation Facility</w:t>
      </w:r>
      <w:r w:rsidR="00C26921">
        <w:t xml:space="preserve"> with the Green Climate Fund</w:t>
      </w:r>
      <w:r w:rsidR="00C26921" w:rsidRPr="00FD7892">
        <w:t>;</w:t>
      </w:r>
    </w:p>
    <w:p w14:paraId="4E6A39AA" w14:textId="6E411D2A" w:rsidR="00C26921" w:rsidRPr="00FD7892" w:rsidRDefault="009E5AC3" w:rsidP="009E5AC3">
      <w:pPr>
        <w:pStyle w:val="RegSingleTxtG"/>
        <w:numPr>
          <w:ilvl w:val="0"/>
          <w:numId w:val="0"/>
        </w:numPr>
        <w:tabs>
          <w:tab w:val="left" w:pos="568"/>
        </w:tabs>
        <w:ind w:left="1134"/>
      </w:pPr>
      <w:r w:rsidRPr="00FD7892">
        <w:t>18.</w:t>
      </w:r>
      <w:r w:rsidRPr="00FD7892">
        <w:tab/>
      </w:r>
      <w:r w:rsidR="00C26921" w:rsidRPr="00FD7892">
        <w:rPr>
          <w:i/>
        </w:rPr>
        <w:t>Welcomes with appreciation</w:t>
      </w:r>
      <w:r w:rsidR="00C26921" w:rsidRPr="00FD7892">
        <w:rPr>
          <w:iCs/>
        </w:rPr>
        <w:t xml:space="preserve"> </w:t>
      </w:r>
      <w:r w:rsidR="00C26921" w:rsidRPr="00FD7892">
        <w:t>the establishment of the Climate Technology Centre and Network partnership and liaison office in Songdo, Republic of Korea, which will focus its work on</w:t>
      </w:r>
      <w:r w:rsidR="00C26921">
        <w:t>, inter alia,</w:t>
      </w:r>
      <w:r w:rsidR="00C26921" w:rsidRPr="00FD7892">
        <w:t xml:space="preserve"> collaborating with the Green Climate Fund and research and development, and </w:t>
      </w:r>
      <w:r w:rsidR="00C26921" w:rsidRPr="00FD7892">
        <w:rPr>
          <w:i/>
          <w:iCs/>
        </w:rPr>
        <w:t>invites</w:t>
      </w:r>
      <w:r w:rsidR="00C26921" w:rsidRPr="00FD7892">
        <w:t xml:space="preserve"> the Climate Technology Centre and Network to report on experience and lessons</w:t>
      </w:r>
      <w:r w:rsidR="00C26921">
        <w:t xml:space="preserve"> learned therefrom</w:t>
      </w:r>
      <w:r w:rsidR="00C26921" w:rsidRPr="00FD7892">
        <w:t>;</w:t>
      </w:r>
    </w:p>
    <w:p w14:paraId="5C3309CB" w14:textId="08DF014A" w:rsidR="00C26921" w:rsidRPr="00C571AC" w:rsidRDefault="009E5AC3" w:rsidP="009E5AC3">
      <w:pPr>
        <w:pStyle w:val="RegSingleTxtG"/>
        <w:numPr>
          <w:ilvl w:val="0"/>
          <w:numId w:val="0"/>
        </w:numPr>
        <w:tabs>
          <w:tab w:val="left" w:pos="568"/>
        </w:tabs>
        <w:ind w:left="1134"/>
      </w:pPr>
      <w:r w:rsidRPr="00C571AC">
        <w:lastRenderedPageBreak/>
        <w:t>19.</w:t>
      </w:r>
      <w:r w:rsidRPr="00C571AC">
        <w:tab/>
      </w:r>
      <w:r w:rsidR="00C26921">
        <w:rPr>
          <w:i/>
        </w:rPr>
        <w:t>W</w:t>
      </w:r>
      <w:r w:rsidR="00C26921" w:rsidRPr="00C571AC">
        <w:rPr>
          <w:i/>
        </w:rPr>
        <w:t>elcomes</w:t>
      </w:r>
      <w:r w:rsidR="00C26921" w:rsidRPr="00C571AC">
        <w:t xml:space="preserve"> </w:t>
      </w:r>
      <w:r w:rsidR="00C26921" w:rsidRPr="00C571AC">
        <w:rPr>
          <w:i/>
        </w:rPr>
        <w:t>with appreciation</w:t>
      </w:r>
      <w:r w:rsidR="00C26921" w:rsidRPr="00C571AC">
        <w:t xml:space="preserve"> the continuing collaboration between </w:t>
      </w:r>
      <w:r w:rsidR="00C26921" w:rsidRPr="00C26921">
        <w:t>the</w:t>
      </w:r>
      <w:r w:rsidR="00C26921" w:rsidRPr="00C571AC">
        <w:t xml:space="preserve"> </w:t>
      </w:r>
      <w:r w:rsidR="00C26921" w:rsidRPr="00FD7892">
        <w:t>Climate Technology Centre and Network</w:t>
      </w:r>
      <w:r w:rsidR="00C26921" w:rsidRPr="00C571AC">
        <w:t xml:space="preserve"> and the Adaptation Fund, including through the Adaptation Fund Climate Innovation Accelerator, and </w:t>
      </w:r>
      <w:r w:rsidR="00C26921" w:rsidRPr="00C571AC">
        <w:rPr>
          <w:i/>
        </w:rPr>
        <w:t>encourages</w:t>
      </w:r>
      <w:r w:rsidR="00C26921" w:rsidRPr="00C571AC">
        <w:t xml:space="preserve"> the </w:t>
      </w:r>
      <w:r w:rsidR="00C26921" w:rsidRPr="00FD7892">
        <w:t>Climate Technology Centre and Network to</w:t>
      </w:r>
      <w:r w:rsidR="00C26921" w:rsidRPr="00C571AC">
        <w:t xml:space="preserve"> further strengthen its collaboration with the Adaptation Fund in this regard;</w:t>
      </w:r>
    </w:p>
    <w:p w14:paraId="2D0BA530" w14:textId="71F2C0E5" w:rsidR="00C26921" w:rsidRPr="00FD7892" w:rsidRDefault="009E5AC3" w:rsidP="009E5AC3">
      <w:pPr>
        <w:pStyle w:val="RegSingleTxtG"/>
        <w:numPr>
          <w:ilvl w:val="0"/>
          <w:numId w:val="0"/>
        </w:numPr>
        <w:tabs>
          <w:tab w:val="left" w:pos="568"/>
        </w:tabs>
        <w:ind w:left="1134"/>
      </w:pPr>
      <w:r w:rsidRPr="00FD7892">
        <w:t>20.</w:t>
      </w:r>
      <w:r w:rsidRPr="00FD7892">
        <w:tab/>
      </w:r>
      <w:r w:rsidR="00C26921" w:rsidRPr="00FD7892">
        <w:rPr>
          <w:i/>
          <w:iCs/>
        </w:rPr>
        <w:t>Welcomes</w:t>
      </w:r>
      <w:r w:rsidR="00C26921" w:rsidRPr="00FD7892">
        <w:t xml:space="preserve"> the action of the Climate Technology Centre and Network to engage with the private sector in develop</w:t>
      </w:r>
      <w:r w:rsidR="00C26921">
        <w:t>ing</w:t>
      </w:r>
      <w:r w:rsidR="00C26921" w:rsidRPr="00FD7892">
        <w:t xml:space="preserve"> and implement</w:t>
      </w:r>
      <w:r w:rsidR="00C26921">
        <w:t>ing</w:t>
      </w:r>
      <w:r w:rsidR="00C26921" w:rsidRPr="00FD7892">
        <w:t xml:space="preserve"> </w:t>
      </w:r>
      <w:r w:rsidR="00C26921">
        <w:t xml:space="preserve">its </w:t>
      </w:r>
      <w:r w:rsidR="00C26921" w:rsidRPr="00FD7892">
        <w:t xml:space="preserve">programme of work, </w:t>
      </w:r>
      <w:r w:rsidR="00C26921" w:rsidRPr="00FD7892" w:rsidDel="001D02DC">
        <w:t xml:space="preserve">including </w:t>
      </w:r>
      <w:r w:rsidR="00C26921">
        <w:t xml:space="preserve">the </w:t>
      </w:r>
      <w:r w:rsidR="00C26921" w:rsidRPr="00FD7892">
        <w:t>deliver</w:t>
      </w:r>
      <w:r w:rsidR="00C26921">
        <w:t>y of</w:t>
      </w:r>
      <w:r w:rsidR="00C26921" w:rsidRPr="00FD7892">
        <w:t xml:space="preserve"> technical assistance and capacity development through small and medium-sized enterprises</w:t>
      </w:r>
      <w:r w:rsidR="00C26921">
        <w:t>,</w:t>
      </w:r>
      <w:r w:rsidR="00C26921" w:rsidRPr="00FD7892">
        <w:t xml:space="preserve"> and </w:t>
      </w:r>
      <w:r w:rsidR="00C26921" w:rsidRPr="00FD7892" w:rsidDel="00981B81">
        <w:t xml:space="preserve">its </w:t>
      </w:r>
      <w:r w:rsidR="00C26921" w:rsidRPr="00FD7892">
        <w:t>efforts to enhance engagement with the private sector and</w:t>
      </w:r>
      <w:r w:rsidR="00C26921" w:rsidRPr="00FD7892" w:rsidDel="00557911">
        <w:t xml:space="preserve"> </w:t>
      </w:r>
      <w:r w:rsidR="00C26921">
        <w:t>N</w:t>
      </w:r>
      <w:r w:rsidR="00C26921" w:rsidRPr="00FD7892">
        <w:t>etwork</w:t>
      </w:r>
      <w:r w:rsidR="00C26921">
        <w:t xml:space="preserve"> </w:t>
      </w:r>
      <w:r w:rsidR="00C26921" w:rsidRPr="00FD7892">
        <w:t>members;</w:t>
      </w:r>
    </w:p>
    <w:p w14:paraId="32CCE041" w14:textId="044F5168" w:rsidR="00C26921" w:rsidRPr="00FD7892" w:rsidRDefault="009E5AC3" w:rsidP="009E5AC3">
      <w:pPr>
        <w:pStyle w:val="RegSingleTxtG"/>
        <w:numPr>
          <w:ilvl w:val="0"/>
          <w:numId w:val="0"/>
        </w:numPr>
        <w:tabs>
          <w:tab w:val="left" w:pos="568"/>
        </w:tabs>
        <w:ind w:left="1134"/>
      </w:pPr>
      <w:r w:rsidRPr="00FD7892">
        <w:t>21.</w:t>
      </w:r>
      <w:r w:rsidRPr="00FD7892">
        <w:tab/>
      </w:r>
      <w:r w:rsidR="00C26921" w:rsidRPr="00FD7892">
        <w:rPr>
          <w:i/>
          <w:iCs/>
        </w:rPr>
        <w:t>Invites</w:t>
      </w:r>
      <w:r w:rsidR="00C26921" w:rsidRPr="00FD7892">
        <w:t xml:space="preserve"> the Climate Technology Centre and Network to continue its efforts to support developing countries in preparing and updating technology needs assessments and technology action plans, as well as their implementation</w:t>
      </w:r>
      <w:r w:rsidR="00C26921">
        <w:t>,</w:t>
      </w:r>
      <w:r w:rsidR="00C26921" w:rsidRPr="00FD7892">
        <w:t xml:space="preserve"> upon request; </w:t>
      </w:r>
    </w:p>
    <w:p w14:paraId="78C3F1D4" w14:textId="5D82F71F" w:rsidR="00C26921" w:rsidRPr="00FD7892" w:rsidRDefault="009E5AC3" w:rsidP="009E5AC3">
      <w:pPr>
        <w:pStyle w:val="RegSingleTxtG"/>
        <w:numPr>
          <w:ilvl w:val="0"/>
          <w:numId w:val="0"/>
        </w:numPr>
        <w:tabs>
          <w:tab w:val="left" w:pos="568"/>
        </w:tabs>
        <w:ind w:left="1134"/>
      </w:pPr>
      <w:r w:rsidRPr="00FD7892">
        <w:t>22.</w:t>
      </w:r>
      <w:r w:rsidRPr="00FD7892">
        <w:tab/>
      </w:r>
      <w:r w:rsidR="00C26921" w:rsidRPr="00FD7892">
        <w:rPr>
          <w:i/>
        </w:rPr>
        <w:t>Also invites</w:t>
      </w:r>
      <w:r w:rsidR="00C26921" w:rsidRPr="00FD7892">
        <w:t xml:space="preserve"> the Climate Technology Centre and Network to continue providing support for enhancing the capacity of national designated entities in developing countries to enable them to fulfil their roles.</w:t>
      </w:r>
    </w:p>
    <w:p w14:paraId="4F204328" w14:textId="4B8D24B4" w:rsidR="00632864" w:rsidRDefault="00632864" w:rsidP="00632864">
      <w:pPr>
        <w:spacing w:before="240"/>
        <w:ind w:left="1134" w:right="1134"/>
        <w:jc w:val="right"/>
        <w:rPr>
          <w:i/>
        </w:rPr>
        <w:sectPr w:rsidR="00632864" w:rsidSect="00265564">
          <w:headerReference w:type="even" r:id="rId54"/>
          <w:headerReference w:type="default" r:id="rId55"/>
          <w:footerReference w:type="even" r:id="rId56"/>
          <w:footerReference w:type="default" r:id="rId57"/>
          <w:footnotePr>
            <w:numRestart w:val="eachSect"/>
          </w:footnotePr>
          <w:pgSz w:w="11906" w:h="16838" w:code="9"/>
          <w:pgMar w:top="1417" w:right="1134" w:bottom="1134" w:left="1134" w:header="850" w:footer="567" w:gutter="0"/>
          <w:cols w:space="708"/>
          <w:docGrid w:linePitch="360"/>
        </w:sectPr>
      </w:pPr>
      <w:r>
        <w:rPr>
          <w:i/>
        </w:rPr>
        <w:t>1</w:t>
      </w:r>
      <w:r w:rsidR="003B0560">
        <w:rPr>
          <w:i/>
        </w:rPr>
        <w:t>1</w:t>
      </w:r>
      <w:r w:rsidRPr="00382975">
        <w:rPr>
          <w:i/>
          <w:vertAlign w:val="superscript"/>
        </w:rPr>
        <w:t>th</w:t>
      </w:r>
      <w:r>
        <w:rPr>
          <w:i/>
        </w:rPr>
        <w:t xml:space="preserve"> </w:t>
      </w:r>
      <w:r w:rsidRPr="006C7D6D">
        <w:rPr>
          <w:i/>
        </w:rPr>
        <w:t>plenary meeting</w:t>
      </w:r>
      <w:r w:rsidRPr="006C7D6D">
        <w:rPr>
          <w:i/>
        </w:rPr>
        <w:br/>
      </w:r>
      <w:r>
        <w:rPr>
          <w:i/>
        </w:rPr>
        <w:t>1</w:t>
      </w:r>
      <w:r w:rsidR="003B0560">
        <w:rPr>
          <w:i/>
        </w:rPr>
        <w:t>2</w:t>
      </w:r>
      <w:r w:rsidRPr="006C7D6D">
        <w:rPr>
          <w:i/>
        </w:rPr>
        <w:t xml:space="preserve"> November 2021</w:t>
      </w:r>
    </w:p>
    <w:p w14:paraId="327AE3A1" w14:textId="7C92E900" w:rsidR="007C4737" w:rsidRDefault="007C4737" w:rsidP="009E5AC3">
      <w:pPr>
        <w:pStyle w:val="RegHChG"/>
        <w:numPr>
          <w:ilvl w:val="0"/>
          <w:numId w:val="0"/>
        </w:numPr>
        <w:spacing w:before="120"/>
        <w:ind w:left="1134" w:hanging="454"/>
      </w:pPr>
      <w:bookmarkStart w:id="23" w:name="Decision16"/>
      <w:r>
        <w:lastRenderedPageBreak/>
        <w:t>Decision 16/CMA.3</w:t>
      </w:r>
    </w:p>
    <w:bookmarkEnd w:id="23"/>
    <w:p w14:paraId="2F7B57DA" w14:textId="63E78C9D" w:rsidR="007C4737" w:rsidRPr="00820826" w:rsidRDefault="00E14F66" w:rsidP="009E5AC3">
      <w:pPr>
        <w:pStyle w:val="RegHChG"/>
        <w:numPr>
          <w:ilvl w:val="0"/>
          <w:numId w:val="0"/>
        </w:numPr>
        <w:ind w:left="1135" w:hanging="454"/>
      </w:pPr>
      <w:r>
        <w:t>Alignment between processes pertaining to the review of the Climate Technology Centre and Network and the periodic assessment referred to in paragraph 69 of decision 1/CP.21</w:t>
      </w:r>
    </w:p>
    <w:p w14:paraId="76289DD6" w14:textId="77777777" w:rsidR="005E53C5" w:rsidRPr="00C571AC" w:rsidRDefault="005E53C5" w:rsidP="005E53C5">
      <w:pPr>
        <w:pStyle w:val="SingleTxtG"/>
        <w:ind w:firstLine="567"/>
        <w:rPr>
          <w:i/>
        </w:rPr>
      </w:pPr>
      <w:r w:rsidRPr="00C571AC">
        <w:rPr>
          <w:i/>
        </w:rPr>
        <w:t>The Conference of the Parties serving as the meeting of the Parties to the Paris Agreement</w:t>
      </w:r>
      <w:r w:rsidRPr="00C571AC">
        <w:t>,</w:t>
      </w:r>
    </w:p>
    <w:p w14:paraId="0F3C043F" w14:textId="77777777" w:rsidR="005E53C5" w:rsidRPr="00C571AC" w:rsidRDefault="005E53C5" w:rsidP="005E53C5">
      <w:pPr>
        <w:pStyle w:val="Default"/>
        <w:spacing w:after="120" w:line="276" w:lineRule="auto"/>
        <w:ind w:left="1134" w:right="1134" w:firstLine="567"/>
        <w:jc w:val="both"/>
        <w:rPr>
          <w:i/>
          <w:sz w:val="20"/>
          <w:szCs w:val="20"/>
          <w:lang w:val="en-GB"/>
        </w:rPr>
      </w:pPr>
      <w:r w:rsidRPr="00C571AC">
        <w:rPr>
          <w:i/>
          <w:sz w:val="20"/>
          <w:szCs w:val="20"/>
          <w:lang w:val="en-GB"/>
        </w:rPr>
        <w:t xml:space="preserve">Recalling </w:t>
      </w:r>
      <w:r w:rsidRPr="00C571AC">
        <w:rPr>
          <w:sz w:val="20"/>
          <w:szCs w:val="20"/>
          <w:lang w:val="en-GB"/>
        </w:rPr>
        <w:t xml:space="preserve">decisions 2/CP.17, 14/CP.18, 1/CP.21, 15/CMA.1 and 16/CMA.1, </w:t>
      </w:r>
    </w:p>
    <w:p w14:paraId="0C7B8EC6" w14:textId="53577727" w:rsidR="005E53C5" w:rsidRPr="00565C8A" w:rsidRDefault="009E5AC3" w:rsidP="009E5AC3">
      <w:pPr>
        <w:pStyle w:val="RegSingleTxtG"/>
        <w:numPr>
          <w:ilvl w:val="0"/>
          <w:numId w:val="0"/>
        </w:numPr>
        <w:ind w:left="1134"/>
      </w:pPr>
      <w:r w:rsidRPr="00565C8A">
        <w:t>1.</w:t>
      </w:r>
      <w:r w:rsidRPr="00565C8A">
        <w:tab/>
      </w:r>
      <w:r w:rsidR="005E53C5" w:rsidRPr="00F2252F">
        <w:rPr>
          <w:i/>
        </w:rPr>
        <w:t>Welcomes with appreciation</w:t>
      </w:r>
      <w:r w:rsidR="005E53C5" w:rsidRPr="00565C8A">
        <w:t xml:space="preserve"> the constructive engagement of Parties in considering matters relating to the alignment between processes pertaining to the review of the Climate Technology Centre and Network</w:t>
      </w:r>
      <w:r w:rsidR="005E53C5">
        <w:rPr>
          <w:rStyle w:val="FootnoteReference"/>
        </w:rPr>
        <w:footnoteReference w:id="42"/>
      </w:r>
      <w:r w:rsidR="005E53C5" w:rsidRPr="00565C8A">
        <w:t xml:space="preserve"> and the periodic assessment of the effectiveness and adequacy of the support provided to the Technology Mechanism in supporting the implementation of the Paris Agreement on matters relating to technology development and transfer (hereinafter referred to as the periodic assessment of the Technology Mechanism) under the S</w:t>
      </w:r>
      <w:r w:rsidR="005E53C5">
        <w:t xml:space="preserve">ubsidiary </w:t>
      </w:r>
      <w:r w:rsidR="005E53C5" w:rsidRPr="00565C8A">
        <w:t>B</w:t>
      </w:r>
      <w:r w:rsidR="005E53C5">
        <w:t xml:space="preserve">ody for </w:t>
      </w:r>
      <w:r w:rsidR="005E53C5" w:rsidRPr="00565C8A">
        <w:t>I</w:t>
      </w:r>
      <w:r w:rsidR="005E53C5">
        <w:t>mplementation,</w:t>
      </w:r>
      <w:r w:rsidR="005E53C5" w:rsidRPr="00565C8A">
        <w:t xml:space="preserve"> in accordance with decision 16/CMA.1, paragraph 6; </w:t>
      </w:r>
    </w:p>
    <w:p w14:paraId="7B210A02" w14:textId="00804158" w:rsidR="005E53C5" w:rsidRPr="001E0207" w:rsidRDefault="009E5AC3" w:rsidP="009E5AC3">
      <w:pPr>
        <w:pStyle w:val="RegSingleTxtG"/>
        <w:numPr>
          <w:ilvl w:val="0"/>
          <w:numId w:val="0"/>
        </w:numPr>
        <w:ind w:left="1134"/>
      </w:pPr>
      <w:r w:rsidRPr="001E0207">
        <w:t>2.</w:t>
      </w:r>
      <w:r w:rsidRPr="001E0207">
        <w:tab/>
      </w:r>
      <w:r w:rsidR="005E53C5">
        <w:rPr>
          <w:i/>
        </w:rPr>
        <w:t>Notes</w:t>
      </w:r>
      <w:r w:rsidR="005E53C5" w:rsidRPr="001E0207">
        <w:t xml:space="preserve"> the information note prepared by the secretariat</w:t>
      </w:r>
      <w:r w:rsidR="005E53C5">
        <w:t xml:space="preserve"> </w:t>
      </w:r>
      <w:r w:rsidR="005E53C5" w:rsidRPr="001E0207">
        <w:t xml:space="preserve">on possible options, and their implications, for aligning processes pertaining to the independent review of the </w:t>
      </w:r>
      <w:r w:rsidR="005E53C5">
        <w:t>Climate Technology Centre and Network a</w:t>
      </w:r>
      <w:r w:rsidR="005E53C5" w:rsidRPr="001E0207">
        <w:t>nd the periodic assessment of the Technology Mechanism</w:t>
      </w:r>
      <w:r w:rsidR="005E53C5">
        <w:t>;</w:t>
      </w:r>
      <w:r w:rsidR="005E53C5">
        <w:rPr>
          <w:rStyle w:val="FootnoteReference"/>
        </w:rPr>
        <w:footnoteReference w:id="43"/>
      </w:r>
    </w:p>
    <w:p w14:paraId="3D89E4E4" w14:textId="1FD66F80" w:rsidR="005E53C5" w:rsidRPr="00565C8A" w:rsidRDefault="009E5AC3" w:rsidP="009E5AC3">
      <w:pPr>
        <w:pStyle w:val="RegSingleTxtG"/>
        <w:numPr>
          <w:ilvl w:val="0"/>
          <w:numId w:val="0"/>
        </w:numPr>
        <w:ind w:left="1134"/>
      </w:pPr>
      <w:r w:rsidRPr="00565C8A">
        <w:t>3.</w:t>
      </w:r>
      <w:r w:rsidRPr="00565C8A">
        <w:tab/>
      </w:r>
      <w:r w:rsidR="005E53C5" w:rsidRPr="00565C8A">
        <w:rPr>
          <w:i/>
        </w:rPr>
        <w:t>Acknowledges</w:t>
      </w:r>
      <w:r w:rsidR="005E53C5" w:rsidRPr="00565C8A">
        <w:t xml:space="preserve"> the importance of the effectiveness, efficiency and complementarity of work on aligning processes pertaining to the independent review of the Climate Technology Centre and Network and the periodic assessment of the Technology Mechanism;</w:t>
      </w:r>
    </w:p>
    <w:p w14:paraId="6E1EC389" w14:textId="3EAA2190" w:rsidR="005E53C5" w:rsidRPr="00565C8A" w:rsidRDefault="009E5AC3" w:rsidP="009E5AC3">
      <w:pPr>
        <w:pStyle w:val="RegSingleTxtG"/>
        <w:numPr>
          <w:ilvl w:val="0"/>
          <w:numId w:val="0"/>
        </w:numPr>
        <w:ind w:left="1134"/>
      </w:pPr>
      <w:r w:rsidRPr="00565C8A">
        <w:t>4.</w:t>
      </w:r>
      <w:r w:rsidRPr="00565C8A">
        <w:tab/>
      </w:r>
      <w:r w:rsidR="005E53C5" w:rsidRPr="00565C8A">
        <w:rPr>
          <w:i/>
        </w:rPr>
        <w:t>Underlines</w:t>
      </w:r>
      <w:r w:rsidR="005E53C5" w:rsidRPr="00565C8A">
        <w:t xml:space="preserve"> the importance of the outcome of each of the two processes under consideration in enhancing the effectiveness of the Technology Mechanism in meeting its objectives;</w:t>
      </w:r>
    </w:p>
    <w:p w14:paraId="2D404E44" w14:textId="516584F2" w:rsidR="005E53C5" w:rsidRPr="00565C8A" w:rsidRDefault="009E5AC3" w:rsidP="009E5AC3">
      <w:pPr>
        <w:pStyle w:val="RegSingleTxtG"/>
        <w:numPr>
          <w:ilvl w:val="0"/>
          <w:numId w:val="0"/>
        </w:numPr>
        <w:ind w:left="1134"/>
      </w:pPr>
      <w:r w:rsidRPr="00565C8A">
        <w:t>5.</w:t>
      </w:r>
      <w:r w:rsidRPr="00565C8A">
        <w:tab/>
      </w:r>
      <w:r w:rsidR="005E53C5" w:rsidRPr="00565C8A">
        <w:rPr>
          <w:i/>
        </w:rPr>
        <w:t>Acknowledges</w:t>
      </w:r>
      <w:r w:rsidR="005E53C5" w:rsidRPr="00565C8A">
        <w:t xml:space="preserve"> the need to continue the respective processes for conducting the periodic assessment of the Technology Mechanism under the </w:t>
      </w:r>
      <w:r w:rsidR="005E53C5">
        <w:t>Conference of the Parties serving as the meeting of the Parties to the Paris Agreement</w:t>
      </w:r>
      <w:r w:rsidR="005E53C5" w:rsidRPr="00565C8A">
        <w:t xml:space="preserve"> and the independent review of the C</w:t>
      </w:r>
      <w:r w:rsidR="005E53C5">
        <w:t xml:space="preserve">limate </w:t>
      </w:r>
      <w:r w:rsidR="005E53C5" w:rsidRPr="00565C8A">
        <w:t>T</w:t>
      </w:r>
      <w:r w:rsidR="005E53C5">
        <w:t xml:space="preserve">echnology </w:t>
      </w:r>
      <w:r w:rsidR="005E53C5" w:rsidRPr="00565C8A">
        <w:t>C</w:t>
      </w:r>
      <w:r w:rsidR="005E53C5">
        <w:t xml:space="preserve">entre and </w:t>
      </w:r>
      <w:r w:rsidR="005E53C5" w:rsidRPr="00565C8A">
        <w:t>N</w:t>
      </w:r>
      <w:r w:rsidR="005E53C5">
        <w:t>etwork</w:t>
      </w:r>
      <w:r w:rsidR="005E53C5" w:rsidRPr="00565C8A">
        <w:t xml:space="preserve"> under the C</w:t>
      </w:r>
      <w:r w:rsidR="005E53C5">
        <w:t xml:space="preserve">onference of the </w:t>
      </w:r>
      <w:r w:rsidR="005E53C5" w:rsidRPr="00565C8A">
        <w:t>P</w:t>
      </w:r>
      <w:r w:rsidR="005E53C5">
        <w:t>arties</w:t>
      </w:r>
      <w:r w:rsidR="005E53C5" w:rsidRPr="00565C8A">
        <w:t xml:space="preserve">; </w:t>
      </w:r>
    </w:p>
    <w:p w14:paraId="170744F9" w14:textId="26BA3A91" w:rsidR="005E53C5" w:rsidRPr="00565C8A" w:rsidRDefault="009E5AC3" w:rsidP="009E5AC3">
      <w:pPr>
        <w:pStyle w:val="RegSingleTxtG"/>
        <w:numPr>
          <w:ilvl w:val="0"/>
          <w:numId w:val="0"/>
        </w:numPr>
        <w:ind w:left="1134"/>
      </w:pPr>
      <w:r w:rsidRPr="00565C8A">
        <w:t>6.</w:t>
      </w:r>
      <w:r w:rsidRPr="00565C8A">
        <w:tab/>
      </w:r>
      <w:r w:rsidR="005E53C5" w:rsidRPr="00565C8A">
        <w:rPr>
          <w:i/>
        </w:rPr>
        <w:t>Agrees</w:t>
      </w:r>
      <w:r w:rsidR="005E53C5" w:rsidRPr="00565C8A">
        <w:t xml:space="preserve"> to align the periodicity of the periodic assessment of the Technology Mechanism and the independent review of the C</w:t>
      </w:r>
      <w:r w:rsidR="005E53C5">
        <w:t xml:space="preserve">limate </w:t>
      </w:r>
      <w:r w:rsidR="005E53C5" w:rsidRPr="00565C8A">
        <w:t>T</w:t>
      </w:r>
      <w:r w:rsidR="005E53C5">
        <w:t xml:space="preserve">echnology </w:t>
      </w:r>
      <w:r w:rsidR="005E53C5" w:rsidRPr="00565C8A">
        <w:t>C</w:t>
      </w:r>
      <w:r w:rsidR="005E53C5">
        <w:t xml:space="preserve">entre and </w:t>
      </w:r>
      <w:r w:rsidR="005E53C5" w:rsidRPr="00565C8A">
        <w:t>N</w:t>
      </w:r>
      <w:r w:rsidR="005E53C5">
        <w:t>etwork</w:t>
      </w:r>
      <w:r w:rsidR="005E53C5" w:rsidRPr="00565C8A">
        <w:t>;</w:t>
      </w:r>
    </w:p>
    <w:p w14:paraId="0CEDB5C3" w14:textId="7734269D" w:rsidR="005E53C5" w:rsidRDefault="009E5AC3" w:rsidP="009E5AC3">
      <w:pPr>
        <w:pStyle w:val="RegSingleTxtG"/>
        <w:numPr>
          <w:ilvl w:val="0"/>
          <w:numId w:val="0"/>
        </w:numPr>
        <w:ind w:left="1134"/>
      </w:pPr>
      <w:r>
        <w:t>7.</w:t>
      </w:r>
      <w:r>
        <w:tab/>
      </w:r>
      <w:r w:rsidR="005E53C5" w:rsidRPr="00565C8A">
        <w:rPr>
          <w:i/>
        </w:rPr>
        <w:t>Requests</w:t>
      </w:r>
      <w:r w:rsidR="005E53C5" w:rsidRPr="00565C8A">
        <w:t xml:space="preserve"> the Subsidiary Body for Implementation to </w:t>
      </w:r>
      <w:r w:rsidR="005E53C5">
        <w:t>initiate</w:t>
      </w:r>
      <w:r w:rsidR="005E53C5" w:rsidRPr="00565C8A">
        <w:t xml:space="preserve">, at its sixty-second session (2025), </w:t>
      </w:r>
      <w:r w:rsidR="005E53C5">
        <w:t xml:space="preserve">consideration of </w:t>
      </w:r>
      <w:r w:rsidR="005E53C5" w:rsidRPr="00565C8A">
        <w:t>matters relating to the alignment between processes pertaining to the independent review of the Climate Technology Centre and Network and the periodic assessment of the Technology Mechanism with a view to recommending a draft decision on this matter for consideration and adoption by the Conference of the Parties serving as the meeting of the Parties to the Paris Agreement at its eighth session (2026).</w:t>
      </w:r>
    </w:p>
    <w:p w14:paraId="1712E744" w14:textId="77777777" w:rsidR="009C0DA2" w:rsidRDefault="009C0DA2" w:rsidP="009C0DA2">
      <w:pPr>
        <w:spacing w:before="240"/>
        <w:ind w:left="1134" w:right="1134"/>
        <w:jc w:val="right"/>
        <w:rPr>
          <w:i/>
        </w:rPr>
        <w:sectPr w:rsidR="009C0DA2" w:rsidSect="00265564">
          <w:headerReference w:type="even" r:id="rId58"/>
          <w:headerReference w:type="default" r:id="rId59"/>
          <w:footerReference w:type="even" r:id="rId60"/>
          <w:footerReference w:type="default" r:id="rId61"/>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C60297D" w14:textId="276762EA" w:rsidR="009C0DA2" w:rsidRDefault="009C0DA2" w:rsidP="009E5AC3">
      <w:pPr>
        <w:pStyle w:val="RegHChG"/>
        <w:numPr>
          <w:ilvl w:val="0"/>
          <w:numId w:val="0"/>
        </w:numPr>
        <w:spacing w:before="120"/>
        <w:ind w:left="1134" w:hanging="454"/>
      </w:pPr>
      <w:bookmarkStart w:id="24" w:name="Decision17"/>
      <w:r>
        <w:lastRenderedPageBreak/>
        <w:t>Decision 17/CMA.3</w:t>
      </w:r>
    </w:p>
    <w:bookmarkEnd w:id="24"/>
    <w:p w14:paraId="78C0D8D5" w14:textId="6D28F1D7" w:rsidR="00D97FA6" w:rsidRDefault="00D97FA6" w:rsidP="009E5AC3">
      <w:pPr>
        <w:pStyle w:val="RegHChG"/>
        <w:numPr>
          <w:ilvl w:val="0"/>
          <w:numId w:val="0"/>
        </w:numPr>
        <w:ind w:left="1135" w:hanging="454"/>
      </w:pPr>
      <w:r>
        <w:t>First periodic assessment referred to in paragraph 69 of decision 1/CP.21</w:t>
      </w:r>
    </w:p>
    <w:p w14:paraId="2F82B5DF" w14:textId="77777777" w:rsidR="00A41559" w:rsidRPr="00C571AC" w:rsidRDefault="00A41559" w:rsidP="00A41559">
      <w:pPr>
        <w:pStyle w:val="Default"/>
        <w:spacing w:after="120" w:line="276" w:lineRule="auto"/>
        <w:ind w:left="1134" w:right="1134" w:firstLine="567"/>
        <w:jc w:val="both"/>
        <w:rPr>
          <w:i/>
          <w:sz w:val="20"/>
          <w:szCs w:val="20"/>
          <w:lang w:val="en-GB"/>
        </w:rPr>
      </w:pPr>
      <w:r w:rsidRPr="00C571AC">
        <w:rPr>
          <w:i/>
          <w:sz w:val="20"/>
          <w:szCs w:val="20"/>
          <w:lang w:val="en-GB"/>
        </w:rPr>
        <w:t>The Conference of the Parties serving as the meeting of the Parties to the Paris Agreement</w:t>
      </w:r>
      <w:r w:rsidRPr="00C571AC">
        <w:rPr>
          <w:sz w:val="20"/>
          <w:szCs w:val="20"/>
          <w:lang w:val="en-GB"/>
        </w:rPr>
        <w:t>,</w:t>
      </w:r>
    </w:p>
    <w:p w14:paraId="4487EFF9" w14:textId="77777777" w:rsidR="00A41559" w:rsidRPr="00C571AC" w:rsidRDefault="00A41559" w:rsidP="00A41559">
      <w:pPr>
        <w:pStyle w:val="Default"/>
        <w:spacing w:after="120" w:line="276" w:lineRule="auto"/>
        <w:ind w:left="1134" w:right="1134" w:firstLine="567"/>
        <w:jc w:val="both"/>
        <w:rPr>
          <w:sz w:val="20"/>
          <w:szCs w:val="20"/>
          <w:lang w:val="en-GB"/>
        </w:rPr>
      </w:pPr>
      <w:r w:rsidRPr="00C571AC">
        <w:rPr>
          <w:i/>
          <w:sz w:val="20"/>
          <w:szCs w:val="20"/>
          <w:lang w:val="en-GB"/>
        </w:rPr>
        <w:t xml:space="preserve">Recalling </w:t>
      </w:r>
      <w:r w:rsidRPr="00C571AC">
        <w:rPr>
          <w:sz w:val="20"/>
          <w:szCs w:val="20"/>
          <w:lang w:val="en-GB"/>
        </w:rPr>
        <w:t>decisions 1/CP.21, 15/CMA.1 and 16/CMA.1,</w:t>
      </w:r>
    </w:p>
    <w:p w14:paraId="2E0DF3A2" w14:textId="3EF01964" w:rsidR="00A41559" w:rsidRPr="00C571AC" w:rsidRDefault="00A41559" w:rsidP="00A41559">
      <w:pPr>
        <w:pStyle w:val="Default"/>
        <w:spacing w:after="120" w:line="276" w:lineRule="auto"/>
        <w:ind w:left="1134" w:right="1134" w:firstLine="567"/>
        <w:jc w:val="both"/>
        <w:rPr>
          <w:sz w:val="20"/>
          <w:szCs w:val="20"/>
          <w:lang w:val="en-GB"/>
        </w:rPr>
      </w:pPr>
      <w:r w:rsidRPr="00C571AC">
        <w:rPr>
          <w:i/>
          <w:sz w:val="20"/>
          <w:szCs w:val="20"/>
          <w:lang w:val="en-GB"/>
        </w:rPr>
        <w:t xml:space="preserve">Also recalling </w:t>
      </w:r>
      <w:r w:rsidRPr="00C571AC">
        <w:rPr>
          <w:sz w:val="20"/>
          <w:szCs w:val="20"/>
          <w:lang w:val="en-GB"/>
        </w:rPr>
        <w:t>that the outcomes of the first periodic assessment referred to in decision 16/CMA.1</w:t>
      </w:r>
      <w:r w:rsidR="00F626FF" w:rsidRPr="00C571AC">
        <w:rPr>
          <w:sz w:val="20"/>
          <w:szCs w:val="20"/>
          <w:lang w:val="en-GB"/>
        </w:rPr>
        <w:t>, paragraph 1,</w:t>
      </w:r>
      <w:r w:rsidRPr="00C571AC">
        <w:rPr>
          <w:sz w:val="20"/>
          <w:szCs w:val="20"/>
          <w:lang w:val="en-GB"/>
        </w:rPr>
        <w:t xml:space="preserve"> should serve as input to the global stocktake referred to in Article 14 of the Paris Agreement,</w:t>
      </w:r>
    </w:p>
    <w:p w14:paraId="68484EF6" w14:textId="6AFFED01" w:rsidR="00A41559" w:rsidRPr="00C571AC" w:rsidRDefault="009E5AC3" w:rsidP="009E5AC3">
      <w:pPr>
        <w:pStyle w:val="RegSingleTxtG"/>
        <w:numPr>
          <w:ilvl w:val="0"/>
          <w:numId w:val="0"/>
        </w:numPr>
        <w:ind w:left="1134"/>
      </w:pPr>
      <w:r w:rsidRPr="00C571AC">
        <w:t>1.</w:t>
      </w:r>
      <w:r w:rsidRPr="00C571AC">
        <w:tab/>
      </w:r>
      <w:r w:rsidR="00A41559" w:rsidRPr="00A41559">
        <w:rPr>
          <w:i/>
          <w:iCs/>
        </w:rPr>
        <w:t>Initiates</w:t>
      </w:r>
      <w:r w:rsidR="00A41559">
        <w:t xml:space="preserve"> the first periodic assessment of the effectiveness and adequacy of the support provided to the Technology Mechanism in supporting the implementation of the Paris Agreement on matters relating to technology development and transfer in accordance with the scope and modalities contained in the annex to decision 16/CMA.1 with a view to completing it at its fourth session (November 2022);</w:t>
      </w:r>
    </w:p>
    <w:p w14:paraId="390A2DA7" w14:textId="6045A60B" w:rsidR="00A41559" w:rsidRPr="00C571AC" w:rsidRDefault="009E5AC3" w:rsidP="009E5AC3">
      <w:pPr>
        <w:pStyle w:val="RegSingleTxtG"/>
        <w:numPr>
          <w:ilvl w:val="0"/>
          <w:numId w:val="0"/>
        </w:numPr>
        <w:ind w:left="1134"/>
      </w:pPr>
      <w:r w:rsidRPr="00C571AC">
        <w:t>2.</w:t>
      </w:r>
      <w:r w:rsidRPr="00C571AC">
        <w:tab/>
      </w:r>
      <w:r w:rsidR="00A41559" w:rsidRPr="2DC7B297">
        <w:rPr>
          <w:i/>
          <w:iCs/>
        </w:rPr>
        <w:t xml:space="preserve">Requests </w:t>
      </w:r>
      <w:r w:rsidR="00A41559">
        <w:t>the secretariat to prepare an interim report on the effectiveness and adequacy of the support provided to the Technology Mechanism in supporting the implementation of the Paris Agreement on matters relating to technology development and transfer for consideration by the Subsidiary Body for Implementation at its fifty-sixth session (June 2022).</w:t>
      </w:r>
    </w:p>
    <w:p w14:paraId="10D7B750" w14:textId="77777777" w:rsidR="00FD1EFF" w:rsidRDefault="00FD1EFF" w:rsidP="00FD1EFF">
      <w:pPr>
        <w:spacing w:before="240"/>
        <w:ind w:left="1134" w:right="1134"/>
        <w:jc w:val="right"/>
        <w:rPr>
          <w:i/>
        </w:rPr>
        <w:sectPr w:rsidR="00FD1EFF" w:rsidSect="00265564">
          <w:headerReference w:type="even" r:id="rId62"/>
          <w:headerReference w:type="default" r:id="rId63"/>
          <w:footerReference w:type="even" r:id="rId64"/>
          <w:footerReference w:type="default" r:id="rId65"/>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88D8263" w14:textId="40E4AB37" w:rsidR="00D677D2" w:rsidRDefault="00D677D2" w:rsidP="009E5AC3">
      <w:pPr>
        <w:pStyle w:val="RegHChG"/>
        <w:numPr>
          <w:ilvl w:val="0"/>
          <w:numId w:val="0"/>
        </w:numPr>
        <w:spacing w:before="120"/>
        <w:ind w:left="1134" w:hanging="454"/>
      </w:pPr>
      <w:bookmarkStart w:id="25" w:name="Decision18"/>
      <w:r>
        <w:lastRenderedPageBreak/>
        <w:t>Decision 18/CMA.3</w:t>
      </w:r>
    </w:p>
    <w:bookmarkEnd w:id="25"/>
    <w:p w14:paraId="57CFD426" w14:textId="16DE2ABC" w:rsidR="00D677D2" w:rsidRDefault="00E51D30" w:rsidP="009E5AC3">
      <w:pPr>
        <w:pStyle w:val="RegHChG"/>
        <w:numPr>
          <w:ilvl w:val="0"/>
          <w:numId w:val="0"/>
        </w:numPr>
        <w:ind w:left="1135" w:hanging="454"/>
      </w:pPr>
      <w:r>
        <w:t>Annual technical progress reports of the Paris Committee on Capacity-building for 2020 and 2021</w:t>
      </w:r>
    </w:p>
    <w:p w14:paraId="0EE51C31" w14:textId="77777777" w:rsidR="0046233C" w:rsidRPr="00C571AC" w:rsidRDefault="0046233C" w:rsidP="0046233C">
      <w:pPr>
        <w:pStyle w:val="SingleTxtG"/>
        <w:ind w:firstLine="567"/>
        <w:rPr>
          <w:i/>
        </w:rPr>
      </w:pPr>
      <w:r w:rsidRPr="00C571AC">
        <w:rPr>
          <w:i/>
        </w:rPr>
        <w:t>The Conference of the Parties serving as the meeting of the Parties to the Paris Agreement</w:t>
      </w:r>
      <w:r w:rsidRPr="00C571AC">
        <w:t>,</w:t>
      </w:r>
      <w:r w:rsidRPr="00C571AC">
        <w:rPr>
          <w:i/>
        </w:rPr>
        <w:t xml:space="preserve"> </w:t>
      </w:r>
    </w:p>
    <w:p w14:paraId="06773B67" w14:textId="45C3BD58" w:rsidR="0046233C" w:rsidRPr="00C571AC" w:rsidRDefault="0046233C" w:rsidP="0046233C">
      <w:pPr>
        <w:pStyle w:val="SingleTxtG"/>
      </w:pPr>
      <w:r w:rsidRPr="00C571AC">
        <w:tab/>
      </w:r>
      <w:r w:rsidRPr="00C571AC">
        <w:tab/>
      </w:r>
      <w:r w:rsidRPr="00C571AC">
        <w:rPr>
          <w:i/>
        </w:rPr>
        <w:t>Recalling</w:t>
      </w:r>
      <w:r w:rsidRPr="00C571AC">
        <w:t xml:space="preserve"> decision 3/CMA.2,</w:t>
      </w:r>
    </w:p>
    <w:p w14:paraId="272E895B" w14:textId="3A5B6BDC" w:rsidR="0046233C" w:rsidRPr="00E67801" w:rsidRDefault="009E5AC3" w:rsidP="009E5AC3">
      <w:pPr>
        <w:pStyle w:val="RegSingleTxtG"/>
        <w:numPr>
          <w:ilvl w:val="0"/>
          <w:numId w:val="0"/>
        </w:numPr>
        <w:ind w:left="1134"/>
      </w:pPr>
      <w:r w:rsidRPr="00E67801">
        <w:t>1.</w:t>
      </w:r>
      <w:r w:rsidRPr="00E67801">
        <w:tab/>
      </w:r>
      <w:r w:rsidR="0046233C" w:rsidRPr="00C51985">
        <w:rPr>
          <w:i/>
        </w:rPr>
        <w:t xml:space="preserve">Welcomes </w:t>
      </w:r>
      <w:r w:rsidR="0046233C" w:rsidRPr="00E67801">
        <w:t>the annual technical progress reports of the Paris Committee on Capacity-building for 2020 and 2021</w:t>
      </w:r>
      <w:r w:rsidR="0046233C" w:rsidRPr="00E67801">
        <w:rPr>
          <w:rStyle w:val="FootnoteReference"/>
          <w:color w:val="000000" w:themeColor="text1"/>
        </w:rPr>
        <w:footnoteReference w:id="44"/>
      </w:r>
      <w:r w:rsidR="0046233C" w:rsidRPr="00E67801">
        <w:t xml:space="preserve"> and </w:t>
      </w:r>
      <w:r w:rsidR="0046233C" w:rsidRPr="00C51985">
        <w:rPr>
          <w:i/>
        </w:rPr>
        <w:t>takes note</w:t>
      </w:r>
      <w:r w:rsidR="0046233C" w:rsidRPr="00E67801">
        <w:t xml:space="preserve"> of the recommendations contained </w:t>
      </w:r>
      <w:r w:rsidR="0046233C" w:rsidRPr="00E1561E">
        <w:t xml:space="preserve">in the </w:t>
      </w:r>
      <w:r w:rsidR="0046233C">
        <w:t xml:space="preserve">2021 </w:t>
      </w:r>
      <w:r w:rsidR="0046233C" w:rsidRPr="00E1561E">
        <w:t>report</w:t>
      </w:r>
      <w:r w:rsidR="0046233C">
        <w:t>;</w:t>
      </w:r>
      <w:r w:rsidR="0046233C" w:rsidRPr="00E67801">
        <w:rPr>
          <w:rStyle w:val="FootnoteReference"/>
          <w:color w:val="000000" w:themeColor="text1"/>
        </w:rPr>
        <w:footnoteReference w:id="45"/>
      </w:r>
    </w:p>
    <w:p w14:paraId="3F581E9B" w14:textId="1413100D" w:rsidR="0046233C" w:rsidRPr="00DC643A" w:rsidRDefault="009E5AC3" w:rsidP="009E5AC3">
      <w:pPr>
        <w:pStyle w:val="RegSingleTxtG"/>
        <w:numPr>
          <w:ilvl w:val="0"/>
          <w:numId w:val="0"/>
        </w:numPr>
        <w:ind w:left="1134"/>
        <w:rPr>
          <w:color w:val="000000" w:themeColor="text1"/>
        </w:rPr>
      </w:pPr>
      <w:r w:rsidRPr="00DC643A">
        <w:rPr>
          <w:color w:val="000000" w:themeColor="text1"/>
        </w:rPr>
        <w:t>2.</w:t>
      </w:r>
      <w:r w:rsidRPr="00DC643A">
        <w:rPr>
          <w:color w:val="000000" w:themeColor="text1"/>
        </w:rPr>
        <w:tab/>
      </w:r>
      <w:r w:rsidR="0046233C" w:rsidRPr="00DC643A">
        <w:rPr>
          <w:i/>
          <w:color w:val="000000" w:themeColor="text1"/>
        </w:rPr>
        <w:t xml:space="preserve">Invites </w:t>
      </w:r>
      <w:r w:rsidR="0046233C" w:rsidRPr="00DC643A">
        <w:rPr>
          <w:color w:val="000000" w:themeColor="text1"/>
          <w:spacing w:val="-2"/>
        </w:rPr>
        <w:t xml:space="preserve">Parties, as appropriate, the operating entities of the Financial Mechanism, the constituted bodies </w:t>
      </w:r>
      <w:r w:rsidR="0046233C" w:rsidRPr="00E14A7F">
        <w:rPr>
          <w:color w:val="000000" w:themeColor="text1"/>
          <w:spacing w:val="-2"/>
        </w:rPr>
        <w:t xml:space="preserve">under the Paris Agreement, </w:t>
      </w:r>
      <w:r w:rsidR="0046233C" w:rsidRPr="00C51985">
        <w:t>United</w:t>
      </w:r>
      <w:r w:rsidR="0046233C" w:rsidRPr="00E14A7F">
        <w:rPr>
          <w:color w:val="000000" w:themeColor="text1"/>
          <w:spacing w:val="-2"/>
        </w:rPr>
        <w:t xml:space="preserve"> Nations organizations, observers and other stakeholders</w:t>
      </w:r>
      <w:r w:rsidR="0046233C" w:rsidRPr="00E14A7F">
        <w:rPr>
          <w:color w:val="000000" w:themeColor="text1"/>
        </w:rPr>
        <w:t xml:space="preserve"> </w:t>
      </w:r>
      <w:r w:rsidR="0046233C" w:rsidRPr="00DC643A">
        <w:rPr>
          <w:color w:val="000000" w:themeColor="text1"/>
        </w:rPr>
        <w:t>to consider the recommendations referred to in paragraph 1 above and to take any necessary action, as appropriate and in accordance with their mandates;</w:t>
      </w:r>
    </w:p>
    <w:p w14:paraId="329B0324" w14:textId="079256A8" w:rsidR="0046233C" w:rsidRPr="00C571AC" w:rsidRDefault="009E5AC3" w:rsidP="009E5AC3">
      <w:pPr>
        <w:pStyle w:val="RegSingleTxtG"/>
        <w:numPr>
          <w:ilvl w:val="0"/>
          <w:numId w:val="0"/>
        </w:numPr>
        <w:ind w:left="1134"/>
      </w:pPr>
      <w:r w:rsidRPr="00C571AC">
        <w:t>3.</w:t>
      </w:r>
      <w:r w:rsidRPr="00C571AC">
        <w:tab/>
      </w:r>
      <w:r w:rsidR="0046233C" w:rsidRPr="00C571AC">
        <w:rPr>
          <w:i/>
        </w:rPr>
        <w:t>Acknowledges</w:t>
      </w:r>
      <w:r w:rsidR="0046233C" w:rsidRPr="00C571AC">
        <w:t xml:space="preserve"> progress made by the </w:t>
      </w:r>
      <w:r w:rsidR="0046233C" w:rsidRPr="00E1561E">
        <w:rPr>
          <w:color w:val="000000" w:themeColor="text1"/>
        </w:rPr>
        <w:t xml:space="preserve">Paris Committee on Capacity-building </w:t>
      </w:r>
      <w:r w:rsidR="0046233C" w:rsidRPr="00C571AC">
        <w:t xml:space="preserve">in implementing its mandate to address gaps and </w:t>
      </w:r>
      <w:r w:rsidR="0046233C" w:rsidRPr="00C51985">
        <w:t>needs</w:t>
      </w:r>
      <w:r w:rsidR="0046233C" w:rsidRPr="00C571AC">
        <w:t xml:space="preserve">, both current and emerging, in implementing capacity-building in developing country Parties and further enhancing capacity-building efforts, including with regard to </w:t>
      </w:r>
      <w:r w:rsidR="00E75337" w:rsidRPr="00C571AC">
        <w:t xml:space="preserve">the </w:t>
      </w:r>
      <w:r w:rsidR="0046233C" w:rsidRPr="00C571AC">
        <w:t xml:space="preserve">coherence and coordination </w:t>
      </w:r>
      <w:r w:rsidR="00C9509C" w:rsidRPr="00C571AC">
        <w:t>of</w:t>
      </w:r>
      <w:r w:rsidR="0046233C" w:rsidRPr="00C571AC">
        <w:t xml:space="preserve"> capacity</w:t>
      </w:r>
      <w:r w:rsidR="00C9509C" w:rsidRPr="00C571AC">
        <w:t>-</w:t>
      </w:r>
      <w:r w:rsidR="0046233C" w:rsidRPr="00C571AC">
        <w:t>building activities under the Paris Agreement;</w:t>
      </w:r>
    </w:p>
    <w:p w14:paraId="7FD445F4" w14:textId="318CF4A6" w:rsidR="0046233C" w:rsidRPr="00C571AC" w:rsidRDefault="009E5AC3" w:rsidP="009E5AC3">
      <w:pPr>
        <w:pStyle w:val="RegSingleTxtG"/>
        <w:numPr>
          <w:ilvl w:val="0"/>
          <w:numId w:val="0"/>
        </w:numPr>
        <w:ind w:left="1134"/>
      </w:pPr>
      <w:r w:rsidRPr="00C571AC">
        <w:t>4.</w:t>
      </w:r>
      <w:r w:rsidRPr="00C571AC">
        <w:tab/>
      </w:r>
      <w:r w:rsidR="0046233C" w:rsidRPr="00C571AC">
        <w:rPr>
          <w:i/>
        </w:rPr>
        <w:t>Takes note</w:t>
      </w:r>
      <w:r w:rsidR="0046233C" w:rsidRPr="00C571AC">
        <w:t xml:space="preserve"> of the conclusion of the implementation of the final activities in the rolling workplan of the </w:t>
      </w:r>
      <w:r w:rsidR="0046233C" w:rsidRPr="00E1561E">
        <w:rPr>
          <w:color w:val="000000" w:themeColor="text1"/>
        </w:rPr>
        <w:t>Paris Committee on Capacity-</w:t>
      </w:r>
      <w:r w:rsidR="0046233C" w:rsidRPr="00C51985">
        <w:t>building</w:t>
      </w:r>
      <w:r w:rsidR="0046233C" w:rsidRPr="00E1561E">
        <w:rPr>
          <w:color w:val="000000" w:themeColor="text1"/>
        </w:rPr>
        <w:t xml:space="preserve"> </w:t>
      </w:r>
      <w:r w:rsidR="0046233C" w:rsidRPr="00C571AC">
        <w:t>for 2017–2020;</w:t>
      </w:r>
      <w:r w:rsidR="005523F5" w:rsidRPr="00C571AC">
        <w:rPr>
          <w:rStyle w:val="FootnoteReference"/>
        </w:rPr>
        <w:footnoteReference w:id="46"/>
      </w:r>
    </w:p>
    <w:p w14:paraId="0D8CA598" w14:textId="0926D383" w:rsidR="0046233C" w:rsidRPr="00C571AC" w:rsidRDefault="009E5AC3" w:rsidP="009E5AC3">
      <w:pPr>
        <w:pStyle w:val="RegSingleTxtG"/>
        <w:numPr>
          <w:ilvl w:val="0"/>
          <w:numId w:val="0"/>
        </w:numPr>
        <w:ind w:left="1134"/>
      </w:pPr>
      <w:r w:rsidRPr="00C571AC">
        <w:t>5.</w:t>
      </w:r>
      <w:r w:rsidRPr="00C571AC">
        <w:tab/>
      </w:r>
      <w:r w:rsidR="0046233C" w:rsidRPr="00C571AC">
        <w:rPr>
          <w:i/>
        </w:rPr>
        <w:t xml:space="preserve">Also takes note </w:t>
      </w:r>
      <w:r w:rsidR="0046233C" w:rsidRPr="00C571AC">
        <w:t xml:space="preserve">of progress made in the implementation of the workplan of the </w:t>
      </w:r>
      <w:r w:rsidR="0046233C" w:rsidRPr="00E1561E">
        <w:rPr>
          <w:color w:val="000000" w:themeColor="text1"/>
        </w:rPr>
        <w:t xml:space="preserve">Paris Committee on Capacity-building </w:t>
      </w:r>
      <w:r w:rsidR="0046233C" w:rsidRPr="00C571AC">
        <w:t>for 2021–2024</w:t>
      </w:r>
      <w:r w:rsidR="00EF4FA4" w:rsidRPr="00C571AC">
        <w:rPr>
          <w:rStyle w:val="FootnoteReference"/>
        </w:rPr>
        <w:footnoteReference w:id="47"/>
      </w:r>
      <w:r w:rsidR="0046233C" w:rsidRPr="00C571AC">
        <w:t xml:space="preserve"> on the basis of the priority areas and activities contained in the annex to decision 9/CP.25 and referred to in decision 3/CMA.2, paragraph 4;</w:t>
      </w:r>
    </w:p>
    <w:p w14:paraId="67B966BF" w14:textId="0B52F8FE" w:rsidR="0046233C" w:rsidRPr="00DC643A" w:rsidRDefault="009E5AC3" w:rsidP="009E5AC3">
      <w:pPr>
        <w:pStyle w:val="RegSingleTxtG"/>
        <w:numPr>
          <w:ilvl w:val="0"/>
          <w:numId w:val="0"/>
        </w:numPr>
        <w:ind w:left="1134"/>
        <w:rPr>
          <w:color w:val="000000" w:themeColor="text1"/>
        </w:rPr>
      </w:pPr>
      <w:r w:rsidRPr="00DC643A">
        <w:rPr>
          <w:color w:val="000000" w:themeColor="text1"/>
        </w:rPr>
        <w:t>6.</w:t>
      </w:r>
      <w:r w:rsidRPr="00DC643A">
        <w:rPr>
          <w:color w:val="000000" w:themeColor="text1"/>
        </w:rPr>
        <w:tab/>
      </w:r>
      <w:r w:rsidR="0046233C">
        <w:rPr>
          <w:i/>
          <w:color w:val="000000" w:themeColor="text1"/>
        </w:rPr>
        <w:t>W</w:t>
      </w:r>
      <w:r w:rsidR="0046233C" w:rsidRPr="00DC643A">
        <w:rPr>
          <w:i/>
          <w:color w:val="000000" w:themeColor="text1"/>
        </w:rPr>
        <w:t xml:space="preserve">elcomes </w:t>
      </w:r>
      <w:r w:rsidR="0046233C" w:rsidRPr="00AE74E0">
        <w:rPr>
          <w:color w:val="000000" w:themeColor="text1"/>
        </w:rPr>
        <w:t xml:space="preserve">the work of the Paris </w:t>
      </w:r>
      <w:r w:rsidR="0046233C" w:rsidRPr="00C51985">
        <w:t>Committee</w:t>
      </w:r>
      <w:r w:rsidR="0046233C" w:rsidRPr="00AE74E0">
        <w:rPr>
          <w:color w:val="000000" w:themeColor="text1"/>
        </w:rPr>
        <w:t xml:space="preserve"> on Capacity-building in relation to enhancing the coherence and coordination of capacity-building activities under the </w:t>
      </w:r>
      <w:r w:rsidR="0046233C">
        <w:rPr>
          <w:color w:val="000000" w:themeColor="text1"/>
        </w:rPr>
        <w:t>Paris Agreement</w:t>
      </w:r>
      <w:r w:rsidR="0046233C" w:rsidRPr="00AE74E0">
        <w:rPr>
          <w:color w:val="000000" w:themeColor="text1"/>
        </w:rPr>
        <w:t xml:space="preserve">, including its collaboration with constituted bodies and other actors under the </w:t>
      </w:r>
      <w:r w:rsidR="0046233C">
        <w:rPr>
          <w:color w:val="000000" w:themeColor="text1"/>
        </w:rPr>
        <w:t>Paris Agreement</w:t>
      </w:r>
      <w:r w:rsidR="0046233C" w:rsidRPr="00DC643A">
        <w:rPr>
          <w:color w:val="000000" w:themeColor="text1"/>
        </w:rPr>
        <w:t>;</w:t>
      </w:r>
    </w:p>
    <w:p w14:paraId="4EA7A5DF" w14:textId="0B3BAC70" w:rsidR="0046233C" w:rsidRPr="00DC643A" w:rsidRDefault="009E5AC3" w:rsidP="009E5AC3">
      <w:pPr>
        <w:pStyle w:val="RegSingleTxtG"/>
        <w:numPr>
          <w:ilvl w:val="0"/>
          <w:numId w:val="0"/>
        </w:numPr>
        <w:ind w:left="1134"/>
        <w:rPr>
          <w:color w:val="000000" w:themeColor="text1"/>
        </w:rPr>
      </w:pPr>
      <w:r w:rsidRPr="00DC643A">
        <w:rPr>
          <w:color w:val="000000" w:themeColor="text1"/>
        </w:rPr>
        <w:t>7.</w:t>
      </w:r>
      <w:r w:rsidRPr="00DC643A">
        <w:rPr>
          <w:color w:val="000000" w:themeColor="text1"/>
        </w:rPr>
        <w:tab/>
      </w:r>
      <w:r w:rsidR="0046233C">
        <w:rPr>
          <w:i/>
          <w:color w:val="000000" w:themeColor="text1"/>
        </w:rPr>
        <w:t>Also</w:t>
      </w:r>
      <w:r w:rsidR="0046233C" w:rsidRPr="00DC643A">
        <w:rPr>
          <w:i/>
          <w:color w:val="000000" w:themeColor="text1"/>
        </w:rPr>
        <w:t xml:space="preserve"> welcomes</w:t>
      </w:r>
      <w:r w:rsidR="0046233C" w:rsidRPr="00DC643A">
        <w:rPr>
          <w:color w:val="000000" w:themeColor="text1"/>
        </w:rPr>
        <w:t xml:space="preserve"> the collaboration of the Paris Committee on Capacity-building with Parties and non-Party stakeholders, </w:t>
      </w:r>
      <w:r w:rsidR="0046233C" w:rsidRPr="00855958">
        <w:rPr>
          <w:color w:val="000000" w:themeColor="text1"/>
        </w:rPr>
        <w:t xml:space="preserve">including through the PCCB Network, the </w:t>
      </w:r>
      <w:r w:rsidR="0046233C">
        <w:rPr>
          <w:color w:val="000000" w:themeColor="text1"/>
        </w:rPr>
        <w:t>i</w:t>
      </w:r>
      <w:r w:rsidR="0046233C" w:rsidRPr="00855958">
        <w:rPr>
          <w:color w:val="000000" w:themeColor="text1"/>
        </w:rPr>
        <w:t>nformal</w:t>
      </w:r>
      <w:r w:rsidR="0046233C">
        <w:rPr>
          <w:color w:val="000000" w:themeColor="text1"/>
        </w:rPr>
        <w:t xml:space="preserve"> c</w:t>
      </w:r>
      <w:r w:rsidR="0046233C" w:rsidRPr="00855958">
        <w:rPr>
          <w:color w:val="000000" w:themeColor="text1"/>
        </w:rPr>
        <w:t xml:space="preserve">oordination </w:t>
      </w:r>
      <w:r w:rsidR="0046233C">
        <w:rPr>
          <w:color w:val="000000" w:themeColor="text1"/>
        </w:rPr>
        <w:t>g</w:t>
      </w:r>
      <w:r w:rsidR="0046233C" w:rsidRPr="00855958">
        <w:rPr>
          <w:color w:val="000000" w:themeColor="text1"/>
        </w:rPr>
        <w:t>roup</w:t>
      </w:r>
      <w:r w:rsidR="0046233C">
        <w:rPr>
          <w:color w:val="000000" w:themeColor="text1"/>
        </w:rPr>
        <w:t xml:space="preserve"> for capacity-building under the Convention and the </w:t>
      </w:r>
      <w:r w:rsidR="0046233C" w:rsidRPr="00C51985">
        <w:t>Paris</w:t>
      </w:r>
      <w:r w:rsidR="0046233C">
        <w:rPr>
          <w:color w:val="000000" w:themeColor="text1"/>
        </w:rPr>
        <w:t xml:space="preserve"> Agreement</w:t>
      </w:r>
      <w:r w:rsidR="0046233C" w:rsidRPr="00855958">
        <w:rPr>
          <w:color w:val="000000" w:themeColor="text1"/>
        </w:rPr>
        <w:t>, the Durban Forum</w:t>
      </w:r>
      <w:r w:rsidR="0046233C">
        <w:rPr>
          <w:color w:val="000000" w:themeColor="text1"/>
        </w:rPr>
        <w:t xml:space="preserve"> on capacity-building</w:t>
      </w:r>
      <w:r w:rsidR="0046233C" w:rsidRPr="00855958">
        <w:rPr>
          <w:color w:val="000000" w:themeColor="text1"/>
        </w:rPr>
        <w:t xml:space="preserve">, </w:t>
      </w:r>
      <w:r w:rsidR="0046233C">
        <w:rPr>
          <w:color w:val="000000" w:themeColor="text1"/>
        </w:rPr>
        <w:t xml:space="preserve">the </w:t>
      </w:r>
      <w:r w:rsidR="0046233C" w:rsidRPr="00855958">
        <w:rPr>
          <w:color w:val="000000" w:themeColor="text1"/>
        </w:rPr>
        <w:t>Capacity-building Hub and social media outreach</w:t>
      </w:r>
      <w:r w:rsidR="0046233C" w:rsidRPr="00DC643A">
        <w:rPr>
          <w:color w:val="000000" w:themeColor="text1"/>
        </w:rPr>
        <w:t>;</w:t>
      </w:r>
    </w:p>
    <w:p w14:paraId="109338DA" w14:textId="23DDB37E" w:rsidR="0046233C" w:rsidRDefault="009E5AC3" w:rsidP="009E5AC3">
      <w:pPr>
        <w:pStyle w:val="RegSingleTxtG"/>
        <w:numPr>
          <w:ilvl w:val="0"/>
          <w:numId w:val="0"/>
        </w:numPr>
        <w:ind w:left="1134"/>
        <w:rPr>
          <w:color w:val="000000" w:themeColor="text1"/>
        </w:rPr>
      </w:pPr>
      <w:r>
        <w:rPr>
          <w:color w:val="000000" w:themeColor="text1"/>
        </w:rPr>
        <w:t>8.</w:t>
      </w:r>
      <w:r>
        <w:rPr>
          <w:color w:val="000000" w:themeColor="text1"/>
        </w:rPr>
        <w:tab/>
      </w:r>
      <w:r w:rsidR="0046233C" w:rsidRPr="00DC643A">
        <w:rPr>
          <w:i/>
          <w:color w:val="000000" w:themeColor="text1"/>
        </w:rPr>
        <w:t xml:space="preserve">Takes note </w:t>
      </w:r>
      <w:r w:rsidR="0046233C" w:rsidRPr="00DC643A">
        <w:rPr>
          <w:color w:val="000000" w:themeColor="text1"/>
        </w:rPr>
        <w:t>of</w:t>
      </w:r>
      <w:r w:rsidR="0046233C" w:rsidRPr="00C571AC">
        <w:rPr>
          <w:color w:val="000000" w:themeColor="text1"/>
        </w:rPr>
        <w:t xml:space="preserve"> </w:t>
      </w:r>
      <w:r w:rsidR="0046233C" w:rsidRPr="00DC643A">
        <w:rPr>
          <w:color w:val="000000" w:themeColor="text1"/>
        </w:rPr>
        <w:t>the 2022 focus area of the</w:t>
      </w:r>
      <w:r w:rsidR="0046233C" w:rsidRPr="00C571AC">
        <w:rPr>
          <w:color w:val="000000" w:themeColor="text1"/>
        </w:rPr>
        <w:t xml:space="preserve"> </w:t>
      </w:r>
      <w:r w:rsidR="0046233C" w:rsidRPr="00DC643A">
        <w:rPr>
          <w:color w:val="000000" w:themeColor="text1"/>
        </w:rPr>
        <w:t xml:space="preserve">Paris </w:t>
      </w:r>
      <w:r w:rsidR="0046233C" w:rsidRPr="00C51985">
        <w:t>Committee</w:t>
      </w:r>
      <w:r w:rsidR="0046233C" w:rsidRPr="00DC643A">
        <w:rPr>
          <w:color w:val="000000" w:themeColor="text1"/>
        </w:rPr>
        <w:t xml:space="preserve"> on Capacity-building of building capacity to facilitate coherent implementation of nationally determined contributions in the context of national development plans and sustainable recovery</w:t>
      </w:r>
      <w:r w:rsidR="0046233C">
        <w:rPr>
          <w:color w:val="000000" w:themeColor="text1"/>
        </w:rPr>
        <w:t>;</w:t>
      </w:r>
      <w:r w:rsidR="0046233C" w:rsidRPr="00DC643A">
        <w:rPr>
          <w:rStyle w:val="FootnoteReference"/>
          <w:color w:val="000000" w:themeColor="text1"/>
        </w:rPr>
        <w:footnoteReference w:id="48"/>
      </w:r>
    </w:p>
    <w:p w14:paraId="7AF8B8B1" w14:textId="7CE97941" w:rsidR="0046233C" w:rsidRDefault="009E5AC3" w:rsidP="009E5AC3">
      <w:pPr>
        <w:pStyle w:val="RegSingleTxtG"/>
        <w:numPr>
          <w:ilvl w:val="0"/>
          <w:numId w:val="0"/>
        </w:numPr>
        <w:ind w:left="1134"/>
        <w:rPr>
          <w:color w:val="000000" w:themeColor="text1"/>
        </w:rPr>
      </w:pPr>
      <w:r>
        <w:rPr>
          <w:color w:val="000000" w:themeColor="text1"/>
        </w:rPr>
        <w:t>9.</w:t>
      </w:r>
      <w:r>
        <w:rPr>
          <w:color w:val="000000" w:themeColor="text1"/>
        </w:rPr>
        <w:tab/>
      </w:r>
      <w:r w:rsidR="0046233C" w:rsidRPr="004F4803">
        <w:rPr>
          <w:i/>
          <w:color w:val="000000" w:themeColor="text1"/>
        </w:rPr>
        <w:t>Notes</w:t>
      </w:r>
      <w:r w:rsidR="0046233C">
        <w:rPr>
          <w:color w:val="000000" w:themeColor="text1"/>
        </w:rPr>
        <w:t xml:space="preserve"> that capacity gaps and needs still exist in</w:t>
      </w:r>
      <w:r w:rsidR="0046233C" w:rsidRPr="00B076C0">
        <w:rPr>
          <w:color w:val="000000" w:themeColor="text1"/>
        </w:rPr>
        <w:t xml:space="preserve"> </w:t>
      </w:r>
      <w:r w:rsidR="0046233C" w:rsidRPr="00C51985">
        <w:t>developing</w:t>
      </w:r>
      <w:r w:rsidR="0046233C" w:rsidRPr="00B076C0">
        <w:rPr>
          <w:color w:val="000000" w:themeColor="text1"/>
        </w:rPr>
        <w:t xml:space="preserve"> countries pertaining to </w:t>
      </w:r>
      <w:r w:rsidR="0046233C">
        <w:rPr>
          <w:color w:val="000000" w:themeColor="text1"/>
        </w:rPr>
        <w:t>the implementation of</w:t>
      </w:r>
      <w:r w:rsidR="0046233C" w:rsidRPr="00B076C0">
        <w:rPr>
          <w:color w:val="000000" w:themeColor="text1"/>
        </w:rPr>
        <w:t xml:space="preserve"> the Paris Agreement</w:t>
      </w:r>
      <w:r w:rsidR="0046233C">
        <w:rPr>
          <w:color w:val="000000" w:themeColor="text1"/>
        </w:rPr>
        <w:t>;</w:t>
      </w:r>
    </w:p>
    <w:p w14:paraId="32D252AA" w14:textId="2123FE8F" w:rsidR="0046233C" w:rsidRPr="00DC643A" w:rsidRDefault="009E5AC3" w:rsidP="009E5AC3">
      <w:pPr>
        <w:pStyle w:val="RegSingleTxtG"/>
        <w:numPr>
          <w:ilvl w:val="0"/>
          <w:numId w:val="0"/>
        </w:numPr>
        <w:ind w:left="1134"/>
        <w:rPr>
          <w:color w:val="000000" w:themeColor="text1"/>
        </w:rPr>
      </w:pPr>
      <w:r w:rsidRPr="00DC643A">
        <w:rPr>
          <w:color w:val="000000" w:themeColor="text1"/>
        </w:rPr>
        <w:t>10.</w:t>
      </w:r>
      <w:r w:rsidRPr="00DC643A">
        <w:rPr>
          <w:color w:val="000000" w:themeColor="text1"/>
        </w:rPr>
        <w:tab/>
      </w:r>
      <w:r w:rsidR="0046233C" w:rsidRPr="004F4803">
        <w:rPr>
          <w:i/>
          <w:color w:val="000000" w:themeColor="text1"/>
        </w:rPr>
        <w:t>Invites</w:t>
      </w:r>
      <w:r w:rsidR="0046233C" w:rsidRPr="00877FAB">
        <w:rPr>
          <w:color w:val="000000" w:themeColor="text1"/>
        </w:rPr>
        <w:t xml:space="preserve"> Parties and relevant institutions</w:t>
      </w:r>
      <w:r w:rsidR="0046233C">
        <w:rPr>
          <w:color w:val="000000" w:themeColor="text1"/>
        </w:rPr>
        <w:t>,</w:t>
      </w:r>
      <w:r w:rsidR="0046233C" w:rsidRPr="00877FAB">
        <w:rPr>
          <w:color w:val="000000" w:themeColor="text1"/>
        </w:rPr>
        <w:t xml:space="preserve"> </w:t>
      </w:r>
      <w:r w:rsidR="0046233C">
        <w:rPr>
          <w:color w:val="000000" w:themeColor="text1"/>
        </w:rPr>
        <w:t xml:space="preserve">as appropriate, </w:t>
      </w:r>
      <w:r w:rsidR="0046233C" w:rsidRPr="00877FAB">
        <w:rPr>
          <w:color w:val="000000" w:themeColor="text1"/>
        </w:rPr>
        <w:t xml:space="preserve">to provide support and resources to the Paris Committee on Capacity-building </w:t>
      </w:r>
      <w:r w:rsidR="0046233C">
        <w:rPr>
          <w:color w:val="000000" w:themeColor="text1"/>
        </w:rPr>
        <w:t xml:space="preserve">for </w:t>
      </w:r>
      <w:r w:rsidR="0046233C" w:rsidRPr="00877FAB">
        <w:rPr>
          <w:color w:val="000000" w:themeColor="text1"/>
        </w:rPr>
        <w:t>implementing its workplan for 20</w:t>
      </w:r>
      <w:r w:rsidR="0046233C">
        <w:rPr>
          <w:color w:val="000000" w:themeColor="text1"/>
        </w:rPr>
        <w:t>21</w:t>
      </w:r>
      <w:r w:rsidR="0046233C" w:rsidRPr="00877FAB">
        <w:rPr>
          <w:color w:val="000000" w:themeColor="text1"/>
        </w:rPr>
        <w:t>–20</w:t>
      </w:r>
      <w:r w:rsidR="0046233C">
        <w:rPr>
          <w:color w:val="000000" w:themeColor="text1"/>
        </w:rPr>
        <w:t>24</w:t>
      </w:r>
      <w:r w:rsidR="0046233C" w:rsidRPr="00877FAB">
        <w:rPr>
          <w:color w:val="000000" w:themeColor="text1"/>
        </w:rPr>
        <w:t xml:space="preserve"> in the light of the aim of the Committee established in decision 1/CP.21</w:t>
      </w:r>
      <w:r w:rsidR="0046233C">
        <w:rPr>
          <w:color w:val="000000" w:themeColor="text1"/>
        </w:rPr>
        <w:t>.</w:t>
      </w:r>
    </w:p>
    <w:p w14:paraId="363DE952" w14:textId="4E8F88BD" w:rsidR="001549E7" w:rsidRDefault="001549E7" w:rsidP="001549E7">
      <w:pPr>
        <w:spacing w:before="240"/>
        <w:ind w:left="1134" w:right="1134"/>
        <w:jc w:val="right"/>
        <w:rPr>
          <w:i/>
        </w:rPr>
        <w:sectPr w:rsidR="001549E7" w:rsidSect="00265564">
          <w:headerReference w:type="even" r:id="rId66"/>
          <w:headerReference w:type="default" r:id="rId67"/>
          <w:footerReference w:type="even" r:id="rId68"/>
          <w:footerReference w:type="default" r:id="rId69"/>
          <w:footnotePr>
            <w:numRestart w:val="eachSect"/>
          </w:footnotePr>
          <w:pgSz w:w="11906" w:h="16838" w:code="9"/>
          <w:pgMar w:top="1417" w:right="1134" w:bottom="1134" w:left="1134" w:header="850" w:footer="567" w:gutter="0"/>
          <w:cols w:space="708"/>
          <w:docGrid w:linePitch="360"/>
        </w:sectPr>
      </w:pPr>
      <w:r>
        <w:rPr>
          <w:i/>
        </w:rPr>
        <w:t>10</w:t>
      </w:r>
      <w:r w:rsidRPr="00382975">
        <w:rPr>
          <w:i/>
          <w:vertAlign w:val="superscript"/>
        </w:rPr>
        <w:t>th</w:t>
      </w:r>
      <w:r>
        <w:rPr>
          <w:i/>
        </w:rPr>
        <w:t xml:space="preserve"> </w:t>
      </w:r>
      <w:r w:rsidRPr="006C7D6D">
        <w:rPr>
          <w:i/>
        </w:rPr>
        <w:t>plenary meeting</w:t>
      </w:r>
      <w:r w:rsidRPr="006C7D6D">
        <w:rPr>
          <w:i/>
        </w:rPr>
        <w:br/>
      </w:r>
      <w:r>
        <w:rPr>
          <w:i/>
        </w:rPr>
        <w:t>11</w:t>
      </w:r>
      <w:r w:rsidRPr="006C7D6D">
        <w:rPr>
          <w:i/>
        </w:rPr>
        <w:t xml:space="preserve"> November 2021</w:t>
      </w:r>
    </w:p>
    <w:p w14:paraId="1CEFBDF7" w14:textId="44AFE282" w:rsidR="00601E3C" w:rsidRDefault="00601E3C" w:rsidP="009E5AC3">
      <w:pPr>
        <w:pStyle w:val="RegHChG"/>
        <w:numPr>
          <w:ilvl w:val="0"/>
          <w:numId w:val="0"/>
        </w:numPr>
        <w:spacing w:before="120"/>
        <w:ind w:left="1134" w:hanging="454"/>
      </w:pPr>
      <w:bookmarkStart w:id="26" w:name="Decision19"/>
      <w:r>
        <w:lastRenderedPageBreak/>
        <w:t>Decision 19/CMA.3</w:t>
      </w:r>
    </w:p>
    <w:bookmarkEnd w:id="26"/>
    <w:p w14:paraId="34576A79" w14:textId="673DA0A0" w:rsidR="00601E3C" w:rsidRDefault="003669BB" w:rsidP="009E5AC3">
      <w:pPr>
        <w:pStyle w:val="RegHChG"/>
        <w:numPr>
          <w:ilvl w:val="0"/>
          <w:numId w:val="0"/>
        </w:numPr>
        <w:ind w:left="1135" w:hanging="454"/>
      </w:pPr>
      <w:r>
        <w:t>Warsaw International Mechanism for Loss and Damage associated with Climate Change Impacts</w:t>
      </w:r>
    </w:p>
    <w:p w14:paraId="5A3258CE" w14:textId="50A265AC" w:rsidR="006718EE" w:rsidRPr="00E846A1" w:rsidRDefault="00DD716E" w:rsidP="006718EE">
      <w:pPr>
        <w:tabs>
          <w:tab w:val="left" w:pos="1701"/>
        </w:tabs>
        <w:spacing w:after="120"/>
        <w:ind w:left="1135" w:right="1134"/>
        <w:jc w:val="both"/>
        <w:rPr>
          <w:i/>
        </w:rPr>
      </w:pPr>
      <w:r w:rsidRPr="00C571AC">
        <w:rPr>
          <w:i/>
        </w:rPr>
        <w:tab/>
      </w:r>
      <w:r w:rsidR="006718EE" w:rsidRPr="00C571AC">
        <w:rPr>
          <w:i/>
        </w:rPr>
        <w:t xml:space="preserve">The </w:t>
      </w:r>
      <w:r w:rsidR="006718EE" w:rsidRPr="00E846A1">
        <w:rPr>
          <w:i/>
        </w:rPr>
        <w:t>Conference of the Parties serving as the meeting of the Parties to the Paris Agreement</w:t>
      </w:r>
      <w:r w:rsidR="006718EE" w:rsidRPr="00E846A1">
        <w:t>,</w:t>
      </w:r>
      <w:r w:rsidR="006718EE" w:rsidRPr="00E846A1">
        <w:rPr>
          <w:sz w:val="18"/>
          <w:vertAlign w:val="superscript"/>
        </w:rPr>
        <w:footnoteReference w:id="49"/>
      </w:r>
    </w:p>
    <w:p w14:paraId="5885AF1A" w14:textId="77777777" w:rsidR="006718EE" w:rsidRPr="00E846A1" w:rsidRDefault="006718EE" w:rsidP="006718EE">
      <w:pPr>
        <w:tabs>
          <w:tab w:val="left" w:pos="1701"/>
        </w:tabs>
        <w:spacing w:after="120"/>
        <w:ind w:left="1135" w:right="1134"/>
        <w:jc w:val="both"/>
      </w:pPr>
      <w:r w:rsidRPr="00E846A1">
        <w:tab/>
      </w:r>
      <w:r w:rsidRPr="00E846A1">
        <w:rPr>
          <w:i/>
        </w:rPr>
        <w:t>Recalling</w:t>
      </w:r>
      <w:r w:rsidRPr="00E846A1">
        <w:t xml:space="preserve"> decision 2/CP.19, whereby the Warsaw International Mechanism for Loss and Damage associated with Climate Change Impacts was established to address loss and damage associated with the impacts of climate change, including extreme events and slow onset events, in developing countries that are particularly vulnerable to the adverse effects of climate change,</w:t>
      </w:r>
    </w:p>
    <w:p w14:paraId="1B9B513D" w14:textId="77777777" w:rsidR="006718EE" w:rsidRPr="00E846A1" w:rsidRDefault="006718EE" w:rsidP="006718EE">
      <w:pPr>
        <w:tabs>
          <w:tab w:val="left" w:pos="1701"/>
        </w:tabs>
        <w:spacing w:after="120"/>
        <w:ind w:left="1135" w:right="1134"/>
        <w:jc w:val="both"/>
        <w:rPr>
          <w:i/>
        </w:rPr>
      </w:pPr>
      <w:r w:rsidRPr="00E846A1">
        <w:rPr>
          <w:i/>
        </w:rPr>
        <w:tab/>
        <w:t xml:space="preserve">Also recalling </w:t>
      </w:r>
      <w:r w:rsidRPr="00E846A1">
        <w:rPr>
          <w:iCs/>
        </w:rPr>
        <w:t>decisions 3/CP.18, 2/CP.19, 2/CP.20, 1/CP.21, 2/CP.21, 3/CP.22, 4/CP.22, 5/CP.23, 10/CP.24, 2/CP.25 and 2/CMA.2,</w:t>
      </w:r>
    </w:p>
    <w:p w14:paraId="30884E01" w14:textId="77777777" w:rsidR="006718EE" w:rsidRPr="00E846A1" w:rsidRDefault="006718EE" w:rsidP="006718EE">
      <w:pPr>
        <w:tabs>
          <w:tab w:val="left" w:pos="1701"/>
        </w:tabs>
        <w:spacing w:after="120"/>
        <w:ind w:left="1135" w:right="1134"/>
        <w:jc w:val="both"/>
        <w:rPr>
          <w:iCs/>
        </w:rPr>
      </w:pPr>
      <w:r w:rsidRPr="00E846A1">
        <w:rPr>
          <w:i/>
        </w:rPr>
        <w:tab/>
        <w:t xml:space="preserve">Being aware </w:t>
      </w:r>
      <w:r w:rsidRPr="00E846A1">
        <w:t>of the</w:t>
      </w:r>
      <w:r w:rsidRPr="00C571AC">
        <w:t xml:space="preserve"> </w:t>
      </w:r>
      <w:r w:rsidRPr="00E846A1">
        <w:rPr>
          <w:iCs/>
        </w:rPr>
        <w:t>relevant provisions of decisions 18/CMA.1 and 19/CMA.1,</w:t>
      </w:r>
    </w:p>
    <w:p w14:paraId="782542B8" w14:textId="77777777" w:rsidR="006718EE" w:rsidRPr="00E846A1" w:rsidRDefault="006718EE" w:rsidP="006718EE">
      <w:pPr>
        <w:tabs>
          <w:tab w:val="left" w:pos="1701"/>
        </w:tabs>
        <w:spacing w:after="120"/>
        <w:ind w:left="1135" w:right="1134"/>
        <w:jc w:val="both"/>
      </w:pPr>
      <w:r w:rsidRPr="00E846A1">
        <w:rPr>
          <w:i/>
        </w:rPr>
        <w:tab/>
        <w:t>Recalling</w:t>
      </w:r>
      <w:r w:rsidRPr="00E846A1">
        <w:t xml:space="preserve"> Article 8 of the Paris Agreement,</w:t>
      </w:r>
    </w:p>
    <w:p w14:paraId="487D7C30" w14:textId="77777777" w:rsidR="006718EE" w:rsidRPr="00E846A1" w:rsidRDefault="006718EE" w:rsidP="006718EE">
      <w:pPr>
        <w:tabs>
          <w:tab w:val="left" w:pos="1701"/>
        </w:tabs>
        <w:spacing w:after="120"/>
        <w:ind w:left="1135" w:right="1134"/>
        <w:jc w:val="both"/>
      </w:pPr>
      <w:r w:rsidRPr="00E846A1">
        <w:rPr>
          <w:i/>
        </w:rPr>
        <w:tab/>
      </w:r>
      <w:r w:rsidRPr="00E846A1">
        <w:rPr>
          <w:i/>
          <w:iCs/>
        </w:rPr>
        <w:t>Also r</w:t>
      </w:r>
      <w:r w:rsidRPr="00E846A1">
        <w:rPr>
          <w:i/>
        </w:rPr>
        <w:t>ecalling</w:t>
      </w:r>
      <w:r w:rsidRPr="00E846A1">
        <w:t xml:space="preserve"> decision 2/CMA.2, noted in decision 2/CP.25, whereby the next review of the Warsaw International Mechanism was recommended to be held in 2024 and every five years thereafter, </w:t>
      </w:r>
    </w:p>
    <w:p w14:paraId="11121448" w14:textId="77777777" w:rsidR="006718EE" w:rsidRPr="00E846A1" w:rsidRDefault="006718EE" w:rsidP="006718EE">
      <w:pPr>
        <w:tabs>
          <w:tab w:val="left" w:pos="1701"/>
        </w:tabs>
        <w:spacing w:after="120"/>
        <w:ind w:left="1135" w:right="1134"/>
        <w:jc w:val="both"/>
      </w:pPr>
      <w:r w:rsidRPr="00E846A1">
        <w:rPr>
          <w:i/>
        </w:rPr>
        <w:tab/>
        <w:t xml:space="preserve">Acknowledging </w:t>
      </w:r>
      <w:r w:rsidRPr="00E846A1">
        <w:t>the efforts of the Presidencies of the Conference of the Parties at its twenty-fifth and twenty-sixth sessions between those sessions concerning the Santiago network,</w:t>
      </w:r>
    </w:p>
    <w:p w14:paraId="7DA0D5A2" w14:textId="1A748F01" w:rsidR="006718EE" w:rsidRPr="00E846A1" w:rsidRDefault="006718EE" w:rsidP="006718EE">
      <w:pPr>
        <w:tabs>
          <w:tab w:val="left" w:pos="1701"/>
        </w:tabs>
        <w:spacing w:after="120"/>
        <w:ind w:left="1135" w:right="1134"/>
        <w:jc w:val="both"/>
      </w:pPr>
      <w:r w:rsidRPr="00E846A1">
        <w:rPr>
          <w:i/>
        </w:rPr>
        <w:tab/>
        <w:t>Noting</w:t>
      </w:r>
      <w:r w:rsidRPr="00E846A1">
        <w:t xml:space="preserve"> the increasing urgency of enhancing efforts to avert, minimize and address loss and damage</w:t>
      </w:r>
      <w:r w:rsidRPr="00C571AC">
        <w:t xml:space="preserve"> </w:t>
      </w:r>
      <w:r w:rsidRPr="00E846A1">
        <w:t>in the light of continued global warming and its significant impacts on vulnerable populations and the ecosystems on which they depend, as illustrated by the findings of the latest scientific reports, including the contribution of Working Group I to the Sixth Assessment Report of the Intergovernmental Panel on Climate Change,</w:t>
      </w:r>
      <w:r w:rsidR="005A368D">
        <w:rPr>
          <w:rStyle w:val="FootnoteReference"/>
        </w:rPr>
        <w:footnoteReference w:id="50"/>
      </w:r>
    </w:p>
    <w:p w14:paraId="1E30B2FF" w14:textId="1288B211" w:rsidR="006718EE" w:rsidRPr="000B1895" w:rsidRDefault="009E5AC3" w:rsidP="009E5AC3">
      <w:pPr>
        <w:pStyle w:val="RegSingleTxtG"/>
        <w:numPr>
          <w:ilvl w:val="0"/>
          <w:numId w:val="0"/>
        </w:numPr>
        <w:ind w:left="1134"/>
        <w:rPr>
          <w:color w:val="000000" w:themeColor="text1"/>
        </w:rPr>
      </w:pPr>
      <w:r w:rsidRPr="000B1895">
        <w:rPr>
          <w:color w:val="000000" w:themeColor="text1"/>
        </w:rPr>
        <w:t>1.</w:t>
      </w:r>
      <w:r w:rsidRPr="000B1895">
        <w:rPr>
          <w:color w:val="000000" w:themeColor="text1"/>
        </w:rPr>
        <w:tab/>
      </w:r>
      <w:r w:rsidR="006718EE" w:rsidRPr="000B1895">
        <w:rPr>
          <w:i/>
        </w:rPr>
        <w:tab/>
        <w:t>Welcomes</w:t>
      </w:r>
      <w:r w:rsidR="006718EE" w:rsidRPr="00E846A1">
        <w:t xml:space="preserve"> the reports of the Executive Committee of the Warsaw International Mechanism for Loss and Damage associated with Climate Change Impacts for 2020 and 2021,</w:t>
      </w:r>
      <w:r w:rsidR="006718EE" w:rsidRPr="00E846A1">
        <w:rPr>
          <w:sz w:val="18"/>
          <w:vertAlign w:val="superscript"/>
        </w:rPr>
        <w:footnoteReference w:id="51"/>
      </w:r>
      <w:r w:rsidR="006718EE" w:rsidRPr="00E846A1">
        <w:t xml:space="preserve"> including the recommendations contained therein</w:t>
      </w:r>
      <w:r w:rsidR="006718EE" w:rsidRPr="000B1895">
        <w:rPr>
          <w:color w:val="000000" w:themeColor="text1"/>
        </w:rPr>
        <w:t>;</w:t>
      </w:r>
    </w:p>
    <w:p w14:paraId="4D4F9FF3" w14:textId="13D94DC1" w:rsidR="006718EE" w:rsidRPr="00E846A1" w:rsidRDefault="009E5AC3" w:rsidP="009E5AC3">
      <w:pPr>
        <w:pStyle w:val="RegSingleTxtG"/>
        <w:numPr>
          <w:ilvl w:val="0"/>
          <w:numId w:val="0"/>
        </w:numPr>
        <w:ind w:left="1134"/>
      </w:pPr>
      <w:r w:rsidRPr="00E846A1">
        <w:t>2.</w:t>
      </w:r>
      <w:r w:rsidRPr="00E846A1">
        <w:tab/>
      </w:r>
      <w:r w:rsidR="006718EE" w:rsidRPr="00E846A1">
        <w:rPr>
          <w:i/>
        </w:rPr>
        <w:t xml:space="preserve">Also welcomes </w:t>
      </w:r>
      <w:r w:rsidR="006718EE" w:rsidRPr="00E846A1">
        <w:t>the continued progress of the Executive Committee in implementing its five-year rolling workplan and that of its expert groups in implementing their plans of action, including in response to the relevant outcomes of the 2019 review of the Warsaw International Mechanism, despite the extraordinary challenges due to the coronavirus disease 2019 pandemic;</w:t>
      </w:r>
    </w:p>
    <w:p w14:paraId="02B819C7" w14:textId="3313A623" w:rsidR="006718EE" w:rsidRPr="00E846A1" w:rsidRDefault="009E5AC3" w:rsidP="009E5AC3">
      <w:pPr>
        <w:pStyle w:val="RegSingleTxtG"/>
        <w:numPr>
          <w:ilvl w:val="0"/>
          <w:numId w:val="0"/>
        </w:numPr>
        <w:ind w:left="1134"/>
      </w:pPr>
      <w:r w:rsidRPr="00E846A1">
        <w:t>3.</w:t>
      </w:r>
      <w:r w:rsidRPr="00E846A1">
        <w:tab/>
      </w:r>
      <w:r w:rsidR="006718EE" w:rsidRPr="00CA30B1">
        <w:rPr>
          <w:i/>
        </w:rPr>
        <w:t>Further welcomes</w:t>
      </w:r>
      <w:r w:rsidR="006718EE" w:rsidRPr="00E846A1">
        <w:t>:</w:t>
      </w:r>
    </w:p>
    <w:p w14:paraId="6BC19B5E" w14:textId="114C3180"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The adoption by the Executive Committee of the plans of action of its expert groups on non-economic losses, slow onset events, and action and support, and the continued progress of implementation of the plans of action of the task force on displacement and the technical expert group on comprehensive risk management;</w:t>
      </w:r>
    </w:p>
    <w:p w14:paraId="7D724834" w14:textId="1F797362"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The decision of the Executive Committee to update its five-year rolling workplan in 2022;</w:t>
      </w:r>
    </w:p>
    <w:p w14:paraId="2448E8C1" w14:textId="3ED8D53E" w:rsidR="006718EE" w:rsidRPr="00E846A1" w:rsidRDefault="009E5AC3" w:rsidP="009E5AC3">
      <w:pPr>
        <w:pStyle w:val="RegSingleTxtG2"/>
        <w:numPr>
          <w:ilvl w:val="0"/>
          <w:numId w:val="0"/>
        </w:numPr>
        <w:tabs>
          <w:tab w:val="left" w:pos="1702"/>
        </w:tabs>
        <w:ind w:left="1134" w:firstLine="567"/>
      </w:pPr>
      <w:r w:rsidRPr="00E846A1">
        <w:rPr>
          <w:szCs w:val="28"/>
        </w:rPr>
        <w:lastRenderedPageBreak/>
        <w:t>(c)</w:t>
      </w:r>
      <w:r w:rsidRPr="00E846A1">
        <w:rPr>
          <w:szCs w:val="28"/>
        </w:rPr>
        <w:tab/>
      </w:r>
      <w:r w:rsidR="006718EE" w:rsidRPr="00E846A1">
        <w:t>The provision of input to the Standing Committee on Finance relating to the draft guidance for the operating entities of the Financial Mechanism;</w:t>
      </w:r>
    </w:p>
    <w:p w14:paraId="1C160351" w14:textId="36503A49" w:rsidR="006718EE" w:rsidRPr="00E846A1" w:rsidRDefault="009E5AC3" w:rsidP="009E5AC3">
      <w:pPr>
        <w:pStyle w:val="RegSingleTxtG2"/>
        <w:numPr>
          <w:ilvl w:val="0"/>
          <w:numId w:val="0"/>
        </w:numPr>
        <w:tabs>
          <w:tab w:val="left" w:pos="1702"/>
        </w:tabs>
        <w:ind w:left="1134" w:firstLine="567"/>
      </w:pPr>
      <w:r w:rsidRPr="00E846A1">
        <w:rPr>
          <w:szCs w:val="28"/>
        </w:rPr>
        <w:t>(d)</w:t>
      </w:r>
      <w:r w:rsidRPr="00E846A1">
        <w:rPr>
          <w:szCs w:val="28"/>
        </w:rPr>
        <w:tab/>
      </w:r>
      <w:r w:rsidR="006718EE" w:rsidRPr="00E846A1">
        <w:t>The progress of the Executive Committee, further to decision 19/CMA.1, in preparing its contribution for the technical assessment component of the global stocktake;</w:t>
      </w:r>
    </w:p>
    <w:p w14:paraId="1389EDAE" w14:textId="683AE42B" w:rsidR="006718EE" w:rsidRPr="00E846A1" w:rsidRDefault="009E5AC3" w:rsidP="009E5AC3">
      <w:pPr>
        <w:pStyle w:val="RegSingleTxtG"/>
        <w:numPr>
          <w:ilvl w:val="0"/>
          <w:numId w:val="0"/>
        </w:numPr>
        <w:ind w:left="1134"/>
      </w:pPr>
      <w:r w:rsidRPr="00E846A1">
        <w:t>4.</w:t>
      </w:r>
      <w:r w:rsidRPr="00E846A1">
        <w:tab/>
      </w:r>
      <w:r w:rsidR="006718EE" w:rsidRPr="00E846A1">
        <w:rPr>
          <w:i/>
        </w:rPr>
        <w:t>Encourages</w:t>
      </w:r>
      <w:r w:rsidR="006718EE" w:rsidRPr="00E846A1">
        <w:t xml:space="preserve"> the Executive Committee to:</w:t>
      </w:r>
    </w:p>
    <w:p w14:paraId="2D6FE8FB" w14:textId="1150EA58"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Include in its contribution referred to in paragraph 3(d) above, to the extent possible, information on challenges, opportunities, best practices and lessons learned in implementing the functions of the Warsaw International Mechanism as well as on activities and products relevant to the loss and damage considerations under the global stocktake, including in the context of decision 19/CMA.1, paragraphs 6(b)(ii) and 36(e);</w:t>
      </w:r>
    </w:p>
    <w:p w14:paraId="3949A493" w14:textId="14F4E063"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Consider including in the agendas for its regular meetings a standing item on how the latest climate science can inform policymaking;</w:t>
      </w:r>
    </w:p>
    <w:p w14:paraId="593B6881" w14:textId="68B222FB" w:rsidR="006718EE" w:rsidRPr="00E846A1" w:rsidRDefault="009E5AC3" w:rsidP="009E5AC3">
      <w:pPr>
        <w:pStyle w:val="RegSingleTxtG"/>
        <w:numPr>
          <w:ilvl w:val="0"/>
          <w:numId w:val="0"/>
        </w:numPr>
        <w:ind w:left="1134"/>
      </w:pPr>
      <w:r w:rsidRPr="00E846A1">
        <w:t>5.</w:t>
      </w:r>
      <w:r w:rsidRPr="00E846A1">
        <w:tab/>
      </w:r>
      <w:r w:rsidR="006718EE" w:rsidRPr="00E846A1">
        <w:rPr>
          <w:i/>
        </w:rPr>
        <w:t>Expresses appreciation</w:t>
      </w:r>
      <w:r w:rsidR="006718EE" w:rsidRPr="00E846A1">
        <w:t xml:space="preserve"> to:</w:t>
      </w:r>
    </w:p>
    <w:p w14:paraId="5724F32E" w14:textId="15689894"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Organizations and other stakeholders that contributed to the success of the work undertaken and to the constituted bodies that collaborated with the Executive Committee and its expert groups in 2020–2021;</w:t>
      </w:r>
    </w:p>
    <w:p w14:paraId="3F920F24" w14:textId="38D9C508"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Organizations that have submitted information pursuant to decision 2/CMA.2, paragraph 44;</w:t>
      </w:r>
    </w:p>
    <w:p w14:paraId="615BB357" w14:textId="03C5083D" w:rsidR="006718EE" w:rsidRPr="00E846A1" w:rsidRDefault="009E5AC3" w:rsidP="009E5AC3">
      <w:pPr>
        <w:pStyle w:val="RegSingleTxtG"/>
        <w:numPr>
          <w:ilvl w:val="0"/>
          <w:numId w:val="0"/>
        </w:numPr>
        <w:ind w:left="1134"/>
      </w:pPr>
      <w:r w:rsidRPr="00E846A1">
        <w:t>6.</w:t>
      </w:r>
      <w:r w:rsidRPr="00E846A1">
        <w:tab/>
      </w:r>
      <w:r w:rsidR="006718EE" w:rsidRPr="00E846A1">
        <w:rPr>
          <w:i/>
        </w:rPr>
        <w:t>Invites</w:t>
      </w:r>
      <w:r w:rsidR="006718EE" w:rsidRPr="00E846A1">
        <w:t xml:space="preserve"> organizations, bodies, networks and experts to include the following when reporting on the technical assistance provided to developing countries</w:t>
      </w:r>
      <w:r w:rsidR="006718EE" w:rsidRPr="00E846A1">
        <w:rPr>
          <w:sz w:val="18"/>
          <w:vertAlign w:val="superscript"/>
        </w:rPr>
        <w:footnoteReference w:id="52"/>
      </w:r>
      <w:r w:rsidR="006718EE" w:rsidRPr="00E846A1">
        <w:t xml:space="preserve"> with the aim of enhancing the information captured in the reports of the Executive Committee: </w:t>
      </w:r>
    </w:p>
    <w:p w14:paraId="15FBF397" w14:textId="7793FFB0"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 xml:space="preserve">The type of technical assistance provided; </w:t>
      </w:r>
    </w:p>
    <w:p w14:paraId="7DBC994E" w14:textId="7B9E00DC"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 xml:space="preserve">The developing countries to which technical assistance was provided and when; </w:t>
      </w:r>
    </w:p>
    <w:p w14:paraId="4752410B" w14:textId="50482AC7" w:rsidR="006718EE" w:rsidRPr="00E846A1" w:rsidRDefault="009E5AC3" w:rsidP="009E5AC3">
      <w:pPr>
        <w:pStyle w:val="RegSingleTxtG2"/>
        <w:numPr>
          <w:ilvl w:val="0"/>
          <w:numId w:val="0"/>
        </w:numPr>
        <w:tabs>
          <w:tab w:val="left" w:pos="1702"/>
        </w:tabs>
        <w:ind w:left="1134" w:firstLine="567"/>
      </w:pPr>
      <w:r w:rsidRPr="00E846A1">
        <w:rPr>
          <w:szCs w:val="28"/>
        </w:rPr>
        <w:t>(c)</w:t>
      </w:r>
      <w:r w:rsidRPr="00E846A1">
        <w:rPr>
          <w:szCs w:val="28"/>
        </w:rPr>
        <w:tab/>
      </w:r>
      <w:r w:rsidR="006718EE" w:rsidRPr="00E846A1">
        <w:t>The involvement of and collaboration among stakeholders at the local, subnational, national, regional and international level, as applicable;</w:t>
      </w:r>
    </w:p>
    <w:p w14:paraId="399618A4" w14:textId="696484D1" w:rsidR="006718EE" w:rsidRPr="00E846A1" w:rsidRDefault="009E5AC3" w:rsidP="009E5AC3">
      <w:pPr>
        <w:pStyle w:val="RegSingleTxtG2"/>
        <w:numPr>
          <w:ilvl w:val="0"/>
          <w:numId w:val="0"/>
        </w:numPr>
        <w:tabs>
          <w:tab w:val="left" w:pos="1702"/>
        </w:tabs>
        <w:ind w:left="1134" w:firstLine="567"/>
      </w:pPr>
      <w:r w:rsidRPr="00E846A1">
        <w:rPr>
          <w:szCs w:val="28"/>
        </w:rPr>
        <w:t>(d)</w:t>
      </w:r>
      <w:r w:rsidRPr="00E846A1">
        <w:rPr>
          <w:szCs w:val="28"/>
        </w:rPr>
        <w:tab/>
      </w:r>
      <w:r w:rsidR="006718EE" w:rsidRPr="00E846A1">
        <w:t>Challenges experienced in providing technical assistance;</w:t>
      </w:r>
    </w:p>
    <w:p w14:paraId="4E3C16A8" w14:textId="262B623D" w:rsidR="006718EE" w:rsidRPr="00E846A1" w:rsidRDefault="009E5AC3" w:rsidP="009E5AC3">
      <w:pPr>
        <w:pStyle w:val="RegSingleTxtG2"/>
        <w:numPr>
          <w:ilvl w:val="0"/>
          <w:numId w:val="0"/>
        </w:numPr>
        <w:tabs>
          <w:tab w:val="left" w:pos="1702"/>
        </w:tabs>
        <w:ind w:left="1134" w:firstLine="567"/>
      </w:pPr>
      <w:r w:rsidRPr="00E846A1">
        <w:rPr>
          <w:szCs w:val="28"/>
        </w:rPr>
        <w:t>(e)</w:t>
      </w:r>
      <w:r w:rsidRPr="00E846A1">
        <w:rPr>
          <w:szCs w:val="28"/>
        </w:rPr>
        <w:tab/>
      </w:r>
      <w:r w:rsidR="006718EE" w:rsidRPr="00E846A1">
        <w:t>The ways in which countries may access the technical assistance available;</w:t>
      </w:r>
    </w:p>
    <w:p w14:paraId="723E0504" w14:textId="42893E64" w:rsidR="006718EE" w:rsidRPr="00E846A1" w:rsidRDefault="009E5AC3" w:rsidP="009E5AC3">
      <w:pPr>
        <w:pStyle w:val="RegSingleTxtG"/>
        <w:numPr>
          <w:ilvl w:val="0"/>
          <w:numId w:val="0"/>
        </w:numPr>
        <w:ind w:left="1134"/>
      </w:pPr>
      <w:r w:rsidRPr="00E846A1">
        <w:t>7.</w:t>
      </w:r>
      <w:r w:rsidRPr="00E846A1">
        <w:tab/>
      </w:r>
      <w:r w:rsidR="006718EE" w:rsidRPr="00E846A1">
        <w:rPr>
          <w:i/>
        </w:rPr>
        <w:t>Encourages</w:t>
      </w:r>
      <w:r w:rsidR="006718EE" w:rsidRPr="00E846A1">
        <w:t>, noting the breadth of topics addressed in the strategic workstreams</w:t>
      </w:r>
      <w:r w:rsidR="006718EE" w:rsidRPr="00E846A1">
        <w:rPr>
          <w:sz w:val="18"/>
          <w:vertAlign w:val="superscript"/>
        </w:rPr>
        <w:footnoteReference w:id="53"/>
      </w:r>
      <w:r w:rsidR="006718EE" w:rsidRPr="00E846A1">
        <w:t xml:space="preserve"> of the Executive Committee, a broad range of organizations, bodies, networks and experts from all regions, working at the local, subnational, national, regional and international level, including those in developing countries and those that are represented in the expert groups of the Executive Committee, to engage in the Santiago network for averting, minimizing and addressing loss and damage associated with the adverse effects of climate change while avoiding duplication of their ongoing efforts; </w:t>
      </w:r>
    </w:p>
    <w:p w14:paraId="5053706D" w14:textId="58D6C67B" w:rsidR="006718EE" w:rsidRPr="00E846A1" w:rsidRDefault="009E5AC3" w:rsidP="009E5AC3">
      <w:pPr>
        <w:pStyle w:val="RegSingleTxtG"/>
        <w:numPr>
          <w:ilvl w:val="0"/>
          <w:numId w:val="0"/>
        </w:numPr>
        <w:ind w:left="1134"/>
      </w:pPr>
      <w:r w:rsidRPr="00E846A1">
        <w:t>8.</w:t>
      </w:r>
      <w:r w:rsidRPr="00E846A1">
        <w:tab/>
      </w:r>
      <w:r w:rsidR="006718EE" w:rsidRPr="00E846A1">
        <w:rPr>
          <w:i/>
        </w:rPr>
        <w:t xml:space="preserve">Acknowledges </w:t>
      </w:r>
      <w:r w:rsidR="006718EE" w:rsidRPr="00E846A1">
        <w:t>that the entities referred to in paragraph 7 above, particularly those that are based in developing countries, may need support, including financial support, in providing technical assistance;</w:t>
      </w:r>
    </w:p>
    <w:p w14:paraId="2C0CD6BF" w14:textId="00BC74BA" w:rsidR="006718EE" w:rsidRPr="00E846A1" w:rsidRDefault="009E5AC3" w:rsidP="009E5AC3">
      <w:pPr>
        <w:pStyle w:val="RegSingleTxtG"/>
        <w:numPr>
          <w:ilvl w:val="0"/>
          <w:numId w:val="0"/>
        </w:numPr>
        <w:ind w:left="1134"/>
      </w:pPr>
      <w:r w:rsidRPr="00E846A1">
        <w:t>9.</w:t>
      </w:r>
      <w:r w:rsidRPr="00E846A1">
        <w:tab/>
      </w:r>
      <w:r w:rsidR="006718EE" w:rsidRPr="00E846A1">
        <w:rPr>
          <w:i/>
        </w:rPr>
        <w:t xml:space="preserve">Decides </w:t>
      </w:r>
      <w:r w:rsidR="006718EE" w:rsidRPr="00E846A1">
        <w:t>that the Santiago network is to have the following functions:</w:t>
      </w:r>
    </w:p>
    <w:p w14:paraId="03972C5D" w14:textId="71D7D969"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Contributing to the effective implementation of the functions</w:t>
      </w:r>
      <w:r w:rsidR="006718EE" w:rsidRPr="00E846A1">
        <w:rPr>
          <w:sz w:val="18"/>
          <w:vertAlign w:val="superscript"/>
        </w:rPr>
        <w:footnoteReference w:id="54"/>
      </w:r>
      <w:r w:rsidR="006718EE" w:rsidRPr="00E846A1">
        <w:t xml:space="preserve"> of the Warsaw International Mechanism, in line with the provisions in paragraph 7 of decision 2/CP.19 and Article 8 of the Paris Agreement, by catalysing the technical assistance of organizations, bodies, networks and experts;</w:t>
      </w:r>
    </w:p>
    <w:p w14:paraId="598DB07E" w14:textId="75379EE6"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Catalysing demand-driven technical assistance</w:t>
      </w:r>
      <w:r w:rsidR="0015619E">
        <w:t>,</w:t>
      </w:r>
      <w:r w:rsidR="006718EE" w:rsidRPr="00E846A1">
        <w:t xml:space="preserve"> including of relevant organizations, bodies, networks and experts, for the implementation of relevant approaches </w:t>
      </w:r>
      <w:r w:rsidR="006718EE" w:rsidRPr="00E846A1">
        <w:lastRenderedPageBreak/>
        <w:t>to averting, minimizing and addressing loss and damage in developing countries that are particularly vulnerable to the adverse effects of climate change by assisting in:</w:t>
      </w:r>
    </w:p>
    <w:p w14:paraId="2BB8C145" w14:textId="784E76FC" w:rsidR="006718EE" w:rsidRPr="00E846A1" w:rsidRDefault="009E5AC3" w:rsidP="009E5AC3">
      <w:pPr>
        <w:pStyle w:val="RegSingleTxtG3"/>
        <w:numPr>
          <w:ilvl w:val="0"/>
          <w:numId w:val="0"/>
        </w:numPr>
        <w:ind w:left="1701"/>
      </w:pPr>
      <w:r w:rsidRPr="00E846A1">
        <w:t>(i)</w:t>
      </w:r>
      <w:r w:rsidRPr="00E846A1">
        <w:tab/>
      </w:r>
      <w:r w:rsidR="006718EE" w:rsidRPr="00E846A1">
        <w:t xml:space="preserve">Identifying, prioritizing and communicating technical assistance needs and priorities; </w:t>
      </w:r>
    </w:p>
    <w:p w14:paraId="69DB3254" w14:textId="725314B6" w:rsidR="006718EE" w:rsidRPr="00E846A1" w:rsidRDefault="009E5AC3" w:rsidP="009E5AC3">
      <w:pPr>
        <w:pStyle w:val="RegSingleTxtG3"/>
        <w:numPr>
          <w:ilvl w:val="0"/>
          <w:numId w:val="0"/>
        </w:numPr>
        <w:ind w:left="1701"/>
      </w:pPr>
      <w:r w:rsidRPr="00E846A1">
        <w:t>(ii)</w:t>
      </w:r>
      <w:r w:rsidRPr="00E846A1">
        <w:tab/>
      </w:r>
      <w:r w:rsidR="006718EE" w:rsidRPr="00E846A1">
        <w:t>Identifying types of relevant technical assistance;</w:t>
      </w:r>
    </w:p>
    <w:p w14:paraId="1926BE8C" w14:textId="6B568C59" w:rsidR="006718EE" w:rsidRPr="00E846A1" w:rsidRDefault="009E5AC3" w:rsidP="009E5AC3">
      <w:pPr>
        <w:pStyle w:val="RegSingleTxtG3"/>
        <w:numPr>
          <w:ilvl w:val="0"/>
          <w:numId w:val="0"/>
        </w:numPr>
        <w:ind w:left="1701"/>
      </w:pPr>
      <w:r w:rsidRPr="00E846A1">
        <w:t>(iii)</w:t>
      </w:r>
      <w:r w:rsidRPr="00E846A1">
        <w:tab/>
      </w:r>
      <w:r w:rsidR="006718EE" w:rsidRPr="00E846A1">
        <w:t>Actively connecting those seeking technical assistance with best suited organizations, bodies, networks and experts;</w:t>
      </w:r>
    </w:p>
    <w:p w14:paraId="7E68C843" w14:textId="7E42FFA6" w:rsidR="006718EE" w:rsidRPr="00E846A1" w:rsidRDefault="009E5AC3" w:rsidP="009E5AC3">
      <w:pPr>
        <w:pStyle w:val="RegSingleTxtG3"/>
        <w:numPr>
          <w:ilvl w:val="0"/>
          <w:numId w:val="0"/>
        </w:numPr>
        <w:ind w:left="1701"/>
      </w:pPr>
      <w:r w:rsidRPr="00E846A1">
        <w:t>(iv)</w:t>
      </w:r>
      <w:r w:rsidRPr="00E846A1">
        <w:tab/>
      </w:r>
      <w:r w:rsidR="006718EE" w:rsidRPr="00E846A1">
        <w:t>Accessing technical assistance available</w:t>
      </w:r>
      <w:r w:rsidR="004655D7">
        <w:t>,</w:t>
      </w:r>
      <w:r w:rsidR="006718EE" w:rsidRPr="00E846A1">
        <w:t xml:space="preserve"> including from such organizations, bodies, networks and experts;</w:t>
      </w:r>
    </w:p>
    <w:p w14:paraId="14D7B684" w14:textId="0B7763F9" w:rsidR="006718EE" w:rsidRPr="00E846A1" w:rsidRDefault="009E5AC3" w:rsidP="009E5AC3">
      <w:pPr>
        <w:pStyle w:val="RegSingleTxtG2"/>
        <w:numPr>
          <w:ilvl w:val="0"/>
          <w:numId w:val="0"/>
        </w:numPr>
        <w:tabs>
          <w:tab w:val="left" w:pos="1702"/>
        </w:tabs>
        <w:ind w:left="1134" w:firstLine="567"/>
      </w:pPr>
      <w:r w:rsidRPr="00E846A1">
        <w:rPr>
          <w:szCs w:val="28"/>
        </w:rPr>
        <w:t>(c)</w:t>
      </w:r>
      <w:r w:rsidRPr="00E846A1">
        <w:rPr>
          <w:szCs w:val="28"/>
        </w:rPr>
        <w:tab/>
      </w:r>
      <w:r w:rsidR="006718EE" w:rsidRPr="00E846A1">
        <w:t>Facilitating the consideration of a wide range of topics relevant to averting, minimizing and addressing loss and damage approaches, including but not limited to current and future impacts, priorities, and actions related to averting, minimizing and addressing loss and damage pursuant to decisions 3/CP.18 and 2/CP.19, the areas referred to in Article 8, paragraph 4, of the Paris Agreement and the strategic workstreams of the five-year rolling workplan of the Executive Committee;</w:t>
      </w:r>
    </w:p>
    <w:p w14:paraId="3281A951" w14:textId="49638F25" w:rsidR="006718EE" w:rsidRPr="00E846A1" w:rsidRDefault="009E5AC3" w:rsidP="009E5AC3">
      <w:pPr>
        <w:pStyle w:val="RegSingleTxtG2"/>
        <w:numPr>
          <w:ilvl w:val="0"/>
          <w:numId w:val="0"/>
        </w:numPr>
        <w:tabs>
          <w:tab w:val="left" w:pos="1702"/>
        </w:tabs>
        <w:ind w:left="1134" w:firstLine="567"/>
      </w:pPr>
      <w:r w:rsidRPr="00E846A1">
        <w:rPr>
          <w:szCs w:val="28"/>
        </w:rPr>
        <w:t>(d)</w:t>
      </w:r>
      <w:r w:rsidRPr="00E846A1">
        <w:rPr>
          <w:szCs w:val="28"/>
        </w:rPr>
        <w:tab/>
      </w:r>
      <w:r w:rsidR="006718EE" w:rsidRPr="00E846A1">
        <w:t>Facilitating and catalysing collaboration, coordination, coherence and synergies to accelerate action by organizations, bodies, networks and experts, across communities of practices, and for them to deliver effective and efficient technical assistance to developing countries;</w:t>
      </w:r>
    </w:p>
    <w:p w14:paraId="33494737" w14:textId="77245F29" w:rsidR="006718EE" w:rsidRPr="00E846A1" w:rsidRDefault="009E5AC3" w:rsidP="009E5AC3">
      <w:pPr>
        <w:pStyle w:val="RegSingleTxtG2"/>
        <w:numPr>
          <w:ilvl w:val="0"/>
          <w:numId w:val="0"/>
        </w:numPr>
        <w:tabs>
          <w:tab w:val="left" w:pos="1702"/>
        </w:tabs>
        <w:ind w:left="1134" w:firstLine="567"/>
      </w:pPr>
      <w:r w:rsidRPr="00E846A1">
        <w:rPr>
          <w:szCs w:val="28"/>
        </w:rPr>
        <w:t>(e)</w:t>
      </w:r>
      <w:r w:rsidRPr="00E846A1">
        <w:rPr>
          <w:szCs w:val="28"/>
        </w:rPr>
        <w:tab/>
      </w:r>
      <w:r w:rsidR="006718EE" w:rsidRPr="00E846A1">
        <w:t>Facilitating the development, provision</w:t>
      </w:r>
      <w:r w:rsidR="006718EE" w:rsidRPr="00E846A1" w:rsidDel="00F03E11">
        <w:t xml:space="preserve"> </w:t>
      </w:r>
      <w:r w:rsidR="006718EE" w:rsidRPr="00E846A1">
        <w:t xml:space="preserve">and dissemination of, and access to, knowledge and information on averting, minimizing and addressing loss and damage, including comprehensive risk management approaches, at the regional, national and local level; </w:t>
      </w:r>
    </w:p>
    <w:p w14:paraId="1D3DEB10" w14:textId="42DB6E54" w:rsidR="006718EE" w:rsidRPr="00E846A1" w:rsidRDefault="009E5AC3" w:rsidP="009E5AC3">
      <w:pPr>
        <w:pStyle w:val="RegSingleTxtG2"/>
        <w:numPr>
          <w:ilvl w:val="0"/>
          <w:numId w:val="0"/>
        </w:numPr>
        <w:tabs>
          <w:tab w:val="left" w:pos="1702"/>
        </w:tabs>
        <w:ind w:left="1134" w:firstLine="567"/>
      </w:pPr>
      <w:r w:rsidRPr="00E846A1">
        <w:rPr>
          <w:szCs w:val="28"/>
        </w:rPr>
        <w:t>(f)</w:t>
      </w:r>
      <w:r w:rsidRPr="00E846A1">
        <w:rPr>
          <w:szCs w:val="28"/>
        </w:rPr>
        <w:tab/>
      </w:r>
      <w:r w:rsidR="006718EE" w:rsidRPr="00E846A1">
        <w:t xml:space="preserve">Facilitating, </w:t>
      </w:r>
      <w:r w:rsidR="00784575">
        <w:t>through</w:t>
      </w:r>
      <w:r w:rsidR="00784575" w:rsidRPr="00E846A1">
        <w:t xml:space="preserve"> </w:t>
      </w:r>
      <w:r w:rsidR="006718EE" w:rsidRPr="00E846A1">
        <w:t>catalysing technical assistance of organizations, bodies, networks and experts, access to action and support (finance, technology and capacity</w:t>
      </w:r>
      <w:r w:rsidR="00735A24">
        <w:t>-</w:t>
      </w:r>
      <w:r w:rsidR="006718EE" w:rsidRPr="00E846A1">
        <w:t>building)</w:t>
      </w:r>
      <w:r w:rsidR="00157245">
        <w:t>,</w:t>
      </w:r>
      <w:r w:rsidR="006718EE" w:rsidRPr="00E846A1">
        <w:t xml:space="preserve"> under and outside the Convention and the Paris Agreement, relevant to averting, minimi</w:t>
      </w:r>
      <w:r w:rsidR="007E0051">
        <w:t>z</w:t>
      </w:r>
      <w:r w:rsidR="006718EE" w:rsidRPr="00E846A1">
        <w:t>ing and addressing loss and damage associated with the adverse effects of climate change, including urgent and timely responses to the impacts of climate change;</w:t>
      </w:r>
    </w:p>
    <w:p w14:paraId="6B6F95BC" w14:textId="7A8E5EE5" w:rsidR="006718EE" w:rsidRPr="00E846A1" w:rsidRDefault="009E5AC3" w:rsidP="009E5AC3">
      <w:pPr>
        <w:pStyle w:val="RegSingleTxtG"/>
        <w:numPr>
          <w:ilvl w:val="0"/>
          <w:numId w:val="0"/>
        </w:numPr>
        <w:ind w:left="1134"/>
      </w:pPr>
      <w:r w:rsidRPr="00E846A1">
        <w:t>10.</w:t>
      </w:r>
      <w:r w:rsidRPr="00E846A1">
        <w:tab/>
      </w:r>
      <w:r w:rsidR="006718EE" w:rsidRPr="00E846A1">
        <w:rPr>
          <w:i/>
          <w:iCs/>
        </w:rPr>
        <w:t xml:space="preserve">Also decides </w:t>
      </w:r>
      <w:r w:rsidR="006718EE" w:rsidRPr="00E846A1">
        <w:t>to further develop the institutional arrangements of the Santiago network by:</w:t>
      </w:r>
    </w:p>
    <w:p w14:paraId="32D02DBB" w14:textId="6009FF27"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Inviting</w:t>
      </w:r>
      <w:r w:rsidR="006718EE" w:rsidRPr="00C571AC">
        <w:t xml:space="preserve"> </w:t>
      </w:r>
      <w:r w:rsidR="006718EE" w:rsidRPr="00E846A1">
        <w:t>Parties and relevant organizations to submit via the submission portal</w:t>
      </w:r>
      <w:r w:rsidR="006718EE" w:rsidRPr="00E846A1">
        <w:rPr>
          <w:sz w:val="18"/>
          <w:vertAlign w:val="superscript"/>
        </w:rPr>
        <w:footnoteReference w:id="55"/>
      </w:r>
      <w:r w:rsidR="006718EE" w:rsidRPr="00035CCB">
        <w:rPr>
          <w:sz w:val="22"/>
          <w:szCs w:val="22"/>
        </w:rPr>
        <w:t xml:space="preserve"> </w:t>
      </w:r>
      <w:r w:rsidR="006718EE" w:rsidRPr="00E846A1">
        <w:t>by 15 March 2022</w:t>
      </w:r>
      <w:r w:rsidR="006718EE" w:rsidRPr="00035CCB">
        <w:rPr>
          <w:sz w:val="21"/>
          <w:szCs w:val="22"/>
        </w:rPr>
        <w:t xml:space="preserve"> </w:t>
      </w:r>
      <w:r w:rsidR="006718EE" w:rsidRPr="00E846A1">
        <w:t>their views on the following aspects of the Santiago network:</w:t>
      </w:r>
    </w:p>
    <w:p w14:paraId="77773014" w14:textId="65469689" w:rsidR="006718EE" w:rsidRPr="00E846A1" w:rsidRDefault="009E5AC3" w:rsidP="009E5AC3">
      <w:pPr>
        <w:pStyle w:val="RegSingleTxtG3"/>
        <w:numPr>
          <w:ilvl w:val="0"/>
          <w:numId w:val="0"/>
        </w:numPr>
        <w:ind w:left="1701"/>
      </w:pPr>
      <w:r w:rsidRPr="00E846A1">
        <w:t>(i)</w:t>
      </w:r>
      <w:r w:rsidRPr="00E846A1">
        <w:tab/>
      </w:r>
      <w:r w:rsidR="006718EE" w:rsidRPr="00E846A1">
        <w:t>Operational modalities;</w:t>
      </w:r>
    </w:p>
    <w:p w14:paraId="327C649B" w14:textId="3C6E0F1D" w:rsidR="006718EE" w:rsidRPr="00E846A1" w:rsidRDefault="009E5AC3" w:rsidP="009E5AC3">
      <w:pPr>
        <w:pStyle w:val="RegSingleTxtG3"/>
        <w:numPr>
          <w:ilvl w:val="0"/>
          <w:numId w:val="0"/>
        </w:numPr>
        <w:ind w:left="1701"/>
      </w:pPr>
      <w:r w:rsidRPr="00E846A1">
        <w:t>(ii)</w:t>
      </w:r>
      <w:r w:rsidRPr="00E846A1">
        <w:tab/>
      </w:r>
      <w:r w:rsidR="006718EE" w:rsidRPr="00E846A1">
        <w:t>Structure;</w:t>
      </w:r>
    </w:p>
    <w:p w14:paraId="692C532A" w14:textId="27F6A6E9" w:rsidR="006718EE" w:rsidRPr="00E846A1" w:rsidRDefault="009E5AC3" w:rsidP="009E5AC3">
      <w:pPr>
        <w:pStyle w:val="RegSingleTxtG3"/>
        <w:numPr>
          <w:ilvl w:val="0"/>
          <w:numId w:val="0"/>
        </w:numPr>
        <w:ind w:left="1701"/>
      </w:pPr>
      <w:r w:rsidRPr="00E846A1">
        <w:t>(iii)</w:t>
      </w:r>
      <w:r w:rsidRPr="00E846A1">
        <w:tab/>
      </w:r>
      <w:r w:rsidR="006718EE" w:rsidRPr="00E846A1">
        <w:t>The role of the Executive Committee and its expert groups, task force and technical expert group;</w:t>
      </w:r>
    </w:p>
    <w:p w14:paraId="647F6FB0" w14:textId="0F1807F9" w:rsidR="006718EE" w:rsidRPr="00E846A1" w:rsidRDefault="009E5AC3" w:rsidP="009E5AC3">
      <w:pPr>
        <w:pStyle w:val="RegSingleTxtG3"/>
        <w:numPr>
          <w:ilvl w:val="0"/>
          <w:numId w:val="0"/>
        </w:numPr>
        <w:ind w:left="1701"/>
      </w:pPr>
      <w:r w:rsidRPr="00E846A1">
        <w:t>(iv)</w:t>
      </w:r>
      <w:r w:rsidRPr="00E846A1">
        <w:tab/>
      </w:r>
      <w:r w:rsidR="006718EE" w:rsidRPr="00E846A1">
        <w:t>The role of loss and damage contact points and other relevant stakeholders at the subnational, national and regional level;</w:t>
      </w:r>
    </w:p>
    <w:p w14:paraId="07EC8F54" w14:textId="60CF630E" w:rsidR="006718EE" w:rsidRPr="00E846A1" w:rsidRDefault="009E5AC3" w:rsidP="009E5AC3">
      <w:pPr>
        <w:pStyle w:val="RegSingleTxtG3"/>
        <w:numPr>
          <w:ilvl w:val="0"/>
          <w:numId w:val="0"/>
        </w:numPr>
        <w:ind w:left="1701"/>
      </w:pPr>
      <w:r w:rsidRPr="00E846A1">
        <w:t>(v)</w:t>
      </w:r>
      <w:r w:rsidRPr="00E846A1">
        <w:tab/>
      </w:r>
      <w:r w:rsidR="006718EE" w:rsidRPr="00E846A1">
        <w:t xml:space="preserve">Possible elements for the terms of reference of a potential convening or coordinating body that may provide secretarial services to facilitate work under the Santiago network; </w:t>
      </w:r>
    </w:p>
    <w:p w14:paraId="19433B92" w14:textId="2F86C8BA"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Requesting the secretariat to organize a technical workshop</w:t>
      </w:r>
      <w:r w:rsidR="006718EE" w:rsidRPr="00E846A1">
        <w:rPr>
          <w:sz w:val="18"/>
          <w:vertAlign w:val="superscript"/>
        </w:rPr>
        <w:footnoteReference w:id="56"/>
      </w:r>
      <w:r w:rsidR="006718EE" w:rsidRPr="00E846A1">
        <w:t xml:space="preserve"> prior to the</w:t>
      </w:r>
      <w:r w:rsidR="006718EE" w:rsidRPr="00C571AC">
        <w:t xml:space="preserve"> </w:t>
      </w:r>
      <w:r w:rsidR="006718EE" w:rsidRPr="00E846A1">
        <w:t>fifty-sixth sessions of the subsidiary bodies</w:t>
      </w:r>
      <w:r w:rsidR="00532259">
        <w:t xml:space="preserve"> (June 2022)</w:t>
      </w:r>
      <w:r w:rsidR="006718EE" w:rsidRPr="00E846A1">
        <w:t>, under the guidance of the Chairs of those bodies, with inputs from the Executive Committee and the participation of Parties and relevant organizations, bodies, networks and experts, to elaborate on the submissions referred to in paragraph 10(a) above;</w:t>
      </w:r>
    </w:p>
    <w:p w14:paraId="43511067" w14:textId="68E4E089" w:rsidR="006718EE" w:rsidRPr="00E846A1" w:rsidRDefault="009E5AC3" w:rsidP="009E5AC3">
      <w:pPr>
        <w:pStyle w:val="RegSingleTxtG2"/>
        <w:numPr>
          <w:ilvl w:val="0"/>
          <w:numId w:val="0"/>
        </w:numPr>
        <w:tabs>
          <w:tab w:val="left" w:pos="1702"/>
        </w:tabs>
        <w:ind w:left="1134" w:firstLine="567"/>
      </w:pPr>
      <w:r w:rsidRPr="00E846A1">
        <w:rPr>
          <w:szCs w:val="28"/>
        </w:rPr>
        <w:lastRenderedPageBreak/>
        <w:t>(c)</w:t>
      </w:r>
      <w:r w:rsidRPr="00E846A1">
        <w:rPr>
          <w:szCs w:val="28"/>
        </w:rPr>
        <w:tab/>
      </w:r>
      <w:r w:rsidR="006718EE" w:rsidRPr="00E846A1">
        <w:t>Requesting the Subsidiary Body for Scientific and Technological Advice and the Subsidiary Body for Implementation, at their fifty-sixth sessions, to consider the submissions referred to in paragraph 10(a) above and the discussions at the technical workshop referred to in paragraph 10(b) above with a view to providing recommendations for consideration and adoption by the governing body at its next session or the governing bodies at their next session</w:t>
      </w:r>
      <w:r w:rsidR="00EC652E">
        <w:t>s</w:t>
      </w:r>
      <w:r w:rsidR="006718EE" w:rsidRPr="00E846A1">
        <w:t>;</w:t>
      </w:r>
    </w:p>
    <w:p w14:paraId="17EF1A62" w14:textId="6A6E3B3E" w:rsidR="006718EE" w:rsidRPr="00E846A1" w:rsidRDefault="009E5AC3" w:rsidP="009E5AC3">
      <w:pPr>
        <w:pStyle w:val="RegSingleTxtG"/>
        <w:numPr>
          <w:ilvl w:val="0"/>
          <w:numId w:val="0"/>
        </w:numPr>
        <w:ind w:left="1134"/>
      </w:pPr>
      <w:bookmarkStart w:id="27" w:name="_Hlk86787845"/>
      <w:r w:rsidRPr="00E846A1">
        <w:t>11.</w:t>
      </w:r>
      <w:r w:rsidRPr="00E846A1">
        <w:tab/>
      </w:r>
      <w:r w:rsidR="006718EE" w:rsidRPr="00E846A1">
        <w:rPr>
          <w:i/>
          <w:iCs/>
        </w:rPr>
        <w:t>Requests</w:t>
      </w:r>
      <w:r w:rsidR="006718EE" w:rsidRPr="00E846A1">
        <w:t xml:space="preserve"> the secretariat to continue providing support for developing countries that are particularly vulnerable to the adverse effects of climate change that may seek or wish to benefit from the technical assistance available from organizations, bodies, networks and experts under the Santiago network</w:t>
      </w:r>
      <w:r w:rsidR="00EC652E">
        <w:t>,</w:t>
      </w:r>
      <w:r w:rsidR="006718EE" w:rsidRPr="00E846A1">
        <w:t xml:space="preserve"> without prejudice to the outcomes of the consideration by the Subsidiary Body for Scientific and Technological Advice and the Subsidiary Body for Implementation of matters relating to the network;</w:t>
      </w:r>
    </w:p>
    <w:bookmarkEnd w:id="27"/>
    <w:p w14:paraId="4AD3E8B5" w14:textId="7A13F36B" w:rsidR="006718EE" w:rsidRPr="00E846A1" w:rsidRDefault="009E5AC3" w:rsidP="009E5AC3">
      <w:pPr>
        <w:pStyle w:val="RegSingleTxtG"/>
        <w:numPr>
          <w:ilvl w:val="0"/>
          <w:numId w:val="0"/>
        </w:numPr>
        <w:ind w:left="1134"/>
      </w:pPr>
      <w:r w:rsidRPr="00E846A1">
        <w:t>12.</w:t>
      </w:r>
      <w:r w:rsidRPr="00E846A1">
        <w:tab/>
      </w:r>
      <w:r w:rsidR="006718EE" w:rsidRPr="00E846A1">
        <w:rPr>
          <w:i/>
        </w:rPr>
        <w:t>Encourages</w:t>
      </w:r>
      <w:r w:rsidR="006718EE" w:rsidRPr="00E846A1">
        <w:t xml:space="preserve">, recognizing the urgent need </w:t>
      </w:r>
      <w:r w:rsidR="00FB025A">
        <w:t xml:space="preserve">for </w:t>
      </w:r>
      <w:r w:rsidR="006718EE" w:rsidRPr="00E846A1">
        <w:t>scal</w:t>
      </w:r>
      <w:r w:rsidR="000E03E9">
        <w:t>ing</w:t>
      </w:r>
      <w:r w:rsidR="00154BB6">
        <w:t>-</w:t>
      </w:r>
      <w:r w:rsidR="006718EE" w:rsidRPr="00E846A1">
        <w:t>up action and support, as appropriate, including finance, technology and capacity-building, for the implementation of relevant approaches</w:t>
      </w:r>
      <w:r w:rsidR="006718EE" w:rsidRPr="00E846A1">
        <w:rPr>
          <w:sz w:val="18"/>
          <w:vertAlign w:val="superscript"/>
        </w:rPr>
        <w:footnoteReference w:id="57"/>
      </w:r>
      <w:r w:rsidR="006718EE" w:rsidRPr="00E846A1">
        <w:t xml:space="preserve"> to averting, minimizing and addressing loss and damage in developing countries that are particularly vulnerable to the adverse effects of climate change, the Executive Committee, on the basis of its recommendation</w:t>
      </w:r>
      <w:r w:rsidR="00E01FF2">
        <w:t>s</w:t>
      </w:r>
      <w:r w:rsidR="006718EE" w:rsidRPr="00E846A1">
        <w:t>, to:</w:t>
      </w:r>
    </w:p>
    <w:p w14:paraId="3E93500E" w14:textId="27260ED6" w:rsidR="006718EE" w:rsidRPr="00E846A1" w:rsidRDefault="009E5AC3" w:rsidP="009E5AC3">
      <w:pPr>
        <w:pStyle w:val="RegSingleTxtG2"/>
        <w:numPr>
          <w:ilvl w:val="0"/>
          <w:numId w:val="0"/>
        </w:numPr>
        <w:tabs>
          <w:tab w:val="left" w:pos="1702"/>
        </w:tabs>
        <w:ind w:left="1134" w:firstLine="567"/>
      </w:pPr>
      <w:r w:rsidRPr="00E846A1">
        <w:rPr>
          <w:szCs w:val="28"/>
        </w:rPr>
        <w:t>(a)</w:t>
      </w:r>
      <w:r w:rsidRPr="00E846A1">
        <w:rPr>
          <w:szCs w:val="28"/>
        </w:rPr>
        <w:tab/>
      </w:r>
      <w:r w:rsidR="006718EE" w:rsidRPr="00E846A1">
        <w:t>Continue engaging and strengthening its dialogue with the Standing Committee on Finance,</w:t>
      </w:r>
      <w:r w:rsidR="006718EE" w:rsidRPr="00E846A1">
        <w:rPr>
          <w:b/>
          <w:bCs/>
        </w:rPr>
        <w:t xml:space="preserve"> </w:t>
      </w:r>
      <w:r w:rsidR="006718EE" w:rsidRPr="00E846A1">
        <w:t>including by providing input to the Standing Committee on Finance when, in accordance with its mandate, it provides information, recommendations and draft guidance relating to the operating entities of the Financial Mechanism, as appropriate;</w:t>
      </w:r>
    </w:p>
    <w:p w14:paraId="3472FCEF" w14:textId="1AE3905D" w:rsidR="006718EE" w:rsidRPr="00E846A1" w:rsidRDefault="009E5AC3" w:rsidP="009E5AC3">
      <w:pPr>
        <w:pStyle w:val="RegSingleTxtG2"/>
        <w:numPr>
          <w:ilvl w:val="0"/>
          <w:numId w:val="0"/>
        </w:numPr>
        <w:tabs>
          <w:tab w:val="left" w:pos="1702"/>
        </w:tabs>
        <w:ind w:left="1134" w:firstLine="567"/>
      </w:pPr>
      <w:r w:rsidRPr="00E846A1">
        <w:rPr>
          <w:szCs w:val="28"/>
        </w:rPr>
        <w:t>(b)</w:t>
      </w:r>
      <w:r w:rsidRPr="00E846A1">
        <w:rPr>
          <w:szCs w:val="28"/>
        </w:rPr>
        <w:tab/>
      </w:r>
      <w:r w:rsidR="006718EE" w:rsidRPr="00E846A1">
        <w:t>Commence, continue and/or explore potential ways to enhance, as appropriate, collaboration with the operating entities of the Financial Mechanism to inform the work of the Executive Committee and its expert group on action and support;</w:t>
      </w:r>
    </w:p>
    <w:p w14:paraId="3A5E1A1E" w14:textId="43186B92" w:rsidR="006718EE" w:rsidRPr="00E846A1" w:rsidRDefault="009E5AC3" w:rsidP="009E5AC3">
      <w:pPr>
        <w:pStyle w:val="RegSingleTxtG"/>
        <w:numPr>
          <w:ilvl w:val="0"/>
          <w:numId w:val="0"/>
        </w:numPr>
        <w:ind w:left="1134"/>
      </w:pPr>
      <w:r w:rsidRPr="00E846A1">
        <w:t>13.</w:t>
      </w:r>
      <w:r w:rsidRPr="00E846A1">
        <w:tab/>
      </w:r>
      <w:r w:rsidR="006718EE" w:rsidRPr="00E846A1">
        <w:rPr>
          <w:i/>
          <w:iCs/>
          <w:color w:val="000000"/>
          <w:szCs w:val="24"/>
        </w:rPr>
        <w:t>Not</w:t>
      </w:r>
      <w:r w:rsidR="006718EE" w:rsidRPr="00C571AC">
        <w:rPr>
          <w:i/>
          <w:color w:val="000000"/>
          <w:szCs w:val="24"/>
        </w:rPr>
        <w:t xml:space="preserve">es </w:t>
      </w:r>
      <w:r w:rsidR="006718EE" w:rsidRPr="00E846A1">
        <w:rPr>
          <w:color w:val="000000"/>
          <w:szCs w:val="24"/>
        </w:rPr>
        <w:t>that considerations related to the governance of the Warsaw International Mechanism will continue at its fourth session (</w:t>
      </w:r>
      <w:r w:rsidR="006718EE" w:rsidRPr="00035CCB">
        <w:t>November</w:t>
      </w:r>
      <w:r w:rsidR="006718EE" w:rsidRPr="00E846A1">
        <w:rPr>
          <w:color w:val="000000"/>
          <w:szCs w:val="24"/>
        </w:rPr>
        <w:t xml:space="preserve"> 2022)</w:t>
      </w:r>
      <w:r w:rsidR="006718EE" w:rsidRPr="00E846A1">
        <w:t>;</w:t>
      </w:r>
      <w:r w:rsidR="006718EE" w:rsidRPr="00E846A1">
        <w:rPr>
          <w:sz w:val="18"/>
          <w:vertAlign w:val="superscript"/>
        </w:rPr>
        <w:footnoteReference w:id="58"/>
      </w:r>
    </w:p>
    <w:p w14:paraId="471CBAB4" w14:textId="0D48F62A" w:rsidR="006718EE" w:rsidRDefault="009E5AC3" w:rsidP="009E5AC3">
      <w:pPr>
        <w:pStyle w:val="RegSingleTxtG"/>
        <w:numPr>
          <w:ilvl w:val="0"/>
          <w:numId w:val="0"/>
        </w:numPr>
        <w:ind w:left="1134"/>
      </w:pPr>
      <w:r>
        <w:t>14.</w:t>
      </w:r>
      <w:r>
        <w:tab/>
      </w:r>
      <w:r w:rsidR="006718EE" w:rsidRPr="00E846A1">
        <w:rPr>
          <w:i/>
        </w:rPr>
        <w:t>Takes note</w:t>
      </w:r>
      <w:r w:rsidR="006718EE" w:rsidRPr="00E846A1">
        <w:t xml:space="preserve"> of the estimated budgetary implications of the activities to be undertaken by the secretariat referred to in this decision;</w:t>
      </w:r>
    </w:p>
    <w:p w14:paraId="34336202" w14:textId="5D57D310" w:rsidR="006718EE" w:rsidRPr="00C571AC" w:rsidRDefault="009E5AC3" w:rsidP="009E5AC3">
      <w:pPr>
        <w:pStyle w:val="RegSingleTxtG"/>
        <w:numPr>
          <w:ilvl w:val="0"/>
          <w:numId w:val="0"/>
        </w:numPr>
        <w:ind w:left="1134"/>
      </w:pPr>
      <w:r w:rsidRPr="00C571AC">
        <w:t>15.</w:t>
      </w:r>
      <w:r w:rsidRPr="00C571AC">
        <w:tab/>
      </w:r>
      <w:r w:rsidR="006718EE" w:rsidRPr="00A41121">
        <w:rPr>
          <w:i/>
        </w:rPr>
        <w:t xml:space="preserve">Requests </w:t>
      </w:r>
      <w:r w:rsidR="006718EE" w:rsidRPr="006B0309">
        <w:t>that the actions of the secretariat called for in this decision be undertaken subject to the availability of financial resources</w:t>
      </w:r>
      <w:r w:rsidR="00892EFA" w:rsidRPr="00C571AC">
        <w:t>.</w:t>
      </w:r>
      <w:r w:rsidR="006718EE" w:rsidRPr="00C571AC">
        <w:t xml:space="preserve"> </w:t>
      </w:r>
    </w:p>
    <w:p w14:paraId="0EA96053" w14:textId="40A9775D" w:rsidR="00E33FA4" w:rsidRDefault="00E33FA4" w:rsidP="00E33FA4">
      <w:pPr>
        <w:spacing w:before="240"/>
        <w:ind w:left="1134" w:right="1134"/>
        <w:jc w:val="right"/>
        <w:rPr>
          <w:i/>
        </w:rPr>
        <w:sectPr w:rsidR="00E33FA4" w:rsidSect="00265564">
          <w:headerReference w:type="even" r:id="rId70"/>
          <w:headerReference w:type="default" r:id="rId71"/>
          <w:footerReference w:type="even" r:id="rId72"/>
          <w:footerReference w:type="default" r:id="rId73"/>
          <w:footnotePr>
            <w:numRestart w:val="eachSect"/>
          </w:footnotePr>
          <w:pgSz w:w="11906" w:h="16838" w:code="9"/>
          <w:pgMar w:top="1417" w:right="1134" w:bottom="1134" w:left="1134" w:header="850" w:footer="567" w:gutter="0"/>
          <w:cols w:space="708"/>
          <w:docGrid w:linePitch="360"/>
        </w:sectPr>
      </w:pPr>
      <w:r>
        <w:rPr>
          <w:i/>
        </w:rPr>
        <w:t>12</w:t>
      </w:r>
      <w:r w:rsidRPr="00382975">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7135F633" w14:textId="6823447F" w:rsidR="00135F63" w:rsidRDefault="00135F63" w:rsidP="009E5AC3">
      <w:pPr>
        <w:pStyle w:val="RegHChG"/>
        <w:numPr>
          <w:ilvl w:val="0"/>
          <w:numId w:val="0"/>
        </w:numPr>
        <w:spacing w:before="120"/>
        <w:ind w:left="1134" w:hanging="454"/>
      </w:pPr>
      <w:bookmarkStart w:id="28" w:name="Decision20"/>
      <w:r>
        <w:lastRenderedPageBreak/>
        <w:t xml:space="preserve">Decision </w:t>
      </w:r>
      <w:r w:rsidR="00CC0FC8">
        <w:t>20</w:t>
      </w:r>
      <w:r>
        <w:t>/CMA.3</w:t>
      </w:r>
    </w:p>
    <w:bookmarkEnd w:id="28"/>
    <w:p w14:paraId="3E32FAB6" w14:textId="0D05BBAC" w:rsidR="00135F63" w:rsidRDefault="00CC0FC8" w:rsidP="009E5AC3">
      <w:pPr>
        <w:pStyle w:val="RegHChG"/>
        <w:numPr>
          <w:ilvl w:val="0"/>
          <w:numId w:val="0"/>
        </w:numPr>
        <w:ind w:left="1135" w:hanging="454"/>
      </w:pPr>
      <w:r>
        <w:t>Modalities and procedures for the operation and use of a public registry referred to in Article 4, paragraph 12, of the Paris Agreement</w:t>
      </w:r>
    </w:p>
    <w:p w14:paraId="28899403" w14:textId="180B6D5C" w:rsidR="00F837AD" w:rsidRPr="00C720DC" w:rsidRDefault="00F837AD" w:rsidP="00F837AD">
      <w:pPr>
        <w:pStyle w:val="RegSingleTxtG"/>
        <w:numPr>
          <w:ilvl w:val="0"/>
          <w:numId w:val="0"/>
        </w:numPr>
        <w:ind w:left="1134" w:right="1133"/>
        <w:rPr>
          <w:i/>
        </w:rPr>
      </w:pPr>
      <w:r>
        <w:rPr>
          <w:i/>
          <w:color w:val="000000"/>
        </w:rPr>
        <w:tab/>
      </w:r>
      <w:r w:rsidRPr="00C720DC" w:rsidDel="00673F06">
        <w:rPr>
          <w:i/>
          <w:color w:val="000000"/>
        </w:rPr>
        <w:t>The</w:t>
      </w:r>
      <w:r w:rsidRPr="00C720DC" w:rsidDel="00673F06">
        <w:rPr>
          <w:i/>
        </w:rPr>
        <w:t xml:space="preserve"> Conference of the Parties serving as the meeting of the Parties to the Paris Agreement</w:t>
      </w:r>
      <w:r w:rsidRPr="0000685E" w:rsidDel="00673F06">
        <w:t>,</w:t>
      </w:r>
    </w:p>
    <w:p w14:paraId="40FFF1AF" w14:textId="18C51F8B" w:rsidR="00F837AD" w:rsidRDefault="009E5AC3" w:rsidP="009E5AC3">
      <w:pPr>
        <w:pStyle w:val="RegSingleTxtG"/>
        <w:numPr>
          <w:ilvl w:val="0"/>
          <w:numId w:val="0"/>
        </w:numPr>
        <w:ind w:left="1134"/>
      </w:pPr>
      <w:r>
        <w:t>1.</w:t>
      </w:r>
      <w:r>
        <w:tab/>
      </w:r>
      <w:r w:rsidR="00F837AD" w:rsidRPr="00DD3B30">
        <w:rPr>
          <w:i/>
        </w:rPr>
        <w:t>Notes</w:t>
      </w:r>
      <w:r w:rsidR="00F837AD">
        <w:t xml:space="preserve"> </w:t>
      </w:r>
      <w:r w:rsidR="00F837AD" w:rsidRPr="00DD3B30">
        <w:rPr>
          <w:i/>
        </w:rPr>
        <w:t>with appreciation</w:t>
      </w:r>
      <w:r w:rsidR="00F837AD">
        <w:t xml:space="preserve"> the efforts of the secretariat to develop a prototype of the public registry referred to in Article 4, paragraph 12, of the Paris Agreement (hereinafter referred to as the prototype);</w:t>
      </w:r>
    </w:p>
    <w:p w14:paraId="35E7A210" w14:textId="7F6675E0" w:rsidR="00F837AD" w:rsidRDefault="009E5AC3" w:rsidP="009E5AC3">
      <w:pPr>
        <w:pStyle w:val="RegSingleTxtG"/>
        <w:numPr>
          <w:ilvl w:val="0"/>
          <w:numId w:val="0"/>
        </w:numPr>
        <w:ind w:left="1134"/>
      </w:pPr>
      <w:r>
        <w:t>2.</w:t>
      </w:r>
      <w:r>
        <w:tab/>
      </w:r>
      <w:r w:rsidR="00966564">
        <w:rPr>
          <w:i/>
        </w:rPr>
        <w:t>Concludes</w:t>
      </w:r>
      <w:r w:rsidR="00966564" w:rsidRPr="00966564">
        <w:t>,</w:t>
      </w:r>
      <w:r w:rsidR="00966564" w:rsidRPr="00C571AC">
        <w:t xml:space="preserve"> </w:t>
      </w:r>
      <w:r w:rsidR="00966564" w:rsidRPr="002B7ACB">
        <w:t>h</w:t>
      </w:r>
      <w:r w:rsidR="00F837AD" w:rsidRPr="002B7ACB">
        <w:t>aving considered</w:t>
      </w:r>
      <w:r w:rsidR="00F837AD" w:rsidRPr="00C571AC">
        <w:t xml:space="preserve"> </w:t>
      </w:r>
      <w:r w:rsidR="00F837AD">
        <w:t>the prototype presented to and amended by Parties at this session, that the prototype conforms with the modalities and procedures contained in decision 5/CMA.1 and will serve as the public registry referred to in Article 4, paragraph 12, of the Paris Agreement;</w:t>
      </w:r>
    </w:p>
    <w:p w14:paraId="12411156" w14:textId="04745ED3" w:rsidR="00F837AD" w:rsidRDefault="009E5AC3" w:rsidP="009E5AC3">
      <w:pPr>
        <w:pStyle w:val="RegSingleTxtG"/>
        <w:numPr>
          <w:ilvl w:val="0"/>
          <w:numId w:val="0"/>
        </w:numPr>
        <w:ind w:left="1134"/>
      </w:pPr>
      <w:r>
        <w:t>3.</w:t>
      </w:r>
      <w:r>
        <w:tab/>
      </w:r>
      <w:r w:rsidR="00F837AD" w:rsidRPr="00F63A44">
        <w:rPr>
          <w:i/>
          <w:iCs/>
        </w:rPr>
        <w:t>Requests</w:t>
      </w:r>
      <w:r w:rsidR="00F837AD">
        <w:rPr>
          <w:iCs/>
        </w:rPr>
        <w:t xml:space="preserve"> the</w:t>
      </w:r>
      <w:r w:rsidR="00F837AD">
        <w:t xml:space="preserve"> secretariat to adopt the prototype as the public registry and finalize its implementation, verify with Parties the name of the Party, document title, document file type, version number, status, language and date of submission, as referred to in paragraph 1(a) of the annex to decision 5/CMA.1</w:t>
      </w:r>
      <w:r w:rsidR="008B4EB4">
        <w:t>,</w:t>
      </w:r>
      <w:r w:rsidR="00F837AD">
        <w:t xml:space="preserve"> and make the registry available for use by 1 June 2022.</w:t>
      </w:r>
    </w:p>
    <w:p w14:paraId="632DDF24" w14:textId="0BFCDDF9" w:rsidR="0020326E" w:rsidRDefault="0020326E" w:rsidP="0020326E">
      <w:pPr>
        <w:spacing w:before="240"/>
        <w:ind w:left="1134" w:right="1134"/>
        <w:jc w:val="right"/>
        <w:rPr>
          <w:i/>
        </w:rPr>
        <w:sectPr w:rsidR="0020326E" w:rsidSect="00265564">
          <w:headerReference w:type="even" r:id="rId74"/>
          <w:headerReference w:type="default" r:id="rId75"/>
          <w:footerReference w:type="even" r:id="rId76"/>
          <w:footerReference w:type="default" r:id="rId77"/>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6B21485A" w14:textId="18F681EF" w:rsidR="00834E23" w:rsidRDefault="00834E23" w:rsidP="009E5AC3">
      <w:pPr>
        <w:pStyle w:val="RegHChG"/>
        <w:numPr>
          <w:ilvl w:val="0"/>
          <w:numId w:val="0"/>
        </w:numPr>
        <w:spacing w:before="120"/>
        <w:ind w:left="1134" w:hanging="454"/>
      </w:pPr>
      <w:bookmarkStart w:id="29" w:name="Decision21"/>
      <w:r>
        <w:lastRenderedPageBreak/>
        <w:t>Decision 21/CMA.3</w:t>
      </w:r>
    </w:p>
    <w:bookmarkEnd w:id="29"/>
    <w:p w14:paraId="76E1838D" w14:textId="06ED2391" w:rsidR="00834E23" w:rsidRDefault="00834E23" w:rsidP="009E5AC3">
      <w:pPr>
        <w:pStyle w:val="RegHChG"/>
        <w:numPr>
          <w:ilvl w:val="0"/>
          <w:numId w:val="0"/>
        </w:numPr>
        <w:ind w:left="1135" w:hanging="454"/>
      </w:pPr>
      <w:r>
        <w:t>Modalities and procedures for the operation and use of a public registry referred to in Article 7, paragraph 12, of the Paris Agreement</w:t>
      </w:r>
    </w:p>
    <w:p w14:paraId="7AB6722D" w14:textId="1FF3DA30" w:rsidR="00162CD4" w:rsidRPr="00C720DC" w:rsidRDefault="00162CD4" w:rsidP="00162CD4">
      <w:pPr>
        <w:pStyle w:val="RegSingleTxtG"/>
        <w:numPr>
          <w:ilvl w:val="0"/>
          <w:numId w:val="0"/>
        </w:numPr>
        <w:ind w:left="1134" w:right="1133"/>
        <w:rPr>
          <w:i/>
        </w:rPr>
      </w:pPr>
      <w:r w:rsidRPr="00C571AC">
        <w:rPr>
          <w:i/>
        </w:rPr>
        <w:tab/>
        <w:t xml:space="preserve">The </w:t>
      </w:r>
      <w:r w:rsidRPr="00C720DC" w:rsidDel="00673F06">
        <w:rPr>
          <w:i/>
        </w:rPr>
        <w:t>Conference of the Parties serving as the meeting of the Parties to the Paris Agreement</w:t>
      </w:r>
      <w:r w:rsidRPr="0000685E" w:rsidDel="00673F06">
        <w:t>,</w:t>
      </w:r>
    </w:p>
    <w:p w14:paraId="44471EBC" w14:textId="596B4CF6" w:rsidR="00162CD4" w:rsidRDefault="009E5AC3" w:rsidP="009E5AC3">
      <w:pPr>
        <w:pStyle w:val="RegSingleTxtG"/>
        <w:numPr>
          <w:ilvl w:val="0"/>
          <w:numId w:val="0"/>
        </w:numPr>
        <w:ind w:left="1134"/>
      </w:pPr>
      <w:r>
        <w:t>1.</w:t>
      </w:r>
      <w:r>
        <w:tab/>
      </w:r>
      <w:r w:rsidR="00162CD4" w:rsidRPr="00162CD4">
        <w:rPr>
          <w:i/>
        </w:rPr>
        <w:t>Notes</w:t>
      </w:r>
      <w:r w:rsidR="00162CD4">
        <w:t xml:space="preserve"> </w:t>
      </w:r>
      <w:r w:rsidR="00162CD4" w:rsidRPr="00162CD4">
        <w:rPr>
          <w:i/>
        </w:rPr>
        <w:t>with appreciation</w:t>
      </w:r>
      <w:r w:rsidR="00162CD4">
        <w:t xml:space="preserve"> the efforts of the secretariat to develop a prototype of the public registry referred to in Article 7, paragraph 12, of the Paris Agreement (hereinafter referred to as the prototype);</w:t>
      </w:r>
    </w:p>
    <w:p w14:paraId="7772EBD5" w14:textId="3845661E" w:rsidR="00162CD4" w:rsidRDefault="009E5AC3" w:rsidP="009E5AC3">
      <w:pPr>
        <w:pStyle w:val="RegSingleTxtG"/>
        <w:numPr>
          <w:ilvl w:val="0"/>
          <w:numId w:val="0"/>
        </w:numPr>
        <w:ind w:left="1134"/>
      </w:pPr>
      <w:r>
        <w:t>2.</w:t>
      </w:r>
      <w:r>
        <w:tab/>
      </w:r>
      <w:r w:rsidR="00495D13" w:rsidRPr="00495D13">
        <w:rPr>
          <w:i/>
        </w:rPr>
        <w:t>Concludes</w:t>
      </w:r>
      <w:r w:rsidR="00495D13">
        <w:t>, h</w:t>
      </w:r>
      <w:r w:rsidR="00162CD4" w:rsidRPr="000F3A13">
        <w:t>aving considered</w:t>
      </w:r>
      <w:r w:rsidR="00162CD4" w:rsidRPr="00C8015C">
        <w:t xml:space="preserve"> </w:t>
      </w:r>
      <w:r w:rsidR="00162CD4">
        <w:t>the prototype presented to and amended by Parties at this session, that the prototype conforms with the modalities and procedures contained in decision 10/CMA.1 and will serve as the public registry referred to in Article 7, paragraph 12, of the Paris Agreement;</w:t>
      </w:r>
    </w:p>
    <w:p w14:paraId="0ECE4CE8" w14:textId="501E5F93" w:rsidR="00162CD4" w:rsidRDefault="009E5AC3" w:rsidP="009E5AC3">
      <w:pPr>
        <w:pStyle w:val="RegSingleTxtG"/>
        <w:numPr>
          <w:ilvl w:val="0"/>
          <w:numId w:val="0"/>
        </w:numPr>
        <w:ind w:left="1134"/>
      </w:pPr>
      <w:r>
        <w:t>3.</w:t>
      </w:r>
      <w:r>
        <w:tab/>
      </w:r>
      <w:r w:rsidR="00162CD4" w:rsidRPr="005D30F5">
        <w:rPr>
          <w:i/>
        </w:rPr>
        <w:t>Request</w:t>
      </w:r>
      <w:r w:rsidR="00162CD4">
        <w:rPr>
          <w:i/>
        </w:rPr>
        <w:t>s</w:t>
      </w:r>
      <w:r w:rsidR="00162CD4">
        <w:t xml:space="preserve"> the secretariat to adopt the prototype as the public registry and finalize its implementation, verify with Parties the name of the Party, document title, document type, hyperlinks to corresponding documents containing the adaptation communications,</w:t>
      </w:r>
      <w:r w:rsidR="00162CD4">
        <w:rPr>
          <w:rStyle w:val="FootnoteReference"/>
        </w:rPr>
        <w:footnoteReference w:id="59"/>
      </w:r>
      <w:r w:rsidR="00162CD4">
        <w:t xml:space="preserve"> version number, status, language and date of submission</w:t>
      </w:r>
      <w:r w:rsidR="006512A9">
        <w:t>,</w:t>
      </w:r>
      <w:r w:rsidR="00162CD4">
        <w:t xml:space="preserve"> as referred to in paragraph 1(a) of the annex to decision 10/CMA.1, and make the registry available for use by 1 June 2022.</w:t>
      </w:r>
    </w:p>
    <w:p w14:paraId="6D20DCEA" w14:textId="77777777" w:rsidR="009C2EB3" w:rsidRDefault="009C2EB3" w:rsidP="009C2EB3">
      <w:pPr>
        <w:spacing w:before="240"/>
        <w:ind w:left="1134" w:right="1134"/>
        <w:jc w:val="right"/>
        <w:rPr>
          <w:i/>
        </w:rPr>
        <w:sectPr w:rsidR="009C2EB3" w:rsidSect="00265564">
          <w:headerReference w:type="even" r:id="rId78"/>
          <w:headerReference w:type="default" r:id="rId79"/>
          <w:footerReference w:type="even" r:id="rId80"/>
          <w:footerReference w:type="default" r:id="rId81"/>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3458E9B" w14:textId="2436A97B" w:rsidR="009C2EB3" w:rsidRDefault="009C2EB3" w:rsidP="009E5AC3">
      <w:pPr>
        <w:pStyle w:val="RegHChG"/>
        <w:numPr>
          <w:ilvl w:val="0"/>
          <w:numId w:val="0"/>
        </w:numPr>
        <w:spacing w:before="120"/>
        <w:ind w:left="1134" w:hanging="454"/>
      </w:pPr>
      <w:bookmarkStart w:id="30" w:name="Decision22"/>
      <w:r>
        <w:lastRenderedPageBreak/>
        <w:t>Decision 22/CMA.3</w:t>
      </w:r>
    </w:p>
    <w:bookmarkEnd w:id="30"/>
    <w:p w14:paraId="3E7C9252" w14:textId="71212070" w:rsidR="009C2EB3" w:rsidRDefault="00FB3E47" w:rsidP="009E5AC3">
      <w:pPr>
        <w:pStyle w:val="RegHChG"/>
        <w:numPr>
          <w:ilvl w:val="0"/>
          <w:numId w:val="0"/>
        </w:numPr>
        <w:ind w:left="1135" w:hanging="454"/>
      </w:pPr>
      <w:r>
        <w:t>Glasgow work programme on Action for Climate Empowerment</w:t>
      </w:r>
    </w:p>
    <w:p w14:paraId="46E272A4" w14:textId="0FE5F03A" w:rsidR="00B361F7" w:rsidRPr="00C571AC" w:rsidRDefault="00B361F7" w:rsidP="00B361F7">
      <w:pPr>
        <w:pStyle w:val="SingleTxtG"/>
        <w:ind w:firstLine="567"/>
        <w:rPr>
          <w:i/>
        </w:rPr>
      </w:pPr>
      <w:r w:rsidRPr="00C571AC">
        <w:rPr>
          <w:i/>
        </w:rPr>
        <w:t>The Conference of the Parties serving as the meeting of the Parties to the Paris Agreement</w:t>
      </w:r>
      <w:r w:rsidRPr="00C571AC">
        <w:t>,</w:t>
      </w:r>
    </w:p>
    <w:p w14:paraId="7854E50D" w14:textId="77777777" w:rsidR="00B361F7" w:rsidRPr="003E0033" w:rsidRDefault="00B361F7" w:rsidP="00B361F7">
      <w:pPr>
        <w:spacing w:after="120"/>
        <w:ind w:left="1134" w:right="1133" w:firstLine="567"/>
        <w:jc w:val="both"/>
      </w:pPr>
      <w:r w:rsidRPr="003E0033">
        <w:rPr>
          <w:i/>
          <w:iCs/>
        </w:rPr>
        <w:t xml:space="preserve">Recalling </w:t>
      </w:r>
      <w:r w:rsidRPr="003E0033">
        <w:t>Articles 4 and 6 of the Convention and Article 12 of the Paris Agreement,</w:t>
      </w:r>
    </w:p>
    <w:p w14:paraId="6BE41E01" w14:textId="77777777" w:rsidR="00B361F7" w:rsidRPr="003E0033" w:rsidRDefault="00B361F7" w:rsidP="00B361F7">
      <w:pPr>
        <w:spacing w:after="120"/>
        <w:ind w:left="1134" w:right="1133" w:firstLine="567"/>
        <w:jc w:val="both"/>
      </w:pPr>
      <w:r w:rsidRPr="003E0033">
        <w:rPr>
          <w:i/>
          <w:iCs/>
        </w:rPr>
        <w:t xml:space="preserve">Also recalling </w:t>
      </w:r>
      <w:r w:rsidRPr="003E0033">
        <w:t>decisions 15/CP.18, 19/CP.20, 17/CP.22, 15/CP.25 and 17/CMA.1,</w:t>
      </w:r>
    </w:p>
    <w:p w14:paraId="295FF6FD" w14:textId="77777777" w:rsidR="00B361F7" w:rsidRPr="003E0033" w:rsidRDefault="00B361F7" w:rsidP="00B361F7">
      <w:pPr>
        <w:spacing w:after="120"/>
        <w:ind w:left="1134" w:right="1133" w:firstLine="567"/>
        <w:jc w:val="both"/>
      </w:pPr>
      <w:r w:rsidRPr="003E0033">
        <w:rPr>
          <w:i/>
          <w:iCs/>
        </w:rPr>
        <w:t xml:space="preserve">Further recalling </w:t>
      </w:r>
      <w:r w:rsidRPr="003E0033">
        <w:t>decisions 17/CP.22 and 17/CMA.1, in which it was decided that efforts related to implementing Article 6 of the Convention and Article 12 of the Paris Agreement should be referred to as Action for Climate Empowerment,</w:t>
      </w:r>
    </w:p>
    <w:p w14:paraId="61930DAB" w14:textId="77777777" w:rsidR="00B361F7" w:rsidRPr="003E0033" w:rsidRDefault="00B361F7" w:rsidP="00B361F7">
      <w:pPr>
        <w:spacing w:after="120"/>
        <w:ind w:left="1134" w:right="1133" w:firstLine="567"/>
        <w:jc w:val="both"/>
      </w:pPr>
      <w:r w:rsidRPr="003E0033">
        <w:rPr>
          <w:i/>
          <w:iCs/>
        </w:rPr>
        <w:t>Reaffirming</w:t>
      </w:r>
      <w:r w:rsidRPr="003E0033">
        <w:t xml:space="preserve"> the importance of all six elements of Action for Climate Empowerment – education, training, public awareness, public participation, public access to information and international cooperation on climate change – to achieving the objective of the Convention and the purpose and goals of the Paris Agreement,</w:t>
      </w:r>
    </w:p>
    <w:p w14:paraId="61803714" w14:textId="77777777" w:rsidR="00B361F7" w:rsidRPr="003E0033" w:rsidRDefault="00B361F7" w:rsidP="00B361F7">
      <w:pPr>
        <w:spacing w:after="120"/>
        <w:ind w:left="1134" w:right="1133" w:firstLine="567"/>
        <w:jc w:val="both"/>
      </w:pPr>
      <w:r w:rsidRPr="003E0033">
        <w:rPr>
          <w:i/>
          <w:iCs/>
        </w:rPr>
        <w:t>Recognizing</w:t>
      </w:r>
      <w:r w:rsidRPr="003E0033">
        <w:t xml:space="preserve"> that Action for Climate Empowerment plays a key role in promoting the changes in lifestyles, attitudes and behaviours needed to foster low-emission, climate-resilient and sustainable development,</w:t>
      </w:r>
    </w:p>
    <w:p w14:paraId="0ECDF1EE" w14:textId="77777777" w:rsidR="00B361F7" w:rsidRPr="003E0033" w:rsidRDefault="00B361F7" w:rsidP="00B361F7">
      <w:pPr>
        <w:spacing w:after="120"/>
        <w:ind w:left="1134" w:right="1133" w:firstLine="567"/>
        <w:jc w:val="both"/>
      </w:pPr>
      <w:r w:rsidRPr="003E0033">
        <w:rPr>
          <w:i/>
          <w:iCs/>
        </w:rPr>
        <w:t xml:space="preserve">Reaffirming </w:t>
      </w:r>
      <w:r w:rsidRPr="003E0033">
        <w:t>the key role that a broad range of stakeholders, such as national, regional and local governments, educational and cultural institutions, museums, the private sector, intergovernmental organizations, non-governmental organizations, international organizations, decision makers, scientists, the media, teachers, youth, women and indigenous peoples, play in ensuring Action for Climate Empowerment,</w:t>
      </w:r>
    </w:p>
    <w:p w14:paraId="0DC6EE03" w14:textId="77777777" w:rsidR="00B361F7" w:rsidRPr="003E0033" w:rsidRDefault="00B361F7" w:rsidP="00B361F7">
      <w:pPr>
        <w:spacing w:after="120"/>
        <w:ind w:left="1134" w:right="1133" w:firstLine="567"/>
        <w:jc w:val="both"/>
      </w:pPr>
      <w:r w:rsidRPr="003E0033">
        <w:rPr>
          <w:i/>
          <w:iCs/>
        </w:rPr>
        <w:t xml:space="preserve">Acknowledging </w:t>
      </w:r>
      <w:r w:rsidRPr="003E0033">
        <w:t>the importance of linkages between activities undertaken to support Action for Climate Empowerment and other relevant international arrangements, including the 2030 Agenda for Sustainable Development and Education for Sustainable Development for 2030, as well as regional agreements,</w:t>
      </w:r>
    </w:p>
    <w:p w14:paraId="23A5A58F" w14:textId="1A9DE188" w:rsidR="00B361F7" w:rsidRPr="003E0033" w:rsidRDefault="00B361F7" w:rsidP="00B361F7">
      <w:pPr>
        <w:spacing w:after="120"/>
        <w:ind w:left="1134" w:right="1133" w:firstLine="567"/>
        <w:jc w:val="both"/>
      </w:pPr>
      <w:r w:rsidRPr="003E0033">
        <w:rPr>
          <w:i/>
          <w:iCs/>
        </w:rPr>
        <w:t>Noting with appreciation</w:t>
      </w:r>
      <w:r w:rsidRPr="003E0033">
        <w:t xml:space="preserve"> the contributions of Parties and observers, including the members of the United Nations Alliance on Climate Change Education, Training and Public Awareness, to supporting Action for Climate Empowerment work undertaken to date,</w:t>
      </w:r>
    </w:p>
    <w:p w14:paraId="24CD28D5" w14:textId="77777777" w:rsidR="00B361F7" w:rsidRPr="003E0033" w:rsidRDefault="00B361F7" w:rsidP="00B361F7">
      <w:pPr>
        <w:spacing w:after="120"/>
        <w:ind w:left="1134" w:right="1133" w:firstLine="567"/>
        <w:jc w:val="both"/>
      </w:pPr>
      <w:r w:rsidRPr="003E0033">
        <w:rPr>
          <w:i/>
          <w:iCs/>
        </w:rPr>
        <w:t xml:space="preserve">Recognizing </w:t>
      </w:r>
      <w:r w:rsidRPr="003E0033">
        <w:t>the importance of taking a long-term, strategic and country-driven approach to Action for Climate Empowerment at the local, national, regional and international level, including strengthening support for local, national and regional institutional and sectoral expertise and capacity for its implementation,</w:t>
      </w:r>
    </w:p>
    <w:p w14:paraId="6DA42A99" w14:textId="50422E6F" w:rsidR="00B361F7" w:rsidRPr="003E0033" w:rsidRDefault="00B361F7" w:rsidP="00B361F7">
      <w:pPr>
        <w:spacing w:after="120"/>
        <w:ind w:left="1134" w:right="1133" w:firstLine="567"/>
        <w:jc w:val="both"/>
      </w:pPr>
      <w:r w:rsidRPr="003E0033">
        <w:rPr>
          <w:i/>
          <w:iCs/>
        </w:rPr>
        <w:t xml:space="preserve">Acknowledging </w:t>
      </w:r>
      <w:r w:rsidRPr="003E0033">
        <w:t xml:space="preserve">the growing interest and engagement of youth in climate action and the critical role of youth as agents of change and </w:t>
      </w:r>
      <w:r w:rsidRPr="003E0033">
        <w:rPr>
          <w:i/>
          <w:iCs/>
        </w:rPr>
        <w:t>calling for</w:t>
      </w:r>
      <w:r w:rsidRPr="003E0033">
        <w:t xml:space="preserve"> further enhancement of youth participation in climate change processes and in unleashing the potential of Action for Climate Empowerment,</w:t>
      </w:r>
    </w:p>
    <w:p w14:paraId="4E032AC3" w14:textId="77777777" w:rsidR="00B361F7" w:rsidRPr="009176CD" w:rsidRDefault="00B361F7" w:rsidP="00B361F7">
      <w:pPr>
        <w:spacing w:after="120"/>
        <w:ind w:left="1134" w:right="1133" w:firstLine="567"/>
        <w:jc w:val="both"/>
      </w:pPr>
      <w:r w:rsidRPr="003E0033">
        <w:rPr>
          <w:i/>
          <w:iCs/>
        </w:rPr>
        <w:t xml:space="preserve">Recognizing </w:t>
      </w:r>
      <w:r w:rsidRPr="003E0033">
        <w:t xml:space="preserve">that ensuring the availability of and access to sufficient financial resources and technical support for adequately implementing Action for Climate Empowerment continues </w:t>
      </w:r>
      <w:r w:rsidRPr="009176CD">
        <w:t>to be a challenge for all Parties, but particularly for developing country Parties,</w:t>
      </w:r>
    </w:p>
    <w:p w14:paraId="6A8C6C5B" w14:textId="77777777" w:rsidR="00B361F7" w:rsidRPr="009176CD" w:rsidRDefault="00B361F7" w:rsidP="00B361F7">
      <w:pPr>
        <w:spacing w:after="120"/>
        <w:ind w:left="1134" w:right="1133" w:firstLine="567"/>
        <w:jc w:val="both"/>
      </w:pPr>
      <w:r w:rsidRPr="009176CD">
        <w:rPr>
          <w:i/>
          <w:iCs/>
        </w:rPr>
        <w:t>Having completed</w:t>
      </w:r>
      <w:r w:rsidRPr="009176CD">
        <w:t xml:space="preserve"> the review of the Doha work programme on Article 6 of the Convention,</w:t>
      </w:r>
    </w:p>
    <w:p w14:paraId="2825C005" w14:textId="50686603" w:rsidR="00B361F7" w:rsidRPr="009176CD" w:rsidRDefault="009E5AC3" w:rsidP="009E5AC3">
      <w:pPr>
        <w:pStyle w:val="RegSingleTxtG"/>
        <w:numPr>
          <w:ilvl w:val="0"/>
          <w:numId w:val="0"/>
        </w:numPr>
        <w:ind w:left="1134"/>
      </w:pPr>
      <w:r w:rsidRPr="009176CD">
        <w:t>1.</w:t>
      </w:r>
      <w:r w:rsidRPr="009176CD">
        <w:tab/>
      </w:r>
      <w:r w:rsidR="00B361F7" w:rsidRPr="00F56F71">
        <w:rPr>
          <w:i/>
        </w:rPr>
        <w:t xml:space="preserve">Notes with appreciation </w:t>
      </w:r>
      <w:r w:rsidR="00B361F7" w:rsidRPr="009176CD">
        <w:t>the relevant submissions from Parties and relevant organizations</w:t>
      </w:r>
      <w:r w:rsidR="00B361F7" w:rsidRPr="00B3030D">
        <w:rPr>
          <w:rStyle w:val="FootnoteReference"/>
          <w:szCs w:val="18"/>
        </w:rPr>
        <w:footnoteReference w:id="60"/>
      </w:r>
      <w:r w:rsidR="00B361F7" w:rsidRPr="009176CD">
        <w:t xml:space="preserve"> and the relevant reports prepared by the secretariat;</w:t>
      </w:r>
      <w:r w:rsidR="00B361F7" w:rsidRPr="00B3030D">
        <w:rPr>
          <w:rStyle w:val="FootnoteReference"/>
          <w:szCs w:val="18"/>
        </w:rPr>
        <w:footnoteReference w:id="61"/>
      </w:r>
    </w:p>
    <w:p w14:paraId="4B4434F1" w14:textId="0C4F11BE" w:rsidR="00B361F7" w:rsidRPr="009176CD" w:rsidRDefault="009E5AC3" w:rsidP="009E5AC3">
      <w:pPr>
        <w:pStyle w:val="RegSingleTxtG"/>
        <w:numPr>
          <w:ilvl w:val="0"/>
          <w:numId w:val="0"/>
        </w:numPr>
        <w:ind w:left="1134"/>
      </w:pPr>
      <w:r w:rsidRPr="009176CD">
        <w:lastRenderedPageBreak/>
        <w:t>2.</w:t>
      </w:r>
      <w:r w:rsidRPr="009176CD">
        <w:tab/>
      </w:r>
      <w:r w:rsidR="00B361F7" w:rsidRPr="009176CD">
        <w:rPr>
          <w:i/>
          <w:iCs/>
        </w:rPr>
        <w:t>Acknowledges</w:t>
      </w:r>
      <w:r w:rsidR="00B361F7" w:rsidRPr="009176CD">
        <w:t xml:space="preserve"> that the Doha work programme on Article 6 of the Convention provided good guidance for action on implementing the six elements of Action for Climate Empowerment;</w:t>
      </w:r>
    </w:p>
    <w:p w14:paraId="12AFD313" w14:textId="2AFECEC4" w:rsidR="00B361F7" w:rsidRPr="009176CD" w:rsidRDefault="009E5AC3" w:rsidP="009E5AC3">
      <w:pPr>
        <w:pStyle w:val="RegSingleTxtG"/>
        <w:numPr>
          <w:ilvl w:val="0"/>
          <w:numId w:val="0"/>
        </w:numPr>
        <w:ind w:left="1134"/>
      </w:pPr>
      <w:r w:rsidRPr="009176CD">
        <w:t>3.</w:t>
      </w:r>
      <w:r w:rsidRPr="009176CD">
        <w:tab/>
      </w:r>
      <w:r w:rsidR="00B361F7" w:rsidRPr="009176CD">
        <w:rPr>
          <w:i/>
          <w:iCs/>
        </w:rPr>
        <w:t xml:space="preserve">Recognizes </w:t>
      </w:r>
      <w:r w:rsidR="00B361F7" w:rsidRPr="009176CD">
        <w:t>the importance of enhancing the implementation of Action for Climate Empowerment across all relevant areas of implementation of the Convention and the Paris Agreement;</w:t>
      </w:r>
    </w:p>
    <w:p w14:paraId="7E414B5A" w14:textId="290E772D" w:rsidR="00B361F7" w:rsidRPr="009176CD" w:rsidRDefault="009E5AC3" w:rsidP="009E5AC3">
      <w:pPr>
        <w:pStyle w:val="RegSingleTxtG"/>
        <w:numPr>
          <w:ilvl w:val="0"/>
          <w:numId w:val="0"/>
        </w:numPr>
        <w:ind w:left="1134"/>
      </w:pPr>
      <w:r w:rsidRPr="009176CD">
        <w:t>4.</w:t>
      </w:r>
      <w:r w:rsidRPr="009176CD">
        <w:tab/>
      </w:r>
      <w:r w:rsidR="00B361F7" w:rsidRPr="009176CD">
        <w:rPr>
          <w:i/>
          <w:iCs/>
        </w:rPr>
        <w:t>Adopts</w:t>
      </w:r>
      <w:r w:rsidR="00B361F7" w:rsidRPr="009176CD">
        <w:t xml:space="preserve"> the 10-year Glasgow work programme on Action for Climate Empowerment, contained in the annex, taking into account the elements identified as effective in supporting implementation as well as gaps, needs and opportunities for improvement;</w:t>
      </w:r>
    </w:p>
    <w:p w14:paraId="29F4B887" w14:textId="5525DFFB" w:rsidR="00B361F7" w:rsidRPr="009176CD" w:rsidRDefault="009E5AC3" w:rsidP="009E5AC3">
      <w:pPr>
        <w:pStyle w:val="RegSingleTxtG"/>
        <w:numPr>
          <w:ilvl w:val="0"/>
          <w:numId w:val="0"/>
        </w:numPr>
        <w:ind w:left="1134"/>
      </w:pPr>
      <w:r w:rsidRPr="009176CD">
        <w:t>5.</w:t>
      </w:r>
      <w:r w:rsidRPr="009176CD">
        <w:tab/>
      </w:r>
      <w:r w:rsidR="00B361F7" w:rsidRPr="009176CD">
        <w:rPr>
          <w:i/>
          <w:iCs/>
        </w:rPr>
        <w:t>Invites</w:t>
      </w:r>
      <w:r w:rsidR="00B361F7" w:rsidRPr="009176CD">
        <w:t xml:space="preserve"> Parties and relevant non-Party stakeholders to engage in and support implementation of the Glasgow work programme while maintaining a country-driven approach;</w:t>
      </w:r>
    </w:p>
    <w:p w14:paraId="2C57DE33" w14:textId="0685C6BC" w:rsidR="00B361F7" w:rsidRPr="009176CD" w:rsidRDefault="009E5AC3" w:rsidP="009E5AC3">
      <w:pPr>
        <w:pStyle w:val="RegSingleTxtG"/>
        <w:numPr>
          <w:ilvl w:val="0"/>
          <w:numId w:val="0"/>
        </w:numPr>
        <w:ind w:left="1134"/>
      </w:pPr>
      <w:r w:rsidRPr="009176CD">
        <w:t>6.</w:t>
      </w:r>
      <w:r w:rsidRPr="009176CD">
        <w:tab/>
      </w:r>
      <w:r w:rsidR="00B361F7" w:rsidRPr="009176CD">
        <w:rPr>
          <w:i/>
          <w:iCs/>
        </w:rPr>
        <w:t>Also invites</w:t>
      </w:r>
      <w:r w:rsidR="00B361F7" w:rsidRPr="009176CD">
        <w:t xml:space="preserve"> multilateral and bilateral institutions and organizations, including the operating entities of the Financial Mechanism, as appropriate, to provide financial support for activities related to implementing Action for Climate Empowerment;</w:t>
      </w:r>
    </w:p>
    <w:p w14:paraId="41F4051F" w14:textId="394AD2CD" w:rsidR="00B361F7" w:rsidRPr="009176CD" w:rsidRDefault="009E5AC3" w:rsidP="009E5AC3">
      <w:pPr>
        <w:pStyle w:val="RegSingleTxtG"/>
        <w:numPr>
          <w:ilvl w:val="0"/>
          <w:numId w:val="0"/>
        </w:numPr>
        <w:ind w:left="1134"/>
      </w:pPr>
      <w:r w:rsidRPr="009176CD">
        <w:t>7.</w:t>
      </w:r>
      <w:r w:rsidRPr="009176CD">
        <w:tab/>
      </w:r>
      <w:r w:rsidR="00B361F7" w:rsidRPr="009176CD">
        <w:rPr>
          <w:i/>
          <w:iCs/>
        </w:rPr>
        <w:t>Encourages</w:t>
      </w:r>
      <w:r w:rsidR="00B361F7" w:rsidRPr="009176CD">
        <w:t xml:space="preserve"> Parties to strengthen the integration of Action for Climate Empowerment into the development and implementation of national climate policies, plans, strategies and action, including by developing and implementing a national strategy that covers all six elements of Action for Climate Empowerment and facilitates broad cross-sectoral coordination and collaboration;</w:t>
      </w:r>
    </w:p>
    <w:p w14:paraId="497551C0" w14:textId="6D1E2A54" w:rsidR="00B361F7" w:rsidRPr="009176CD" w:rsidRDefault="009E5AC3" w:rsidP="009E5AC3">
      <w:pPr>
        <w:pStyle w:val="RegSingleTxtG"/>
        <w:numPr>
          <w:ilvl w:val="0"/>
          <w:numId w:val="0"/>
        </w:numPr>
        <w:ind w:left="1134"/>
      </w:pPr>
      <w:r w:rsidRPr="009176CD">
        <w:t>8.</w:t>
      </w:r>
      <w:r w:rsidRPr="009176CD">
        <w:tab/>
      </w:r>
      <w:r w:rsidR="00B361F7" w:rsidRPr="009176CD">
        <w:rPr>
          <w:i/>
          <w:iCs/>
        </w:rPr>
        <w:t xml:space="preserve">Also encourages </w:t>
      </w:r>
      <w:r w:rsidR="00B361F7" w:rsidRPr="009176CD">
        <w:t>Parties to continue designating, assigning responsibilities to, and providing support, including technical and financial support, and access to information and materials to national Action for Climate Empowerment focal points;</w:t>
      </w:r>
    </w:p>
    <w:p w14:paraId="34CE0446" w14:textId="34B70A98" w:rsidR="00B361F7" w:rsidRPr="009176CD" w:rsidRDefault="009E5AC3" w:rsidP="009E5AC3">
      <w:pPr>
        <w:pStyle w:val="RegSingleTxtG"/>
        <w:numPr>
          <w:ilvl w:val="0"/>
          <w:numId w:val="0"/>
        </w:numPr>
        <w:ind w:left="1134"/>
      </w:pPr>
      <w:r w:rsidRPr="009176CD">
        <w:t>9.</w:t>
      </w:r>
      <w:r w:rsidRPr="009176CD">
        <w:tab/>
      </w:r>
      <w:r w:rsidR="00B361F7" w:rsidRPr="009176CD">
        <w:rPr>
          <w:i/>
          <w:iCs/>
        </w:rPr>
        <w:t>Further encourages</w:t>
      </w:r>
      <w:r w:rsidR="00B361F7" w:rsidRPr="009176CD">
        <w:t xml:space="preserve"> intergovernmental and non-governmental organizations in a position to do so to provide technical or financial support for Action for Climate Empowerment activities;</w:t>
      </w:r>
    </w:p>
    <w:p w14:paraId="5E86BCE2" w14:textId="0D634768" w:rsidR="00B361F7" w:rsidRPr="009176CD" w:rsidRDefault="009E5AC3" w:rsidP="009E5AC3">
      <w:pPr>
        <w:pStyle w:val="RegSingleTxtG"/>
        <w:numPr>
          <w:ilvl w:val="0"/>
          <w:numId w:val="0"/>
        </w:numPr>
        <w:ind w:left="1134"/>
      </w:pPr>
      <w:r w:rsidRPr="009176CD">
        <w:t>10.</w:t>
      </w:r>
      <w:r w:rsidRPr="009176CD">
        <w:tab/>
      </w:r>
      <w:r w:rsidR="00B361F7" w:rsidRPr="009176CD">
        <w:rPr>
          <w:i/>
        </w:rPr>
        <w:t>Requests</w:t>
      </w:r>
      <w:r w:rsidR="00B361F7" w:rsidRPr="009176CD">
        <w:t xml:space="preserve"> the secretariat to promote partnerships with other organizations, the private sector and donors in order to support implementation of the Glasgow work programme;</w:t>
      </w:r>
    </w:p>
    <w:p w14:paraId="72090091" w14:textId="566C5EDC" w:rsidR="00B361F7" w:rsidRPr="009176CD" w:rsidRDefault="009E5AC3" w:rsidP="009E5AC3">
      <w:pPr>
        <w:pStyle w:val="RegSingleTxtG"/>
        <w:numPr>
          <w:ilvl w:val="0"/>
          <w:numId w:val="0"/>
        </w:numPr>
        <w:ind w:left="1134"/>
      </w:pPr>
      <w:bookmarkStart w:id="31" w:name="_Ref86718012"/>
      <w:r w:rsidRPr="009176CD">
        <w:t>11.</w:t>
      </w:r>
      <w:r w:rsidRPr="009176CD">
        <w:tab/>
      </w:r>
      <w:r w:rsidR="00B361F7" w:rsidRPr="009176CD">
        <w:rPr>
          <w:i/>
          <w:iCs/>
        </w:rPr>
        <w:t xml:space="preserve">Also requests </w:t>
      </w:r>
      <w:r w:rsidR="00B361F7" w:rsidRPr="009176CD">
        <w:t>the Subsidiary Body for Implementation to:</w:t>
      </w:r>
      <w:bookmarkEnd w:id="31"/>
    </w:p>
    <w:p w14:paraId="5E67AC0A" w14:textId="4215B924" w:rsidR="00B361F7" w:rsidRPr="009176CD" w:rsidRDefault="009E5AC3" w:rsidP="009E5AC3">
      <w:pPr>
        <w:pStyle w:val="RegSingleTxtG2"/>
        <w:numPr>
          <w:ilvl w:val="0"/>
          <w:numId w:val="0"/>
        </w:numPr>
        <w:ind w:left="1134" w:firstLine="567"/>
      </w:pPr>
      <w:r w:rsidRPr="009176CD">
        <w:rPr>
          <w:szCs w:val="28"/>
        </w:rPr>
        <w:t>(a)</w:t>
      </w:r>
      <w:r w:rsidRPr="009176CD">
        <w:rPr>
          <w:szCs w:val="28"/>
        </w:rPr>
        <w:tab/>
      </w:r>
      <w:r w:rsidR="00B361F7" w:rsidRPr="009176CD">
        <w:t>Facilitate implementation of the Glasgow work programme under the guidance of its Chair, subject to the availability of financial resources;</w:t>
      </w:r>
    </w:p>
    <w:p w14:paraId="4A3FF517" w14:textId="1DC24D21" w:rsidR="00B361F7" w:rsidRPr="009176CD" w:rsidRDefault="009E5AC3" w:rsidP="009E5AC3">
      <w:pPr>
        <w:pStyle w:val="RegSingleTxtG2"/>
        <w:numPr>
          <w:ilvl w:val="0"/>
          <w:numId w:val="0"/>
        </w:numPr>
        <w:ind w:left="1134" w:firstLine="567"/>
      </w:pPr>
      <w:r w:rsidRPr="009176CD">
        <w:rPr>
          <w:szCs w:val="28"/>
        </w:rPr>
        <w:t>(b)</w:t>
      </w:r>
      <w:r w:rsidRPr="009176CD">
        <w:rPr>
          <w:szCs w:val="28"/>
        </w:rPr>
        <w:tab/>
      </w:r>
      <w:r w:rsidR="00B361F7" w:rsidRPr="009176CD">
        <w:t>Hold an annual in-session Action for Climate Empowerment dialogue at its first regular session of each year with the participation of Parties, representatives of relevant constituted bodies, and relevant experts, practitioners and stakeholders that focuses on the progress of implementation of the Glasgow work programme and on its four priority areas: policy coherence; coordinated action; tools and support; and monitoring, evaluation and reporting;</w:t>
      </w:r>
    </w:p>
    <w:p w14:paraId="12AA5E0E" w14:textId="1984FBF3" w:rsidR="00B361F7" w:rsidRPr="009176CD" w:rsidRDefault="009E5AC3" w:rsidP="009E5AC3">
      <w:pPr>
        <w:pStyle w:val="RegSingleTxtG2"/>
        <w:numPr>
          <w:ilvl w:val="0"/>
          <w:numId w:val="0"/>
        </w:numPr>
        <w:ind w:left="1134" w:firstLine="567"/>
      </w:pPr>
      <w:r w:rsidRPr="009176CD">
        <w:rPr>
          <w:szCs w:val="28"/>
        </w:rPr>
        <w:t>(c)</w:t>
      </w:r>
      <w:r w:rsidRPr="009176CD">
        <w:rPr>
          <w:szCs w:val="28"/>
        </w:rPr>
        <w:tab/>
      </w:r>
      <w:r w:rsidR="00B361F7" w:rsidRPr="009176CD">
        <w:t>Focus the first in-session dialogue, to be held at its fifty-sixth session (June 2022), on the engagement of children and youth in implementation of the four priority areas of the Glasgow work programme referred to in paragraph 11(b) above;</w:t>
      </w:r>
    </w:p>
    <w:p w14:paraId="2CE70BBD" w14:textId="21D23D43" w:rsidR="00B361F7" w:rsidRPr="009176CD" w:rsidRDefault="009E5AC3" w:rsidP="009E5AC3">
      <w:pPr>
        <w:pStyle w:val="RegSingleTxtG2"/>
        <w:numPr>
          <w:ilvl w:val="0"/>
          <w:numId w:val="0"/>
        </w:numPr>
        <w:ind w:left="1134" w:firstLine="567"/>
      </w:pPr>
      <w:r w:rsidRPr="009176CD">
        <w:rPr>
          <w:szCs w:val="28"/>
        </w:rPr>
        <w:t>(d)</w:t>
      </w:r>
      <w:r w:rsidRPr="009176CD">
        <w:rPr>
          <w:szCs w:val="28"/>
        </w:rPr>
        <w:tab/>
      </w:r>
      <w:r w:rsidR="00B361F7" w:rsidRPr="009176CD">
        <w:t xml:space="preserve">Consider, at its second regular session </w:t>
      </w:r>
      <w:r w:rsidR="00940EF6">
        <w:t xml:space="preserve">of </w:t>
      </w:r>
      <w:r w:rsidR="00B361F7" w:rsidRPr="009176CD">
        <w:t>each year, the annual summary report to be prepared by the secretariat on progress in implementing activities under the Glasgow work programme (see para. 12(a) below);</w:t>
      </w:r>
    </w:p>
    <w:p w14:paraId="36BA2488" w14:textId="28D58168" w:rsidR="00B361F7" w:rsidRPr="009176CD" w:rsidRDefault="009E5AC3" w:rsidP="009E5AC3">
      <w:pPr>
        <w:pStyle w:val="RegSingleTxtG2"/>
        <w:numPr>
          <w:ilvl w:val="0"/>
          <w:numId w:val="0"/>
        </w:numPr>
        <w:ind w:left="1134" w:firstLine="567"/>
      </w:pPr>
      <w:r w:rsidRPr="009176CD">
        <w:rPr>
          <w:szCs w:val="28"/>
        </w:rPr>
        <w:t>(e)</w:t>
      </w:r>
      <w:r w:rsidRPr="009176CD">
        <w:rPr>
          <w:szCs w:val="28"/>
        </w:rPr>
        <w:tab/>
      </w:r>
      <w:r w:rsidR="00B361F7" w:rsidRPr="009176CD">
        <w:t xml:space="preserve">Undertake the development of an action plan at its fifty-sixth session focusing on immediate action through short-term, clear and time-bound activities, guided by the priority areas set out in the Glasgow work programme, with a view to recommending a draft decision on this matter for adoption by Conference of the Parties at its twenty-seventh session (November 2022) and the Conference of the Parties serving as the meeting of the Parties to the Paris Agreement at its fourth session (November 2022); </w:t>
      </w:r>
    </w:p>
    <w:p w14:paraId="1E184B34" w14:textId="03673128" w:rsidR="00B361F7" w:rsidRPr="009176CD" w:rsidRDefault="009E5AC3" w:rsidP="009E5AC3">
      <w:pPr>
        <w:pStyle w:val="RegSingleTxtG2"/>
        <w:numPr>
          <w:ilvl w:val="0"/>
          <w:numId w:val="0"/>
        </w:numPr>
        <w:ind w:left="1134" w:firstLine="567"/>
      </w:pPr>
      <w:r w:rsidRPr="009176CD">
        <w:rPr>
          <w:szCs w:val="28"/>
        </w:rPr>
        <w:t>(f)</w:t>
      </w:r>
      <w:r w:rsidRPr="009176CD">
        <w:rPr>
          <w:szCs w:val="28"/>
        </w:rPr>
        <w:tab/>
      </w:r>
      <w:r w:rsidR="00B361F7" w:rsidRPr="009176CD">
        <w:t xml:space="preserve">Convene at its fifty-sixth session an in-session technical workshop for Parties on how </w:t>
      </w:r>
      <w:r w:rsidR="00912632">
        <w:t xml:space="preserve">the </w:t>
      </w:r>
      <w:r w:rsidR="00B361F7" w:rsidRPr="009176CD">
        <w:t xml:space="preserve">priority areas listed in paragraph 11(b) above can guide implementation of the six elements of Action for Climate Empowerment, through a short-term action plan guiding, </w:t>
      </w:r>
      <w:r w:rsidR="00B361F7" w:rsidRPr="009176CD">
        <w:lastRenderedPageBreak/>
        <w:t>inter alia, the organization of the annual in-session Action for Climate Empowerment dialogue;</w:t>
      </w:r>
    </w:p>
    <w:p w14:paraId="2509BC8B" w14:textId="673F532F" w:rsidR="00B361F7" w:rsidRPr="009176CD" w:rsidRDefault="009E5AC3" w:rsidP="009E5AC3">
      <w:pPr>
        <w:pStyle w:val="RegSingleTxtG2"/>
        <w:numPr>
          <w:ilvl w:val="0"/>
          <w:numId w:val="0"/>
        </w:numPr>
        <w:ind w:left="1134" w:firstLine="567"/>
      </w:pPr>
      <w:r w:rsidRPr="009176CD">
        <w:rPr>
          <w:szCs w:val="28"/>
        </w:rPr>
        <w:t>(g)</w:t>
      </w:r>
      <w:r w:rsidRPr="009176CD">
        <w:rPr>
          <w:szCs w:val="28"/>
        </w:rPr>
        <w:tab/>
      </w:r>
      <w:r w:rsidR="00B361F7" w:rsidRPr="009176CD">
        <w:t>Undertake a midterm review of progress at its sixty-fourth session (2026) and a final review of progress at its seventy-fourth session (2031) of the Glasgow work programme to evaluate its effectiveness, identify any emerging gaps and needs, and inform any consideration of improving the work programme, as appropriate;</w:t>
      </w:r>
    </w:p>
    <w:p w14:paraId="0192F23F" w14:textId="6AAF6EEC" w:rsidR="00B361F7" w:rsidRPr="009176CD" w:rsidRDefault="009E5AC3" w:rsidP="009E5AC3">
      <w:pPr>
        <w:pStyle w:val="RegSingleTxtG"/>
        <w:numPr>
          <w:ilvl w:val="0"/>
          <w:numId w:val="0"/>
        </w:numPr>
        <w:ind w:left="1134"/>
      </w:pPr>
      <w:r w:rsidRPr="009176CD">
        <w:t>12.</w:t>
      </w:r>
      <w:r w:rsidRPr="009176CD">
        <w:tab/>
      </w:r>
      <w:r w:rsidR="00B361F7" w:rsidRPr="009176CD">
        <w:rPr>
          <w:i/>
          <w:iCs/>
        </w:rPr>
        <w:t>Further r</w:t>
      </w:r>
      <w:r w:rsidR="00B361F7" w:rsidRPr="009176CD">
        <w:rPr>
          <w:i/>
        </w:rPr>
        <w:t>equests</w:t>
      </w:r>
      <w:r w:rsidR="00B361F7" w:rsidRPr="009176CD">
        <w:t xml:space="preserve"> the secretariat to assist the Chair of the Subsidiary Body for Implementation with activities related to the facilitation of implementation referred to in paragraph 11(a) above and</w:t>
      </w:r>
      <w:r w:rsidR="00A55157">
        <w:t>,</w:t>
      </w:r>
      <w:r w:rsidR="00B361F7" w:rsidRPr="009176CD">
        <w:t xml:space="preserve"> under the guidance of the Chair, to:</w:t>
      </w:r>
    </w:p>
    <w:p w14:paraId="7D6414E1" w14:textId="54DAD879" w:rsidR="00B361F7" w:rsidRPr="009176CD" w:rsidRDefault="009E5AC3" w:rsidP="009E5AC3">
      <w:pPr>
        <w:pStyle w:val="RegSingleTxtG2"/>
        <w:numPr>
          <w:ilvl w:val="0"/>
          <w:numId w:val="0"/>
        </w:numPr>
        <w:ind w:left="1134" w:firstLine="567"/>
      </w:pPr>
      <w:r w:rsidRPr="009176CD">
        <w:rPr>
          <w:szCs w:val="28"/>
        </w:rPr>
        <w:t>(a)</w:t>
      </w:r>
      <w:r w:rsidRPr="009176CD">
        <w:rPr>
          <w:szCs w:val="28"/>
        </w:rPr>
        <w:tab/>
      </w:r>
      <w:r w:rsidR="00B361F7" w:rsidRPr="009176CD">
        <w:t>Prepare an annual summary report on progress in implementing activities under the Glasgow work programme for consideration by the Subsidiary Body for Implementation at its second regular session of each year;</w:t>
      </w:r>
    </w:p>
    <w:p w14:paraId="0381EC36" w14:textId="048DF41E" w:rsidR="00B361F7" w:rsidRPr="009176CD" w:rsidRDefault="009E5AC3" w:rsidP="009E5AC3">
      <w:pPr>
        <w:pStyle w:val="RegSingleTxtG2"/>
        <w:numPr>
          <w:ilvl w:val="0"/>
          <w:numId w:val="0"/>
        </w:numPr>
        <w:ind w:left="1134" w:firstLine="567"/>
      </w:pPr>
      <w:r w:rsidRPr="009176CD">
        <w:rPr>
          <w:szCs w:val="28"/>
        </w:rPr>
        <w:t>(b)</w:t>
      </w:r>
      <w:r w:rsidRPr="009176CD">
        <w:rPr>
          <w:szCs w:val="28"/>
        </w:rPr>
        <w:tab/>
      </w:r>
      <w:r w:rsidR="00B361F7" w:rsidRPr="009176CD">
        <w:t>Prepare a synthesis report ahead of the midterm review and the final review of the Glasgow work programme on the integration of Action for Climate Empowerment into relevant reports and communications submitted by Parties to the secretariat as part of the UNFCCC process for consideration by the Subsidiary Body for Implementation at its sixty-fourth and seventy-fourth sessions</w:t>
      </w:r>
      <w:r w:rsidR="00C168D6">
        <w:t>,</w:t>
      </w:r>
      <w:r w:rsidR="00B361F7" w:rsidRPr="009176CD">
        <w:t xml:space="preserve"> respectively;</w:t>
      </w:r>
    </w:p>
    <w:p w14:paraId="2A4F84FF" w14:textId="073482E3" w:rsidR="00B361F7" w:rsidRPr="009176CD" w:rsidRDefault="009E5AC3" w:rsidP="009E5AC3">
      <w:pPr>
        <w:pStyle w:val="RegSingleTxtG"/>
        <w:numPr>
          <w:ilvl w:val="0"/>
          <w:numId w:val="0"/>
        </w:numPr>
        <w:ind w:left="1134"/>
      </w:pPr>
      <w:r w:rsidRPr="009176CD">
        <w:t>13.</w:t>
      </w:r>
      <w:r w:rsidRPr="009176CD">
        <w:tab/>
      </w:r>
      <w:r w:rsidR="00B361F7" w:rsidRPr="009176CD">
        <w:rPr>
          <w:i/>
          <w:iCs/>
        </w:rPr>
        <w:t>Invites</w:t>
      </w:r>
      <w:r w:rsidR="00B361F7" w:rsidRPr="009176CD">
        <w:t xml:space="preserve"> Parties and observers to submit their views on matters to be addressed at the in-session workshop referred to in paragraph 11(f) above via the submission portal</w:t>
      </w:r>
      <w:r w:rsidR="00B361F7" w:rsidRPr="00B3030D">
        <w:rPr>
          <w:rStyle w:val="FootnoteReference"/>
          <w:szCs w:val="18"/>
        </w:rPr>
        <w:footnoteReference w:id="62"/>
      </w:r>
      <w:r w:rsidR="00B361F7" w:rsidRPr="009176CD">
        <w:t xml:space="preserve"> by 28 February 2022;</w:t>
      </w:r>
    </w:p>
    <w:p w14:paraId="47ADF903" w14:textId="572A275A" w:rsidR="00B361F7" w:rsidRPr="009176CD" w:rsidRDefault="009E5AC3" w:rsidP="009E5AC3">
      <w:pPr>
        <w:pStyle w:val="RegSingleTxtG"/>
        <w:numPr>
          <w:ilvl w:val="0"/>
          <w:numId w:val="0"/>
        </w:numPr>
        <w:ind w:left="1134"/>
      </w:pPr>
      <w:r w:rsidRPr="009176CD">
        <w:t>14.</w:t>
      </w:r>
      <w:r w:rsidRPr="009176CD">
        <w:tab/>
      </w:r>
      <w:r w:rsidR="00B361F7" w:rsidRPr="009176CD">
        <w:rPr>
          <w:i/>
          <w:iCs/>
        </w:rPr>
        <w:t xml:space="preserve">Takes note </w:t>
      </w:r>
      <w:r w:rsidR="00B361F7" w:rsidRPr="009176CD">
        <w:t xml:space="preserve">of the estimated budgetary implications of the activities to be undertaken by the secretariat referred to in paragraph 12 above and paragraphs 6(b–c) and 11 </w:t>
      </w:r>
      <w:r w:rsidR="00746BF8">
        <w:t>of</w:t>
      </w:r>
      <w:r w:rsidR="00B361F7" w:rsidRPr="009176CD">
        <w:t xml:space="preserve"> the annex;</w:t>
      </w:r>
    </w:p>
    <w:p w14:paraId="7836C1C7" w14:textId="5EE6CBED" w:rsidR="00B361F7" w:rsidRPr="009176CD" w:rsidRDefault="009E5AC3" w:rsidP="009E5AC3">
      <w:pPr>
        <w:pStyle w:val="RegSingleTxtG"/>
        <w:numPr>
          <w:ilvl w:val="0"/>
          <w:numId w:val="0"/>
        </w:numPr>
        <w:ind w:left="1134"/>
      </w:pPr>
      <w:r w:rsidRPr="009176CD">
        <w:t>15.</w:t>
      </w:r>
      <w:r w:rsidRPr="009176CD">
        <w:tab/>
      </w:r>
      <w:r w:rsidR="00B361F7" w:rsidRPr="009176CD">
        <w:rPr>
          <w:i/>
          <w:iCs/>
        </w:rPr>
        <w:t>Requests</w:t>
      </w:r>
      <w:r w:rsidR="00B361F7" w:rsidRPr="009176CD">
        <w:t xml:space="preserve"> that the actions of the secretariat called for in this decision be undertaken subject to the availability of financial resources.</w:t>
      </w:r>
    </w:p>
    <w:p w14:paraId="76044922" w14:textId="7477CDB4" w:rsidR="00A31B5D" w:rsidRDefault="00A31B5D" w:rsidP="00A31B5D">
      <w:pPr>
        <w:pStyle w:val="RegSingleTxtG"/>
        <w:numPr>
          <w:ilvl w:val="0"/>
          <w:numId w:val="0"/>
        </w:numPr>
        <w:ind w:left="1134"/>
        <w:rPr>
          <w:i/>
          <w:iCs/>
          <w:sz w:val="22"/>
          <w:szCs w:val="22"/>
        </w:rPr>
        <w:sectPr w:rsidR="00A31B5D" w:rsidSect="00265564">
          <w:headerReference w:type="even" r:id="rId82"/>
          <w:headerReference w:type="default" r:id="rId83"/>
          <w:footerReference w:type="even" r:id="rId84"/>
          <w:footerReference w:type="default" r:id="rId85"/>
          <w:footnotePr>
            <w:numRestart w:val="eachSect"/>
          </w:footnotePr>
          <w:pgSz w:w="11906" w:h="16838" w:code="9"/>
          <w:pgMar w:top="1417" w:right="1134" w:bottom="1134" w:left="1134" w:header="850" w:footer="567" w:gutter="0"/>
          <w:cols w:space="708"/>
          <w:docGrid w:linePitch="360"/>
        </w:sectPr>
      </w:pPr>
    </w:p>
    <w:p w14:paraId="2004B2F6" w14:textId="77777777" w:rsidR="00B361F7" w:rsidRPr="00BC2E11" w:rsidRDefault="00B361F7" w:rsidP="00B361F7">
      <w:pPr>
        <w:pStyle w:val="HChG"/>
        <w:spacing w:before="0"/>
      </w:pPr>
      <w:r w:rsidRPr="00BC2E11">
        <w:lastRenderedPageBreak/>
        <w:t>Annex</w:t>
      </w:r>
    </w:p>
    <w:p w14:paraId="6F5254D7" w14:textId="77777777" w:rsidR="00B361F7" w:rsidRPr="00BC2E11" w:rsidRDefault="00B361F7" w:rsidP="00B361F7">
      <w:pPr>
        <w:pStyle w:val="HChG"/>
        <w:tabs>
          <w:tab w:val="clear" w:pos="851"/>
        </w:tabs>
        <w:ind w:firstLine="0"/>
      </w:pPr>
      <w:r w:rsidRPr="00BC2E11">
        <w:t>Glasgow work programme on Action for Climate Empowerment</w:t>
      </w:r>
    </w:p>
    <w:p w14:paraId="0B6FC09B" w14:textId="0D891492" w:rsidR="00B361F7" w:rsidRPr="00AA1209" w:rsidRDefault="009E5AC3" w:rsidP="009E5AC3">
      <w:pPr>
        <w:pStyle w:val="RegHChG"/>
        <w:numPr>
          <w:ilvl w:val="0"/>
          <w:numId w:val="0"/>
        </w:numPr>
        <w:tabs>
          <w:tab w:val="left" w:pos="1135"/>
        </w:tabs>
        <w:ind w:left="1135" w:hanging="454"/>
        <w:rPr>
          <w:b w:val="0"/>
          <w:szCs w:val="28"/>
        </w:rPr>
      </w:pPr>
      <w:r w:rsidRPr="00AA1209">
        <w:rPr>
          <w:szCs w:val="28"/>
        </w:rPr>
        <w:t>I.</w:t>
      </w:r>
      <w:r w:rsidRPr="00AA1209">
        <w:rPr>
          <w:szCs w:val="28"/>
        </w:rPr>
        <w:tab/>
      </w:r>
      <w:r w:rsidR="00B361F7" w:rsidRPr="00BC2E11">
        <w:t>G</w:t>
      </w:r>
      <w:r w:rsidR="00B361F7" w:rsidRPr="00AA1209">
        <w:rPr>
          <w:szCs w:val="28"/>
        </w:rPr>
        <w:t>uiding principles</w:t>
      </w:r>
    </w:p>
    <w:p w14:paraId="593CB80C" w14:textId="7D3C4DFE" w:rsidR="00B361F7" w:rsidRPr="009176CD" w:rsidRDefault="009E5AC3" w:rsidP="009E5AC3">
      <w:pPr>
        <w:pStyle w:val="RegSingleTxtG"/>
        <w:numPr>
          <w:ilvl w:val="0"/>
          <w:numId w:val="0"/>
        </w:numPr>
        <w:ind w:left="1134"/>
      </w:pPr>
      <w:r w:rsidRPr="009176CD">
        <w:t>1.</w:t>
      </w:r>
      <w:r w:rsidRPr="009176CD">
        <w:tab/>
      </w:r>
      <w:r w:rsidR="00B361F7" w:rsidRPr="009176CD">
        <w:t xml:space="preserve">The Glasgow work programme on Action for Climate Empowerment (ACE) sets out the scope of and provides the basis for activities related to implementing ACE in accordance with the provisions of the Convention and the Paris Agreement. The work programme serves as a </w:t>
      </w:r>
      <w:bookmarkStart w:id="32" w:name="_Hlk86749304"/>
      <w:r w:rsidR="00B361F7" w:rsidRPr="009176CD">
        <w:t xml:space="preserve">flexible framework for country-driven action that addresses the specific needs and circumstances of Parties </w:t>
      </w:r>
      <w:bookmarkEnd w:id="32"/>
      <w:r w:rsidR="00B361F7" w:rsidRPr="009176CD">
        <w:t>and reflects their national priorities and initiatives while building long-term capacity and expertise in developed and developing countries for implementing ACE, including by promoting strong domestic enabling environments.</w:t>
      </w:r>
    </w:p>
    <w:p w14:paraId="096D97FA" w14:textId="7C7DB2AB" w:rsidR="00B361F7" w:rsidRPr="009176CD" w:rsidRDefault="009E5AC3" w:rsidP="009E5AC3">
      <w:pPr>
        <w:pStyle w:val="RegSingleTxtG"/>
        <w:numPr>
          <w:ilvl w:val="0"/>
          <w:numId w:val="0"/>
        </w:numPr>
        <w:ind w:left="1134"/>
      </w:pPr>
      <w:r w:rsidRPr="009176CD">
        <w:t>2.</w:t>
      </w:r>
      <w:r w:rsidRPr="009176CD">
        <w:tab/>
      </w:r>
      <w:r w:rsidR="00B361F7" w:rsidRPr="009176CD">
        <w:t xml:space="preserve">The Glasgow work programme builds on work undertaken in response to relevant decisions of the Conference of the Parties (COP) and the </w:t>
      </w:r>
      <w:r w:rsidR="00B361F7" w:rsidRPr="009176CD">
        <w:rPr>
          <w:iCs/>
        </w:rPr>
        <w:t xml:space="preserve">Conference of the </w:t>
      </w:r>
      <w:r w:rsidR="00B361F7" w:rsidRPr="006D6A64">
        <w:t>Parties</w:t>
      </w:r>
      <w:r w:rsidR="00B361F7" w:rsidRPr="009176CD">
        <w:rPr>
          <w:iCs/>
        </w:rPr>
        <w:t xml:space="preserve"> serving as the meeting of the Parties to the Paris Agreement (CMA)</w:t>
      </w:r>
      <w:r w:rsidR="00B361F7" w:rsidRPr="009176CD">
        <w:t>.</w:t>
      </w:r>
      <w:r w:rsidR="00B361F7" w:rsidRPr="00B3030D">
        <w:rPr>
          <w:rStyle w:val="FootnoteReference"/>
          <w:szCs w:val="18"/>
        </w:rPr>
        <w:footnoteReference w:id="63"/>
      </w:r>
    </w:p>
    <w:p w14:paraId="4C6C0FB6" w14:textId="02471859" w:rsidR="00B361F7" w:rsidRPr="009176CD" w:rsidRDefault="009E5AC3" w:rsidP="009E5AC3">
      <w:pPr>
        <w:pStyle w:val="RegSingleTxtG"/>
        <w:numPr>
          <w:ilvl w:val="0"/>
          <w:numId w:val="0"/>
        </w:numPr>
        <w:ind w:left="1134"/>
      </w:pPr>
      <w:r w:rsidRPr="009176CD">
        <w:t>3.</w:t>
      </w:r>
      <w:r w:rsidRPr="009176CD">
        <w:tab/>
      </w:r>
      <w:r w:rsidR="00B361F7" w:rsidRPr="009176CD">
        <w:t>The Glasgow work programme shall be guided by:</w:t>
      </w:r>
    </w:p>
    <w:p w14:paraId="68A3944E" w14:textId="0ED7A7A5"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A country-driven approach;</w:t>
      </w:r>
    </w:p>
    <w:p w14:paraId="667D5059" w14:textId="129F9303"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Cost-effectiveness;</w:t>
      </w:r>
    </w:p>
    <w:p w14:paraId="70804244" w14:textId="0EEF6FC5"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Flexibility;</w:t>
      </w:r>
    </w:p>
    <w:p w14:paraId="037B260A" w14:textId="5EAC3162"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A gender and intergenerational</w:t>
      </w:r>
      <w:r w:rsidR="00B361F7" w:rsidRPr="009176CD" w:rsidDel="000F5C2E">
        <w:t xml:space="preserve"> </w:t>
      </w:r>
      <w:r w:rsidR="00B361F7" w:rsidRPr="009176CD">
        <w:t>approach;</w:t>
      </w:r>
    </w:p>
    <w:p w14:paraId="266F0083" w14:textId="2E78784F" w:rsidR="00B361F7" w:rsidRPr="009176CD" w:rsidRDefault="009E5AC3" w:rsidP="009E5AC3">
      <w:pPr>
        <w:pStyle w:val="RegSingleTxtG2"/>
        <w:numPr>
          <w:ilvl w:val="0"/>
          <w:numId w:val="0"/>
        </w:numPr>
        <w:tabs>
          <w:tab w:val="left" w:pos="1702"/>
        </w:tabs>
        <w:ind w:left="1134" w:firstLine="567"/>
      </w:pPr>
      <w:r w:rsidRPr="009176CD">
        <w:rPr>
          <w:szCs w:val="28"/>
        </w:rPr>
        <w:t>(e)</w:t>
      </w:r>
      <w:r w:rsidRPr="009176CD">
        <w:rPr>
          <w:szCs w:val="28"/>
        </w:rPr>
        <w:tab/>
      </w:r>
      <w:r w:rsidR="00B361F7" w:rsidRPr="009176CD">
        <w:t>A phased approach that integrates activities under Article 6 of the Convention and Article 12 of the Paris Agreement into climate change programmes and strategies;</w:t>
      </w:r>
    </w:p>
    <w:p w14:paraId="0B7361E2" w14:textId="34800625" w:rsidR="00B361F7" w:rsidRPr="009176CD" w:rsidRDefault="009E5AC3" w:rsidP="009E5AC3">
      <w:pPr>
        <w:pStyle w:val="RegSingleTxtG2"/>
        <w:numPr>
          <w:ilvl w:val="0"/>
          <w:numId w:val="0"/>
        </w:numPr>
        <w:tabs>
          <w:tab w:val="left" w:pos="1702"/>
        </w:tabs>
        <w:ind w:left="1134" w:firstLine="567"/>
      </w:pPr>
      <w:r w:rsidRPr="009176CD">
        <w:rPr>
          <w:szCs w:val="28"/>
        </w:rPr>
        <w:t>(f)</w:t>
      </w:r>
      <w:r w:rsidRPr="009176CD">
        <w:rPr>
          <w:szCs w:val="28"/>
        </w:rPr>
        <w:tab/>
      </w:r>
      <w:r w:rsidR="00B361F7" w:rsidRPr="009176CD">
        <w:t>The promotion of partnerships, networks and synergies, in particular synergies among conventions;</w:t>
      </w:r>
    </w:p>
    <w:p w14:paraId="647EC8BB" w14:textId="08E78257" w:rsidR="00B361F7" w:rsidRPr="009176CD" w:rsidRDefault="009E5AC3" w:rsidP="009E5AC3">
      <w:pPr>
        <w:pStyle w:val="RegSingleTxtG2"/>
        <w:numPr>
          <w:ilvl w:val="0"/>
          <w:numId w:val="0"/>
        </w:numPr>
        <w:tabs>
          <w:tab w:val="left" w:pos="1702"/>
        </w:tabs>
        <w:ind w:left="1134" w:firstLine="567"/>
      </w:pPr>
      <w:r w:rsidRPr="009176CD">
        <w:rPr>
          <w:szCs w:val="28"/>
        </w:rPr>
        <w:t>(g)</w:t>
      </w:r>
      <w:r w:rsidRPr="009176CD">
        <w:rPr>
          <w:szCs w:val="28"/>
        </w:rPr>
        <w:tab/>
      </w:r>
      <w:r w:rsidR="00B361F7" w:rsidRPr="009176CD">
        <w:t xml:space="preserve">An interdisciplinary </w:t>
      </w:r>
      <w:r w:rsidR="00F93930">
        <w:t>multi</w:t>
      </w:r>
      <w:r w:rsidR="00B361F7" w:rsidRPr="009176CD">
        <w:t>sectoral, multi-stakeholder and participatory approach;</w:t>
      </w:r>
    </w:p>
    <w:p w14:paraId="6EE79F86" w14:textId="3F21A5EE" w:rsidR="00B361F7" w:rsidRPr="009176CD" w:rsidRDefault="009E5AC3" w:rsidP="009E5AC3">
      <w:pPr>
        <w:pStyle w:val="RegSingleTxtG2"/>
        <w:numPr>
          <w:ilvl w:val="0"/>
          <w:numId w:val="0"/>
        </w:numPr>
        <w:tabs>
          <w:tab w:val="left" w:pos="1702"/>
        </w:tabs>
        <w:ind w:left="1134" w:firstLine="567"/>
      </w:pPr>
      <w:r w:rsidRPr="009176CD">
        <w:rPr>
          <w:szCs w:val="28"/>
        </w:rPr>
        <w:t>(h)</w:t>
      </w:r>
      <w:r w:rsidRPr="009176CD">
        <w:rPr>
          <w:szCs w:val="28"/>
        </w:rPr>
        <w:tab/>
      </w:r>
      <w:r w:rsidR="00B361F7" w:rsidRPr="009176CD">
        <w:t>A holistic systematic approach;</w:t>
      </w:r>
    </w:p>
    <w:p w14:paraId="46DFBF9B" w14:textId="30AB8532" w:rsidR="00B361F7" w:rsidRPr="009176CD" w:rsidRDefault="009E5AC3" w:rsidP="009E5AC3">
      <w:pPr>
        <w:pStyle w:val="RegSingleTxtG2"/>
        <w:numPr>
          <w:ilvl w:val="0"/>
          <w:numId w:val="0"/>
        </w:numPr>
        <w:tabs>
          <w:tab w:val="left" w:pos="1702"/>
        </w:tabs>
        <w:ind w:left="1134" w:firstLine="567"/>
      </w:pPr>
      <w:r w:rsidRPr="009176CD">
        <w:rPr>
          <w:szCs w:val="28"/>
        </w:rPr>
        <w:t>(i)</w:t>
      </w:r>
      <w:r w:rsidRPr="009176CD">
        <w:rPr>
          <w:szCs w:val="28"/>
        </w:rPr>
        <w:tab/>
      </w:r>
      <w:r w:rsidR="00B361F7" w:rsidRPr="009176CD">
        <w:t>The principles of sustainable development.</w:t>
      </w:r>
    </w:p>
    <w:p w14:paraId="10C674C1" w14:textId="1DE68C92" w:rsidR="00B361F7" w:rsidRPr="00BC2E11" w:rsidRDefault="009E5AC3" w:rsidP="009E5AC3">
      <w:pPr>
        <w:pStyle w:val="RegHChG"/>
        <w:numPr>
          <w:ilvl w:val="0"/>
          <w:numId w:val="0"/>
        </w:numPr>
        <w:tabs>
          <w:tab w:val="left" w:pos="1135"/>
        </w:tabs>
        <w:ind w:left="1135" w:hanging="454"/>
        <w:rPr>
          <w:b w:val="0"/>
          <w:bCs/>
          <w:szCs w:val="28"/>
        </w:rPr>
      </w:pPr>
      <w:r w:rsidRPr="00BC2E11">
        <w:rPr>
          <w:bCs/>
          <w:szCs w:val="28"/>
        </w:rPr>
        <w:t>II.</w:t>
      </w:r>
      <w:r w:rsidRPr="00BC2E11">
        <w:rPr>
          <w:bCs/>
          <w:szCs w:val="28"/>
        </w:rPr>
        <w:tab/>
      </w:r>
      <w:r w:rsidR="00B361F7" w:rsidRPr="00BC2E11">
        <w:t>Scope</w:t>
      </w:r>
    </w:p>
    <w:p w14:paraId="2879C29E" w14:textId="6F2FF568" w:rsidR="00B361F7" w:rsidRPr="009176CD" w:rsidRDefault="009E5AC3" w:rsidP="009E5AC3">
      <w:pPr>
        <w:pStyle w:val="RegSingleTxtG"/>
        <w:numPr>
          <w:ilvl w:val="0"/>
          <w:numId w:val="0"/>
        </w:numPr>
        <w:ind w:left="1134"/>
      </w:pPr>
      <w:r w:rsidRPr="009176CD">
        <w:t>4.</w:t>
      </w:r>
      <w:r w:rsidRPr="009176CD">
        <w:tab/>
      </w:r>
      <w:r w:rsidR="00B361F7" w:rsidRPr="009176CD">
        <w:t>The Glasgow work programme comprises activities under four action-oriented priority areas and the six ACE elements that Parties, taking into account national circumstances, and non-Party stakeholders may carry out to enhance implementation of ACE, including through cooperation, collaboration and partnerships.</w:t>
      </w:r>
    </w:p>
    <w:p w14:paraId="622BEB35" w14:textId="46CE30B9" w:rsidR="00B361F7" w:rsidRPr="00BC2E11" w:rsidRDefault="009E5AC3" w:rsidP="009E5AC3">
      <w:pPr>
        <w:pStyle w:val="RegHChG"/>
        <w:numPr>
          <w:ilvl w:val="0"/>
          <w:numId w:val="0"/>
        </w:numPr>
        <w:tabs>
          <w:tab w:val="left" w:pos="1135"/>
        </w:tabs>
        <w:ind w:left="1135" w:hanging="454"/>
        <w:rPr>
          <w:b w:val="0"/>
          <w:bCs/>
          <w:szCs w:val="28"/>
        </w:rPr>
      </w:pPr>
      <w:r w:rsidRPr="00BC2E11">
        <w:rPr>
          <w:bCs/>
          <w:szCs w:val="28"/>
        </w:rPr>
        <w:t>III.</w:t>
      </w:r>
      <w:r w:rsidRPr="00BC2E11">
        <w:rPr>
          <w:bCs/>
          <w:szCs w:val="28"/>
        </w:rPr>
        <w:tab/>
      </w:r>
      <w:r w:rsidR="00B361F7" w:rsidRPr="00BC2E11">
        <w:t>Priority areas</w:t>
      </w:r>
    </w:p>
    <w:p w14:paraId="49EB38DB" w14:textId="63B58C24" w:rsidR="00B361F7" w:rsidRPr="009176CD" w:rsidRDefault="009E5AC3" w:rsidP="009E5AC3">
      <w:pPr>
        <w:pStyle w:val="RegSingleTxtG"/>
        <w:numPr>
          <w:ilvl w:val="0"/>
          <w:numId w:val="0"/>
        </w:numPr>
        <w:ind w:left="1134"/>
      </w:pPr>
      <w:r w:rsidRPr="009176CD">
        <w:t>5.</w:t>
      </w:r>
      <w:r w:rsidRPr="009176CD">
        <w:tab/>
      </w:r>
      <w:r w:rsidR="00B361F7" w:rsidRPr="009176CD">
        <w:t>Four thematic priority areas have been identified as relevant to addressing gaps and challenges in implementing the six ACE elements and for creating opportunities to accelerate that implementation.</w:t>
      </w:r>
    </w:p>
    <w:p w14:paraId="5FF0F2E9" w14:textId="49949218" w:rsidR="00B361F7" w:rsidRPr="00682863" w:rsidRDefault="009E5AC3" w:rsidP="009E5AC3">
      <w:pPr>
        <w:pStyle w:val="RegH1G"/>
        <w:numPr>
          <w:ilvl w:val="0"/>
          <w:numId w:val="0"/>
        </w:numPr>
        <w:tabs>
          <w:tab w:val="left" w:pos="1135"/>
        </w:tabs>
        <w:ind w:left="1135" w:hanging="454"/>
        <w:rPr>
          <w:b w:val="0"/>
        </w:rPr>
      </w:pPr>
      <w:r w:rsidRPr="00682863">
        <w:lastRenderedPageBreak/>
        <w:t>A.</w:t>
      </w:r>
      <w:r w:rsidRPr="00682863">
        <w:tab/>
      </w:r>
      <w:r w:rsidR="00B361F7" w:rsidRPr="00C8611F">
        <w:t>Policy coherence</w:t>
      </w:r>
    </w:p>
    <w:p w14:paraId="39A3CE2E" w14:textId="4103CB21" w:rsidR="00B361F7" w:rsidRPr="009176CD" w:rsidRDefault="009E5AC3" w:rsidP="009E5AC3">
      <w:pPr>
        <w:pStyle w:val="RegSingleTxtG"/>
        <w:numPr>
          <w:ilvl w:val="0"/>
          <w:numId w:val="0"/>
        </w:numPr>
        <w:ind w:left="1134"/>
      </w:pPr>
      <w:r w:rsidRPr="009176CD">
        <w:t>6.</w:t>
      </w:r>
      <w:r w:rsidRPr="009176CD">
        <w:tab/>
      </w:r>
      <w:r w:rsidR="00B361F7" w:rsidRPr="009176CD">
        <w:t>Recognizing that activities related to ACE are also carried out under workstreams that are part of the UNFCCC process, as well as under frameworks and processes of the United Nations system and in multiple sectors and strategies at the national level, the priority area of policy coherence has the aim of strengthening coordination of work under ACE. Efficient and effective ACE implementation can be enabled by undertaking the following at the international level:</w:t>
      </w:r>
    </w:p>
    <w:p w14:paraId="5C298603" w14:textId="5F6BAE1F"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 xml:space="preserve">Inviting all constituted bodies under the Convention and </w:t>
      </w:r>
      <w:r w:rsidR="00641446">
        <w:t xml:space="preserve">the </w:t>
      </w:r>
      <w:r w:rsidR="00B361F7" w:rsidRPr="009176CD">
        <w:t>Paris Agreement to include in their regular reports information on how ACE is implemented under their respective workstreams;</w:t>
      </w:r>
    </w:p>
    <w:p w14:paraId="40070FFC" w14:textId="6F27A82D"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Inviting the Presidencies</w:t>
      </w:r>
      <w:r w:rsidR="005D2417">
        <w:t xml:space="preserve"> of the COP and the CMA</w:t>
      </w:r>
      <w:r w:rsidR="00B361F7" w:rsidRPr="009176CD">
        <w:t xml:space="preserve">, with the support of the secretariat, to convene an in-session event at each </w:t>
      </w:r>
      <w:r w:rsidR="00A013E5">
        <w:t xml:space="preserve">of their </w:t>
      </w:r>
      <w:r w:rsidR="00B361F7" w:rsidRPr="009176CD">
        <w:t>session</w:t>
      </w:r>
      <w:r w:rsidR="00A013E5">
        <w:t>s</w:t>
      </w:r>
      <w:r w:rsidR="00B361F7" w:rsidRPr="009176CD">
        <w:t xml:space="preserve"> focused on a thematic area relevant to the Convention and the Paris Agreement to promote coherence and strengthen coordination of work on ACE undertaken by constituted bodies and other United Nations entities and under other United Nations processes;</w:t>
      </w:r>
    </w:p>
    <w:p w14:paraId="69FD09CA" w14:textId="62B259B0"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Encouraging the secretariat and other United Nations and intergovernmental organizations to strengthen their collaboration with a view to ensuring the provision of coordinated support to Parties for their activities related to ACE and avoiding duplication of work.</w:t>
      </w:r>
    </w:p>
    <w:p w14:paraId="2B6D8305" w14:textId="32E051E4" w:rsidR="00B361F7" w:rsidRPr="009176CD" w:rsidRDefault="009E5AC3" w:rsidP="009E5AC3">
      <w:pPr>
        <w:pStyle w:val="RegSingleTxtG"/>
        <w:numPr>
          <w:ilvl w:val="0"/>
          <w:numId w:val="0"/>
        </w:numPr>
        <w:ind w:left="1134"/>
      </w:pPr>
      <w:r w:rsidRPr="009176CD">
        <w:t>7.</w:t>
      </w:r>
      <w:r w:rsidRPr="009176CD">
        <w:tab/>
      </w:r>
      <w:r w:rsidR="00B361F7" w:rsidRPr="009176CD">
        <w:t>At the national level, Parties are encouraged to strengthen integration of ACE into the development and implementation of national climate policies, plans, strategies and action, including by developing and implementing a national strategy that covers all six ACE elements and facilitates broad cross-sectoral coordination and collaboration.</w:t>
      </w:r>
    </w:p>
    <w:p w14:paraId="23481B3A" w14:textId="77B69789" w:rsidR="00B361F7" w:rsidRPr="009176CD" w:rsidRDefault="009E5AC3" w:rsidP="009E5AC3">
      <w:pPr>
        <w:pStyle w:val="RegSingleTxtG"/>
        <w:numPr>
          <w:ilvl w:val="0"/>
          <w:numId w:val="0"/>
        </w:numPr>
        <w:ind w:left="1134"/>
      </w:pPr>
      <w:r w:rsidRPr="009176CD">
        <w:t>8.</w:t>
      </w:r>
      <w:r w:rsidRPr="009176CD">
        <w:tab/>
      </w:r>
      <w:r w:rsidR="00B361F7" w:rsidRPr="009176CD">
        <w:t>In addition, at the national level, Parties are also encouraged to continue designating, assigning responsibilities to, and providing support, including technical and financial support, and access to information and materials to national ACE focal points. Such responsibilities could include identifying areas for possible international cooperation and opportunities for strengthening synergies with action under other conventions, and coordinating the preparation of the chapter on ACE in national communications, ensuring that relevant contact information, including weblinks, is provided therein.</w:t>
      </w:r>
    </w:p>
    <w:p w14:paraId="204953B1" w14:textId="7ACF2475" w:rsidR="00B361F7" w:rsidRPr="00BC2E11" w:rsidRDefault="009E5AC3" w:rsidP="009E5AC3">
      <w:pPr>
        <w:pStyle w:val="RegH1G"/>
        <w:numPr>
          <w:ilvl w:val="0"/>
          <w:numId w:val="0"/>
        </w:numPr>
        <w:tabs>
          <w:tab w:val="left" w:pos="1135"/>
        </w:tabs>
        <w:ind w:left="1135" w:hanging="454"/>
        <w:rPr>
          <w:b w:val="0"/>
          <w:szCs w:val="24"/>
        </w:rPr>
      </w:pPr>
      <w:r w:rsidRPr="00BC2E11">
        <w:rPr>
          <w:szCs w:val="24"/>
        </w:rPr>
        <w:t>B.</w:t>
      </w:r>
      <w:r w:rsidRPr="00BC2E11">
        <w:rPr>
          <w:szCs w:val="24"/>
        </w:rPr>
        <w:tab/>
      </w:r>
      <w:r w:rsidR="00B361F7" w:rsidRPr="00BC2E11">
        <w:t>Coordinated action</w:t>
      </w:r>
    </w:p>
    <w:p w14:paraId="381C7C0D" w14:textId="00A95283" w:rsidR="00B361F7" w:rsidRPr="009176CD" w:rsidRDefault="009E5AC3" w:rsidP="009E5AC3">
      <w:pPr>
        <w:pStyle w:val="RegSingleTxtG"/>
        <w:numPr>
          <w:ilvl w:val="0"/>
          <w:numId w:val="0"/>
        </w:numPr>
        <w:ind w:left="1134"/>
      </w:pPr>
      <w:r w:rsidRPr="009176CD">
        <w:t>9.</w:t>
      </w:r>
      <w:r w:rsidRPr="009176CD">
        <w:tab/>
      </w:r>
      <w:r w:rsidR="00B361F7" w:rsidRPr="009176CD">
        <w:t>This priority area has the aim of continuing to build long-term, strategic, operational, multilevel, multi-stakeholder, intergenerational partnerships that bring together different expertise, resources and knowledge to accelerate ACE implementation. Such partnerships can be fostered by undertaking the following activities at the international level:</w:t>
      </w:r>
    </w:p>
    <w:p w14:paraId="37CFD4E4" w14:textId="2EDD739E"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Holding an annual in-session ACE dialogue at the first regular session of the Subsidiary Body for Implementation each year with the participation of Parties, representatives of relevant constituted bodies</w:t>
      </w:r>
      <w:r w:rsidR="00307674">
        <w:t>,</w:t>
      </w:r>
      <w:r w:rsidR="00B361F7" w:rsidRPr="009176CD">
        <w:t xml:space="preserve"> and relevant experts, practitioners and stakeholders that focuses on the progress of implementation of the Glasgow work programme and on its four priority areas: </w:t>
      </w:r>
    </w:p>
    <w:p w14:paraId="3B270452" w14:textId="057D316A" w:rsidR="00B361F7" w:rsidRPr="009176CD" w:rsidRDefault="009E5AC3" w:rsidP="009E5AC3">
      <w:pPr>
        <w:pStyle w:val="RegSingleTxtG3"/>
        <w:numPr>
          <w:ilvl w:val="0"/>
          <w:numId w:val="0"/>
        </w:numPr>
        <w:ind w:left="1701"/>
      </w:pPr>
      <w:r w:rsidRPr="009176CD">
        <w:t>(i)</w:t>
      </w:r>
      <w:r w:rsidRPr="009176CD">
        <w:tab/>
      </w:r>
      <w:r w:rsidR="00B361F7" w:rsidRPr="009176CD">
        <w:t>Policy coherence;</w:t>
      </w:r>
    </w:p>
    <w:p w14:paraId="62DDA14B" w14:textId="1DA95DB9" w:rsidR="00B361F7" w:rsidRPr="009176CD" w:rsidRDefault="009E5AC3" w:rsidP="009E5AC3">
      <w:pPr>
        <w:pStyle w:val="RegSingleTxtG3"/>
        <w:numPr>
          <w:ilvl w:val="0"/>
          <w:numId w:val="0"/>
        </w:numPr>
        <w:ind w:left="1701"/>
      </w:pPr>
      <w:r w:rsidRPr="009176CD">
        <w:t>(ii)</w:t>
      </w:r>
      <w:r w:rsidRPr="009176CD">
        <w:tab/>
      </w:r>
      <w:r w:rsidR="00B361F7" w:rsidRPr="009176CD">
        <w:t xml:space="preserve">Coordinated action; </w:t>
      </w:r>
    </w:p>
    <w:p w14:paraId="6B819C7A" w14:textId="1DE963E1" w:rsidR="00B361F7" w:rsidRPr="009176CD" w:rsidRDefault="009E5AC3" w:rsidP="009E5AC3">
      <w:pPr>
        <w:pStyle w:val="RegSingleTxtG3"/>
        <w:numPr>
          <w:ilvl w:val="0"/>
          <w:numId w:val="0"/>
        </w:numPr>
        <w:ind w:left="1701"/>
      </w:pPr>
      <w:r w:rsidRPr="009176CD">
        <w:t>(iii)</w:t>
      </w:r>
      <w:r w:rsidRPr="009176CD">
        <w:tab/>
      </w:r>
      <w:r w:rsidR="00B361F7" w:rsidRPr="009176CD">
        <w:t>Tools and support;</w:t>
      </w:r>
    </w:p>
    <w:p w14:paraId="665CD32D" w14:textId="1829FD5C" w:rsidR="00B361F7" w:rsidRPr="009176CD" w:rsidRDefault="009E5AC3" w:rsidP="009E5AC3">
      <w:pPr>
        <w:pStyle w:val="RegSingleTxtG3"/>
        <w:numPr>
          <w:ilvl w:val="0"/>
          <w:numId w:val="0"/>
        </w:numPr>
        <w:ind w:left="1701"/>
      </w:pPr>
      <w:r w:rsidRPr="009176CD">
        <w:t>(iv)</w:t>
      </w:r>
      <w:r w:rsidRPr="009176CD">
        <w:tab/>
      </w:r>
      <w:r w:rsidR="00B361F7" w:rsidRPr="009176CD">
        <w:t>Monitoring, evaluation and reporting;</w:t>
      </w:r>
    </w:p>
    <w:p w14:paraId="121E640E" w14:textId="2AFF1DE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(b)</w:t>
      </w:r>
      <w:r w:rsidRPr="009176CD">
        <w:rPr>
          <w:szCs w:val="28"/>
        </w:rPr>
        <w:tab/>
      </w:r>
      <w:r w:rsidR="00B361F7" w:rsidRPr="009176CD">
        <w:rPr>
          <w:color w:val="000000" w:themeColor="text1"/>
        </w:rPr>
        <w:t xml:space="preserve">Organizing an annual youth forum in collaboration with children and youth organizations, </w:t>
      </w:r>
      <w:r w:rsidR="00B361F7" w:rsidRPr="009176CD">
        <w:t>including</w:t>
      </w:r>
      <w:r w:rsidR="00B361F7" w:rsidRPr="009176CD">
        <w:rPr>
          <w:color w:val="000000" w:themeColor="text1"/>
        </w:rPr>
        <w:t xml:space="preserve"> the constituency of </w:t>
      </w:r>
      <w:r w:rsidR="00B361F7" w:rsidRPr="006D6A64">
        <w:t>youth</w:t>
      </w:r>
      <w:r w:rsidR="00B361F7" w:rsidRPr="009176CD">
        <w:rPr>
          <w:color w:val="000000" w:themeColor="text1"/>
        </w:rPr>
        <w:t xml:space="preserve"> non-governmental organizations (NGOs) and other youth NGOs;</w:t>
      </w:r>
    </w:p>
    <w:p w14:paraId="32F1267B" w14:textId="5958494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lastRenderedPageBreak/>
        <w:t>(c)</w:t>
      </w:r>
      <w:r w:rsidRPr="009176CD">
        <w:rPr>
          <w:szCs w:val="28"/>
        </w:rPr>
        <w:tab/>
      </w:r>
      <w:r w:rsidR="00B361F7" w:rsidRPr="009176CD">
        <w:rPr>
          <w:color w:val="000000" w:themeColor="text1"/>
        </w:rPr>
        <w:t>Inviting Parties and stakeholders to develop international, regional and national programmes and activities, including the preparation of training and education materials and tools, using local languages where applicable and practical.</w:t>
      </w:r>
    </w:p>
    <w:p w14:paraId="685E1BC4" w14:textId="1C8299F0" w:rsidR="00B361F7" w:rsidRPr="009176CD" w:rsidRDefault="009E5AC3" w:rsidP="009E5AC3">
      <w:pPr>
        <w:pStyle w:val="RegSingleTxtG"/>
        <w:numPr>
          <w:ilvl w:val="0"/>
          <w:numId w:val="0"/>
        </w:numPr>
        <w:ind w:left="1134"/>
      </w:pPr>
      <w:r w:rsidRPr="009176CD">
        <w:t>10.</w:t>
      </w:r>
      <w:r w:rsidRPr="009176CD">
        <w:tab/>
      </w:r>
      <w:r w:rsidR="00B361F7" w:rsidRPr="009176CD">
        <w:t>At the national level, Parties are encouraged to:</w:t>
      </w:r>
    </w:p>
    <w:p w14:paraId="7D5C1B4C" w14:textId="37719C36"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Prepare assessments of needs specific to national circumstances in the area of ACE implementation, including use of social research methods and other relevant instruments to determine target audiences and partnerships;</w:t>
      </w:r>
    </w:p>
    <w:p w14:paraId="51901E6E" w14:textId="4EE161CC"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Strengthen in-country coordination and institutional arrangements at different levels to avoid duplication of efforts, promote knowledge-sharing, foster local networks and enhance collaboration among all stakeholders in relation to ACE implementation.</w:t>
      </w:r>
    </w:p>
    <w:p w14:paraId="20EC4A7D" w14:textId="201B3588" w:rsidR="00B361F7" w:rsidRPr="00C8611F" w:rsidRDefault="009E5AC3" w:rsidP="009E5AC3">
      <w:pPr>
        <w:pStyle w:val="RegH1G"/>
        <w:numPr>
          <w:ilvl w:val="0"/>
          <w:numId w:val="0"/>
        </w:numPr>
        <w:tabs>
          <w:tab w:val="left" w:pos="1135"/>
        </w:tabs>
        <w:ind w:left="1135" w:hanging="454"/>
        <w:rPr>
          <w:b w:val="0"/>
        </w:rPr>
      </w:pPr>
      <w:r w:rsidRPr="00C8611F">
        <w:t>C.</w:t>
      </w:r>
      <w:r w:rsidRPr="00C8611F">
        <w:tab/>
      </w:r>
      <w:r w:rsidR="00B361F7" w:rsidRPr="00C8611F">
        <w:t xml:space="preserve">Tools and support </w:t>
      </w:r>
    </w:p>
    <w:p w14:paraId="23F25FCC" w14:textId="317CE99F" w:rsidR="00B361F7" w:rsidRPr="009176CD" w:rsidRDefault="009E5AC3" w:rsidP="009E5AC3">
      <w:pPr>
        <w:pStyle w:val="RegSingleTxtG"/>
        <w:numPr>
          <w:ilvl w:val="0"/>
          <w:numId w:val="0"/>
        </w:numPr>
        <w:ind w:left="1134"/>
      </w:pPr>
      <w:r w:rsidRPr="009176CD">
        <w:t>11.</w:t>
      </w:r>
      <w:r w:rsidRPr="009176CD">
        <w:tab/>
      </w:r>
      <w:r w:rsidR="00B361F7" w:rsidRPr="009176CD">
        <w:t>This priority area is aimed at enhancing access to tools and support for building capacity and raising awareness among Parties, national ACE focal points and non-Party stakeholders with regard to ACE. ACE implementation can be enhanced by undertaking the following activities at the international level:</w:t>
      </w:r>
    </w:p>
    <w:p w14:paraId="2451EC67" w14:textId="77C73D05"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 xml:space="preserve">Requesting the secretariat to: </w:t>
      </w:r>
    </w:p>
    <w:p w14:paraId="75E6F658" w14:textId="217A9C34" w:rsidR="00B361F7" w:rsidRPr="009176CD" w:rsidRDefault="009E5AC3" w:rsidP="009E5AC3">
      <w:pPr>
        <w:pStyle w:val="RegSingleTxtG3"/>
        <w:numPr>
          <w:ilvl w:val="0"/>
          <w:numId w:val="0"/>
        </w:numPr>
        <w:ind w:left="1701"/>
      </w:pPr>
      <w:r w:rsidRPr="009176CD">
        <w:t>(i)</w:t>
      </w:r>
      <w:r w:rsidRPr="009176CD">
        <w:tab/>
      </w:r>
      <w:r w:rsidR="00B361F7" w:rsidRPr="009176CD">
        <w:t>Strengthen the network of national ACE focal points at the international and regional level, including by facilitating regular exchanges of views, good practices and lessons learned to build and strengthen capacity and skills, and by facilitating peer support for ACE implementation;</w:t>
      </w:r>
    </w:p>
    <w:p w14:paraId="38858063" w14:textId="3B575C3E" w:rsidR="00B361F7" w:rsidRPr="009176CD" w:rsidRDefault="009E5AC3" w:rsidP="009E5AC3">
      <w:pPr>
        <w:pStyle w:val="RegSingleTxtG3"/>
        <w:numPr>
          <w:ilvl w:val="0"/>
          <w:numId w:val="0"/>
        </w:numPr>
        <w:ind w:left="1701"/>
      </w:pPr>
      <w:r w:rsidRPr="009176CD">
        <w:t>(ii)</w:t>
      </w:r>
      <w:r w:rsidRPr="009176CD">
        <w:tab/>
      </w:r>
      <w:r w:rsidR="00B361F7" w:rsidRPr="009176CD">
        <w:t>Raise awareness of and promote bilateral and multilateral initiatives and programmes related to ACE implementation;</w:t>
      </w:r>
    </w:p>
    <w:p w14:paraId="749B1786" w14:textId="682700D2" w:rsidR="00B361F7" w:rsidRPr="009176CD" w:rsidRDefault="009E5AC3" w:rsidP="009E5AC3">
      <w:pPr>
        <w:pStyle w:val="RegSingleTxtG3"/>
        <w:numPr>
          <w:ilvl w:val="0"/>
          <w:numId w:val="0"/>
        </w:numPr>
        <w:ind w:left="1701"/>
      </w:pPr>
      <w:r w:rsidRPr="009176CD">
        <w:t>(iii)</w:t>
      </w:r>
      <w:r w:rsidRPr="009176CD">
        <w:tab/>
      </w:r>
      <w:r w:rsidR="00B361F7" w:rsidRPr="009176CD">
        <w:t>Enhance communication and information-sharing about ACE and its six elements through existing UNFCCC web-based resources and communication activities;</w:t>
      </w:r>
    </w:p>
    <w:p w14:paraId="7CE26D68" w14:textId="0542A0FF"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Inviting relevant international organizations, including United Nations organizations, and other non-Party stakeholders to:</w:t>
      </w:r>
    </w:p>
    <w:p w14:paraId="158C2732" w14:textId="6AE24374" w:rsidR="00B361F7" w:rsidRPr="009176CD" w:rsidRDefault="009E5AC3" w:rsidP="009E5AC3">
      <w:pPr>
        <w:pStyle w:val="RegSingleTxtG3"/>
        <w:numPr>
          <w:ilvl w:val="0"/>
          <w:numId w:val="0"/>
        </w:numPr>
        <w:ind w:left="1701"/>
      </w:pPr>
      <w:r w:rsidRPr="009176CD">
        <w:t>(i)</w:t>
      </w:r>
      <w:r w:rsidRPr="009176CD">
        <w:tab/>
      </w:r>
      <w:r w:rsidR="00B361F7" w:rsidRPr="009176CD">
        <w:t>Support implementation of ACE activities through their work programmes and through specific programmes focused on climate change, including, as appropriate, by providing and disseminating information and resources, such as visual materials that could be easily translated and adapted, and by providing financial and technical support;</w:t>
      </w:r>
    </w:p>
    <w:p w14:paraId="3CC858BE" w14:textId="05E63094" w:rsidR="00B361F7" w:rsidRPr="009176CD" w:rsidRDefault="009E5AC3" w:rsidP="009E5AC3">
      <w:pPr>
        <w:pStyle w:val="RegSingleTxtG3"/>
        <w:numPr>
          <w:ilvl w:val="0"/>
          <w:numId w:val="0"/>
        </w:numPr>
        <w:ind w:left="1701"/>
      </w:pPr>
      <w:r w:rsidRPr="009176CD">
        <w:t>(ii)</w:t>
      </w:r>
      <w:r w:rsidRPr="009176CD">
        <w:tab/>
      </w:r>
      <w:r w:rsidR="00B361F7" w:rsidRPr="009176CD">
        <w:t>Facilitate partnerships and networking among Parties, intergovernmental organizations, NGOs, academia, the private sector, state and local governments and community-based organizations with the aim of jointly designing, implementing and evaluating ACE activities and policies;</w:t>
      </w:r>
    </w:p>
    <w:p w14:paraId="6D0157F9" w14:textId="7D7ED60A" w:rsidR="00B361F7" w:rsidRPr="009176CD" w:rsidRDefault="009E5AC3" w:rsidP="009E5AC3">
      <w:pPr>
        <w:pStyle w:val="RegSingleTxtG3"/>
        <w:numPr>
          <w:ilvl w:val="0"/>
          <w:numId w:val="0"/>
        </w:numPr>
        <w:ind w:left="1701"/>
      </w:pPr>
      <w:r w:rsidRPr="009176CD">
        <w:t>(iii)</w:t>
      </w:r>
      <w:r w:rsidRPr="009176CD">
        <w:tab/>
      </w:r>
      <w:r w:rsidR="00B361F7" w:rsidRPr="009176CD">
        <w:t xml:space="preserve">Contribute to implementation of the Glasgow work programme in their areas of competence; </w:t>
      </w:r>
    </w:p>
    <w:p w14:paraId="6798DB53" w14:textId="4C5F4249" w:rsidR="00B361F7" w:rsidRPr="009176CD" w:rsidRDefault="009E5AC3" w:rsidP="009E5AC3">
      <w:pPr>
        <w:pStyle w:val="RegSingleTxtG3"/>
        <w:numPr>
          <w:ilvl w:val="0"/>
          <w:numId w:val="0"/>
        </w:numPr>
        <w:ind w:left="1701"/>
      </w:pPr>
      <w:r w:rsidRPr="009176CD">
        <w:t>(iv)</w:t>
      </w:r>
      <w:r w:rsidRPr="009176CD">
        <w:tab/>
      </w:r>
      <w:r w:rsidR="00B361F7" w:rsidRPr="009176CD">
        <w:t>Support Parties in developing long-term, strategic and country-driven approaches to ACE that are linked to national climate change objectives, and in strengthening relevant national institutions;</w:t>
      </w:r>
    </w:p>
    <w:p w14:paraId="6E22E055" w14:textId="7DC01129" w:rsidR="00B361F7" w:rsidRPr="009176CD" w:rsidRDefault="009E5AC3" w:rsidP="009E5AC3">
      <w:pPr>
        <w:pStyle w:val="RegSingleTxtG3"/>
        <w:numPr>
          <w:ilvl w:val="0"/>
          <w:numId w:val="0"/>
        </w:numPr>
        <w:ind w:left="1701"/>
      </w:pPr>
      <w:r w:rsidRPr="009176CD">
        <w:t>(v)</w:t>
      </w:r>
      <w:r w:rsidRPr="009176CD">
        <w:tab/>
      </w:r>
      <w:r w:rsidR="00B361F7" w:rsidRPr="009176CD">
        <w:t>Design and implement training programmes, develop guidelines and provide other direct support to national ACE focal points;</w:t>
      </w:r>
    </w:p>
    <w:p w14:paraId="4B050D45" w14:textId="32839A37" w:rsidR="00B361F7" w:rsidRPr="009176CD" w:rsidRDefault="009E5AC3" w:rsidP="009E5AC3">
      <w:pPr>
        <w:pStyle w:val="RegSingleTxtG3"/>
        <w:numPr>
          <w:ilvl w:val="0"/>
          <w:numId w:val="0"/>
        </w:numPr>
        <w:ind w:left="1701"/>
      </w:pPr>
      <w:r w:rsidRPr="009176CD">
        <w:t>(vi)</w:t>
      </w:r>
      <w:r w:rsidRPr="009176CD">
        <w:tab/>
      </w:r>
      <w:r w:rsidR="00B361F7" w:rsidRPr="009176CD">
        <w:t>Facilitate, in partnership with Parties and civil society actors, the organization of global, regional, subregional and national workshops focusing on specific priority areas of the Glasgow work programme.</w:t>
      </w:r>
    </w:p>
    <w:p w14:paraId="1BDAFB97" w14:textId="590B6FBC" w:rsidR="00B361F7" w:rsidRPr="009176CD" w:rsidRDefault="009E5AC3" w:rsidP="009E5AC3">
      <w:pPr>
        <w:pStyle w:val="RegSingleTxtG"/>
        <w:numPr>
          <w:ilvl w:val="0"/>
          <w:numId w:val="0"/>
        </w:numPr>
        <w:ind w:left="1134"/>
        <w:rPr>
          <w:color w:val="000000" w:themeColor="text1"/>
        </w:rPr>
      </w:pPr>
      <w:bookmarkStart w:id="33" w:name="_Hlk86726017"/>
      <w:r w:rsidRPr="009176CD">
        <w:rPr>
          <w:color w:val="000000" w:themeColor="text1"/>
        </w:rPr>
        <w:t>12.</w:t>
      </w:r>
      <w:r w:rsidRPr="009176CD">
        <w:rPr>
          <w:color w:val="000000" w:themeColor="text1"/>
        </w:rPr>
        <w:tab/>
      </w:r>
      <w:r w:rsidR="00B361F7" w:rsidRPr="009176CD">
        <w:t xml:space="preserve">At the national </w:t>
      </w:r>
      <w:r w:rsidR="00B361F7" w:rsidRPr="009176CD">
        <w:rPr>
          <w:color w:val="000000" w:themeColor="text1"/>
        </w:rPr>
        <w:t xml:space="preserve">level, Parties are encouraged to determine the most efficient and cost-effective way to implement ACE activities, and to develop funding instruments at the national </w:t>
      </w:r>
      <w:r w:rsidR="00B361F7" w:rsidRPr="009176CD">
        <w:rPr>
          <w:color w:val="000000" w:themeColor="text1"/>
        </w:rPr>
        <w:lastRenderedPageBreak/>
        <w:t xml:space="preserve">level, where appropriate, to support such activities, in particular at the subnational and local level. </w:t>
      </w:r>
    </w:p>
    <w:p w14:paraId="3AF29C6F" w14:textId="4E602229" w:rsidR="00B361F7" w:rsidRPr="009176CD" w:rsidRDefault="009E5AC3" w:rsidP="009E5AC3">
      <w:pPr>
        <w:pStyle w:val="RegSingleTxtG"/>
        <w:numPr>
          <w:ilvl w:val="0"/>
          <w:numId w:val="0"/>
        </w:numPr>
        <w:ind w:left="1134"/>
        <w:rPr>
          <w:color w:val="000000" w:themeColor="text1"/>
        </w:rPr>
      </w:pPr>
      <w:r w:rsidRPr="009176CD">
        <w:rPr>
          <w:color w:val="000000" w:themeColor="text1"/>
        </w:rPr>
        <w:t>13.</w:t>
      </w:r>
      <w:r w:rsidRPr="009176CD">
        <w:rPr>
          <w:color w:val="000000" w:themeColor="text1"/>
        </w:rPr>
        <w:tab/>
      </w:r>
      <w:r w:rsidR="00B361F7" w:rsidRPr="009176CD">
        <w:rPr>
          <w:color w:val="000000" w:themeColor="text1"/>
        </w:rPr>
        <w:t xml:space="preserve">Parties are also encouraged to establish partnerships with other Parties, as well as with intergovernmental organizations, NGOs and other </w:t>
      </w:r>
      <w:r w:rsidR="00B361F7" w:rsidRPr="006D6A64">
        <w:t>stakeholders</w:t>
      </w:r>
      <w:r w:rsidR="00B361F7" w:rsidRPr="009176CD">
        <w:rPr>
          <w:color w:val="000000" w:themeColor="text1"/>
        </w:rPr>
        <w:t>, to facilitate implementation of ACE activities, including with a view to developing institutional and technical capacity to:</w:t>
      </w:r>
    </w:p>
    <w:p w14:paraId="08681A3B" w14:textId="4E5C84D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(a)</w:t>
      </w:r>
      <w:r w:rsidRPr="009176CD">
        <w:rPr>
          <w:szCs w:val="28"/>
        </w:rPr>
        <w:tab/>
      </w:r>
      <w:r w:rsidR="00B361F7" w:rsidRPr="009176CD">
        <w:rPr>
          <w:color w:val="000000" w:themeColor="text1"/>
        </w:rPr>
        <w:t xml:space="preserve">Identify gaps and needs related to </w:t>
      </w:r>
      <w:r w:rsidR="00B361F7" w:rsidRPr="006D6A64">
        <w:t>ACE</w:t>
      </w:r>
      <w:r w:rsidR="00B361F7" w:rsidRPr="009176CD">
        <w:rPr>
          <w:color w:val="000000" w:themeColor="text1"/>
        </w:rPr>
        <w:t xml:space="preserve"> implementation;</w:t>
      </w:r>
    </w:p>
    <w:p w14:paraId="1CC2FCFD" w14:textId="708235F2"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(b)</w:t>
      </w:r>
      <w:r w:rsidRPr="009176CD">
        <w:rPr>
          <w:szCs w:val="28"/>
        </w:rPr>
        <w:tab/>
      </w:r>
      <w:r w:rsidR="00B361F7" w:rsidRPr="009176CD">
        <w:rPr>
          <w:color w:val="000000" w:themeColor="text1"/>
        </w:rPr>
        <w:t xml:space="preserve">Assess the effectiveness of ACE </w:t>
      </w:r>
      <w:r w:rsidR="00B361F7" w:rsidRPr="006D6A64">
        <w:t>activities</w:t>
      </w:r>
      <w:r w:rsidR="00B361F7" w:rsidRPr="009176CD">
        <w:rPr>
          <w:color w:val="000000" w:themeColor="text1"/>
        </w:rPr>
        <w:t>;</w:t>
      </w:r>
    </w:p>
    <w:p w14:paraId="7F70282F" w14:textId="6B7B33E1"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(c)</w:t>
      </w:r>
      <w:r w:rsidRPr="009176CD">
        <w:rPr>
          <w:szCs w:val="28"/>
        </w:rPr>
        <w:tab/>
      </w:r>
      <w:r w:rsidR="00B361F7" w:rsidRPr="009176CD">
        <w:rPr>
          <w:color w:val="000000" w:themeColor="text1"/>
        </w:rPr>
        <w:t>Consider linkages between ACE activities, implementation of policies and measures to mitigate and adapt to climate change, and other means of implementation under the Convention and the Paris Agreement, such as technology transfer and capacity-building.</w:t>
      </w:r>
    </w:p>
    <w:p w14:paraId="0CC28EB6" w14:textId="6F355142" w:rsidR="00B361F7" w:rsidRPr="009176CD" w:rsidRDefault="009E5AC3" w:rsidP="009E5AC3">
      <w:pPr>
        <w:pStyle w:val="RegSingleTxtG"/>
        <w:numPr>
          <w:ilvl w:val="0"/>
          <w:numId w:val="0"/>
        </w:numPr>
        <w:ind w:left="1134"/>
      </w:pPr>
      <w:r w:rsidRPr="009176CD">
        <w:t>14.</w:t>
      </w:r>
      <w:r w:rsidRPr="009176CD">
        <w:tab/>
      </w:r>
      <w:r w:rsidR="00B361F7" w:rsidRPr="009176CD">
        <w:t>Parties are further encouraged to build the capacity of youth to embark on and lead ACE implementation and promote youth participation in relevant climate processes at the national and international level, including by including youth in national delegations at UNFCCC meetings</w:t>
      </w:r>
      <w:bookmarkEnd w:id="33"/>
      <w:r w:rsidR="00B361F7" w:rsidRPr="009176CD">
        <w:t>.</w:t>
      </w:r>
    </w:p>
    <w:p w14:paraId="1EE98482" w14:textId="378B1F1C" w:rsidR="00B361F7" w:rsidRPr="00BC2E11" w:rsidRDefault="009E5AC3" w:rsidP="009E5AC3">
      <w:pPr>
        <w:pStyle w:val="RegH1G"/>
        <w:numPr>
          <w:ilvl w:val="0"/>
          <w:numId w:val="0"/>
        </w:numPr>
        <w:tabs>
          <w:tab w:val="left" w:pos="1135"/>
        </w:tabs>
        <w:ind w:left="1135" w:hanging="454"/>
        <w:rPr>
          <w:b w:val="0"/>
          <w:sz w:val="22"/>
          <w:szCs w:val="22"/>
        </w:rPr>
      </w:pPr>
      <w:r w:rsidRPr="00BC2E11">
        <w:rPr>
          <w:szCs w:val="22"/>
        </w:rPr>
        <w:t>D.</w:t>
      </w:r>
      <w:r w:rsidRPr="00BC2E11">
        <w:rPr>
          <w:szCs w:val="22"/>
        </w:rPr>
        <w:tab/>
      </w:r>
      <w:r w:rsidR="00B361F7" w:rsidRPr="00BC2E11">
        <w:t>Monitoring,</w:t>
      </w:r>
      <w:r w:rsidR="00B361F7" w:rsidRPr="00BC2E11" w:rsidDel="00C8328A">
        <w:t xml:space="preserve"> </w:t>
      </w:r>
      <w:r w:rsidR="00B361F7" w:rsidRPr="00BC2E11">
        <w:t>evaluation and reporting</w:t>
      </w:r>
    </w:p>
    <w:p w14:paraId="7F8D1F07" w14:textId="1F0FADCC" w:rsidR="00B361F7" w:rsidRPr="009176CD" w:rsidRDefault="009E5AC3" w:rsidP="009E5AC3">
      <w:pPr>
        <w:pStyle w:val="RegSingleTxtG"/>
        <w:numPr>
          <w:ilvl w:val="0"/>
          <w:numId w:val="0"/>
        </w:numPr>
        <w:ind w:left="1134"/>
        <w:rPr>
          <w:color w:val="000000" w:themeColor="text1"/>
        </w:rPr>
      </w:pPr>
      <w:r w:rsidRPr="009176CD">
        <w:rPr>
          <w:color w:val="000000" w:themeColor="text1"/>
        </w:rPr>
        <w:t>15.</w:t>
      </w:r>
      <w:r w:rsidRPr="009176CD">
        <w:rPr>
          <w:color w:val="000000" w:themeColor="text1"/>
        </w:rPr>
        <w:tab/>
      </w:r>
      <w:r w:rsidR="00B361F7" w:rsidRPr="009176CD">
        <w:t>This priority area is aimed at strengthening monitoring, evaluation and reporting of the implementation of all six ACE elements at all levels, according to Parties’ specific priorities, needs and national circumstances. Monitoring, evaluation and reporting can be strengthened by undertaking the following activities at the international level</w:t>
      </w:r>
      <w:r w:rsidR="00B361F7" w:rsidRPr="009176CD">
        <w:rPr>
          <w:color w:val="000000" w:themeColor="text1"/>
        </w:rPr>
        <w:t xml:space="preserve">: </w:t>
      </w:r>
    </w:p>
    <w:p w14:paraId="63EC4B66" w14:textId="1C23A8CE"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(a)</w:t>
      </w:r>
      <w:r w:rsidRPr="009176CD">
        <w:rPr>
          <w:szCs w:val="28"/>
        </w:rPr>
        <w:tab/>
      </w:r>
      <w:r w:rsidR="00B361F7" w:rsidRPr="009176CD">
        <w:rPr>
          <w:color w:val="000000" w:themeColor="text1"/>
        </w:rPr>
        <w:t xml:space="preserve">Inviting Parties to provide information in their national communications, where possible, and in other reports on activities and policies involving ACE implementation, reporting on accomplishments, lessons learned, experience, and challenges and </w:t>
      </w:r>
      <w:r w:rsidR="00B361F7" w:rsidRPr="006D6A64">
        <w:t>opportunities</w:t>
      </w:r>
      <w:r w:rsidR="00B361F7" w:rsidRPr="009176CD">
        <w:rPr>
          <w:color w:val="000000" w:themeColor="text1"/>
        </w:rPr>
        <w:t>, noting that the six ACE elements provide a useful guide for this reporting;</w:t>
      </w:r>
    </w:p>
    <w:p w14:paraId="7B156BA2" w14:textId="1328B7E6"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(b)</w:t>
      </w:r>
      <w:r w:rsidRPr="009176CD">
        <w:rPr>
          <w:szCs w:val="28"/>
        </w:rPr>
        <w:tab/>
      </w:r>
      <w:r w:rsidR="00B361F7" w:rsidRPr="009176CD">
        <w:rPr>
          <w:color w:val="000000" w:themeColor="text1"/>
        </w:rPr>
        <w:t xml:space="preserve">Inviting United Nations agencies, intergovernmental organizations and other non-Party stakeholders to submit information to the secretariat on ACE implementation at all levels for inclusion in the annual summary report on </w:t>
      </w:r>
      <w:r w:rsidR="00B361F7" w:rsidRPr="009176CD">
        <w:t>progress in implementing activities under the Glasgow work programme</w:t>
      </w:r>
      <w:r w:rsidR="00B361F7" w:rsidRPr="009176CD">
        <w:rPr>
          <w:color w:val="000000" w:themeColor="text1"/>
        </w:rPr>
        <w:t>.</w:t>
      </w:r>
    </w:p>
    <w:p w14:paraId="7FCF0F0C" w14:textId="439701B1" w:rsidR="00B361F7" w:rsidRPr="009176CD" w:rsidRDefault="009E5AC3" w:rsidP="009E5AC3">
      <w:pPr>
        <w:pStyle w:val="RegSingleTxtG"/>
        <w:numPr>
          <w:ilvl w:val="0"/>
          <w:numId w:val="0"/>
        </w:numPr>
        <w:ind w:left="1134"/>
        <w:rPr>
          <w:color w:val="000000" w:themeColor="text1"/>
        </w:rPr>
      </w:pPr>
      <w:r w:rsidRPr="009176CD">
        <w:rPr>
          <w:color w:val="000000" w:themeColor="text1"/>
        </w:rPr>
        <w:t>16.</w:t>
      </w:r>
      <w:r w:rsidRPr="009176CD">
        <w:rPr>
          <w:color w:val="000000" w:themeColor="text1"/>
        </w:rPr>
        <w:tab/>
      </w:r>
      <w:r w:rsidR="00B361F7" w:rsidRPr="009176CD">
        <w:rPr>
          <w:color w:val="000000" w:themeColor="text1"/>
        </w:rPr>
        <w:t>At the national level, Parties are encouraged to share with the public and all stakeholders the findings contained in their national communications and national action plans or domestic programmes on climate change regarding ACE implementation, using tools such as social media to reach and engage multiple stakeholders, as appropriate. Parties are also encouraged to promote greater involvement of non-Party stakeholders to support them in monitoring, evaluating and reporting ACE activities.</w:t>
      </w:r>
    </w:p>
    <w:p w14:paraId="45814076" w14:textId="209D0A0B" w:rsidR="00B361F7" w:rsidRPr="00BC2E11" w:rsidRDefault="009E5AC3" w:rsidP="009E5AC3">
      <w:pPr>
        <w:pStyle w:val="RegHChG"/>
        <w:numPr>
          <w:ilvl w:val="0"/>
          <w:numId w:val="0"/>
        </w:numPr>
        <w:tabs>
          <w:tab w:val="left" w:pos="1135"/>
        </w:tabs>
        <w:ind w:left="1135" w:hanging="454"/>
        <w:rPr>
          <w:b w:val="0"/>
          <w:szCs w:val="28"/>
        </w:rPr>
      </w:pPr>
      <w:r w:rsidRPr="00BC2E11">
        <w:rPr>
          <w:szCs w:val="28"/>
        </w:rPr>
        <w:t>IV.</w:t>
      </w:r>
      <w:r w:rsidRPr="00BC2E11">
        <w:rPr>
          <w:szCs w:val="28"/>
        </w:rPr>
        <w:tab/>
      </w:r>
      <w:r w:rsidR="00B361F7" w:rsidRPr="00BC2E11">
        <w:t>Implement</w:t>
      </w:r>
      <w:r w:rsidR="00B361F7" w:rsidRPr="00BC2E11">
        <w:rPr>
          <w:szCs w:val="28"/>
        </w:rPr>
        <w:t>ing the six elements of Action for Climate Empowerment</w:t>
      </w:r>
    </w:p>
    <w:p w14:paraId="0A92C783" w14:textId="11E1DB0C" w:rsidR="00B361F7" w:rsidRPr="00BC2E11" w:rsidRDefault="009E5AC3" w:rsidP="009E5AC3">
      <w:pPr>
        <w:pStyle w:val="RegH1G"/>
        <w:numPr>
          <w:ilvl w:val="0"/>
          <w:numId w:val="0"/>
        </w:numPr>
        <w:tabs>
          <w:tab w:val="left" w:pos="1135"/>
        </w:tabs>
        <w:ind w:left="1135" w:hanging="454"/>
        <w:rPr>
          <w:b w:val="0"/>
          <w:szCs w:val="24"/>
        </w:rPr>
      </w:pPr>
      <w:r w:rsidRPr="00BC2E11">
        <w:rPr>
          <w:szCs w:val="24"/>
        </w:rPr>
        <w:t>A.</w:t>
      </w:r>
      <w:r w:rsidRPr="00BC2E11">
        <w:rPr>
          <w:szCs w:val="24"/>
        </w:rPr>
        <w:tab/>
      </w:r>
      <w:r w:rsidR="00B361F7" w:rsidRPr="00BC2E11">
        <w:t>Parties and non-Party stakeholders</w:t>
      </w:r>
    </w:p>
    <w:p w14:paraId="3BFC9B7F" w14:textId="34F764C6" w:rsidR="00B361F7" w:rsidRPr="009176CD" w:rsidRDefault="009E5AC3" w:rsidP="009E5AC3">
      <w:pPr>
        <w:pStyle w:val="RegSingleTxtG"/>
        <w:numPr>
          <w:ilvl w:val="0"/>
          <w:numId w:val="0"/>
        </w:numPr>
        <w:ind w:left="1134"/>
      </w:pPr>
      <w:r w:rsidRPr="009176CD">
        <w:t>17.</w:t>
      </w:r>
      <w:r w:rsidRPr="009176CD">
        <w:tab/>
      </w:r>
      <w:r w:rsidR="00B361F7" w:rsidRPr="009176CD">
        <w:t>As part of their national programmes to implement the Convention and the Paris Agreement, and taking into account national circumstances, Parties and non-Party stakeholders are encouraged to undertake activities under the six ACE elements, which are listed in paragraphs 18–23 below.</w:t>
      </w:r>
    </w:p>
    <w:p w14:paraId="64E625BC" w14:textId="2F1ADF5B" w:rsidR="00B361F7" w:rsidRPr="00A20491" w:rsidRDefault="009E5AC3" w:rsidP="009E5AC3">
      <w:pPr>
        <w:pStyle w:val="RegH23G"/>
        <w:numPr>
          <w:ilvl w:val="0"/>
          <w:numId w:val="0"/>
        </w:numPr>
        <w:tabs>
          <w:tab w:val="left" w:pos="1135"/>
        </w:tabs>
        <w:ind w:left="1135" w:hanging="454"/>
        <w:rPr>
          <w:b w:val="0"/>
          <w:sz w:val="22"/>
          <w:szCs w:val="22"/>
        </w:rPr>
      </w:pPr>
      <w:r w:rsidRPr="00A20491">
        <w:rPr>
          <w:bCs/>
        </w:rPr>
        <w:t>1.</w:t>
      </w:r>
      <w:r w:rsidRPr="00A20491">
        <w:rPr>
          <w:bCs/>
        </w:rPr>
        <w:tab/>
      </w:r>
      <w:r w:rsidR="00B361F7" w:rsidRPr="00BC2E11">
        <w:t>Education</w:t>
      </w:r>
    </w:p>
    <w:p w14:paraId="6C428BE3" w14:textId="30BF1F27" w:rsidR="00B361F7" w:rsidRPr="009176CD" w:rsidRDefault="009E5AC3" w:rsidP="009E5AC3">
      <w:pPr>
        <w:pStyle w:val="RegSingleTxtG"/>
        <w:numPr>
          <w:ilvl w:val="0"/>
          <w:numId w:val="0"/>
        </w:numPr>
        <w:ind w:left="1134"/>
      </w:pPr>
      <w:r w:rsidRPr="009176CD">
        <w:t>18.</w:t>
      </w:r>
      <w:r w:rsidRPr="009176CD">
        <w:tab/>
      </w:r>
      <w:r w:rsidR="00B361F7" w:rsidRPr="009176CD">
        <w:t xml:space="preserve">Parties and non-Party stakeholders are encouraged to collaborate on, promote, facilitate, develop and implement formal and non-formal education and training programmes focused on climate change at all levels, targeting the involvement of women and youth in </w:t>
      </w:r>
      <w:r w:rsidR="00B361F7" w:rsidRPr="009176CD">
        <w:lastRenderedPageBreak/>
        <w:t>particular, including by organizing exchanges or secondments of personnel to provide training for experts.</w:t>
      </w:r>
    </w:p>
    <w:p w14:paraId="4FFD8790" w14:textId="4B44FD88"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2.</w:t>
      </w:r>
      <w:r w:rsidRPr="00BC2E11">
        <w:rPr>
          <w:bCs/>
        </w:rPr>
        <w:tab/>
      </w:r>
      <w:r w:rsidR="00B361F7" w:rsidRPr="00BC2E11">
        <w:t>Training</w:t>
      </w:r>
    </w:p>
    <w:p w14:paraId="4C468224" w14:textId="7FD28BAA" w:rsidR="00B361F7" w:rsidRPr="009176CD" w:rsidRDefault="009E5AC3" w:rsidP="009E5AC3">
      <w:pPr>
        <w:pStyle w:val="RegSingleTxtG"/>
        <w:numPr>
          <w:ilvl w:val="0"/>
          <w:numId w:val="0"/>
        </w:numPr>
        <w:ind w:left="1134"/>
      </w:pPr>
      <w:r w:rsidRPr="009176CD">
        <w:t>19.</w:t>
      </w:r>
      <w:r w:rsidRPr="009176CD">
        <w:tab/>
      </w:r>
      <w:r w:rsidR="00B361F7" w:rsidRPr="009176CD">
        <w:t>Parties and non-Party stakeholders are encouraged to collaborate on, promote, facilitate, develop and implement training programmes focused on climate change for groups with a key role in climate action, such as scientific, technical and managerial personnel, journalists, teachers and community leaders at the international, national, regional, subregional and local level, as appropriate. Technical skills and knowledge are required to adequately address and respond to climate change issues.</w:t>
      </w:r>
    </w:p>
    <w:p w14:paraId="47FB8F52" w14:textId="51994400"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3.</w:t>
      </w:r>
      <w:r w:rsidRPr="00BC2E11">
        <w:rPr>
          <w:bCs/>
        </w:rPr>
        <w:tab/>
      </w:r>
      <w:r w:rsidR="00B361F7" w:rsidRPr="00BC2E11">
        <w:t>Public awareness</w:t>
      </w:r>
    </w:p>
    <w:p w14:paraId="18B61A61" w14:textId="022B48EC" w:rsidR="00B361F7" w:rsidRPr="009176CD" w:rsidRDefault="009E5AC3" w:rsidP="009E5AC3">
      <w:pPr>
        <w:pStyle w:val="RegSingleTxtG"/>
        <w:numPr>
          <w:ilvl w:val="0"/>
          <w:numId w:val="0"/>
        </w:numPr>
        <w:ind w:left="1134"/>
      </w:pPr>
      <w:r w:rsidRPr="009176CD">
        <w:t>20.</w:t>
      </w:r>
      <w:r w:rsidRPr="009176CD">
        <w:tab/>
      </w:r>
      <w:r w:rsidR="00B361F7" w:rsidRPr="009176CD">
        <w:t>Parties and non-Party stakeholders are encouraged to cooperate in, promote, facilitate, develop and implement public awareness programmes on climate change and its effects at the national and, as appropriate, subregional, regional and international level by, inter alia, encouraging individuals to contribute to and take their own action to address climate change, supporting climate-friendly policies and fostering behavioural change, including through the use of popular media, noting the important role that social media platforms and strategies can play in this context.</w:t>
      </w:r>
    </w:p>
    <w:p w14:paraId="1D1EA9B2" w14:textId="530BAE51"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4.</w:t>
      </w:r>
      <w:r w:rsidRPr="00BC2E11">
        <w:rPr>
          <w:bCs/>
        </w:rPr>
        <w:tab/>
      </w:r>
      <w:r w:rsidR="00B361F7" w:rsidRPr="00BC2E11">
        <w:t>Public access to information</w:t>
      </w:r>
    </w:p>
    <w:p w14:paraId="3C60DCD1" w14:textId="0CBD3E4C" w:rsidR="00B361F7" w:rsidRPr="009176CD" w:rsidRDefault="009E5AC3" w:rsidP="009E5AC3">
      <w:pPr>
        <w:pStyle w:val="RegSingleTxtG"/>
        <w:numPr>
          <w:ilvl w:val="0"/>
          <w:numId w:val="0"/>
        </w:numPr>
        <w:ind w:left="1134"/>
      </w:pPr>
      <w:r w:rsidRPr="009176CD">
        <w:t>21.</w:t>
      </w:r>
      <w:r w:rsidRPr="009176CD">
        <w:tab/>
      </w:r>
      <w:r w:rsidR="00B361F7" w:rsidRPr="009176CD">
        <w:t>Parties and non-Party stakeholders are encouraged to facilitate public access to data and information by providing information on climate change initiatives, policies and results of actions that enables the public and other stakeholders to understand, address and respond to climate change. This should take into account such factors as quality of Internet access, level of literacy and language differences.</w:t>
      </w:r>
    </w:p>
    <w:p w14:paraId="6B041EE1" w14:textId="0B06537B"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5.</w:t>
      </w:r>
      <w:r w:rsidRPr="00BC2E11">
        <w:rPr>
          <w:bCs/>
        </w:rPr>
        <w:tab/>
      </w:r>
      <w:r w:rsidR="00B361F7" w:rsidRPr="00BC2E11">
        <w:t>Public participation</w:t>
      </w:r>
    </w:p>
    <w:p w14:paraId="18219F97" w14:textId="57203E63" w:rsidR="00B361F7" w:rsidRPr="009176CD" w:rsidRDefault="009E5AC3" w:rsidP="009E5AC3">
      <w:pPr>
        <w:pStyle w:val="RegSingleTxtG"/>
        <w:numPr>
          <w:ilvl w:val="0"/>
          <w:numId w:val="0"/>
        </w:numPr>
        <w:ind w:left="1134"/>
      </w:pPr>
      <w:r w:rsidRPr="009176CD">
        <w:t>22.</w:t>
      </w:r>
      <w:r w:rsidRPr="009176CD">
        <w:tab/>
      </w:r>
      <w:r w:rsidR="00B361F7" w:rsidRPr="009176CD">
        <w:t>Parties and non-Party stakeholders are encouraged to promote public participation in addressing climate change and its effects and in developing adequate responses by facilitating feedback, debate and partnership in relation to climate change activities and relevant governance, noting the important role that social media platforms and strategies can play in this context.</w:t>
      </w:r>
    </w:p>
    <w:p w14:paraId="5CF43573" w14:textId="5D245D68" w:rsidR="00B361F7" w:rsidRPr="00BC2E11" w:rsidRDefault="009E5AC3" w:rsidP="009E5AC3">
      <w:pPr>
        <w:pStyle w:val="RegH23G"/>
        <w:numPr>
          <w:ilvl w:val="0"/>
          <w:numId w:val="0"/>
        </w:numPr>
        <w:tabs>
          <w:tab w:val="left" w:pos="1135"/>
        </w:tabs>
        <w:ind w:left="1135" w:hanging="454"/>
        <w:rPr>
          <w:b w:val="0"/>
          <w:sz w:val="22"/>
          <w:szCs w:val="22"/>
        </w:rPr>
      </w:pPr>
      <w:r w:rsidRPr="00BC2E11">
        <w:rPr>
          <w:bCs/>
        </w:rPr>
        <w:t>6.</w:t>
      </w:r>
      <w:r w:rsidRPr="00BC2E11">
        <w:rPr>
          <w:bCs/>
        </w:rPr>
        <w:tab/>
      </w:r>
      <w:r w:rsidR="00B361F7" w:rsidRPr="00BC2E11">
        <w:t>International cooperation</w:t>
      </w:r>
    </w:p>
    <w:p w14:paraId="1FB37590" w14:textId="3EFF2467" w:rsidR="00B361F7" w:rsidRPr="009176CD" w:rsidRDefault="009E5AC3" w:rsidP="009E5AC3">
      <w:pPr>
        <w:pStyle w:val="RegSingleTxtG"/>
        <w:numPr>
          <w:ilvl w:val="0"/>
          <w:numId w:val="0"/>
        </w:numPr>
        <w:ind w:left="1134"/>
      </w:pPr>
      <w:r w:rsidRPr="009176CD">
        <w:t>23.</w:t>
      </w:r>
      <w:r w:rsidRPr="009176CD">
        <w:tab/>
      </w:r>
      <w:r w:rsidR="00B361F7" w:rsidRPr="009176CD">
        <w:t>Parties and non-Party stakeholders are encouraged to promote subregional, regional and international cooperation in undertaking activities within the framework of the Glasgow work programme, which has the potential to enhance the collective ability of Parties to implement the Convention and the Paris Agreement. Intergovernmental organizations and NGOs can also contribute to its implementation. Such cooperation can further enhance synergies of action under different conventions and improve the effectiveness of all sustainable development efforts.</w:t>
      </w:r>
    </w:p>
    <w:p w14:paraId="42B1E7A9" w14:textId="5DB334D8" w:rsidR="00B361F7" w:rsidRPr="00BC2E11" w:rsidRDefault="009E5AC3" w:rsidP="009E5AC3">
      <w:pPr>
        <w:pStyle w:val="RegH1G"/>
        <w:numPr>
          <w:ilvl w:val="0"/>
          <w:numId w:val="0"/>
        </w:numPr>
        <w:tabs>
          <w:tab w:val="left" w:pos="1135"/>
        </w:tabs>
        <w:ind w:left="1135" w:hanging="454"/>
        <w:rPr>
          <w:b w:val="0"/>
          <w:szCs w:val="24"/>
        </w:rPr>
      </w:pPr>
      <w:r w:rsidRPr="00BC2E11">
        <w:rPr>
          <w:szCs w:val="24"/>
        </w:rPr>
        <w:t>B.</w:t>
      </w:r>
      <w:r w:rsidRPr="00BC2E11">
        <w:rPr>
          <w:szCs w:val="24"/>
        </w:rPr>
        <w:tab/>
      </w:r>
      <w:r w:rsidR="00B361F7" w:rsidRPr="00BC2E11">
        <w:t>Parties</w:t>
      </w:r>
    </w:p>
    <w:p w14:paraId="3E1109C6" w14:textId="03332F88" w:rsidR="00B361F7" w:rsidRPr="009176CD" w:rsidRDefault="009E5AC3" w:rsidP="009E5AC3">
      <w:pPr>
        <w:pStyle w:val="RegSingleTxtG"/>
        <w:numPr>
          <w:ilvl w:val="0"/>
          <w:numId w:val="0"/>
        </w:numPr>
        <w:ind w:left="1134"/>
        <w:rPr>
          <w:color w:val="000000" w:themeColor="text1"/>
        </w:rPr>
      </w:pPr>
      <w:r w:rsidRPr="009176CD">
        <w:rPr>
          <w:color w:val="000000" w:themeColor="text1"/>
        </w:rPr>
        <w:t>24.</w:t>
      </w:r>
      <w:r w:rsidRPr="009176CD">
        <w:rPr>
          <w:color w:val="000000" w:themeColor="text1"/>
        </w:rPr>
        <w:tab/>
      </w:r>
      <w:r w:rsidR="00B361F7" w:rsidRPr="009176CD">
        <w:t>A</w:t>
      </w:r>
      <w:r w:rsidR="00B361F7" w:rsidRPr="009176CD">
        <w:rPr>
          <w:color w:val="000000" w:themeColor="text1"/>
        </w:rPr>
        <w:t>s part of their national programmes and activities in implementing the Convention and the Paris Agreement, and within the framework of the Glasgow work programme, Parties could undertake the activities listed in paragraphs 25–30 below, as appropriate.</w:t>
      </w:r>
    </w:p>
    <w:p w14:paraId="2EB0C06E" w14:textId="608C58B0" w:rsidR="00B361F7" w:rsidRPr="00BC2E11" w:rsidRDefault="009E5AC3" w:rsidP="009E5AC3">
      <w:pPr>
        <w:pStyle w:val="RegH23G"/>
        <w:numPr>
          <w:ilvl w:val="0"/>
          <w:numId w:val="0"/>
        </w:numPr>
        <w:tabs>
          <w:tab w:val="left" w:pos="1135"/>
        </w:tabs>
        <w:ind w:left="1135" w:hanging="454"/>
      </w:pPr>
      <w:r w:rsidRPr="00BC2E11">
        <w:rPr>
          <w:bCs/>
        </w:rPr>
        <w:t>1.</w:t>
      </w:r>
      <w:r w:rsidRPr="00BC2E11">
        <w:rPr>
          <w:bCs/>
        </w:rPr>
        <w:tab/>
      </w:r>
      <w:r w:rsidR="00B361F7" w:rsidRPr="00BC2E11">
        <w:t>Education</w:t>
      </w:r>
    </w:p>
    <w:p w14:paraId="4DD30B16" w14:textId="4530146C" w:rsidR="00B361F7" w:rsidRPr="009176CD" w:rsidRDefault="009E5AC3" w:rsidP="009E5AC3">
      <w:pPr>
        <w:pStyle w:val="RegSingleTxtG"/>
        <w:numPr>
          <w:ilvl w:val="0"/>
          <w:numId w:val="0"/>
        </w:numPr>
        <w:ind w:left="1134"/>
      </w:pPr>
      <w:r w:rsidRPr="009176CD">
        <w:t>25.</w:t>
      </w:r>
      <w:r w:rsidRPr="009176CD">
        <w:tab/>
      </w:r>
      <w:r w:rsidR="00B361F7" w:rsidRPr="009176CD">
        <w:t>Parties are encouraged to:</w:t>
      </w:r>
    </w:p>
    <w:p w14:paraId="345D1DA4" w14:textId="4C7F280B"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Integrate climate change learning into the curricula of schools and other institutions that provide formal education, and support non-formal and informal education on climate change, including respect for and inclusion of indigenous and traditional knowledge;</w:t>
      </w:r>
    </w:p>
    <w:p w14:paraId="7346DD77" w14:textId="23FD6E5A" w:rsidR="00B361F7" w:rsidRPr="009176CD" w:rsidRDefault="009E5AC3" w:rsidP="009E5AC3">
      <w:pPr>
        <w:pStyle w:val="RegSingleTxtG2"/>
        <w:numPr>
          <w:ilvl w:val="0"/>
          <w:numId w:val="0"/>
        </w:numPr>
        <w:tabs>
          <w:tab w:val="left" w:pos="1702"/>
        </w:tabs>
        <w:ind w:left="1134" w:firstLine="567"/>
      </w:pPr>
      <w:r w:rsidRPr="009176CD">
        <w:rPr>
          <w:szCs w:val="28"/>
        </w:rPr>
        <w:lastRenderedPageBreak/>
        <w:t>(b)</w:t>
      </w:r>
      <w:r w:rsidRPr="009176CD">
        <w:rPr>
          <w:szCs w:val="28"/>
        </w:rPr>
        <w:tab/>
      </w:r>
      <w:r w:rsidR="00B361F7" w:rsidRPr="009176CD">
        <w:t>Strengthen education, training and skills development in national institutions to deliver action on climate change learning.</w:t>
      </w:r>
    </w:p>
    <w:p w14:paraId="00AB039D" w14:textId="52A87781" w:rsidR="00B361F7" w:rsidRPr="00BC2E11" w:rsidRDefault="009E5AC3" w:rsidP="009E5AC3">
      <w:pPr>
        <w:pStyle w:val="RegH23G"/>
        <w:numPr>
          <w:ilvl w:val="0"/>
          <w:numId w:val="0"/>
        </w:numPr>
        <w:tabs>
          <w:tab w:val="left" w:pos="1135"/>
        </w:tabs>
        <w:ind w:left="1135" w:hanging="454"/>
      </w:pPr>
      <w:r w:rsidRPr="00BC2E11">
        <w:rPr>
          <w:bCs/>
        </w:rPr>
        <w:t>2.</w:t>
      </w:r>
      <w:r w:rsidRPr="00BC2E11">
        <w:rPr>
          <w:bCs/>
        </w:rPr>
        <w:tab/>
      </w:r>
      <w:r w:rsidR="00B361F7" w:rsidRPr="00BC2E11">
        <w:t>Training</w:t>
      </w:r>
    </w:p>
    <w:p w14:paraId="3BB6485F" w14:textId="3C779553" w:rsidR="00B361F7" w:rsidRPr="009176CD" w:rsidRDefault="009E5AC3" w:rsidP="009E5AC3">
      <w:pPr>
        <w:pStyle w:val="RegSingleTxtG"/>
        <w:numPr>
          <w:ilvl w:val="0"/>
          <w:numId w:val="0"/>
        </w:numPr>
        <w:ind w:left="1134"/>
      </w:pPr>
      <w:r w:rsidRPr="009176CD">
        <w:t>26.</w:t>
      </w:r>
      <w:r w:rsidRPr="009176CD">
        <w:tab/>
      </w:r>
      <w:r w:rsidR="00B361F7" w:rsidRPr="009176CD">
        <w:t>Parties are encouraged to:</w:t>
      </w:r>
    </w:p>
    <w:p w14:paraId="5B03300A" w14:textId="04333B53"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Develop tools and methodologies for supporting climate change training and skills development through collaboration, and provide training programmes for groups with a key role in climate change communication and education, including journalists, teachers, academics, youth, children and community leaders;</w:t>
      </w:r>
    </w:p>
    <w:p w14:paraId="2456D889" w14:textId="3CBEF113"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Enhance the capacity of teachers and academics to integrate climate into their curricula by developing materials and promoting training focused on climate change at the regional and international level, where appropriate;</w:t>
      </w:r>
    </w:p>
    <w:p w14:paraId="32BDBEA3" w14:textId="3B6C1719"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Train government officials from different ministries and departments, including those working in local government, on how climate change relates to their respective areas of work with a view to strengthening institutional and technical capacity.</w:t>
      </w:r>
    </w:p>
    <w:p w14:paraId="344735E7" w14:textId="30AB6C72" w:rsidR="00B361F7" w:rsidRPr="00BC2E11" w:rsidRDefault="009E5AC3" w:rsidP="009E5AC3">
      <w:pPr>
        <w:pStyle w:val="RegH23G"/>
        <w:numPr>
          <w:ilvl w:val="0"/>
          <w:numId w:val="0"/>
        </w:numPr>
        <w:tabs>
          <w:tab w:val="left" w:pos="1135"/>
        </w:tabs>
        <w:ind w:left="1135" w:hanging="454"/>
      </w:pPr>
      <w:r w:rsidRPr="00BC2E11">
        <w:rPr>
          <w:bCs/>
        </w:rPr>
        <w:t>3.</w:t>
      </w:r>
      <w:r w:rsidRPr="00BC2E11">
        <w:rPr>
          <w:bCs/>
        </w:rPr>
        <w:tab/>
      </w:r>
      <w:r w:rsidR="00B361F7" w:rsidRPr="00BC2E11">
        <w:t>Public awareness</w:t>
      </w:r>
    </w:p>
    <w:p w14:paraId="2AEBABB9" w14:textId="365687FB" w:rsidR="00B361F7" w:rsidRPr="009176CD" w:rsidRDefault="009E5AC3" w:rsidP="009E5AC3">
      <w:pPr>
        <w:pStyle w:val="RegSingleTxtG"/>
        <w:numPr>
          <w:ilvl w:val="0"/>
          <w:numId w:val="0"/>
        </w:numPr>
        <w:ind w:left="1134"/>
      </w:pPr>
      <w:r w:rsidRPr="009176CD">
        <w:t>27.</w:t>
      </w:r>
      <w:r w:rsidRPr="009176CD">
        <w:tab/>
      </w:r>
      <w:r w:rsidR="00B361F7" w:rsidRPr="009176CD">
        <w:t>Parties are encouraged to:</w:t>
      </w:r>
    </w:p>
    <w:p w14:paraId="2E2792A7" w14:textId="5C29455A"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Inform the public on the causes of climate change and sources of greenhouse gas emissions, as well as on actions that can be taken at all levels to address climate change;</w:t>
      </w:r>
    </w:p>
    <w:p w14:paraId="3F31DE38" w14:textId="42F21555"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Encourage the public to contribute to mitigation and adaptation actions as part of public awareness programmes;</w:t>
      </w:r>
    </w:p>
    <w:p w14:paraId="7726E41B" w14:textId="2F28953D"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Develop strategies for communicating on climate change on the basis of targeted sociological research with a view to encouraging behavioural change;</w:t>
      </w:r>
    </w:p>
    <w:p w14:paraId="2A09D0E1" w14:textId="36B093F3"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Conduct surveys, including of knowledge, attitudes, behaviour and practices, to establish the level of public awareness of climate issues, which can serve as a basis for further work and support the monitoring of the impact of activities;</w:t>
      </w:r>
    </w:p>
    <w:p w14:paraId="559EFEF6" w14:textId="4EFC0DF7" w:rsidR="00B361F7" w:rsidRPr="009176CD" w:rsidRDefault="009E5AC3" w:rsidP="009E5AC3">
      <w:pPr>
        <w:pStyle w:val="RegSingleTxtG2"/>
        <w:numPr>
          <w:ilvl w:val="0"/>
          <w:numId w:val="0"/>
        </w:numPr>
        <w:tabs>
          <w:tab w:val="left" w:pos="1702"/>
        </w:tabs>
        <w:ind w:left="1134" w:firstLine="567"/>
      </w:pPr>
      <w:r w:rsidRPr="009176CD">
        <w:rPr>
          <w:szCs w:val="28"/>
        </w:rPr>
        <w:t>(e)</w:t>
      </w:r>
      <w:r w:rsidRPr="009176CD">
        <w:rPr>
          <w:szCs w:val="28"/>
        </w:rPr>
        <w:tab/>
      </w:r>
      <w:r w:rsidR="00B361F7" w:rsidRPr="009176CD">
        <w:t>Develop criteria for identifying good practices for ACE and disseminate information thereon, at the national or regional level according to national circumstances and capacities, and promote the sharing of such practices;</w:t>
      </w:r>
    </w:p>
    <w:p w14:paraId="4FA7F82F" w14:textId="0E2C27B5" w:rsidR="00B361F7" w:rsidRPr="009176CD" w:rsidRDefault="009E5AC3" w:rsidP="009E5AC3">
      <w:pPr>
        <w:pStyle w:val="RegSingleTxtG2"/>
        <w:numPr>
          <w:ilvl w:val="0"/>
          <w:numId w:val="0"/>
        </w:numPr>
        <w:tabs>
          <w:tab w:val="left" w:pos="1702"/>
        </w:tabs>
        <w:ind w:left="1134" w:firstLine="567"/>
      </w:pPr>
      <w:r w:rsidRPr="009176CD">
        <w:rPr>
          <w:szCs w:val="28"/>
        </w:rPr>
        <w:t>(f)</w:t>
      </w:r>
      <w:r w:rsidRPr="009176CD">
        <w:rPr>
          <w:szCs w:val="28"/>
        </w:rPr>
        <w:tab/>
      </w:r>
      <w:r w:rsidR="00B361F7" w:rsidRPr="009176CD">
        <w:t>Conduct government campaigns to inform the public on issues such as climate change, climate action and vulnerabilities, including through social media, electronic communication, festivals and cultural events, or by partnering with urban and rural local communities;</w:t>
      </w:r>
    </w:p>
    <w:p w14:paraId="79E91496" w14:textId="1AAD874C" w:rsidR="00B361F7" w:rsidRPr="009176CD" w:rsidRDefault="009E5AC3" w:rsidP="009E5AC3">
      <w:pPr>
        <w:pStyle w:val="RegSingleTxtG2"/>
        <w:numPr>
          <w:ilvl w:val="0"/>
          <w:numId w:val="0"/>
        </w:numPr>
        <w:tabs>
          <w:tab w:val="left" w:pos="1702"/>
        </w:tabs>
        <w:ind w:left="1134" w:firstLine="567"/>
      </w:pPr>
      <w:r w:rsidRPr="009176CD">
        <w:rPr>
          <w:szCs w:val="28"/>
        </w:rPr>
        <w:t>(g)</w:t>
      </w:r>
      <w:r w:rsidRPr="009176CD">
        <w:rPr>
          <w:szCs w:val="28"/>
        </w:rPr>
        <w:tab/>
      </w:r>
      <w:r w:rsidR="00B361F7" w:rsidRPr="009176CD">
        <w:t>Create communities of practice, knowledge and learning that are available and accessible to a wide range of stakeholders, including women, children and youth, the elderly and persons with disabilities.</w:t>
      </w:r>
    </w:p>
    <w:p w14:paraId="7DC7C5CF" w14:textId="2F9C4FC8" w:rsidR="00B361F7" w:rsidRPr="00BC2E11" w:rsidRDefault="009E5AC3" w:rsidP="009E5AC3">
      <w:pPr>
        <w:pStyle w:val="RegH23G"/>
        <w:numPr>
          <w:ilvl w:val="0"/>
          <w:numId w:val="0"/>
        </w:numPr>
        <w:tabs>
          <w:tab w:val="left" w:pos="1135"/>
        </w:tabs>
        <w:ind w:left="1135" w:hanging="454"/>
      </w:pPr>
      <w:r w:rsidRPr="00BC2E11">
        <w:rPr>
          <w:bCs/>
        </w:rPr>
        <w:t>4.</w:t>
      </w:r>
      <w:r w:rsidRPr="00BC2E11">
        <w:rPr>
          <w:bCs/>
        </w:rPr>
        <w:tab/>
      </w:r>
      <w:r w:rsidR="00B361F7" w:rsidRPr="00BC2E11">
        <w:t>Public access to information</w:t>
      </w:r>
    </w:p>
    <w:p w14:paraId="73FC9832" w14:textId="16B818CE" w:rsidR="00B361F7" w:rsidRPr="009176CD" w:rsidRDefault="009E5AC3" w:rsidP="009E5AC3">
      <w:pPr>
        <w:pStyle w:val="RegSingleTxtG"/>
        <w:numPr>
          <w:ilvl w:val="0"/>
          <w:numId w:val="0"/>
        </w:numPr>
        <w:ind w:left="1134"/>
      </w:pPr>
      <w:r w:rsidRPr="009176CD">
        <w:t>28.</w:t>
      </w:r>
      <w:r w:rsidRPr="009176CD">
        <w:tab/>
      </w:r>
      <w:r w:rsidR="00B361F7" w:rsidRPr="009176CD">
        <w:t>Parties are encouraged to:</w:t>
      </w:r>
    </w:p>
    <w:p w14:paraId="3C67BC10" w14:textId="4844E954"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Increase the availability of copyright-free and translated material on climate change, in accordance with laws and standards relating to the protection of copyrighted material;</w:t>
      </w:r>
    </w:p>
    <w:p w14:paraId="72A67C10" w14:textId="771DAB63"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t>Seek opportunities to widely disseminate information on climate change. Measures could include translating information into other languages, as appropriate, and distributing simplified versions of key documents on climate change, including Intergovernmental Panel on Climate Change Assessment Reports;</w:t>
      </w:r>
    </w:p>
    <w:p w14:paraId="77F2723D" w14:textId="49E52733"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Include accurate information on climate change science and mitigation on national and subnational government websites;</w:t>
      </w:r>
    </w:p>
    <w:p w14:paraId="2B1574E3" w14:textId="0FEE7402"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Make scientific information on climate change mitigation and adaptation freely available and accessible to the public;</w:t>
      </w:r>
    </w:p>
    <w:p w14:paraId="71320380" w14:textId="6BFE256B" w:rsidR="00B361F7" w:rsidRPr="009176CD" w:rsidRDefault="009E5AC3" w:rsidP="009E5AC3">
      <w:pPr>
        <w:pStyle w:val="RegSingleTxtG2"/>
        <w:numPr>
          <w:ilvl w:val="0"/>
          <w:numId w:val="0"/>
        </w:numPr>
        <w:tabs>
          <w:tab w:val="left" w:pos="1702"/>
        </w:tabs>
        <w:ind w:left="1134" w:firstLine="567"/>
      </w:pPr>
      <w:r w:rsidRPr="009176CD">
        <w:rPr>
          <w:szCs w:val="28"/>
        </w:rPr>
        <w:lastRenderedPageBreak/>
        <w:t>(e)</w:t>
      </w:r>
      <w:r w:rsidRPr="009176CD">
        <w:rPr>
          <w:szCs w:val="28"/>
        </w:rPr>
        <w:tab/>
      </w:r>
      <w:r w:rsidR="00B361F7" w:rsidRPr="009176CD">
        <w:t>Make national climate reports available in local languages for vulnerable communities, including people with special needs;</w:t>
      </w:r>
    </w:p>
    <w:p w14:paraId="26BD39F1" w14:textId="5AB850BC" w:rsidR="00B361F7" w:rsidRPr="009176CD" w:rsidRDefault="009E5AC3" w:rsidP="009E5AC3">
      <w:pPr>
        <w:pStyle w:val="RegSingleTxtG2"/>
        <w:numPr>
          <w:ilvl w:val="0"/>
          <w:numId w:val="0"/>
        </w:numPr>
        <w:tabs>
          <w:tab w:val="left" w:pos="1702"/>
        </w:tabs>
        <w:ind w:left="1134" w:firstLine="567"/>
      </w:pPr>
      <w:r w:rsidRPr="009176CD">
        <w:rPr>
          <w:szCs w:val="28"/>
        </w:rPr>
        <w:t>(f)</w:t>
      </w:r>
      <w:r w:rsidRPr="009176CD">
        <w:rPr>
          <w:szCs w:val="28"/>
        </w:rPr>
        <w:tab/>
      </w:r>
      <w:r w:rsidR="00B361F7" w:rsidRPr="009176CD">
        <w:t>Improve public access to information on climate change at the national and local level using a range of methods and tools, taking into account the different ways particular communities, groups and individuals, including women and children and youth, may be impacted by climate change.</w:t>
      </w:r>
    </w:p>
    <w:p w14:paraId="44649084" w14:textId="6AF52C7B" w:rsidR="00B361F7" w:rsidRPr="00BC2E11" w:rsidRDefault="009E5AC3" w:rsidP="009E5AC3">
      <w:pPr>
        <w:pStyle w:val="RegH23G"/>
        <w:numPr>
          <w:ilvl w:val="0"/>
          <w:numId w:val="0"/>
        </w:numPr>
        <w:tabs>
          <w:tab w:val="left" w:pos="1135"/>
        </w:tabs>
        <w:ind w:left="1135" w:hanging="454"/>
      </w:pPr>
      <w:r w:rsidRPr="00BC2E11">
        <w:rPr>
          <w:bCs/>
        </w:rPr>
        <w:t>5.</w:t>
      </w:r>
      <w:r w:rsidRPr="00BC2E11">
        <w:rPr>
          <w:bCs/>
        </w:rPr>
        <w:tab/>
      </w:r>
      <w:r w:rsidR="00B361F7" w:rsidRPr="00BC2E11">
        <w:t>Public participation</w:t>
      </w:r>
    </w:p>
    <w:p w14:paraId="6108FA1C" w14:textId="3362A8DE" w:rsidR="00B361F7" w:rsidRPr="009176CD" w:rsidRDefault="009E5AC3" w:rsidP="009E5AC3">
      <w:pPr>
        <w:pStyle w:val="RegSingleTxtG"/>
        <w:numPr>
          <w:ilvl w:val="0"/>
          <w:numId w:val="0"/>
        </w:numPr>
        <w:ind w:left="1134"/>
      </w:pPr>
      <w:r w:rsidRPr="009176CD">
        <w:t>29.</w:t>
      </w:r>
      <w:r w:rsidRPr="009176CD">
        <w:tab/>
      </w:r>
      <w:r w:rsidR="00B361F7" w:rsidRPr="009176CD">
        <w:t>Parties are encouraged to:</w:t>
      </w:r>
    </w:p>
    <w:p w14:paraId="306FDC10" w14:textId="0DF60D23" w:rsidR="00B361F7" w:rsidRPr="009176CD" w:rsidRDefault="009E5AC3" w:rsidP="009E5AC3">
      <w:pPr>
        <w:pStyle w:val="RegSingleTxtG2"/>
        <w:numPr>
          <w:ilvl w:val="0"/>
          <w:numId w:val="0"/>
        </w:numPr>
        <w:tabs>
          <w:tab w:val="left" w:pos="1702"/>
        </w:tabs>
        <w:ind w:left="1134" w:firstLine="567"/>
      </w:pPr>
      <w:r w:rsidRPr="009176CD">
        <w:rPr>
          <w:szCs w:val="28"/>
        </w:rPr>
        <w:t>(a)</w:t>
      </w:r>
      <w:r w:rsidRPr="009176CD">
        <w:rPr>
          <w:szCs w:val="28"/>
        </w:rPr>
        <w:tab/>
      </w:r>
      <w:r w:rsidR="00B361F7" w:rsidRPr="009176CD">
        <w:t>Seek public participation and input, including from youth, women, civil society organizations and other groups, in formulating and implementing efforts to address climate change and in relation to preparing national communications, and encourage the involvement and participation of representatives of all stakeholders and major groups in the climate change negotiation process;</w:t>
      </w:r>
    </w:p>
    <w:p w14:paraId="4E5A2E20" w14:textId="67283E97" w:rsidR="00B361F7" w:rsidRPr="009176CD" w:rsidRDefault="009E5AC3" w:rsidP="009E5AC3">
      <w:pPr>
        <w:pStyle w:val="RegSingleTxtG2"/>
        <w:numPr>
          <w:ilvl w:val="0"/>
          <w:numId w:val="0"/>
        </w:numPr>
        <w:tabs>
          <w:tab w:val="left" w:pos="1702"/>
        </w:tabs>
        <w:ind w:left="1134" w:firstLine="567"/>
      </w:pPr>
      <w:r w:rsidRPr="009176CD">
        <w:rPr>
          <w:szCs w:val="28"/>
        </w:rPr>
        <w:t>(b)</w:t>
      </w:r>
      <w:r w:rsidRPr="009176CD">
        <w:rPr>
          <w:szCs w:val="28"/>
        </w:rPr>
        <w:tab/>
      </w:r>
      <w:r w:rsidR="00B361F7" w:rsidRPr="009176CD">
        <w:rPr>
          <w:color w:val="000000" w:themeColor="text1"/>
        </w:rPr>
        <w:t xml:space="preserve">Foster the participation of all stakeholders in ACE implementation and invite them to report thereon. In particular, </w:t>
      </w:r>
      <w:r w:rsidR="00B361F7" w:rsidRPr="009176CD">
        <w:t>enhance the active participation of youth, women, civil society organizations and the media;</w:t>
      </w:r>
    </w:p>
    <w:p w14:paraId="74A85312" w14:textId="0EFEFC78" w:rsidR="00B361F7" w:rsidRPr="009176CD" w:rsidRDefault="009E5AC3" w:rsidP="009E5AC3">
      <w:pPr>
        <w:pStyle w:val="RegSingleTxtG2"/>
        <w:numPr>
          <w:ilvl w:val="0"/>
          <w:numId w:val="0"/>
        </w:numPr>
        <w:tabs>
          <w:tab w:val="left" w:pos="1702"/>
        </w:tabs>
        <w:ind w:left="1134" w:firstLine="567"/>
      </w:pPr>
      <w:r w:rsidRPr="009176CD">
        <w:rPr>
          <w:szCs w:val="28"/>
        </w:rPr>
        <w:t>(c)</w:t>
      </w:r>
      <w:r w:rsidRPr="009176CD">
        <w:rPr>
          <w:szCs w:val="28"/>
        </w:rPr>
        <w:tab/>
      </w:r>
      <w:r w:rsidR="00B361F7" w:rsidRPr="009176CD">
        <w:t>Establish public–private or public–non-profit partnerships between national ACE focal points for implementing ACE activities (e.g. university partnerships);</w:t>
      </w:r>
    </w:p>
    <w:p w14:paraId="7887C462" w14:textId="3ACE14C1" w:rsidR="00B361F7" w:rsidRPr="009176CD" w:rsidRDefault="009E5AC3" w:rsidP="009E5AC3">
      <w:pPr>
        <w:pStyle w:val="RegSingleTxtG2"/>
        <w:numPr>
          <w:ilvl w:val="0"/>
          <w:numId w:val="0"/>
        </w:numPr>
        <w:tabs>
          <w:tab w:val="left" w:pos="1702"/>
        </w:tabs>
        <w:ind w:left="1134" w:firstLine="567"/>
      </w:pPr>
      <w:r w:rsidRPr="009176CD">
        <w:rPr>
          <w:szCs w:val="28"/>
        </w:rPr>
        <w:t>(d)</w:t>
      </w:r>
      <w:r w:rsidRPr="009176CD">
        <w:rPr>
          <w:szCs w:val="28"/>
        </w:rPr>
        <w:tab/>
      </w:r>
      <w:r w:rsidR="00B361F7" w:rsidRPr="009176CD">
        <w:t>Hold frequent, inclusive civil society consultations on climate decision-making, including follow-up processes with specific outcomes such as feedback surveys that enable participants to express how they feel their input was used;</w:t>
      </w:r>
    </w:p>
    <w:p w14:paraId="0B85E4B5" w14:textId="18D191AB"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(e)</w:t>
      </w:r>
      <w:r w:rsidRPr="009176CD">
        <w:rPr>
          <w:szCs w:val="28"/>
        </w:rPr>
        <w:tab/>
      </w:r>
      <w:r w:rsidR="00B361F7" w:rsidRPr="009176CD">
        <w:t>Develop guidelines for enhancing public participation in climate change decision-making and the inclusion of</w:t>
      </w:r>
      <w:r w:rsidR="00B361F7" w:rsidRPr="009176CD">
        <w:rPr>
          <w:color w:val="000000" w:themeColor="text1"/>
        </w:rPr>
        <w:t xml:space="preserve"> children and </w:t>
      </w:r>
      <w:r w:rsidR="00B361F7" w:rsidRPr="006D6A64">
        <w:t>youth</w:t>
      </w:r>
      <w:r w:rsidR="00B361F7" w:rsidRPr="009176CD">
        <w:rPr>
          <w:color w:val="000000" w:themeColor="text1"/>
        </w:rPr>
        <w:t>, and for assisting local governments and the public in climate change decision-making.</w:t>
      </w:r>
    </w:p>
    <w:p w14:paraId="2AA3A608" w14:textId="1555D4CE" w:rsidR="00B361F7" w:rsidRPr="00BC2E11" w:rsidRDefault="009E5AC3" w:rsidP="009E5AC3">
      <w:pPr>
        <w:pStyle w:val="RegH23G"/>
        <w:numPr>
          <w:ilvl w:val="0"/>
          <w:numId w:val="0"/>
        </w:numPr>
        <w:tabs>
          <w:tab w:val="left" w:pos="1135"/>
        </w:tabs>
        <w:ind w:left="1135" w:hanging="454"/>
      </w:pPr>
      <w:r w:rsidRPr="00BC2E11">
        <w:rPr>
          <w:bCs/>
        </w:rPr>
        <w:t>6.</w:t>
      </w:r>
      <w:r w:rsidRPr="00BC2E11">
        <w:rPr>
          <w:bCs/>
        </w:rPr>
        <w:tab/>
      </w:r>
      <w:r w:rsidR="00B361F7" w:rsidRPr="00BC2E11">
        <w:t>International cooperation</w:t>
      </w:r>
    </w:p>
    <w:p w14:paraId="6325562C" w14:textId="5167C74E" w:rsidR="00B361F7" w:rsidRPr="009176CD" w:rsidRDefault="009E5AC3" w:rsidP="009E5AC3">
      <w:pPr>
        <w:pStyle w:val="RegSingleTxtG"/>
        <w:numPr>
          <w:ilvl w:val="0"/>
          <w:numId w:val="0"/>
        </w:numPr>
        <w:ind w:left="1134"/>
        <w:rPr>
          <w:color w:val="000000" w:themeColor="text1"/>
        </w:rPr>
      </w:pPr>
      <w:r w:rsidRPr="009176CD">
        <w:rPr>
          <w:color w:val="000000" w:themeColor="text1"/>
        </w:rPr>
        <w:t>30.</w:t>
      </w:r>
      <w:r w:rsidRPr="009176CD">
        <w:rPr>
          <w:color w:val="000000" w:themeColor="text1"/>
        </w:rPr>
        <w:tab/>
      </w:r>
      <w:r w:rsidR="00B361F7" w:rsidRPr="009176CD">
        <w:rPr>
          <w:color w:val="000000" w:themeColor="text1"/>
        </w:rPr>
        <w:t xml:space="preserve">Parties are </w:t>
      </w:r>
      <w:r w:rsidR="00B361F7" w:rsidRPr="006D6A64">
        <w:t>encouraged</w:t>
      </w:r>
      <w:r w:rsidR="00B361F7" w:rsidRPr="009176CD">
        <w:rPr>
          <w:color w:val="000000" w:themeColor="text1"/>
        </w:rPr>
        <w:t xml:space="preserve"> to:</w:t>
      </w:r>
    </w:p>
    <w:p w14:paraId="2A67CAF3" w14:textId="17A5DEF9" w:rsidR="00B361F7" w:rsidRPr="009176CD" w:rsidRDefault="009E5AC3" w:rsidP="009E5AC3">
      <w:pPr>
        <w:pStyle w:val="RegSingleTxtG2"/>
        <w:numPr>
          <w:ilvl w:val="0"/>
          <w:numId w:val="0"/>
        </w:numPr>
        <w:tabs>
          <w:tab w:val="left" w:pos="1702"/>
        </w:tabs>
        <w:ind w:left="1134" w:firstLine="567"/>
        <w:rPr>
          <w:color w:val="000000" w:themeColor="text1"/>
        </w:rPr>
      </w:pPr>
      <w:r w:rsidRPr="009176CD">
        <w:rPr>
          <w:szCs w:val="28"/>
        </w:rPr>
        <w:t>(a)</w:t>
      </w:r>
      <w:r w:rsidRPr="009176CD">
        <w:rPr>
          <w:szCs w:val="28"/>
        </w:rPr>
        <w:tab/>
      </w:r>
      <w:r w:rsidR="00B361F7" w:rsidRPr="009176CD">
        <w:rPr>
          <w:color w:val="000000" w:themeColor="text1"/>
        </w:rPr>
        <w:t xml:space="preserve">Seek to enhance cooperation and coordination in developing and implementing ACE activities at the </w:t>
      </w:r>
      <w:r w:rsidR="00B361F7" w:rsidRPr="009176CD">
        <w:t>international</w:t>
      </w:r>
      <w:r w:rsidR="00B361F7" w:rsidRPr="009176CD">
        <w:rPr>
          <w:color w:val="000000" w:themeColor="text1"/>
        </w:rPr>
        <w:t xml:space="preserve"> and regional level. This includes identifying partners and building networks with other Parties, intergovernmental organizations, NGOs, the </w:t>
      </w:r>
      <w:r w:rsidR="00B361F7" w:rsidRPr="006D6A64">
        <w:t>private</w:t>
      </w:r>
      <w:r w:rsidR="00B361F7" w:rsidRPr="009176CD">
        <w:rPr>
          <w:color w:val="000000" w:themeColor="text1"/>
        </w:rPr>
        <w:t xml:space="preserve"> sector, provincial and local governments, and community-based organizations. Parties should also promote and facilitate the exchange of information and materials and the sharing of experience and good practices;</w:t>
      </w:r>
    </w:p>
    <w:p w14:paraId="6AE19482" w14:textId="5DF4E945" w:rsidR="00B361F7" w:rsidRDefault="009E5AC3" w:rsidP="009E5AC3">
      <w:pPr>
        <w:pStyle w:val="RegSingleTxtG2"/>
        <w:numPr>
          <w:ilvl w:val="0"/>
          <w:numId w:val="0"/>
        </w:numPr>
        <w:tabs>
          <w:tab w:val="left" w:pos="1702"/>
        </w:tabs>
        <w:ind w:left="1134" w:firstLine="567"/>
      </w:pPr>
      <w:r>
        <w:rPr>
          <w:szCs w:val="28"/>
        </w:rPr>
        <w:t>(b)</w:t>
      </w:r>
      <w:r>
        <w:rPr>
          <w:szCs w:val="28"/>
        </w:rPr>
        <w:tab/>
      </w:r>
      <w:r w:rsidR="00B361F7" w:rsidRPr="009176CD">
        <w:rPr>
          <w:color w:val="000000" w:themeColor="text1"/>
        </w:rPr>
        <w:t>Promote and encourage regional programmes and projects developed by Parties, intergovernmental organizations, NGOs, the private sector, provincial and local governments, and community-based organizations that support the implementation of ACE and promote the sharing of experience, including through the dissemination of best practices and lessons learned and the exchange of information and data</w:t>
      </w:r>
    </w:p>
    <w:p w14:paraId="31596FEF" w14:textId="77777777" w:rsidR="007235D9" w:rsidRDefault="007235D9" w:rsidP="007235D9">
      <w:pPr>
        <w:spacing w:before="240"/>
        <w:ind w:left="1134" w:right="1134"/>
        <w:jc w:val="right"/>
        <w:rPr>
          <w:i/>
        </w:rPr>
        <w:sectPr w:rsidR="007235D9" w:rsidSect="00265564">
          <w:headerReference w:type="even" r:id="rId86"/>
          <w:headerReference w:type="default" r:id="rId87"/>
          <w:footerReference w:type="even" r:id="rId88"/>
          <w:footerReference w:type="default" r:id="rId89"/>
          <w:footnotePr>
            <w:numRestart w:val="eachSect"/>
          </w:footnotePr>
          <w:pgSz w:w="11906" w:h="16838" w:code="9"/>
          <w:pgMar w:top="1417" w:right="1134" w:bottom="1134" w:left="1134" w:header="850" w:footer="567" w:gutter="0"/>
          <w:cols w:space="708"/>
          <w:docGrid w:linePitch="360"/>
        </w:sectPr>
      </w:pPr>
      <w:r>
        <w:rPr>
          <w:i/>
        </w:rPr>
        <w:t>11</w:t>
      </w:r>
      <w:r w:rsidRPr="00382975">
        <w:rPr>
          <w:i/>
          <w:vertAlign w:val="superscript"/>
        </w:rPr>
        <w:t>th</w:t>
      </w:r>
      <w:r>
        <w:rPr>
          <w:i/>
        </w:rPr>
        <w:t xml:space="preserve"> </w:t>
      </w:r>
      <w:r w:rsidRPr="006C7D6D">
        <w:rPr>
          <w:i/>
        </w:rPr>
        <w:t>plenary meeting</w:t>
      </w:r>
      <w:r w:rsidRPr="006C7D6D">
        <w:rPr>
          <w:i/>
        </w:rPr>
        <w:br/>
      </w:r>
      <w:r>
        <w:rPr>
          <w:i/>
        </w:rPr>
        <w:t>12</w:t>
      </w:r>
      <w:r w:rsidRPr="006C7D6D">
        <w:rPr>
          <w:i/>
        </w:rPr>
        <w:t xml:space="preserve"> November 2021</w:t>
      </w:r>
    </w:p>
    <w:p w14:paraId="2C268CE5" w14:textId="616319A8" w:rsidR="002B5222" w:rsidRDefault="002B5222" w:rsidP="009E5AC3">
      <w:pPr>
        <w:pStyle w:val="RegHChG"/>
        <w:numPr>
          <w:ilvl w:val="0"/>
          <w:numId w:val="0"/>
        </w:numPr>
        <w:spacing w:before="120"/>
        <w:ind w:left="1134" w:hanging="454"/>
      </w:pPr>
      <w:bookmarkStart w:id="34" w:name="Decision23"/>
      <w:r>
        <w:lastRenderedPageBreak/>
        <w:t>Decision 23/CMA.3</w:t>
      </w:r>
    </w:p>
    <w:bookmarkEnd w:id="34"/>
    <w:p w14:paraId="5DF7ED54" w14:textId="5539CEA0" w:rsidR="002B5222" w:rsidRDefault="004E1E74" w:rsidP="009E5AC3">
      <w:pPr>
        <w:pStyle w:val="RegHChG"/>
        <w:numPr>
          <w:ilvl w:val="0"/>
          <w:numId w:val="0"/>
        </w:numPr>
        <w:ind w:left="1135" w:hanging="454"/>
      </w:pPr>
      <w:r>
        <w:t>Matters relating to the forum on the impact of the implementation of response measures</w:t>
      </w:r>
    </w:p>
    <w:p w14:paraId="26234341" w14:textId="77777777" w:rsidR="00554B98" w:rsidRPr="00CD1C0E" w:rsidRDefault="00554B98" w:rsidP="00554B98">
      <w:pPr>
        <w:spacing w:after="120"/>
        <w:ind w:left="1134" w:right="1133" w:firstLine="567"/>
        <w:rPr>
          <w:i/>
          <w:iCs/>
        </w:rPr>
      </w:pPr>
      <w:r w:rsidRPr="00CD1C0E">
        <w:rPr>
          <w:i/>
        </w:rPr>
        <w:t>The Conference of the Parties serving as the meeting of the Parties to the Paris Agreement</w:t>
      </w:r>
      <w:r w:rsidRPr="00CD1C0E">
        <w:t>,</w:t>
      </w:r>
    </w:p>
    <w:p w14:paraId="31D7DB7F" w14:textId="77777777" w:rsidR="00554B98" w:rsidRPr="00CD1C0E" w:rsidRDefault="00554B98" w:rsidP="00554B98">
      <w:pPr>
        <w:spacing w:after="120"/>
        <w:ind w:left="1134" w:right="1133" w:firstLine="567"/>
      </w:pPr>
      <w:r w:rsidRPr="00CD1C0E">
        <w:rPr>
          <w:i/>
          <w:iCs/>
        </w:rPr>
        <w:t>Recalling</w:t>
      </w:r>
      <w:r w:rsidRPr="00CD1C0E">
        <w:t xml:space="preserve"> decisions 7/CMA.1, 19/CMA.1 and 4/CMA.2,</w:t>
      </w:r>
    </w:p>
    <w:p w14:paraId="410C6A88" w14:textId="2EC530FB" w:rsidR="00554B98" w:rsidRPr="00CD1C0E" w:rsidRDefault="009E5AC3" w:rsidP="009E5AC3">
      <w:pPr>
        <w:pStyle w:val="RegSingleTxtG"/>
        <w:numPr>
          <w:ilvl w:val="0"/>
          <w:numId w:val="0"/>
        </w:numPr>
        <w:ind w:left="1134"/>
      </w:pPr>
      <w:r w:rsidRPr="00CD1C0E">
        <w:t>1.</w:t>
      </w:r>
      <w:r w:rsidRPr="00CD1C0E">
        <w:tab/>
      </w:r>
      <w:r w:rsidR="00554B98" w:rsidRPr="006D020B">
        <w:rPr>
          <w:i/>
        </w:rPr>
        <w:t>Welcomes</w:t>
      </w:r>
      <w:r w:rsidR="00554B98" w:rsidRPr="00CD1C0E">
        <w:t xml:space="preserve"> </w:t>
      </w:r>
      <w:r w:rsidR="00554B98" w:rsidRPr="006D020B">
        <w:rPr>
          <w:i/>
        </w:rPr>
        <w:t>with appreciation</w:t>
      </w:r>
      <w:r w:rsidR="00554B98" w:rsidRPr="00CD1C0E">
        <w:t xml:space="preserve"> the annual report of the Katowice Committee of Experts on the Impacts of the Implementation of Response Measures (hereinafter referred to as the Katowice Committee on Impacts) for 2020–2021</w:t>
      </w:r>
      <w:r w:rsidR="00554B98" w:rsidRPr="00CD1C0E">
        <w:rPr>
          <w:sz w:val="18"/>
          <w:vertAlign w:val="superscript"/>
        </w:rPr>
        <w:footnoteReference w:id="64"/>
      </w:r>
      <w:r w:rsidR="00554B98" w:rsidRPr="006D020B">
        <w:rPr>
          <w:vertAlign w:val="superscript"/>
        </w:rPr>
        <w:t xml:space="preserve"> </w:t>
      </w:r>
      <w:r w:rsidR="00554B98" w:rsidRPr="00CD1C0E">
        <w:t>and the progress of the Katowice Committee on Impacts in supporting the work of the forum on the impact of the implementation of response measures (hereinafter referred to as the forum)</w:t>
      </w:r>
      <w:r w:rsidR="003E4839">
        <w:t>,</w:t>
      </w:r>
      <w:r w:rsidR="00554B98" w:rsidRPr="00CD1C0E">
        <w:t xml:space="preserve"> noting that, on an exceptional basis, the 2020–2021 annual report was considered before consideration of the 2020 annual report and continuation of consideration of the 2019 annual report;</w:t>
      </w:r>
    </w:p>
    <w:p w14:paraId="145FC39E" w14:textId="5D0F4B36" w:rsidR="00554B98" w:rsidRPr="00CD1C0E" w:rsidRDefault="009E5AC3" w:rsidP="009E5AC3">
      <w:pPr>
        <w:pStyle w:val="RegSingleTxtG"/>
        <w:numPr>
          <w:ilvl w:val="0"/>
          <w:numId w:val="0"/>
        </w:numPr>
        <w:ind w:left="1134"/>
        <w:rPr>
          <w:color w:val="000000" w:themeColor="text1"/>
        </w:rPr>
      </w:pPr>
      <w:r w:rsidRPr="00CD1C0E">
        <w:rPr>
          <w:color w:val="000000" w:themeColor="text1"/>
        </w:rPr>
        <w:t>2.</w:t>
      </w:r>
      <w:r w:rsidRPr="00CD1C0E">
        <w:rPr>
          <w:color w:val="000000" w:themeColor="text1"/>
        </w:rPr>
        <w:tab/>
      </w:r>
      <w:r w:rsidR="00554B98" w:rsidRPr="00CD1C0E">
        <w:rPr>
          <w:i/>
          <w:color w:val="000000" w:themeColor="text1"/>
        </w:rPr>
        <w:t xml:space="preserve">Welcomes </w:t>
      </w:r>
      <w:r w:rsidR="00554B98" w:rsidRPr="00CD1C0E">
        <w:rPr>
          <w:color w:val="000000" w:themeColor="text1"/>
        </w:rPr>
        <w:t>the informal event and technical expert meetings held virtually in 2020 and 2021</w:t>
      </w:r>
      <w:r w:rsidR="00554B98" w:rsidRPr="00CD1C0E">
        <w:rPr>
          <w:color w:val="000000" w:themeColor="text1"/>
          <w:sz w:val="18"/>
          <w:vertAlign w:val="superscript"/>
        </w:rPr>
        <w:footnoteReference w:id="65"/>
      </w:r>
      <w:r w:rsidR="00554B98" w:rsidRPr="00CD1C0E">
        <w:rPr>
          <w:color w:val="000000" w:themeColor="text1"/>
        </w:rPr>
        <w:t xml:space="preserve"> by the Chairs of the Subsidiary Body for Scientific and Technological Advice and the Subsidiary Body for Implementation, which served as </w:t>
      </w:r>
      <w:r w:rsidR="00554B98" w:rsidRPr="006D020B">
        <w:t>input</w:t>
      </w:r>
      <w:r w:rsidR="00554B98" w:rsidRPr="00CD1C0E">
        <w:rPr>
          <w:color w:val="000000" w:themeColor="text1"/>
        </w:rPr>
        <w:t xml:space="preserve"> to the forum’s work on implementing the relevant activities in the workplan of the forum and its Katowice Committee on Impacts</w:t>
      </w:r>
      <w:r w:rsidR="003E4839">
        <w:rPr>
          <w:color w:val="000000" w:themeColor="text1"/>
        </w:rPr>
        <w:t>,</w:t>
      </w:r>
      <w:r w:rsidR="00554B98" w:rsidRPr="00CD1C0E">
        <w:rPr>
          <w:color w:val="000000" w:themeColor="text1"/>
          <w:sz w:val="18"/>
          <w:vertAlign w:val="superscript"/>
        </w:rPr>
        <w:footnoteReference w:id="66"/>
      </w:r>
      <w:r w:rsidR="00554B98" w:rsidRPr="00CD1C0E">
        <w:rPr>
          <w:color w:val="000000" w:themeColor="text1"/>
        </w:rPr>
        <w:t xml:space="preserve"> and </w:t>
      </w:r>
      <w:r w:rsidR="00554B98" w:rsidRPr="00CD1C0E">
        <w:rPr>
          <w:i/>
          <w:color w:val="000000" w:themeColor="text1"/>
        </w:rPr>
        <w:t>underscores</w:t>
      </w:r>
      <w:r w:rsidR="00554B98" w:rsidRPr="00CD1C0E">
        <w:rPr>
          <w:color w:val="000000" w:themeColor="text1"/>
        </w:rPr>
        <w:t xml:space="preserve"> the challenges experienced with participating in meetings in a virtual setting in 2020 and 2021;</w:t>
      </w:r>
    </w:p>
    <w:p w14:paraId="38E04091" w14:textId="28B5AF35" w:rsidR="00554B98" w:rsidRPr="00CD1C0E" w:rsidRDefault="009E5AC3" w:rsidP="009E5AC3">
      <w:pPr>
        <w:pStyle w:val="RegSingleTxtG"/>
        <w:numPr>
          <w:ilvl w:val="0"/>
          <w:numId w:val="0"/>
        </w:numPr>
        <w:ind w:left="1134"/>
        <w:rPr>
          <w:color w:val="000000" w:themeColor="text1"/>
        </w:rPr>
      </w:pPr>
      <w:r w:rsidRPr="00CD1C0E">
        <w:rPr>
          <w:color w:val="000000" w:themeColor="text1"/>
        </w:rPr>
        <w:t>3.</w:t>
      </w:r>
      <w:r w:rsidRPr="00CD1C0E">
        <w:rPr>
          <w:color w:val="000000" w:themeColor="text1"/>
        </w:rPr>
        <w:tab/>
      </w:r>
      <w:r w:rsidR="00554B98" w:rsidRPr="00CD1C0E">
        <w:rPr>
          <w:i/>
          <w:iCs/>
          <w:color w:val="000000" w:themeColor="text1"/>
        </w:rPr>
        <w:t>Notes</w:t>
      </w:r>
      <w:r w:rsidR="00554B98" w:rsidRPr="00CD1C0E">
        <w:rPr>
          <w:color w:val="000000" w:themeColor="text1"/>
        </w:rPr>
        <w:t xml:space="preserve"> the limitations to progress and limited progress in the implementation of the functions and modalities of the forum and of </w:t>
      </w:r>
      <w:r w:rsidR="00554B98" w:rsidRPr="006D020B">
        <w:t>certain</w:t>
      </w:r>
      <w:r w:rsidR="00554B98" w:rsidRPr="00CD1C0E">
        <w:rPr>
          <w:color w:val="000000" w:themeColor="text1"/>
        </w:rPr>
        <w:t xml:space="preserve"> activities in the workplan by the forum, including due to the exceptional circumstances, and therefore </w:t>
      </w:r>
      <w:r w:rsidR="00554B98" w:rsidRPr="00CD1C0E">
        <w:rPr>
          <w:i/>
          <w:iCs/>
          <w:color w:val="000000" w:themeColor="text1"/>
        </w:rPr>
        <w:t>requests</w:t>
      </w:r>
      <w:r w:rsidR="00554B98" w:rsidRPr="00CD1C0E">
        <w:rPr>
          <w:color w:val="000000" w:themeColor="text1"/>
        </w:rPr>
        <w:t xml:space="preserve"> the secretariat to hold a two-day workshop in conjunction with the </w:t>
      </w:r>
      <w:r w:rsidR="00554B98" w:rsidRPr="00CD1C0E">
        <w:t>fifty-sixth sessions of the subsidiary bodies (June 2022)</w:t>
      </w:r>
      <w:r w:rsidR="00554B98" w:rsidRPr="00CD1C0E">
        <w:rPr>
          <w:color w:val="000000" w:themeColor="text1"/>
        </w:rPr>
        <w:t xml:space="preserve"> to further advance the implementation of workplan activities</w:t>
      </w:r>
      <w:r w:rsidR="00554B98" w:rsidRPr="00CD1C0E" w:rsidDel="002B1ABF">
        <w:rPr>
          <w:color w:val="000000" w:themeColor="text1"/>
        </w:rPr>
        <w:t xml:space="preserve"> </w:t>
      </w:r>
      <w:r w:rsidR="00554B98" w:rsidRPr="00CD1C0E">
        <w:rPr>
          <w:color w:val="000000" w:themeColor="text1"/>
        </w:rPr>
        <w:t>3, 4 and 11;</w:t>
      </w:r>
    </w:p>
    <w:p w14:paraId="0E19CF0C" w14:textId="2FF6C378" w:rsidR="00554B98" w:rsidRPr="00CD1C0E" w:rsidRDefault="009E5AC3" w:rsidP="009E5AC3">
      <w:pPr>
        <w:pStyle w:val="RegSingleTxtG"/>
        <w:numPr>
          <w:ilvl w:val="0"/>
          <w:numId w:val="0"/>
        </w:numPr>
        <w:ind w:left="1134"/>
      </w:pPr>
      <w:r w:rsidRPr="00CD1C0E">
        <w:t>4.</w:t>
      </w:r>
      <w:r w:rsidRPr="00CD1C0E">
        <w:tab/>
      </w:r>
      <w:r w:rsidR="00554B98" w:rsidRPr="00CD1C0E">
        <w:rPr>
          <w:i/>
          <w:color w:val="000000" w:themeColor="text1"/>
        </w:rPr>
        <w:t>Welcomes</w:t>
      </w:r>
      <w:r w:rsidR="00554B98" w:rsidRPr="00CD1C0E">
        <w:rPr>
          <w:color w:val="000000" w:themeColor="text1"/>
        </w:rPr>
        <w:t xml:space="preserve"> the progress made by the Katowice Committee on Impacts in implementing the workplan and the inputs of experts, practitioners and relevant </w:t>
      </w:r>
      <w:r w:rsidR="00554B98" w:rsidRPr="006D020B">
        <w:t>organizations</w:t>
      </w:r>
      <w:r w:rsidR="00554B98" w:rsidRPr="00CD1C0E">
        <w:rPr>
          <w:color w:val="000000" w:themeColor="text1"/>
        </w:rPr>
        <w:t xml:space="preserve"> to the work of the forum and its Katowice Committee on Impacts;</w:t>
      </w:r>
    </w:p>
    <w:p w14:paraId="0F28C712" w14:textId="09F8FC61" w:rsidR="00554B98" w:rsidRPr="00CD1C0E" w:rsidRDefault="009E5AC3" w:rsidP="009E5AC3">
      <w:pPr>
        <w:pStyle w:val="RegSingleTxtG"/>
        <w:numPr>
          <w:ilvl w:val="0"/>
          <w:numId w:val="0"/>
        </w:numPr>
        <w:ind w:left="1134"/>
      </w:pPr>
      <w:r w:rsidRPr="00CD1C0E">
        <w:t>5.</w:t>
      </w:r>
      <w:r w:rsidRPr="00CD1C0E">
        <w:tab/>
      </w:r>
      <w:r w:rsidR="00554B98" w:rsidRPr="00CD1C0E">
        <w:rPr>
          <w:i/>
        </w:rPr>
        <w:t xml:space="preserve">Adopts </w:t>
      </w:r>
      <w:r w:rsidR="00554B98" w:rsidRPr="00CD1C0E">
        <w:t xml:space="preserve">the recommendations pertaining to activity 1 of the workplan contained in annex I, forwarded by the forum in the 2020–2021 annual report of the </w:t>
      </w:r>
      <w:r w:rsidR="00554B98" w:rsidRPr="00CD1C0E">
        <w:rPr>
          <w:color w:val="000000" w:themeColor="text1"/>
        </w:rPr>
        <w:t>Katowice Committee on Impacts</w:t>
      </w:r>
      <w:r w:rsidR="0091281D">
        <w:rPr>
          <w:color w:val="000000" w:themeColor="text1"/>
        </w:rPr>
        <w:t>,</w:t>
      </w:r>
      <w:r w:rsidR="00554B98" w:rsidRPr="00CD1C0E">
        <w:t xml:space="preserve"> and</w:t>
      </w:r>
      <w:r w:rsidR="00554B98" w:rsidRPr="00CD1C0E">
        <w:rPr>
          <w:i/>
        </w:rPr>
        <w:t xml:space="preserve"> invites </w:t>
      </w:r>
      <w:r w:rsidR="00554B98" w:rsidRPr="00CD1C0E">
        <w:t>Parties to implement them, as applicable;</w:t>
      </w:r>
    </w:p>
    <w:p w14:paraId="2A69AA7F" w14:textId="229A0686" w:rsidR="00554B98" w:rsidRPr="00CD1C0E" w:rsidRDefault="009E5AC3" w:rsidP="009E5AC3">
      <w:pPr>
        <w:pStyle w:val="RegSingleTxtG"/>
        <w:numPr>
          <w:ilvl w:val="0"/>
          <w:numId w:val="0"/>
        </w:numPr>
        <w:ind w:left="1134"/>
      </w:pPr>
      <w:r w:rsidRPr="00CD1C0E">
        <w:t>6.</w:t>
      </w:r>
      <w:r w:rsidRPr="00CD1C0E">
        <w:tab/>
      </w:r>
      <w:r w:rsidR="00554B98" w:rsidRPr="00CD1C0E">
        <w:rPr>
          <w:i/>
        </w:rPr>
        <w:t>Adopts</w:t>
      </w:r>
      <w:r w:rsidR="00554B98" w:rsidRPr="00CD1C0E">
        <w:t xml:space="preserve"> the revised rules of procedure of the </w:t>
      </w:r>
      <w:r w:rsidR="00554B98" w:rsidRPr="00CD1C0E">
        <w:rPr>
          <w:color w:val="000000" w:themeColor="text1"/>
        </w:rPr>
        <w:t>Katowice Committee on Impacts</w:t>
      </w:r>
      <w:r w:rsidR="00554B98" w:rsidRPr="00CD1C0E" w:rsidDel="00D45564">
        <w:t xml:space="preserve"> </w:t>
      </w:r>
      <w:r w:rsidR="00554B98" w:rsidRPr="00CD1C0E">
        <w:t>contained in annex II;</w:t>
      </w:r>
    </w:p>
    <w:p w14:paraId="32BEA361" w14:textId="2810ABC2" w:rsidR="00554B98" w:rsidRPr="00CD1C0E" w:rsidRDefault="009E5AC3" w:rsidP="009E5AC3">
      <w:pPr>
        <w:pStyle w:val="RegSingleTxtG"/>
        <w:numPr>
          <w:ilvl w:val="0"/>
          <w:numId w:val="0"/>
        </w:numPr>
        <w:ind w:left="1134"/>
      </w:pPr>
      <w:r w:rsidRPr="00CD1C0E">
        <w:t>7.</w:t>
      </w:r>
      <w:r w:rsidRPr="00CD1C0E">
        <w:tab/>
      </w:r>
      <w:r w:rsidR="00554B98" w:rsidRPr="00CD1C0E">
        <w:rPr>
          <w:bCs/>
          <w:i/>
          <w:iCs/>
        </w:rPr>
        <w:t>Recalls</w:t>
      </w:r>
      <w:r w:rsidR="00554B98" w:rsidRPr="00CD1C0E">
        <w:rPr>
          <w:b/>
        </w:rPr>
        <w:t xml:space="preserve"> </w:t>
      </w:r>
      <w:r w:rsidR="00554B98" w:rsidRPr="00CD1C0E">
        <w:t xml:space="preserve">decision </w:t>
      </w:r>
      <w:r w:rsidR="00554B98" w:rsidRPr="00CD1C0E">
        <w:rPr>
          <w:bCs/>
        </w:rPr>
        <w:t xml:space="preserve">7/CMA.1 and the functions of the forum and </w:t>
      </w:r>
      <w:r w:rsidR="00554B98" w:rsidRPr="00CD1C0E">
        <w:rPr>
          <w:bCs/>
          <w:i/>
        </w:rPr>
        <w:t>notes</w:t>
      </w:r>
      <w:r w:rsidR="00554B98" w:rsidRPr="00CD1C0E">
        <w:rPr>
          <w:bCs/>
        </w:rPr>
        <w:t xml:space="preserve"> that </w:t>
      </w:r>
      <w:r w:rsidR="00554B98" w:rsidRPr="00CD1C0E">
        <w:rPr>
          <w:bCs/>
          <w:color w:val="000000" w:themeColor="text1"/>
        </w:rPr>
        <w:t xml:space="preserve">the forum, when considering </w:t>
      </w:r>
      <w:r w:rsidR="00554B98" w:rsidRPr="00CD1C0E">
        <w:rPr>
          <w:bCs/>
        </w:rPr>
        <w:t xml:space="preserve">the annual reports of the </w:t>
      </w:r>
      <w:r w:rsidR="00554B98" w:rsidRPr="006D020B">
        <w:t>Katowice</w:t>
      </w:r>
      <w:r w:rsidR="00554B98" w:rsidRPr="00CD1C0E">
        <w:rPr>
          <w:color w:val="000000" w:themeColor="text1"/>
        </w:rPr>
        <w:t xml:space="preserve"> Committee on Impacts</w:t>
      </w:r>
      <w:r w:rsidR="00554B98" w:rsidRPr="00CD1C0E" w:rsidDel="00D45564">
        <w:rPr>
          <w:bCs/>
        </w:rPr>
        <w:t xml:space="preserve"> </w:t>
      </w:r>
      <w:r w:rsidR="00554B98" w:rsidRPr="00CD1C0E">
        <w:rPr>
          <w:bCs/>
          <w:color w:val="000000" w:themeColor="text1"/>
        </w:rPr>
        <w:t xml:space="preserve">and the recommendations contained therein, should consider </w:t>
      </w:r>
      <w:r w:rsidR="00554B98" w:rsidRPr="00CD1C0E">
        <w:rPr>
          <w:bCs/>
        </w:rPr>
        <w:t xml:space="preserve">ways to </w:t>
      </w:r>
      <w:r w:rsidR="00554B98" w:rsidRPr="00C571AC">
        <w:t>promote actions to minimize the adverse impacts and maximize the positive impacts of the implementation of response measures</w:t>
      </w:r>
      <w:r w:rsidR="00554B98" w:rsidRPr="00C571AC">
        <w:rPr>
          <w:color w:val="000000" w:themeColor="text1"/>
        </w:rPr>
        <w:t>;</w:t>
      </w:r>
    </w:p>
    <w:p w14:paraId="568E8087" w14:textId="7CA02DF9" w:rsidR="00554B98" w:rsidRPr="00CD1C0E" w:rsidRDefault="009E5AC3" w:rsidP="009E5AC3">
      <w:pPr>
        <w:pStyle w:val="RegSingleTxtG"/>
        <w:numPr>
          <w:ilvl w:val="0"/>
          <w:numId w:val="0"/>
        </w:numPr>
        <w:ind w:left="1134"/>
      </w:pPr>
      <w:r w:rsidRPr="00CD1C0E">
        <w:t>8.</w:t>
      </w:r>
      <w:r w:rsidRPr="00CD1C0E">
        <w:tab/>
      </w:r>
      <w:r w:rsidR="00554B98" w:rsidRPr="00C571AC">
        <w:rPr>
          <w:i/>
          <w:color w:val="000000" w:themeColor="text1"/>
        </w:rPr>
        <w:t>Requests</w:t>
      </w:r>
      <w:r w:rsidR="00554B98" w:rsidRPr="00C571AC">
        <w:rPr>
          <w:color w:val="000000" w:themeColor="text1"/>
        </w:rPr>
        <w:t xml:space="preserve"> the forum, at the </w:t>
      </w:r>
      <w:r w:rsidR="00554B98" w:rsidRPr="00CD1C0E">
        <w:t>fifty-sixth sessions of the subsidiary bodies,</w:t>
      </w:r>
      <w:r w:rsidR="00554B98" w:rsidRPr="00C571AC">
        <w:rPr>
          <w:color w:val="000000" w:themeColor="text1"/>
        </w:rPr>
        <w:t xml:space="preserve"> to consider ways to promote actions </w:t>
      </w:r>
      <w:r w:rsidR="00554B98" w:rsidRPr="00C571AC">
        <w:t xml:space="preserve">to minimize the </w:t>
      </w:r>
      <w:r w:rsidR="00554B98" w:rsidRPr="006D020B">
        <w:t>adverse</w:t>
      </w:r>
      <w:r w:rsidR="00554B98" w:rsidRPr="00C571AC">
        <w:t xml:space="preserve"> impacts and maximize the positive impacts of the implementation of response measures</w:t>
      </w:r>
      <w:r w:rsidR="00554B98" w:rsidRPr="00C571AC">
        <w:rPr>
          <w:color w:val="000000" w:themeColor="text1"/>
        </w:rPr>
        <w:t xml:space="preserve"> on the recommendations contained in annex I;</w:t>
      </w:r>
    </w:p>
    <w:p w14:paraId="33E58F0A" w14:textId="2ED6AC63" w:rsidR="00554B98" w:rsidRPr="00CD1C0E" w:rsidRDefault="009E5AC3" w:rsidP="009E5AC3">
      <w:pPr>
        <w:pStyle w:val="RegSingleTxtG"/>
        <w:numPr>
          <w:ilvl w:val="0"/>
          <w:numId w:val="0"/>
        </w:numPr>
        <w:ind w:left="1134"/>
        <w:rPr>
          <w:color w:val="000000" w:themeColor="text1"/>
        </w:rPr>
      </w:pPr>
      <w:r w:rsidRPr="00CD1C0E">
        <w:rPr>
          <w:color w:val="000000" w:themeColor="text1"/>
        </w:rPr>
        <w:t>9.</w:t>
      </w:r>
      <w:r w:rsidRPr="00CD1C0E">
        <w:rPr>
          <w:color w:val="000000" w:themeColor="text1"/>
        </w:rPr>
        <w:tab/>
      </w:r>
      <w:r w:rsidR="00554B98" w:rsidRPr="00CD1C0E">
        <w:rPr>
          <w:i/>
          <w:color w:val="000000" w:themeColor="text1"/>
        </w:rPr>
        <w:t>Recalls</w:t>
      </w:r>
      <w:r w:rsidR="00554B98" w:rsidRPr="00CD1C0E">
        <w:rPr>
          <w:color w:val="000000" w:themeColor="text1"/>
        </w:rPr>
        <w:t xml:space="preserve"> the rules of procedure of the Katowice Committee on Impacts</w:t>
      </w:r>
      <w:r w:rsidR="00554B98" w:rsidRPr="00CD1C0E">
        <w:rPr>
          <w:color w:val="000000" w:themeColor="text1"/>
          <w:sz w:val="18"/>
          <w:vertAlign w:val="superscript"/>
        </w:rPr>
        <w:footnoteReference w:id="67"/>
      </w:r>
      <w:r w:rsidR="00554B98" w:rsidRPr="00CD1C0E">
        <w:rPr>
          <w:color w:val="000000" w:themeColor="text1"/>
        </w:rPr>
        <w:t xml:space="preserve"> and </w:t>
      </w:r>
      <w:r w:rsidR="00554B98" w:rsidRPr="00CD1C0E">
        <w:rPr>
          <w:i/>
          <w:color w:val="000000" w:themeColor="text1"/>
        </w:rPr>
        <w:t>encourages</w:t>
      </w:r>
      <w:r w:rsidR="00554B98" w:rsidRPr="00CD1C0E">
        <w:rPr>
          <w:color w:val="000000" w:themeColor="text1"/>
        </w:rPr>
        <w:t xml:space="preserve"> groups to nominate members to the Katowice Committee on Impacts taking into account the goal of achieving </w:t>
      </w:r>
      <w:r w:rsidR="00554B98" w:rsidRPr="006D020B">
        <w:t>gender</w:t>
      </w:r>
      <w:r w:rsidR="00554B98" w:rsidRPr="00CD1C0E">
        <w:rPr>
          <w:color w:val="000000" w:themeColor="text1"/>
        </w:rPr>
        <w:t xml:space="preserve"> balance;</w:t>
      </w:r>
    </w:p>
    <w:p w14:paraId="08AD3DDD" w14:textId="10913CD0" w:rsidR="00554B98" w:rsidRPr="00CD1C0E" w:rsidRDefault="009E5AC3" w:rsidP="009E5AC3">
      <w:pPr>
        <w:pStyle w:val="RegSingleTxtG"/>
        <w:numPr>
          <w:ilvl w:val="0"/>
          <w:numId w:val="0"/>
        </w:numPr>
        <w:ind w:left="1134"/>
        <w:rPr>
          <w:color w:val="000000" w:themeColor="text1"/>
        </w:rPr>
      </w:pPr>
      <w:r w:rsidRPr="00CD1C0E">
        <w:rPr>
          <w:color w:val="000000" w:themeColor="text1"/>
        </w:rPr>
        <w:lastRenderedPageBreak/>
        <w:t>10.</w:t>
      </w:r>
      <w:r w:rsidRPr="00CD1C0E">
        <w:rPr>
          <w:color w:val="000000" w:themeColor="text1"/>
        </w:rPr>
        <w:tab/>
      </w:r>
      <w:r w:rsidR="00554B98" w:rsidRPr="00CD1C0E">
        <w:rPr>
          <w:i/>
          <w:color w:val="000000" w:themeColor="text1"/>
        </w:rPr>
        <w:t>Requests</w:t>
      </w:r>
      <w:r w:rsidR="00554B98" w:rsidRPr="00CD1C0E">
        <w:rPr>
          <w:color w:val="000000" w:themeColor="text1"/>
        </w:rPr>
        <w:t xml:space="preserve"> the secretariat to organize a regional workshop on activity 3 of the workplan before the </w:t>
      </w:r>
      <w:r w:rsidR="00554B98" w:rsidRPr="00CD1C0E">
        <w:t>fifty-sixth sessions of the subsidiary bodies</w:t>
      </w:r>
      <w:r w:rsidR="00554B98" w:rsidRPr="00CD1C0E">
        <w:rPr>
          <w:color w:val="000000" w:themeColor="text1"/>
        </w:rPr>
        <w:t xml:space="preserve"> in collaboration with relevant organizations and stakeholders, to address </w:t>
      </w:r>
      <w:r w:rsidR="00554B98" w:rsidRPr="006D020B">
        <w:t>regional</w:t>
      </w:r>
      <w:r w:rsidR="00554B98" w:rsidRPr="00CD1C0E">
        <w:rPr>
          <w:color w:val="000000" w:themeColor="text1"/>
        </w:rPr>
        <w:t xml:space="preserve"> needs and acknowledge the work that is being carried out by the Katowice Committee on Impacts and </w:t>
      </w:r>
      <w:r w:rsidR="00554B98" w:rsidRPr="00CD1C0E">
        <w:rPr>
          <w:i/>
          <w:color w:val="000000" w:themeColor="text1"/>
        </w:rPr>
        <w:t>notes</w:t>
      </w:r>
      <w:r w:rsidR="00554B98" w:rsidRPr="00CD1C0E">
        <w:rPr>
          <w:color w:val="000000" w:themeColor="text1"/>
        </w:rPr>
        <w:t xml:space="preserve"> that further regional workshops on activity 3 could be decided </w:t>
      </w:r>
      <w:r w:rsidR="005B7C1E" w:rsidRPr="00C571AC">
        <w:rPr>
          <w:color w:val="000000" w:themeColor="text1"/>
        </w:rPr>
        <w:t xml:space="preserve">on </w:t>
      </w:r>
      <w:r w:rsidR="00554B98" w:rsidRPr="00CD1C0E">
        <w:rPr>
          <w:color w:val="000000" w:themeColor="text1"/>
        </w:rPr>
        <w:t>by the forum;</w:t>
      </w:r>
    </w:p>
    <w:p w14:paraId="792B08D8" w14:textId="73BF64F7" w:rsidR="00554B98" w:rsidRPr="00CD1C0E" w:rsidRDefault="009E5AC3" w:rsidP="009E5AC3">
      <w:pPr>
        <w:pStyle w:val="RegSingleTxtG"/>
        <w:numPr>
          <w:ilvl w:val="0"/>
          <w:numId w:val="0"/>
        </w:numPr>
        <w:ind w:left="1134"/>
      </w:pPr>
      <w:r w:rsidRPr="00CD1C0E">
        <w:t>11.</w:t>
      </w:r>
      <w:r w:rsidRPr="00CD1C0E">
        <w:tab/>
      </w:r>
      <w:r w:rsidR="00554B98" w:rsidRPr="00CD1C0E">
        <w:rPr>
          <w:i/>
        </w:rPr>
        <w:t>Invites</w:t>
      </w:r>
      <w:r w:rsidR="00554B98" w:rsidRPr="00CD1C0E">
        <w:t xml:space="preserve"> Parties and observers to submit via the submission portal</w:t>
      </w:r>
      <w:r w:rsidR="00554B98" w:rsidRPr="00CD1C0E">
        <w:rPr>
          <w:sz w:val="18"/>
          <w:vertAlign w:val="superscript"/>
        </w:rPr>
        <w:footnoteReference w:id="68"/>
      </w:r>
      <w:r w:rsidR="00554B98" w:rsidRPr="00CD1C0E">
        <w:t xml:space="preserve"> by April 2022 their views on the elements of the midterm review of the workplan of the forum and its </w:t>
      </w:r>
      <w:r w:rsidR="00554B98" w:rsidRPr="00CD1C0E">
        <w:rPr>
          <w:color w:val="000000" w:themeColor="text1"/>
        </w:rPr>
        <w:t>Katowice Committee on Impacts</w:t>
      </w:r>
      <w:r w:rsidR="00554B98" w:rsidRPr="00CD1C0E">
        <w:t xml:space="preserve"> and </w:t>
      </w:r>
      <w:r w:rsidR="00554B98" w:rsidRPr="00CD1C0E">
        <w:rPr>
          <w:i/>
        </w:rPr>
        <w:t>requests</w:t>
      </w:r>
      <w:r w:rsidR="00554B98" w:rsidRPr="00CD1C0E">
        <w:t xml:space="preserve"> the secretariat to prepare a summary o</w:t>
      </w:r>
      <w:r w:rsidR="00B569F2">
        <w:t>f</w:t>
      </w:r>
      <w:r w:rsidR="00554B98" w:rsidRPr="00CD1C0E">
        <w:t xml:space="preserve"> the submissions with a view to informing Parties’ discussion on the midterm review starting at the fifty-sixth sessions of the subsidiary bodies;</w:t>
      </w:r>
      <w:r w:rsidR="00554B98" w:rsidRPr="00CD1C0E">
        <w:rPr>
          <w:color w:val="000000" w:themeColor="text1"/>
          <w:sz w:val="18"/>
          <w:vertAlign w:val="superscript"/>
        </w:rPr>
        <w:footnoteReference w:id="69"/>
      </w:r>
    </w:p>
    <w:p w14:paraId="02FF4434" w14:textId="3F888768" w:rsidR="00554B98" w:rsidRPr="00CD1C0E" w:rsidRDefault="009E5AC3" w:rsidP="009E5AC3">
      <w:pPr>
        <w:pStyle w:val="RegSingleTxtG"/>
        <w:numPr>
          <w:ilvl w:val="0"/>
          <w:numId w:val="0"/>
        </w:numPr>
        <w:ind w:left="1134"/>
      </w:pPr>
      <w:r w:rsidRPr="00CD1C0E">
        <w:t>12.</w:t>
      </w:r>
      <w:r w:rsidRPr="00CD1C0E">
        <w:tab/>
      </w:r>
      <w:r w:rsidR="00554B98" w:rsidRPr="00CD1C0E">
        <w:rPr>
          <w:b/>
        </w:rPr>
        <w:tab/>
      </w:r>
      <w:r w:rsidR="00554B98" w:rsidRPr="00CD1C0E">
        <w:rPr>
          <w:i/>
        </w:rPr>
        <w:t>Encourages</w:t>
      </w:r>
      <w:r w:rsidR="00554B98" w:rsidRPr="00CD1C0E">
        <w:t>, recalling decisions 19/CMA.1 and 4/CMA.2,</w:t>
      </w:r>
      <w:r w:rsidR="00554B98" w:rsidRPr="00CD1C0E" w:rsidDel="00906A89">
        <w:t xml:space="preserve"> </w:t>
      </w:r>
      <w:r w:rsidR="00554B98" w:rsidRPr="00CD1C0E">
        <w:t xml:space="preserve">Parties to submit their views on efforts related to addressing the social and economic consequences and impacts of response measures via the submission portal by February 2022 and </w:t>
      </w:r>
      <w:r w:rsidR="00554B98" w:rsidRPr="00CD1C0E">
        <w:rPr>
          <w:i/>
        </w:rPr>
        <w:t>requests</w:t>
      </w:r>
      <w:r w:rsidR="00554B98" w:rsidRPr="00CD1C0E">
        <w:t xml:space="preserve"> the secretariat to prepare and submit a compilation of the submissions</w:t>
      </w:r>
      <w:r w:rsidR="00554B98" w:rsidRPr="00CD1C0E" w:rsidDel="00E9525A">
        <w:t xml:space="preserve"> from Parties</w:t>
      </w:r>
      <w:r w:rsidR="00554B98" w:rsidRPr="00CD1C0E">
        <w:t xml:space="preserve"> as input to the first global stocktake;</w:t>
      </w:r>
    </w:p>
    <w:p w14:paraId="15E82A94" w14:textId="0526E0BE" w:rsidR="00554B98" w:rsidRPr="00CD1C0E" w:rsidRDefault="009E5AC3" w:rsidP="009E5AC3">
      <w:pPr>
        <w:pStyle w:val="RegSingleTxtG"/>
        <w:numPr>
          <w:ilvl w:val="0"/>
          <w:numId w:val="0"/>
        </w:numPr>
        <w:ind w:left="1134"/>
      </w:pPr>
      <w:r w:rsidRPr="00CD1C0E">
        <w:t>13.</w:t>
      </w:r>
      <w:r w:rsidRPr="00CD1C0E">
        <w:tab/>
      </w:r>
      <w:r w:rsidR="00554B98" w:rsidRPr="00CD1C0E">
        <w:rPr>
          <w:i/>
          <w:iCs/>
        </w:rPr>
        <w:t>Also requests</w:t>
      </w:r>
      <w:r w:rsidR="00554B98" w:rsidRPr="00CD1C0E">
        <w:rPr>
          <w:iCs/>
        </w:rPr>
        <w:t>, recalling</w:t>
      </w:r>
      <w:r w:rsidR="00554B98" w:rsidRPr="00CD1C0E">
        <w:t xml:space="preserve"> decisions 19/CMA.1 and 4/CMA.2, the </w:t>
      </w:r>
      <w:r w:rsidR="00554B98" w:rsidRPr="00CD1C0E">
        <w:rPr>
          <w:color w:val="000000" w:themeColor="text1"/>
        </w:rPr>
        <w:t>Katowice Committee on Impacts</w:t>
      </w:r>
      <w:r w:rsidR="00554B98" w:rsidRPr="00CD1C0E">
        <w:t xml:space="preserve"> to submit by February 2022, with the assistance of the secretariat, a synthesis report reflecting the relevant work of </w:t>
      </w:r>
      <w:r w:rsidR="00EF0669">
        <w:t xml:space="preserve">both </w:t>
      </w:r>
      <w:r w:rsidR="00554B98" w:rsidRPr="00CD1C0E">
        <w:t xml:space="preserve">the forum and its </w:t>
      </w:r>
      <w:r w:rsidR="00554B98" w:rsidRPr="00CD1C0E">
        <w:rPr>
          <w:color w:val="000000" w:themeColor="text1"/>
        </w:rPr>
        <w:t>Katowice Committee on Impacts</w:t>
      </w:r>
      <w:r w:rsidR="00554B98" w:rsidRPr="00CD1C0E">
        <w:t xml:space="preserve"> as an input to the technical assessment component of the first global stocktake, which will start at the fifty-sixth sessions of the subsidiary bodies;</w:t>
      </w:r>
    </w:p>
    <w:p w14:paraId="06B61F47" w14:textId="46BABE64" w:rsidR="00554B98" w:rsidRPr="00CD1C0E" w:rsidRDefault="009E5AC3" w:rsidP="009E5AC3">
      <w:pPr>
        <w:pStyle w:val="RegSingleTxtG"/>
        <w:numPr>
          <w:ilvl w:val="0"/>
          <w:numId w:val="0"/>
        </w:numPr>
        <w:ind w:left="1134"/>
      </w:pPr>
      <w:r w:rsidRPr="00CD1C0E">
        <w:t>14.</w:t>
      </w:r>
      <w:r w:rsidRPr="00CD1C0E">
        <w:tab/>
      </w:r>
      <w:r w:rsidR="00554B98" w:rsidRPr="00CD1C0E">
        <w:rPr>
          <w:i/>
        </w:rPr>
        <w:t>Takes</w:t>
      </w:r>
      <w:r w:rsidR="00554B98" w:rsidRPr="00CD1C0E">
        <w:t xml:space="preserve"> </w:t>
      </w:r>
      <w:r w:rsidR="00554B98" w:rsidRPr="00CD1C0E">
        <w:rPr>
          <w:i/>
        </w:rPr>
        <w:t xml:space="preserve">note </w:t>
      </w:r>
      <w:r w:rsidR="00554B98" w:rsidRPr="00CD1C0E">
        <w:t>of the estimated budgetary implications of the activities to be undertaken by the secretariat referred to in paragraphs 3, 11, 12 and 13 above;</w:t>
      </w:r>
    </w:p>
    <w:p w14:paraId="13DA910E" w14:textId="5C8072A3" w:rsidR="00554B98" w:rsidRPr="00CD1C0E" w:rsidRDefault="009E5AC3" w:rsidP="009E5AC3">
      <w:pPr>
        <w:pStyle w:val="RegSingleTxtG"/>
        <w:numPr>
          <w:ilvl w:val="0"/>
          <w:numId w:val="0"/>
        </w:numPr>
        <w:ind w:left="1134"/>
        <w:sectPr w:rsidR="00554B98" w:rsidRPr="00CD1C0E" w:rsidSect="00265564">
          <w:headerReference w:type="even" r:id="rId90"/>
          <w:headerReference w:type="default" r:id="rId91"/>
          <w:footerReference w:type="even" r:id="rId92"/>
          <w:footerReference w:type="default" r:id="rId93"/>
          <w:headerReference w:type="first" r:id="rId94"/>
          <w:footnotePr>
            <w:numRestart w:val="eachSect"/>
          </w:footnotePr>
          <w:pgSz w:w="11906" w:h="16838" w:code="9"/>
          <w:pgMar w:top="1417" w:right="1134" w:bottom="1134" w:left="1134" w:header="850" w:footer="567" w:gutter="0"/>
          <w:cols w:space="708"/>
          <w:docGrid w:linePitch="360"/>
        </w:sectPr>
      </w:pPr>
      <w:r w:rsidRPr="00CD1C0E">
        <w:t>15.</w:t>
      </w:r>
      <w:r w:rsidRPr="00CD1C0E">
        <w:tab/>
      </w:r>
      <w:r w:rsidR="00554B98" w:rsidRPr="00CD1C0E">
        <w:rPr>
          <w:i/>
        </w:rPr>
        <w:t>Requests</w:t>
      </w:r>
      <w:r w:rsidR="00554B98" w:rsidRPr="00CD1C0E">
        <w:t xml:space="preserve"> that the actions of the secretariat called for in this decision be undertaken subject to the availability of financial resources.</w:t>
      </w:r>
    </w:p>
    <w:p w14:paraId="42FB8AA5" w14:textId="77777777" w:rsidR="00554B98" w:rsidRPr="00CD1C0E" w:rsidRDefault="00554B98" w:rsidP="00554B98">
      <w:pPr>
        <w:keepNext/>
        <w:keepLines/>
        <w:tabs>
          <w:tab w:val="right" w:pos="851"/>
        </w:tabs>
        <w:spacing w:after="240" w:line="300" w:lineRule="exact"/>
        <w:ind w:left="1134" w:right="1134" w:hanging="1134"/>
        <w:rPr>
          <w:b/>
          <w:sz w:val="28"/>
        </w:rPr>
      </w:pPr>
      <w:r w:rsidRPr="00CD1C0E">
        <w:rPr>
          <w:b/>
          <w:sz w:val="28"/>
        </w:rPr>
        <w:lastRenderedPageBreak/>
        <w:t>Annex I</w:t>
      </w:r>
    </w:p>
    <w:p w14:paraId="4702BD7F" w14:textId="77777777" w:rsidR="00554B98" w:rsidRPr="00CD1C0E" w:rsidRDefault="00554B98" w:rsidP="00554B98">
      <w:pPr>
        <w:keepNext/>
        <w:keepLines/>
        <w:spacing w:before="360" w:after="240" w:line="300" w:lineRule="exact"/>
        <w:ind w:left="1134" w:right="1134"/>
        <w:rPr>
          <w:b/>
          <w:sz w:val="28"/>
        </w:rPr>
      </w:pPr>
      <w:r w:rsidRPr="00CD1C0E">
        <w:rPr>
          <w:b/>
          <w:sz w:val="28"/>
        </w:rPr>
        <w:t>Recommendations forwarded by the forum pertaining to activity 1 of the workplan: exploring approaches to inform the development and implementation of climate change mitigation strategies, plans, policies and programmes that maximize the positive and minimize the negative impacts of response measures</w:t>
      </w:r>
    </w:p>
    <w:p w14:paraId="4F2C9E02" w14:textId="49DA7327" w:rsidR="00554B98" w:rsidRPr="00CD1C0E" w:rsidRDefault="009E5AC3" w:rsidP="009E5AC3">
      <w:pPr>
        <w:pStyle w:val="RegSingleTxtG"/>
        <w:numPr>
          <w:ilvl w:val="0"/>
          <w:numId w:val="0"/>
        </w:numPr>
        <w:ind w:left="1134"/>
      </w:pPr>
      <w:r w:rsidRPr="00CD1C0E">
        <w:t>1.</w:t>
      </w:r>
      <w:r w:rsidRPr="00CD1C0E">
        <w:tab/>
      </w:r>
      <w:r w:rsidR="00554B98" w:rsidRPr="00CD1C0E">
        <w:t>Encourage Parties to engage relevant stakeholders at each step of the process of designing and implementing climate mitigation policies and policies to achieve sustainable development</w:t>
      </w:r>
      <w:r w:rsidR="0013089F">
        <w:t>,</w:t>
      </w:r>
      <w:r w:rsidR="00554B98" w:rsidRPr="00CD1C0E">
        <w:t xml:space="preserve"> including through social dialogue, when possible and subject to national circumstances. The relevant stakeholders among others include workers, employers, organizations, academia, </w:t>
      </w:r>
      <w:r w:rsidR="00BB163B">
        <w:t xml:space="preserve">the </w:t>
      </w:r>
      <w:r w:rsidR="00554B98" w:rsidRPr="00CD1C0E">
        <w:t>public and private sectors, women and civil society.</w:t>
      </w:r>
    </w:p>
    <w:p w14:paraId="7DB689A4" w14:textId="435C5FF8" w:rsidR="00554B98" w:rsidRPr="00CD1C0E" w:rsidRDefault="009E5AC3" w:rsidP="009E5AC3">
      <w:pPr>
        <w:pStyle w:val="RegSingleTxtG"/>
        <w:numPr>
          <w:ilvl w:val="0"/>
          <w:numId w:val="0"/>
        </w:numPr>
        <w:tabs>
          <w:tab w:val="left" w:pos="568"/>
        </w:tabs>
        <w:ind w:left="1134"/>
      </w:pPr>
      <w:r w:rsidRPr="00CD1C0E">
        <w:t>2.</w:t>
      </w:r>
      <w:r w:rsidRPr="00CD1C0E">
        <w:tab/>
      </w:r>
      <w:r w:rsidR="00554B98" w:rsidRPr="00CD1C0E">
        <w:t>Encourage Parties to explore complementary policies, such as economic policies, social protection and labour policies, to help strengthen the outcomes of the implementation of mitigation strategies, plans, policies and programmes</w:t>
      </w:r>
      <w:r w:rsidR="0013089F">
        <w:t>,</w:t>
      </w:r>
      <w:r w:rsidR="00554B98" w:rsidRPr="00CD1C0E">
        <w:t xml:space="preserve"> including nationally determined contributions and low-emission development strategies.</w:t>
      </w:r>
    </w:p>
    <w:p w14:paraId="5ECB4D64" w14:textId="0681F9E4" w:rsidR="00554B98" w:rsidRPr="00CD1C0E" w:rsidRDefault="009E5AC3" w:rsidP="009E5AC3">
      <w:pPr>
        <w:pStyle w:val="RegSingleTxtG"/>
        <w:numPr>
          <w:ilvl w:val="0"/>
          <w:numId w:val="0"/>
        </w:numPr>
        <w:tabs>
          <w:tab w:val="left" w:pos="568"/>
        </w:tabs>
        <w:ind w:left="1134"/>
      </w:pPr>
      <w:r w:rsidRPr="00CD1C0E">
        <w:t>3.</w:t>
      </w:r>
      <w:r w:rsidRPr="00CD1C0E">
        <w:tab/>
      </w:r>
      <w:r w:rsidR="00554B98" w:rsidRPr="00CD1C0E">
        <w:t>Encourage Parties to strengthen international and regional cooperation as it contributes to planning and implementation of mitigation policies with environmental and socioeconomic benefits, for example to help facilitate technology development and transfer in accordance with Article 10 of the Paris Agreement, and strive towards harmonized regional approaches.</w:t>
      </w:r>
    </w:p>
    <w:p w14:paraId="3864D610" w14:textId="31D9AB00" w:rsidR="00554B98" w:rsidRPr="00CD1C0E" w:rsidRDefault="009E5AC3" w:rsidP="009E5AC3">
      <w:pPr>
        <w:pStyle w:val="RegSingleTxtG"/>
        <w:numPr>
          <w:ilvl w:val="0"/>
          <w:numId w:val="0"/>
        </w:numPr>
        <w:tabs>
          <w:tab w:val="left" w:pos="568"/>
        </w:tabs>
        <w:ind w:left="1134"/>
      </w:pPr>
      <w:r w:rsidRPr="00CD1C0E">
        <w:t>4.</w:t>
      </w:r>
      <w:r w:rsidRPr="00CD1C0E">
        <w:tab/>
      </w:r>
      <w:r w:rsidR="00554B98" w:rsidRPr="00CD1C0E">
        <w:t>Encourage Parties to use existing qualitative and quantitative assessment methodologies and tools to understand social, economic and employment effects of proposed mitigation measures as a way to inform and guide climate policies and to maximize the positive and minimize the negative effects of the implementation of response measures. More analysis of impacts, including, inter alia, sectoral, national, subnational, domestic and cross border, would be useful for informing climate policies and understanding how to maximize the positive and minimize the negative effects of the implementation of response measures.</w:t>
      </w:r>
    </w:p>
    <w:p w14:paraId="0F74EA66" w14:textId="27C45410" w:rsidR="00554B98" w:rsidRPr="00CD1C0E" w:rsidRDefault="009E5AC3" w:rsidP="009E5AC3">
      <w:pPr>
        <w:pStyle w:val="RegSingleTxtG"/>
        <w:numPr>
          <w:ilvl w:val="0"/>
          <w:numId w:val="0"/>
        </w:numPr>
        <w:tabs>
          <w:tab w:val="left" w:pos="568"/>
        </w:tabs>
        <w:ind w:left="1134"/>
        <w:sectPr w:rsidR="00554B98" w:rsidRPr="00CD1C0E" w:rsidSect="00265564">
          <w:headerReference w:type="even" r:id="rId95"/>
          <w:headerReference w:type="default" r:id="rId96"/>
          <w:footerReference w:type="even" r:id="rId97"/>
          <w:footerReference w:type="default" r:id="rId98"/>
          <w:footnotePr>
            <w:numRestart w:val="eachSect"/>
          </w:footnotePr>
          <w:pgSz w:w="11906" w:h="16838" w:code="9"/>
          <w:pgMar w:top="1417" w:right="1134" w:bottom="1134" w:left="1134" w:header="850" w:footer="567" w:gutter="0"/>
          <w:cols w:space="708"/>
          <w:docGrid w:linePitch="360"/>
        </w:sectPr>
      </w:pPr>
      <w:r w:rsidRPr="00CD1C0E">
        <w:t>5.</w:t>
      </w:r>
      <w:r w:rsidRPr="00CD1C0E">
        <w:tab/>
      </w:r>
      <w:r w:rsidR="00554B98" w:rsidRPr="00CD1C0E">
        <w:t xml:space="preserve">Encourage the forum and its Katowice Committee </w:t>
      </w:r>
      <w:r w:rsidR="0017287E">
        <w:t xml:space="preserve">of Experts </w:t>
      </w:r>
      <w:r w:rsidR="00554B98" w:rsidRPr="00CD1C0E">
        <w:t>on</w:t>
      </w:r>
      <w:r w:rsidR="0017287E">
        <w:t xml:space="preserve"> the</w:t>
      </w:r>
      <w:r w:rsidR="00554B98" w:rsidRPr="00CD1C0E">
        <w:t xml:space="preserve"> Impacts</w:t>
      </w:r>
      <w:r w:rsidR="004F5017" w:rsidRPr="004F5017">
        <w:t xml:space="preserve"> </w:t>
      </w:r>
      <w:r w:rsidR="004F5017">
        <w:t>of the Implementation of Response Measures</w:t>
      </w:r>
      <w:r w:rsidR="00554B98" w:rsidRPr="00CD1C0E">
        <w:t xml:space="preserve"> to enhance the capacity of Parties, particularly developing country Parties, through training and capacity-building efforts, including existing initiatives. This will enable Parties to carry out their own assessments and analyses of the impacts of response measures.</w:t>
      </w:r>
    </w:p>
    <w:p w14:paraId="13510294" w14:textId="77777777" w:rsidR="00554B98" w:rsidRPr="00CD1C0E" w:rsidRDefault="00554B98" w:rsidP="00554B98">
      <w:pPr>
        <w:keepNext/>
        <w:keepLines/>
        <w:tabs>
          <w:tab w:val="right" w:pos="851"/>
        </w:tabs>
        <w:spacing w:after="240" w:line="300" w:lineRule="exact"/>
        <w:ind w:left="1134" w:right="1134" w:hanging="1134"/>
        <w:rPr>
          <w:b/>
          <w:sz w:val="28"/>
        </w:rPr>
      </w:pPr>
      <w:r w:rsidRPr="00CD1C0E">
        <w:rPr>
          <w:b/>
          <w:sz w:val="28"/>
        </w:rPr>
        <w:lastRenderedPageBreak/>
        <w:t>Annex II</w:t>
      </w:r>
    </w:p>
    <w:p w14:paraId="25DCB219" w14:textId="77777777" w:rsidR="00554B98" w:rsidRPr="00CD1C0E" w:rsidRDefault="00554B98" w:rsidP="00554B98">
      <w:pPr>
        <w:keepNext/>
        <w:keepLines/>
        <w:spacing w:before="360" w:after="240" w:line="300" w:lineRule="exact"/>
        <w:ind w:left="1135" w:right="1134"/>
        <w:rPr>
          <w:b/>
          <w:sz w:val="28"/>
        </w:rPr>
      </w:pPr>
      <w:r w:rsidRPr="00CD1C0E">
        <w:rPr>
          <w:b/>
          <w:sz w:val="28"/>
        </w:rPr>
        <w:t>Revised rules of procedure of the Katowice Committee of Experts on the Impacts of the Implementation of Response Measures</w:t>
      </w:r>
    </w:p>
    <w:p w14:paraId="59CD5F34" w14:textId="571ABD7B" w:rsidR="00554B98" w:rsidRPr="0069786B" w:rsidRDefault="009E5AC3" w:rsidP="009E5AC3">
      <w:pPr>
        <w:pStyle w:val="RegHChG"/>
        <w:numPr>
          <w:ilvl w:val="0"/>
          <w:numId w:val="0"/>
        </w:numPr>
        <w:tabs>
          <w:tab w:val="left" w:pos="1135"/>
        </w:tabs>
        <w:ind w:left="1135" w:hanging="454"/>
      </w:pPr>
      <w:bookmarkStart w:id="35" w:name="_Toc73714982"/>
      <w:bookmarkStart w:id="36" w:name="_Toc73716066"/>
      <w:bookmarkStart w:id="37" w:name="_Toc73717157"/>
      <w:r w:rsidRPr="0069786B">
        <w:t>I.</w:t>
      </w:r>
      <w:r w:rsidRPr="0069786B">
        <w:tab/>
      </w:r>
      <w:r w:rsidR="00554B98" w:rsidRPr="0069786B">
        <w:t>Scope</w:t>
      </w:r>
      <w:bookmarkEnd w:id="35"/>
      <w:bookmarkEnd w:id="36"/>
      <w:bookmarkEnd w:id="37"/>
    </w:p>
    <w:p w14:paraId="36CA41A8" w14:textId="643B6EE9" w:rsidR="00554B98" w:rsidRPr="00CD1C0E" w:rsidRDefault="009E5AC3" w:rsidP="009E5AC3">
      <w:pPr>
        <w:pStyle w:val="RegSingleTxtG"/>
        <w:numPr>
          <w:ilvl w:val="0"/>
          <w:numId w:val="0"/>
        </w:numPr>
        <w:ind w:left="1134"/>
      </w:pPr>
      <w:r w:rsidRPr="00CD1C0E">
        <w:t>1.</w:t>
      </w:r>
      <w:r w:rsidRPr="00CD1C0E">
        <w:tab/>
      </w:r>
      <w:r w:rsidR="00554B98" w:rsidRPr="00CD1C0E">
        <w:t>These rules of procedure shall apply to the Katowice Committee of Experts on the Impacts of the Implementation of Response Measures (KCI) in accordance with decision 7/CMA.1 and its annex.</w:t>
      </w:r>
    </w:p>
    <w:p w14:paraId="084595DD" w14:textId="0B08094F" w:rsidR="00554B98" w:rsidRPr="00CD1C0E" w:rsidRDefault="009E5AC3" w:rsidP="009E5AC3">
      <w:pPr>
        <w:pStyle w:val="RegHChG"/>
        <w:numPr>
          <w:ilvl w:val="0"/>
          <w:numId w:val="0"/>
        </w:numPr>
        <w:tabs>
          <w:tab w:val="left" w:pos="1135"/>
        </w:tabs>
        <w:ind w:left="1135" w:hanging="454"/>
        <w:rPr>
          <w:b w:val="0"/>
        </w:rPr>
      </w:pPr>
      <w:bookmarkStart w:id="38" w:name="_Toc73714983"/>
      <w:bookmarkStart w:id="39" w:name="_Toc73716067"/>
      <w:bookmarkStart w:id="40" w:name="_Toc73717158"/>
      <w:r w:rsidRPr="00CD1C0E">
        <w:t>II.</w:t>
      </w:r>
      <w:r w:rsidRPr="00CD1C0E">
        <w:tab/>
      </w:r>
      <w:r w:rsidR="00554B98" w:rsidRPr="00CD1C0E">
        <w:t>Mandate</w:t>
      </w:r>
      <w:bookmarkEnd w:id="38"/>
      <w:bookmarkEnd w:id="39"/>
      <w:bookmarkEnd w:id="40"/>
    </w:p>
    <w:p w14:paraId="7092EBDD" w14:textId="434D6427" w:rsidR="00554B98" w:rsidRPr="00CD1C0E" w:rsidRDefault="009E5AC3" w:rsidP="009E5AC3">
      <w:pPr>
        <w:pStyle w:val="RegSingleTxtG"/>
        <w:numPr>
          <w:ilvl w:val="0"/>
          <w:numId w:val="0"/>
        </w:numPr>
        <w:tabs>
          <w:tab w:val="left" w:pos="568"/>
        </w:tabs>
        <w:ind w:left="1134"/>
      </w:pPr>
      <w:r w:rsidRPr="00CD1C0E">
        <w:t>2.</w:t>
      </w:r>
      <w:r w:rsidRPr="00CD1C0E">
        <w:tab/>
      </w:r>
      <w:r w:rsidR="00554B98" w:rsidRPr="00CD1C0E">
        <w:t xml:space="preserve">The Conference of the Parties serving as the meeting of the Parties to the Paris Agreement (CMA), by decision 7/CMA.1, decided to establish the KCI to support the work of the forum on the impact of the implementation of response measures in implementing its work programme and operating in accordance with the terms of reference contained in the annex to that decision. </w:t>
      </w:r>
    </w:p>
    <w:p w14:paraId="4F6F8069" w14:textId="418C6D64" w:rsidR="00554B98" w:rsidRDefault="009E5AC3" w:rsidP="009E5AC3">
      <w:pPr>
        <w:pStyle w:val="RegSingleTxtG"/>
        <w:numPr>
          <w:ilvl w:val="0"/>
          <w:numId w:val="0"/>
        </w:numPr>
        <w:tabs>
          <w:tab w:val="left" w:pos="568"/>
        </w:tabs>
        <w:ind w:left="1134"/>
      </w:pPr>
      <w:r>
        <w:t>3.</w:t>
      </w:r>
      <w:r>
        <w:tab/>
      </w:r>
      <w:r w:rsidR="00554B98" w:rsidRPr="00CD1C0E">
        <w:t>The forum and the KCI may use the following modalities, as appropriate and as decided on a case-by-case basis,</w:t>
      </w:r>
      <w:r w:rsidR="00554B98" w:rsidRPr="00CD1C0E" w:rsidDel="00387512">
        <w:t xml:space="preserve"> </w:t>
      </w:r>
      <w:r w:rsidR="00554B98" w:rsidRPr="00CD1C0E">
        <w:t>to carry out the work programme of the forum:</w:t>
      </w:r>
    </w:p>
    <w:p w14:paraId="039E1131" w14:textId="282C2B78"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(a)</w:t>
      </w:r>
      <w:r w:rsidRPr="00CD1C0E">
        <w:rPr>
          <w:szCs w:val="28"/>
        </w:rPr>
        <w:tab/>
      </w:r>
      <w:r w:rsidR="00554B98" w:rsidRPr="00CD1C0E">
        <w:t>Building awareness and enhancing information-sharing through the exchange and sharing of experience and best practices;</w:t>
      </w:r>
    </w:p>
    <w:p w14:paraId="62063E7E" w14:textId="763D4926"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(b)</w:t>
      </w:r>
      <w:r w:rsidRPr="00CD1C0E">
        <w:rPr>
          <w:szCs w:val="28"/>
        </w:rPr>
        <w:tab/>
      </w:r>
      <w:r w:rsidR="00554B98" w:rsidRPr="00CD1C0E">
        <w:t>Preparing technical papers, case studies, specific examples and guidelines;</w:t>
      </w:r>
    </w:p>
    <w:p w14:paraId="249862BC" w14:textId="2C633D8E"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(c)</w:t>
      </w:r>
      <w:r w:rsidRPr="00CD1C0E">
        <w:rPr>
          <w:szCs w:val="28"/>
        </w:rPr>
        <w:tab/>
      </w:r>
      <w:r w:rsidR="00554B98" w:rsidRPr="00CD1C0E">
        <w:t>Receiving inputs from experts, practitioners and relevant organizations;</w:t>
      </w:r>
    </w:p>
    <w:p w14:paraId="05107C8D" w14:textId="47ABFF05"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(d)</w:t>
      </w:r>
      <w:r w:rsidRPr="00CD1C0E">
        <w:rPr>
          <w:szCs w:val="28"/>
        </w:rPr>
        <w:tab/>
      </w:r>
      <w:r w:rsidR="00554B98" w:rsidRPr="00CD1C0E">
        <w:t>Organizing workshops.</w:t>
      </w:r>
    </w:p>
    <w:p w14:paraId="6486CDD1" w14:textId="310B7F6A" w:rsidR="00554B98" w:rsidRPr="00CD1C0E" w:rsidRDefault="009E5AC3" w:rsidP="009E5AC3">
      <w:pPr>
        <w:pStyle w:val="RegHChG"/>
        <w:numPr>
          <w:ilvl w:val="0"/>
          <w:numId w:val="0"/>
        </w:numPr>
        <w:tabs>
          <w:tab w:val="left" w:pos="1135"/>
        </w:tabs>
        <w:ind w:left="1135" w:hanging="454"/>
        <w:rPr>
          <w:b w:val="0"/>
        </w:rPr>
      </w:pPr>
      <w:bookmarkStart w:id="41" w:name="_Toc73714984"/>
      <w:bookmarkStart w:id="42" w:name="_Toc73716068"/>
      <w:bookmarkStart w:id="43" w:name="_Toc73717159"/>
      <w:r w:rsidRPr="00CD1C0E">
        <w:t>III.</w:t>
      </w:r>
      <w:r w:rsidRPr="00CD1C0E">
        <w:tab/>
      </w:r>
      <w:r w:rsidR="00554B98" w:rsidRPr="00CD1C0E">
        <w:t>Members</w:t>
      </w:r>
      <w:bookmarkEnd w:id="41"/>
      <w:bookmarkEnd w:id="42"/>
      <w:bookmarkEnd w:id="43"/>
    </w:p>
    <w:p w14:paraId="2292A54B" w14:textId="399C0228" w:rsidR="00554B98" w:rsidRDefault="009E5AC3" w:rsidP="009E5AC3">
      <w:pPr>
        <w:pStyle w:val="RegSingleTxtG"/>
        <w:numPr>
          <w:ilvl w:val="0"/>
          <w:numId w:val="0"/>
        </w:numPr>
        <w:ind w:left="1134"/>
      </w:pPr>
      <w:r>
        <w:t>4.</w:t>
      </w:r>
      <w:r>
        <w:tab/>
      </w:r>
      <w:r w:rsidR="00554B98" w:rsidRPr="00CD1C0E">
        <w:t>The CMA, by decision 7/CMA.1, decided that the KCI shall be composed of 14 members, of which:</w:t>
      </w:r>
    </w:p>
    <w:p w14:paraId="6EDBE3F8" w14:textId="3F68FC18"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(a)</w:t>
      </w:r>
      <w:r w:rsidRPr="00CD1C0E">
        <w:rPr>
          <w:szCs w:val="28"/>
        </w:rPr>
        <w:tab/>
      </w:r>
      <w:r w:rsidR="00554B98" w:rsidRPr="00CD1C0E">
        <w:t>Two members from each of the five United Nations regional groups;</w:t>
      </w:r>
    </w:p>
    <w:p w14:paraId="04C58401" w14:textId="716EB6D5"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(b)</w:t>
      </w:r>
      <w:r w:rsidRPr="00CD1C0E">
        <w:rPr>
          <w:szCs w:val="28"/>
        </w:rPr>
        <w:tab/>
      </w:r>
      <w:r w:rsidR="00554B98" w:rsidRPr="00CD1C0E">
        <w:t>One member from the least developed countries;</w:t>
      </w:r>
    </w:p>
    <w:p w14:paraId="2865C4D9" w14:textId="4FEDD0C3"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(c)</w:t>
      </w:r>
      <w:r w:rsidRPr="00CD1C0E">
        <w:rPr>
          <w:szCs w:val="28"/>
        </w:rPr>
        <w:tab/>
      </w:r>
      <w:r w:rsidR="00554B98" w:rsidRPr="00CD1C0E">
        <w:t>One member from the small island developing States;</w:t>
      </w:r>
    </w:p>
    <w:p w14:paraId="633D924B" w14:textId="45CFCCBA" w:rsidR="00554B98" w:rsidRPr="00CD1C0E" w:rsidRDefault="009E5AC3" w:rsidP="009E5AC3">
      <w:pPr>
        <w:pStyle w:val="RegSingleTxtG2"/>
        <w:numPr>
          <w:ilvl w:val="0"/>
          <w:numId w:val="0"/>
        </w:numPr>
        <w:tabs>
          <w:tab w:val="left" w:pos="568"/>
          <w:tab w:val="num" w:pos="1702"/>
          <w:tab w:val="num" w:pos="2269"/>
        </w:tabs>
        <w:ind w:left="1134" w:firstLine="567"/>
      </w:pPr>
      <w:r w:rsidRPr="00CD1C0E">
        <w:rPr>
          <w:szCs w:val="28"/>
        </w:rPr>
        <w:t>(d)</w:t>
      </w:r>
      <w:r w:rsidRPr="00CD1C0E">
        <w:rPr>
          <w:szCs w:val="28"/>
        </w:rPr>
        <w:tab/>
      </w:r>
      <w:r w:rsidR="00554B98" w:rsidRPr="00CD1C0E">
        <w:t>Two members from relevant intergovernmental organizations.</w:t>
      </w:r>
      <w:r w:rsidR="00554B98" w:rsidRPr="00CD1C0E">
        <w:rPr>
          <w:sz w:val="18"/>
          <w:vertAlign w:val="superscript"/>
        </w:rPr>
        <w:footnoteReference w:id="70"/>
      </w:r>
      <w:r w:rsidR="00554B98" w:rsidRPr="00CD1C0E">
        <w:t xml:space="preserve"> </w:t>
      </w:r>
    </w:p>
    <w:p w14:paraId="4C2242CD" w14:textId="3F76A61F" w:rsidR="00554B98" w:rsidRPr="00CD1C0E" w:rsidRDefault="009E5AC3" w:rsidP="009E5AC3">
      <w:pPr>
        <w:pStyle w:val="RegSingleTxtG"/>
        <w:numPr>
          <w:ilvl w:val="0"/>
          <w:numId w:val="0"/>
        </w:numPr>
        <w:tabs>
          <w:tab w:val="left" w:pos="568"/>
        </w:tabs>
        <w:ind w:left="1134"/>
      </w:pPr>
      <w:r w:rsidRPr="00CD1C0E">
        <w:t>5.</w:t>
      </w:r>
      <w:r w:rsidRPr="00CD1C0E">
        <w:tab/>
      </w:r>
      <w:r w:rsidR="00554B98" w:rsidRPr="00CD1C0E">
        <w:t>By the same decision, the CMA also decided that members shall be nominated by their respective groups. Groups are encouraged to nominate members taking into account the goal of achieving gender balance. The Chairs of the Subsidiary Body for Scientific and Technological Advice (SBSTA) and the Subsidiary Body for Implementation (SBI) shall be notified of these appointments.</w:t>
      </w:r>
      <w:r w:rsidR="00554B98" w:rsidRPr="00CD1C0E">
        <w:rPr>
          <w:sz w:val="18"/>
          <w:vertAlign w:val="superscript"/>
        </w:rPr>
        <w:footnoteReference w:id="71"/>
      </w:r>
      <w:r w:rsidR="00554B98" w:rsidRPr="00CD1C0E">
        <w:t xml:space="preserve"> </w:t>
      </w:r>
    </w:p>
    <w:p w14:paraId="5969A077" w14:textId="5AEC89FD" w:rsidR="00554B98" w:rsidRPr="00CD1C0E" w:rsidRDefault="009E5AC3" w:rsidP="009E5AC3">
      <w:pPr>
        <w:pStyle w:val="RegSingleTxtG"/>
        <w:numPr>
          <w:ilvl w:val="0"/>
          <w:numId w:val="0"/>
        </w:numPr>
        <w:tabs>
          <w:tab w:val="left" w:pos="568"/>
        </w:tabs>
        <w:ind w:left="1134"/>
      </w:pPr>
      <w:r w:rsidRPr="00CD1C0E">
        <w:t>6.</w:t>
      </w:r>
      <w:r w:rsidRPr="00CD1C0E">
        <w:tab/>
      </w:r>
      <w:r w:rsidR="00554B98" w:rsidRPr="00CD1C0E">
        <w:t xml:space="preserve">The CMA </w:t>
      </w:r>
      <w:r w:rsidR="00EE347C">
        <w:t>further</w:t>
      </w:r>
      <w:r w:rsidR="00554B98" w:rsidRPr="00CD1C0E">
        <w:t xml:space="preserve"> decided that members shall serve in their expert capacity and should have relevant qualifications and expertise in the technical and socioeconomic fields related to the areas of the work programme of the forum.</w:t>
      </w:r>
      <w:r w:rsidR="00554B98" w:rsidRPr="00CD1C0E">
        <w:rPr>
          <w:sz w:val="18"/>
          <w:vertAlign w:val="superscript"/>
        </w:rPr>
        <w:footnoteReference w:id="72"/>
      </w:r>
    </w:p>
    <w:p w14:paraId="443DE7F2" w14:textId="309EE60F" w:rsidR="00554B98" w:rsidRDefault="009E5AC3" w:rsidP="009E5AC3">
      <w:pPr>
        <w:pStyle w:val="RegSingleTxtG"/>
        <w:numPr>
          <w:ilvl w:val="0"/>
          <w:numId w:val="0"/>
        </w:numPr>
        <w:tabs>
          <w:tab w:val="left" w:pos="568"/>
        </w:tabs>
        <w:ind w:left="1134"/>
      </w:pPr>
      <w:r>
        <w:lastRenderedPageBreak/>
        <w:t>7.</w:t>
      </w:r>
      <w:r>
        <w:tab/>
      </w:r>
      <w:r w:rsidR="00554B98" w:rsidRPr="00CD1C0E">
        <w:t>Further, the CMA decided that members shall serve a term of two years and be eligible to serve a maximum of two consecutive terms in office.</w:t>
      </w:r>
      <w:r w:rsidR="00554B98" w:rsidRPr="00CD1C0E">
        <w:rPr>
          <w:sz w:val="18"/>
          <w:vertAlign w:val="superscript"/>
        </w:rPr>
        <w:footnoteReference w:id="73"/>
      </w:r>
      <w:r w:rsidR="00554B98" w:rsidRPr="00CD1C0E">
        <w:t xml:space="preserve"> The following rules shall apply: </w:t>
      </w:r>
    </w:p>
    <w:p w14:paraId="15F80C47" w14:textId="6256A258" w:rsidR="00554B98" w:rsidRPr="00CD1C0E" w:rsidRDefault="009E5AC3" w:rsidP="009E5AC3">
      <w:pPr>
        <w:pStyle w:val="RegSingleTxtG2"/>
        <w:numPr>
          <w:ilvl w:val="0"/>
          <w:numId w:val="0"/>
        </w:numPr>
        <w:ind w:left="1134" w:firstLine="567"/>
      </w:pPr>
      <w:r w:rsidRPr="00CD1C0E">
        <w:rPr>
          <w:szCs w:val="28"/>
        </w:rPr>
        <w:t>(a)</w:t>
      </w:r>
      <w:r w:rsidRPr="00CD1C0E">
        <w:rPr>
          <w:szCs w:val="28"/>
        </w:rPr>
        <w:tab/>
      </w:r>
      <w:r w:rsidR="00554B98" w:rsidRPr="00CD1C0E">
        <w:t xml:space="preserve">Half of the members shall be nominated initially for a term of three years and half of the members for a term of two years; </w:t>
      </w:r>
    </w:p>
    <w:p w14:paraId="67FBBFB4" w14:textId="6CB12147" w:rsidR="00554B98" w:rsidRPr="00CD1C0E" w:rsidRDefault="009E5AC3" w:rsidP="009E5AC3">
      <w:pPr>
        <w:pStyle w:val="RegSingleTxtG2"/>
        <w:numPr>
          <w:ilvl w:val="0"/>
          <w:numId w:val="0"/>
        </w:numPr>
        <w:ind w:left="1134" w:firstLine="567"/>
      </w:pPr>
      <w:r w:rsidRPr="00CD1C0E">
        <w:rPr>
          <w:szCs w:val="28"/>
        </w:rPr>
        <w:t>(b)</w:t>
      </w:r>
      <w:r w:rsidRPr="00CD1C0E">
        <w:rPr>
          <w:szCs w:val="28"/>
        </w:rPr>
        <w:tab/>
      </w:r>
      <w:r w:rsidR="00554B98" w:rsidRPr="00CD1C0E">
        <w:t xml:space="preserve">Thereafter, members are nominated for a term of two years; </w:t>
      </w:r>
    </w:p>
    <w:p w14:paraId="3FF65A45" w14:textId="530472B3" w:rsidR="00554B98" w:rsidRPr="00CD1C0E" w:rsidRDefault="009E5AC3" w:rsidP="009E5AC3">
      <w:pPr>
        <w:pStyle w:val="RegSingleTxtG2"/>
        <w:numPr>
          <w:ilvl w:val="0"/>
          <w:numId w:val="0"/>
        </w:numPr>
        <w:ind w:left="1134" w:firstLine="567"/>
      </w:pPr>
      <w:r w:rsidRPr="00CD1C0E">
        <w:rPr>
          <w:szCs w:val="28"/>
        </w:rPr>
        <w:t>(c)</w:t>
      </w:r>
      <w:r w:rsidRPr="00CD1C0E">
        <w:rPr>
          <w:szCs w:val="28"/>
        </w:rPr>
        <w:tab/>
      </w:r>
      <w:r w:rsidR="00554B98" w:rsidRPr="00CD1C0E">
        <w:t>The members shall remain in office until their successors are nominated. In such a case, the KCI shall notify the Chairs of the SBSTA and the SBI</w:t>
      </w:r>
      <w:r w:rsidR="00EE347C">
        <w:t>.</w:t>
      </w:r>
    </w:p>
    <w:p w14:paraId="68F1E8E6" w14:textId="0CE89E10" w:rsidR="00554B98" w:rsidRPr="00CD1C0E" w:rsidRDefault="009E5AC3" w:rsidP="009E5AC3">
      <w:pPr>
        <w:pStyle w:val="RegSingleTxtG"/>
        <w:numPr>
          <w:ilvl w:val="0"/>
          <w:numId w:val="0"/>
        </w:numPr>
        <w:tabs>
          <w:tab w:val="left" w:pos="568"/>
        </w:tabs>
        <w:ind w:left="1134"/>
      </w:pPr>
      <w:r w:rsidRPr="00CD1C0E">
        <w:t>8.</w:t>
      </w:r>
      <w:r w:rsidRPr="00CD1C0E">
        <w:tab/>
      </w:r>
      <w:r w:rsidR="00554B98" w:rsidRPr="00CD1C0E">
        <w:t>The term of office of a member shall commence at the first meeting of the KCI in the calendar year of their appointment and end immediately before the first meeting of the KCI in the calendar year after their second calendar year</w:t>
      </w:r>
      <w:r w:rsidR="008933AF">
        <w:rPr>
          <w:rStyle w:val="FootnoteReference"/>
        </w:rPr>
        <w:footnoteReference w:id="74"/>
      </w:r>
      <w:r w:rsidR="00554B98" w:rsidRPr="00CD1C0E">
        <w:t xml:space="preserve"> in office.</w:t>
      </w:r>
    </w:p>
    <w:p w14:paraId="2380A59C" w14:textId="6BF0B8A6" w:rsidR="00554B98" w:rsidRPr="00CD1C0E" w:rsidRDefault="009E5AC3" w:rsidP="009E5AC3">
      <w:pPr>
        <w:pStyle w:val="RegSingleTxtG"/>
        <w:numPr>
          <w:ilvl w:val="0"/>
          <w:numId w:val="0"/>
        </w:numPr>
        <w:tabs>
          <w:tab w:val="left" w:pos="568"/>
        </w:tabs>
        <w:ind w:left="1134"/>
      </w:pPr>
      <w:r w:rsidRPr="00CD1C0E">
        <w:t>9.</w:t>
      </w:r>
      <w:r w:rsidRPr="00CD1C0E">
        <w:tab/>
      </w:r>
      <w:r w:rsidR="00554B98" w:rsidRPr="00CD1C0E">
        <w:t>If a member of the KCI resigns or is otherwise unable to complete the assigned term of office or to perform the functions of that office, the KCI shall request the group that nominated the member to nominate another member for the remainder of the unexpired term, in which case the appointment shall count as one term. In such a case, the KCI shall notify the Chairs of the SBSTA and the SBI.</w:t>
      </w:r>
    </w:p>
    <w:p w14:paraId="195E1449" w14:textId="62442949" w:rsidR="00554B98" w:rsidRPr="00CD1C0E" w:rsidRDefault="009E5AC3" w:rsidP="009E5AC3">
      <w:pPr>
        <w:pStyle w:val="RegSingleTxtG"/>
        <w:numPr>
          <w:ilvl w:val="0"/>
          <w:numId w:val="0"/>
        </w:numPr>
        <w:tabs>
          <w:tab w:val="left" w:pos="568"/>
        </w:tabs>
        <w:ind w:left="1134"/>
      </w:pPr>
      <w:r w:rsidRPr="00CD1C0E">
        <w:t>10.</w:t>
      </w:r>
      <w:r w:rsidRPr="00CD1C0E">
        <w:tab/>
      </w:r>
      <w:r w:rsidR="00554B98" w:rsidRPr="00CD1C0E">
        <w:t>If a member is unable to participate in two consecutive meetings of the KCI or unable to perform the functions and tasks set by the KCI, the Co-Chairs of the KCI will bring this matter to the attention of the KCI and seek clarification from the group that nominated that member on the status of their membership.</w:t>
      </w:r>
    </w:p>
    <w:p w14:paraId="493CFA5A" w14:textId="5BBFF1A3" w:rsidR="00554B98" w:rsidRPr="00CD1C0E" w:rsidRDefault="009E5AC3" w:rsidP="009E5AC3">
      <w:pPr>
        <w:pStyle w:val="RegHChG"/>
        <w:numPr>
          <w:ilvl w:val="0"/>
          <w:numId w:val="0"/>
        </w:numPr>
        <w:tabs>
          <w:tab w:val="left" w:pos="1135"/>
        </w:tabs>
        <w:ind w:left="1135" w:hanging="454"/>
        <w:rPr>
          <w:b w:val="0"/>
        </w:rPr>
      </w:pPr>
      <w:bookmarkStart w:id="44" w:name="_Toc73714985"/>
      <w:bookmarkStart w:id="45" w:name="_Toc73716069"/>
      <w:bookmarkStart w:id="46" w:name="_Toc73717160"/>
      <w:r w:rsidRPr="00CD1C0E">
        <w:t>IV.</w:t>
      </w:r>
      <w:r w:rsidRPr="00CD1C0E">
        <w:tab/>
      </w:r>
      <w:r w:rsidR="00554B98" w:rsidRPr="00CD1C0E">
        <w:t>Conflict of interest</w:t>
      </w:r>
      <w:bookmarkEnd w:id="44"/>
      <w:bookmarkEnd w:id="45"/>
      <w:bookmarkEnd w:id="46"/>
    </w:p>
    <w:p w14:paraId="435D33A0" w14:textId="4D5F4AA8" w:rsidR="00554B98" w:rsidRPr="00CD1C0E" w:rsidRDefault="009E5AC3" w:rsidP="009E5AC3">
      <w:pPr>
        <w:pStyle w:val="RegSingleTxtG"/>
        <w:numPr>
          <w:ilvl w:val="0"/>
          <w:numId w:val="0"/>
        </w:numPr>
        <w:tabs>
          <w:tab w:val="left" w:pos="568"/>
        </w:tabs>
        <w:ind w:left="1134"/>
      </w:pPr>
      <w:r w:rsidRPr="00CD1C0E">
        <w:t>11.</w:t>
      </w:r>
      <w:r w:rsidRPr="00CD1C0E">
        <w:tab/>
      </w:r>
      <w:r w:rsidR="00554B98" w:rsidRPr="00CD1C0E">
        <w:t xml:space="preserve">The KCI members must promptly disclose, and recuse themselves from, any deliberations or decision-making </w:t>
      </w:r>
      <w:r w:rsidR="006B5471">
        <w:t>that</w:t>
      </w:r>
      <w:r w:rsidR="00554B98" w:rsidRPr="00CD1C0E">
        <w:t xml:space="preserve"> could have a bearing on their personal or financial interests, in order to avoid a conflict of interest or the appearance of one. Further, KCI members shall not disclose any information deemed by the </w:t>
      </w:r>
      <w:r w:rsidR="006B5471">
        <w:t>KCI</w:t>
      </w:r>
      <w:r w:rsidR="00554B98" w:rsidRPr="00CD1C0E">
        <w:t xml:space="preserve"> as confidential </w:t>
      </w:r>
      <w:r w:rsidR="006B5471">
        <w:t>that</w:t>
      </w:r>
      <w:r w:rsidR="00554B98" w:rsidRPr="00CD1C0E">
        <w:t xml:space="preserve"> they receive in the course of their duties, even after leaving the </w:t>
      </w:r>
      <w:r w:rsidR="006B5471">
        <w:t>KCI</w:t>
      </w:r>
      <w:r w:rsidR="00554B98" w:rsidRPr="00CD1C0E">
        <w:t>.</w:t>
      </w:r>
    </w:p>
    <w:p w14:paraId="69924E4D" w14:textId="4EEDD64C" w:rsidR="00554B98" w:rsidRPr="00CD1C0E" w:rsidRDefault="009E5AC3" w:rsidP="009E5AC3">
      <w:pPr>
        <w:pStyle w:val="RegHChG"/>
        <w:numPr>
          <w:ilvl w:val="0"/>
          <w:numId w:val="0"/>
        </w:numPr>
        <w:tabs>
          <w:tab w:val="left" w:pos="1135"/>
        </w:tabs>
        <w:ind w:left="1135" w:hanging="454"/>
        <w:rPr>
          <w:b w:val="0"/>
        </w:rPr>
      </w:pPr>
      <w:bookmarkStart w:id="47" w:name="_Toc73714986"/>
      <w:bookmarkStart w:id="48" w:name="_Toc73716070"/>
      <w:bookmarkStart w:id="49" w:name="_Toc73717161"/>
      <w:r w:rsidRPr="00CD1C0E">
        <w:t>V.</w:t>
      </w:r>
      <w:r w:rsidRPr="00CD1C0E">
        <w:tab/>
      </w:r>
      <w:r w:rsidR="00554B98" w:rsidRPr="00CD1C0E">
        <w:t>Co-Chairs</w:t>
      </w:r>
      <w:bookmarkEnd w:id="47"/>
      <w:bookmarkEnd w:id="48"/>
      <w:bookmarkEnd w:id="49"/>
      <w:r w:rsidR="00554B98" w:rsidRPr="00CD1C0E">
        <w:t xml:space="preserve"> </w:t>
      </w:r>
    </w:p>
    <w:p w14:paraId="2CD2BD43" w14:textId="118C5036" w:rsidR="00554B98" w:rsidRPr="00CD1C0E" w:rsidRDefault="009E5AC3" w:rsidP="009E5AC3">
      <w:pPr>
        <w:pStyle w:val="RegSingleTxtG"/>
        <w:numPr>
          <w:ilvl w:val="0"/>
          <w:numId w:val="0"/>
        </w:numPr>
        <w:tabs>
          <w:tab w:val="left" w:pos="568"/>
        </w:tabs>
        <w:ind w:left="1134"/>
      </w:pPr>
      <w:r w:rsidRPr="00CD1C0E">
        <w:t>12.</w:t>
      </w:r>
      <w:r w:rsidRPr="00CD1C0E">
        <w:tab/>
      </w:r>
      <w:r w:rsidR="00554B98" w:rsidRPr="00CD1C0E">
        <w:t>The CMA decided that the KCI shall elect, on a consensus basis, two members from among its members to serve as Co-Chairs for a term of two years each, taking into account the need to ensure equitable geographical representation.</w:t>
      </w:r>
      <w:r w:rsidR="00554B98" w:rsidRPr="00CD1C0E">
        <w:rPr>
          <w:sz w:val="18"/>
          <w:vertAlign w:val="superscript"/>
        </w:rPr>
        <w:footnoteReference w:id="75"/>
      </w:r>
    </w:p>
    <w:p w14:paraId="2BB36C49" w14:textId="2228C7F9" w:rsidR="00554B98" w:rsidRPr="00CD1C0E" w:rsidRDefault="009E5AC3" w:rsidP="009E5AC3">
      <w:pPr>
        <w:pStyle w:val="RegSingleTxtG"/>
        <w:numPr>
          <w:ilvl w:val="0"/>
          <w:numId w:val="0"/>
        </w:numPr>
        <w:tabs>
          <w:tab w:val="left" w:pos="568"/>
        </w:tabs>
        <w:ind w:left="1134"/>
      </w:pPr>
      <w:r w:rsidRPr="00CD1C0E">
        <w:t>13.</w:t>
      </w:r>
      <w:r w:rsidRPr="00CD1C0E">
        <w:tab/>
      </w:r>
      <w:r w:rsidR="00554B98" w:rsidRPr="00CD1C0E">
        <w:t>The CMA also decided that if one of the Co-Chairs is temporarily unable to fulfil the obligations of the office, another member designated by the KCI shall serve as Co-Chair.</w:t>
      </w:r>
      <w:r w:rsidR="00554B98" w:rsidRPr="00CD1C0E">
        <w:rPr>
          <w:sz w:val="18"/>
          <w:vertAlign w:val="superscript"/>
        </w:rPr>
        <w:footnoteReference w:id="76"/>
      </w:r>
    </w:p>
    <w:p w14:paraId="1D4E0829" w14:textId="36F2F835" w:rsidR="00554B98" w:rsidRPr="00CD1C0E" w:rsidRDefault="009E5AC3" w:rsidP="009E5AC3">
      <w:pPr>
        <w:pStyle w:val="RegSingleTxtG"/>
        <w:numPr>
          <w:ilvl w:val="0"/>
          <w:numId w:val="0"/>
        </w:numPr>
        <w:tabs>
          <w:tab w:val="left" w:pos="568"/>
        </w:tabs>
        <w:ind w:left="1134"/>
      </w:pPr>
      <w:r w:rsidRPr="00CD1C0E">
        <w:t>14.</w:t>
      </w:r>
      <w:r w:rsidRPr="00CD1C0E">
        <w:tab/>
      </w:r>
      <w:r w:rsidR="00554B98" w:rsidRPr="00CD1C0E">
        <w:t>If one of the Co-Chairs is unable to complete the term of office, the KCI shall elect a replacement from among its members of the relevant group of the incumbent Co-Chair, if available, to complete that term of office.</w:t>
      </w:r>
    </w:p>
    <w:p w14:paraId="559BC5FD" w14:textId="459D19C8" w:rsidR="00554B98" w:rsidRPr="00CD1C0E" w:rsidRDefault="009E5AC3" w:rsidP="009E5AC3">
      <w:pPr>
        <w:pStyle w:val="RegSingleTxtG"/>
        <w:numPr>
          <w:ilvl w:val="0"/>
          <w:numId w:val="0"/>
        </w:numPr>
        <w:tabs>
          <w:tab w:val="left" w:pos="568"/>
        </w:tabs>
        <w:ind w:left="1134"/>
      </w:pPr>
      <w:r w:rsidRPr="00CD1C0E">
        <w:t>15.</w:t>
      </w:r>
      <w:r w:rsidRPr="00CD1C0E">
        <w:tab/>
      </w:r>
      <w:r w:rsidR="00554B98" w:rsidRPr="00CD1C0E">
        <w:t>The Co-Chairs shall collaborate in chairing meetings of the KCI and in facilitating the work of the KCI throughout the year, in accordance with the workplan of the forum and its KCI, to ensure coherence between meetings.</w:t>
      </w:r>
    </w:p>
    <w:p w14:paraId="5407647C" w14:textId="450AAD09" w:rsidR="00554B98" w:rsidRPr="00CD1C0E" w:rsidRDefault="009E5AC3" w:rsidP="009E5AC3">
      <w:pPr>
        <w:pStyle w:val="RegSingleTxtG"/>
        <w:numPr>
          <w:ilvl w:val="0"/>
          <w:numId w:val="0"/>
        </w:numPr>
        <w:tabs>
          <w:tab w:val="left" w:pos="568"/>
        </w:tabs>
        <w:ind w:left="1134"/>
      </w:pPr>
      <w:r w:rsidRPr="00CD1C0E">
        <w:t>16.</w:t>
      </w:r>
      <w:r w:rsidRPr="00CD1C0E">
        <w:tab/>
      </w:r>
      <w:r w:rsidR="00554B98" w:rsidRPr="00CD1C0E">
        <w:t>Following the completion of the Co-Chairs’ two-year term of office, the KCI shall nominate two members as Co-Chairs to serve the next two-year term of office.</w:t>
      </w:r>
    </w:p>
    <w:p w14:paraId="3AA6C044" w14:textId="2E7120F9" w:rsidR="00554B98" w:rsidRPr="00CD1C0E" w:rsidRDefault="009E5AC3" w:rsidP="009E5AC3">
      <w:pPr>
        <w:pStyle w:val="RegSingleTxtG"/>
        <w:numPr>
          <w:ilvl w:val="0"/>
          <w:numId w:val="0"/>
        </w:numPr>
        <w:tabs>
          <w:tab w:val="left" w:pos="568"/>
        </w:tabs>
        <w:ind w:left="1134"/>
      </w:pPr>
      <w:r w:rsidRPr="00CD1C0E">
        <w:t>17.</w:t>
      </w:r>
      <w:r w:rsidRPr="00CD1C0E">
        <w:tab/>
      </w:r>
      <w:r w:rsidR="00554B98" w:rsidRPr="00CD1C0E">
        <w:t>The Co-Chairs shall declare the opening and closing of meetings of the KCI, ensure the observance of these rules of procedure and rule on points of order.</w:t>
      </w:r>
    </w:p>
    <w:p w14:paraId="2A2AB4AA" w14:textId="1C3EC0A4" w:rsidR="00554B98" w:rsidRPr="00CD1C0E" w:rsidRDefault="009E5AC3" w:rsidP="009E5AC3">
      <w:pPr>
        <w:pStyle w:val="RegSingleTxtG"/>
        <w:numPr>
          <w:ilvl w:val="0"/>
          <w:numId w:val="0"/>
        </w:numPr>
        <w:tabs>
          <w:tab w:val="left" w:pos="568"/>
        </w:tabs>
        <w:ind w:left="1134"/>
      </w:pPr>
      <w:r w:rsidRPr="00CD1C0E">
        <w:lastRenderedPageBreak/>
        <w:t>18.</w:t>
      </w:r>
      <w:r w:rsidRPr="00CD1C0E">
        <w:tab/>
      </w:r>
      <w:r w:rsidR="00554B98" w:rsidRPr="00CD1C0E">
        <w:t xml:space="preserve">The Co-Chairs shall call upon speakers at meetings of the KCI in the order in which they signify their desire to speak. The secretariat shall maintain a list of speakers. The Co-Chairs may call a speaker to order if their remarks are not relevant to the subject under discussion. </w:t>
      </w:r>
    </w:p>
    <w:p w14:paraId="4361ADEE" w14:textId="0A8B4766" w:rsidR="00554B98" w:rsidRPr="00CD1C0E" w:rsidRDefault="009E5AC3" w:rsidP="009E5AC3">
      <w:pPr>
        <w:pStyle w:val="RegSingleTxtG"/>
        <w:numPr>
          <w:ilvl w:val="0"/>
          <w:numId w:val="0"/>
        </w:numPr>
        <w:tabs>
          <w:tab w:val="left" w:pos="568"/>
        </w:tabs>
        <w:ind w:left="1134"/>
      </w:pPr>
      <w:r w:rsidRPr="00CD1C0E">
        <w:t>19.</w:t>
      </w:r>
      <w:r w:rsidRPr="00CD1C0E">
        <w:tab/>
      </w:r>
      <w:r w:rsidR="00554B98" w:rsidRPr="00CD1C0E">
        <w:t>The KCI may further define additional roles and responsibilities for the Co-Chairs.</w:t>
      </w:r>
    </w:p>
    <w:p w14:paraId="155A6AF1" w14:textId="02296EC6" w:rsidR="00554B98" w:rsidRPr="00CD1C0E" w:rsidRDefault="009E5AC3" w:rsidP="009E5AC3">
      <w:pPr>
        <w:pStyle w:val="RegSingleTxtG"/>
        <w:numPr>
          <w:ilvl w:val="0"/>
          <w:numId w:val="0"/>
        </w:numPr>
        <w:tabs>
          <w:tab w:val="left" w:pos="568"/>
        </w:tabs>
        <w:ind w:left="1134"/>
      </w:pPr>
      <w:r w:rsidRPr="00CD1C0E">
        <w:t>20.</w:t>
      </w:r>
      <w:r w:rsidRPr="00CD1C0E">
        <w:tab/>
      </w:r>
      <w:r w:rsidR="00554B98" w:rsidRPr="00CD1C0E">
        <w:t>In exercising their functions, the Co-Chairs shall remain under the authority of the KCI.</w:t>
      </w:r>
    </w:p>
    <w:p w14:paraId="48C54D1B" w14:textId="33716A22" w:rsidR="00554B98" w:rsidRPr="00CD1C0E" w:rsidRDefault="009E5AC3" w:rsidP="009E5AC3">
      <w:pPr>
        <w:pStyle w:val="RegHChG"/>
        <w:numPr>
          <w:ilvl w:val="0"/>
          <w:numId w:val="0"/>
        </w:numPr>
        <w:tabs>
          <w:tab w:val="left" w:pos="1135"/>
        </w:tabs>
        <w:ind w:left="1135" w:hanging="454"/>
        <w:rPr>
          <w:b w:val="0"/>
        </w:rPr>
      </w:pPr>
      <w:bookmarkStart w:id="50" w:name="_Toc73714987"/>
      <w:bookmarkStart w:id="51" w:name="_Toc73716071"/>
      <w:bookmarkStart w:id="52" w:name="_Toc73717162"/>
      <w:r w:rsidRPr="00CD1C0E">
        <w:t>VI.</w:t>
      </w:r>
      <w:r w:rsidRPr="00CD1C0E">
        <w:tab/>
      </w:r>
      <w:r w:rsidR="00554B98" w:rsidRPr="00CD1C0E">
        <w:t>Secretariat</w:t>
      </w:r>
      <w:bookmarkEnd w:id="50"/>
      <w:bookmarkEnd w:id="51"/>
      <w:bookmarkEnd w:id="52"/>
    </w:p>
    <w:p w14:paraId="542BEF6E" w14:textId="747E7C3F" w:rsidR="00554B98" w:rsidRDefault="009E5AC3" w:rsidP="009E5AC3">
      <w:pPr>
        <w:pStyle w:val="RegSingleTxtG"/>
        <w:numPr>
          <w:ilvl w:val="0"/>
          <w:numId w:val="0"/>
        </w:numPr>
        <w:tabs>
          <w:tab w:val="left" w:pos="568"/>
        </w:tabs>
        <w:ind w:left="1134"/>
      </w:pPr>
      <w:r>
        <w:t>21.</w:t>
      </w:r>
      <w:r>
        <w:tab/>
      </w:r>
      <w:r w:rsidR="00554B98" w:rsidRPr="00CD1C0E">
        <w:t xml:space="preserve">The secretariat shall support and facilitate the work of the KCI, by: </w:t>
      </w:r>
    </w:p>
    <w:p w14:paraId="348D3B02" w14:textId="34A68D10" w:rsidR="00554B98" w:rsidRPr="00CD1C0E" w:rsidRDefault="009E5AC3" w:rsidP="009E5AC3">
      <w:pPr>
        <w:pStyle w:val="RegSingleTxtG2"/>
        <w:numPr>
          <w:ilvl w:val="0"/>
          <w:numId w:val="0"/>
        </w:numPr>
        <w:ind w:left="1134" w:firstLine="567"/>
      </w:pPr>
      <w:r w:rsidRPr="00CD1C0E">
        <w:rPr>
          <w:szCs w:val="28"/>
        </w:rPr>
        <w:t>(a)</w:t>
      </w:r>
      <w:r w:rsidRPr="00CD1C0E">
        <w:rPr>
          <w:szCs w:val="28"/>
        </w:rPr>
        <w:tab/>
      </w:r>
      <w:r w:rsidR="00554B98" w:rsidRPr="00CD1C0E">
        <w:t>Making the necessary arrangements for the meetings of the KCI, including announcing meetings, issuing invitations, making the necessary travel arrangements for members eligible for funding for their participation in meetings and making available relevant documents for meetings;</w:t>
      </w:r>
    </w:p>
    <w:p w14:paraId="291D92B8" w14:textId="7A4E9B3E" w:rsidR="00554B98" w:rsidRPr="00CD1C0E" w:rsidRDefault="009E5AC3" w:rsidP="009E5AC3">
      <w:pPr>
        <w:pStyle w:val="RegSingleTxtG2"/>
        <w:numPr>
          <w:ilvl w:val="0"/>
          <w:numId w:val="0"/>
        </w:numPr>
        <w:ind w:left="1134" w:firstLine="567"/>
      </w:pPr>
      <w:r w:rsidRPr="00CD1C0E">
        <w:rPr>
          <w:szCs w:val="28"/>
        </w:rPr>
        <w:t>(b)</w:t>
      </w:r>
      <w:r w:rsidRPr="00CD1C0E">
        <w:rPr>
          <w:szCs w:val="28"/>
        </w:rPr>
        <w:tab/>
      </w:r>
      <w:r w:rsidR="00554B98" w:rsidRPr="00CD1C0E">
        <w:t>Maintaining meeting records and arranging for the storage and preservation of documents of meetings of the KCI;</w:t>
      </w:r>
    </w:p>
    <w:p w14:paraId="6E927242" w14:textId="64786885" w:rsidR="00554B98" w:rsidRPr="00CD1C0E" w:rsidRDefault="009E5AC3" w:rsidP="009E5AC3">
      <w:pPr>
        <w:pStyle w:val="RegSingleTxtG2"/>
        <w:numPr>
          <w:ilvl w:val="0"/>
          <w:numId w:val="0"/>
        </w:numPr>
        <w:ind w:left="1134" w:firstLine="567"/>
      </w:pPr>
      <w:r w:rsidRPr="00CD1C0E">
        <w:rPr>
          <w:szCs w:val="28"/>
        </w:rPr>
        <w:t>(c)</w:t>
      </w:r>
      <w:r w:rsidRPr="00CD1C0E">
        <w:rPr>
          <w:szCs w:val="28"/>
        </w:rPr>
        <w:tab/>
      </w:r>
      <w:r w:rsidR="00554B98" w:rsidRPr="00CD1C0E">
        <w:t>Making documents of meetings of the KCI available to the public, unless otherwise decided by the KCI.</w:t>
      </w:r>
    </w:p>
    <w:p w14:paraId="033650E1" w14:textId="75D0C091" w:rsidR="00554B98" w:rsidRPr="00CD1C0E" w:rsidRDefault="009E5AC3" w:rsidP="009E5AC3">
      <w:pPr>
        <w:pStyle w:val="RegSingleTxtG"/>
        <w:numPr>
          <w:ilvl w:val="0"/>
          <w:numId w:val="0"/>
        </w:numPr>
        <w:tabs>
          <w:tab w:val="left" w:pos="568"/>
        </w:tabs>
        <w:ind w:left="1134"/>
      </w:pPr>
      <w:r w:rsidRPr="00CD1C0E">
        <w:t>22.</w:t>
      </w:r>
      <w:r w:rsidRPr="00CD1C0E">
        <w:tab/>
      </w:r>
      <w:r w:rsidR="00554B98" w:rsidRPr="00CD1C0E">
        <w:t>The secretariat shall assist the KCI in tracking its actions, in accordance with the workplan of the forum and its KCI, in its annual report.</w:t>
      </w:r>
    </w:p>
    <w:p w14:paraId="55C987CD" w14:textId="38BE4102" w:rsidR="00554B98" w:rsidRPr="00CD1C0E" w:rsidRDefault="009E5AC3" w:rsidP="009E5AC3">
      <w:pPr>
        <w:pStyle w:val="RegSingleTxtG"/>
        <w:numPr>
          <w:ilvl w:val="0"/>
          <w:numId w:val="0"/>
        </w:numPr>
        <w:tabs>
          <w:tab w:val="left" w:pos="568"/>
        </w:tabs>
        <w:ind w:left="1134"/>
      </w:pPr>
      <w:r w:rsidRPr="00CD1C0E">
        <w:t>23.</w:t>
      </w:r>
      <w:r w:rsidRPr="00CD1C0E">
        <w:tab/>
      </w:r>
      <w:r w:rsidR="00554B98" w:rsidRPr="00CD1C0E">
        <w:t xml:space="preserve">In addition, the secretariat shall perform any other functions assigned by the KCI, in accordance with the workplan of the forum and its KCI. </w:t>
      </w:r>
    </w:p>
    <w:p w14:paraId="2F6BA8EE" w14:textId="620679DD" w:rsidR="00554B98" w:rsidRPr="00CD1C0E" w:rsidRDefault="009E5AC3" w:rsidP="009E5AC3">
      <w:pPr>
        <w:pStyle w:val="RegHChG"/>
        <w:numPr>
          <w:ilvl w:val="0"/>
          <w:numId w:val="0"/>
        </w:numPr>
        <w:tabs>
          <w:tab w:val="left" w:pos="1135"/>
        </w:tabs>
        <w:ind w:left="1135" w:hanging="454"/>
        <w:rPr>
          <w:b w:val="0"/>
        </w:rPr>
      </w:pPr>
      <w:bookmarkStart w:id="53" w:name="_Toc73714988"/>
      <w:bookmarkStart w:id="54" w:name="_Toc73716072"/>
      <w:bookmarkStart w:id="55" w:name="_Toc73717163"/>
      <w:r w:rsidRPr="00CD1C0E">
        <w:t>VII.</w:t>
      </w:r>
      <w:r w:rsidRPr="00CD1C0E">
        <w:tab/>
      </w:r>
      <w:r w:rsidR="00554B98" w:rsidRPr="00CD1C0E">
        <w:t>Meetings</w:t>
      </w:r>
      <w:bookmarkEnd w:id="53"/>
      <w:bookmarkEnd w:id="54"/>
      <w:bookmarkEnd w:id="55"/>
    </w:p>
    <w:p w14:paraId="503C7AB1" w14:textId="209A7EFD" w:rsidR="00554B98" w:rsidRPr="00CD1C0E" w:rsidRDefault="009E5AC3" w:rsidP="009E5AC3">
      <w:pPr>
        <w:pStyle w:val="RegSingleTxtG"/>
        <w:numPr>
          <w:ilvl w:val="0"/>
          <w:numId w:val="0"/>
        </w:numPr>
        <w:tabs>
          <w:tab w:val="left" w:pos="568"/>
        </w:tabs>
        <w:ind w:left="1134"/>
      </w:pPr>
      <w:r w:rsidRPr="00CD1C0E">
        <w:t>24.</w:t>
      </w:r>
      <w:r w:rsidRPr="00CD1C0E">
        <w:tab/>
      </w:r>
      <w:r w:rsidR="00554B98" w:rsidRPr="00CD1C0E">
        <w:t>The KCI shall meet twice per year, for two days per meeting, in conjunction with the sessions of the subsidiary bodies.</w:t>
      </w:r>
    </w:p>
    <w:p w14:paraId="3B3BB609" w14:textId="6AA6EB37" w:rsidR="00554B98" w:rsidRPr="00CD1C0E" w:rsidRDefault="009E5AC3" w:rsidP="009E5AC3">
      <w:pPr>
        <w:pStyle w:val="RegSingleTxtG"/>
        <w:numPr>
          <w:ilvl w:val="0"/>
          <w:numId w:val="0"/>
        </w:numPr>
        <w:tabs>
          <w:tab w:val="left" w:pos="568"/>
        </w:tabs>
        <w:ind w:left="1134"/>
      </w:pPr>
      <w:r w:rsidRPr="00CD1C0E">
        <w:t>25.</w:t>
      </w:r>
      <w:r w:rsidRPr="00CD1C0E">
        <w:tab/>
      </w:r>
      <w:r w:rsidR="00554B98" w:rsidRPr="00CD1C0E">
        <w:t>At least nine members of the KCI must be present to constitute a quorum.</w:t>
      </w:r>
    </w:p>
    <w:p w14:paraId="7CC35A06" w14:textId="0689AC62" w:rsidR="00554B98" w:rsidRPr="00CD1C0E" w:rsidRDefault="009E5AC3" w:rsidP="009E5AC3">
      <w:pPr>
        <w:pStyle w:val="RegSingleTxtG"/>
        <w:numPr>
          <w:ilvl w:val="0"/>
          <w:numId w:val="0"/>
        </w:numPr>
        <w:tabs>
          <w:tab w:val="left" w:pos="568"/>
        </w:tabs>
        <w:ind w:left="1134"/>
      </w:pPr>
      <w:r w:rsidRPr="00CD1C0E">
        <w:t>26.</w:t>
      </w:r>
      <w:r w:rsidRPr="00CD1C0E">
        <w:tab/>
      </w:r>
      <w:r w:rsidR="00554B98" w:rsidRPr="00CD1C0E">
        <w:t>Members are requested to confirm their attendance at meetings of the KCI as early as possible, and at least four weeks prior to a meeting for members eligible for funding for their participation, to enable sufficient time for the secretariat to make the necessary travel arrangements.</w:t>
      </w:r>
    </w:p>
    <w:p w14:paraId="6D618174" w14:textId="7FBCBC1D" w:rsidR="00554B98" w:rsidRPr="00CD1C0E" w:rsidRDefault="009E5AC3" w:rsidP="009E5AC3">
      <w:pPr>
        <w:pStyle w:val="RegSingleTxtG"/>
        <w:numPr>
          <w:ilvl w:val="0"/>
          <w:numId w:val="0"/>
        </w:numPr>
        <w:tabs>
          <w:tab w:val="left" w:pos="568"/>
        </w:tabs>
        <w:ind w:left="1134"/>
      </w:pPr>
      <w:r w:rsidRPr="00CD1C0E">
        <w:t>27.</w:t>
      </w:r>
      <w:r w:rsidRPr="00CD1C0E">
        <w:tab/>
      </w:r>
      <w:r w:rsidR="00554B98" w:rsidRPr="00CD1C0E">
        <w:t xml:space="preserve">Should technical and financial resources permit, open meetings of the KCI shall be webcast </w:t>
      </w:r>
      <w:r w:rsidR="00712FBB">
        <w:t>on</w:t>
      </w:r>
      <w:r w:rsidR="00554B98" w:rsidRPr="00CD1C0E">
        <w:t xml:space="preserve"> the UNFCCC website.</w:t>
      </w:r>
    </w:p>
    <w:p w14:paraId="50B020EC" w14:textId="13A36DEC" w:rsidR="00554B98" w:rsidRPr="00CD1C0E" w:rsidRDefault="009E5AC3" w:rsidP="009E5AC3">
      <w:pPr>
        <w:pStyle w:val="RegSingleTxtG"/>
        <w:numPr>
          <w:ilvl w:val="0"/>
          <w:numId w:val="0"/>
        </w:numPr>
        <w:tabs>
          <w:tab w:val="left" w:pos="568"/>
        </w:tabs>
        <w:ind w:left="1134"/>
      </w:pPr>
      <w:r w:rsidRPr="00CD1C0E">
        <w:t>28.</w:t>
      </w:r>
      <w:r w:rsidRPr="00CD1C0E">
        <w:tab/>
      </w:r>
      <w:r w:rsidR="00554B98" w:rsidRPr="00CD1C0E">
        <w:t>At each of its meetings, the KCI shall propose the dates of its next meeting. The Co-Chairs will agree the dates of the next meeting in consultation with the secretariat.</w:t>
      </w:r>
    </w:p>
    <w:p w14:paraId="0FEBD93A" w14:textId="35EF5A22" w:rsidR="00554B98" w:rsidRPr="00CD1C0E" w:rsidRDefault="009E5AC3" w:rsidP="009E5AC3">
      <w:pPr>
        <w:pStyle w:val="RegHChG"/>
        <w:numPr>
          <w:ilvl w:val="0"/>
          <w:numId w:val="0"/>
        </w:numPr>
        <w:tabs>
          <w:tab w:val="left" w:pos="1135"/>
        </w:tabs>
        <w:ind w:left="1135" w:hanging="454"/>
        <w:rPr>
          <w:b w:val="0"/>
        </w:rPr>
      </w:pPr>
      <w:bookmarkStart w:id="56" w:name="_Toc73714989"/>
      <w:bookmarkStart w:id="57" w:name="_Toc73716073"/>
      <w:bookmarkStart w:id="58" w:name="_Toc73717164"/>
      <w:r w:rsidRPr="00CD1C0E">
        <w:t>VIII.</w:t>
      </w:r>
      <w:r w:rsidRPr="00CD1C0E">
        <w:tab/>
      </w:r>
      <w:r w:rsidR="00554B98" w:rsidRPr="00CD1C0E">
        <w:t>Agenda and documentation for meetings</w:t>
      </w:r>
      <w:bookmarkEnd w:id="56"/>
      <w:bookmarkEnd w:id="57"/>
      <w:bookmarkEnd w:id="58"/>
    </w:p>
    <w:p w14:paraId="65F9313A" w14:textId="283FE2DF" w:rsidR="00554B98" w:rsidRPr="00CD1C0E" w:rsidRDefault="009E5AC3" w:rsidP="009E5AC3">
      <w:pPr>
        <w:pStyle w:val="RegSingleTxtG"/>
        <w:numPr>
          <w:ilvl w:val="0"/>
          <w:numId w:val="0"/>
        </w:numPr>
        <w:tabs>
          <w:tab w:val="left" w:pos="568"/>
        </w:tabs>
        <w:ind w:left="1134"/>
      </w:pPr>
      <w:r w:rsidRPr="00CD1C0E">
        <w:t>29.</w:t>
      </w:r>
      <w:r w:rsidRPr="00CD1C0E">
        <w:tab/>
      </w:r>
      <w:r w:rsidR="00554B98" w:rsidRPr="00CD1C0E">
        <w:t xml:space="preserve">The Co-Chairs, assisted by the secretariat, shall prepare the provisional agenda and provisional annotated agenda for each meeting of the KCI in accordance with the workplan of the forum and its KCI. The Co-Chairs will prepare a report on the meeting, to be agreed by members, and this will be made available on the UNFCCC website. The Co-Chairs will report back to the forum on the meeting of the KCI. </w:t>
      </w:r>
    </w:p>
    <w:p w14:paraId="23E26FE3" w14:textId="0A34D79A" w:rsidR="00554B98" w:rsidRPr="00CD1C0E" w:rsidRDefault="009E5AC3" w:rsidP="009E5AC3">
      <w:pPr>
        <w:pStyle w:val="RegSingleTxtG"/>
        <w:numPr>
          <w:ilvl w:val="0"/>
          <w:numId w:val="0"/>
        </w:numPr>
        <w:tabs>
          <w:tab w:val="left" w:pos="568"/>
        </w:tabs>
        <w:ind w:left="1134"/>
      </w:pPr>
      <w:r w:rsidRPr="00CD1C0E">
        <w:t>30.</w:t>
      </w:r>
      <w:r w:rsidRPr="00CD1C0E">
        <w:tab/>
      </w:r>
      <w:r w:rsidR="00554B98" w:rsidRPr="00CD1C0E">
        <w:t xml:space="preserve">The provisional agenda and provisional annotated agenda for each meeting shall be transmitted to the members of the KCI at least four weeks in advance of the meeting. </w:t>
      </w:r>
    </w:p>
    <w:p w14:paraId="40EB2DEF" w14:textId="7D859F15" w:rsidR="00554B98" w:rsidRPr="00CD1C0E" w:rsidRDefault="009E5AC3" w:rsidP="009E5AC3">
      <w:pPr>
        <w:pStyle w:val="RegSingleTxtG"/>
        <w:numPr>
          <w:ilvl w:val="0"/>
          <w:numId w:val="0"/>
        </w:numPr>
        <w:tabs>
          <w:tab w:val="left" w:pos="568"/>
        </w:tabs>
        <w:ind w:left="1134"/>
      </w:pPr>
      <w:r w:rsidRPr="00CD1C0E">
        <w:t>31.</w:t>
      </w:r>
      <w:r w:rsidRPr="00CD1C0E">
        <w:tab/>
      </w:r>
      <w:r w:rsidR="00554B98" w:rsidRPr="00CD1C0E">
        <w:t xml:space="preserve">Members may propose additions or changes to the provisional agenda and provisional annotated agenda, in writing, to the secretariat within one week of receiving the documents, </w:t>
      </w:r>
      <w:r w:rsidR="00554B98" w:rsidRPr="00CD1C0E">
        <w:lastRenderedPageBreak/>
        <w:t xml:space="preserve">and these additions or changes shall be considered for a revised provisional agenda and provisional annotated agenda by the secretariat in agreement with the Co-Chairs. </w:t>
      </w:r>
    </w:p>
    <w:p w14:paraId="194DF4D5" w14:textId="2A684757" w:rsidR="00554B98" w:rsidRPr="00CD1C0E" w:rsidRDefault="009E5AC3" w:rsidP="009E5AC3">
      <w:pPr>
        <w:pStyle w:val="RegSingleTxtG"/>
        <w:numPr>
          <w:ilvl w:val="0"/>
          <w:numId w:val="0"/>
        </w:numPr>
        <w:tabs>
          <w:tab w:val="left" w:pos="568"/>
        </w:tabs>
        <w:ind w:left="1134"/>
      </w:pPr>
      <w:r w:rsidRPr="00CD1C0E">
        <w:t>32.</w:t>
      </w:r>
      <w:r w:rsidRPr="00CD1C0E">
        <w:tab/>
      </w:r>
      <w:r w:rsidR="00554B98" w:rsidRPr="00CD1C0E">
        <w:t xml:space="preserve">The secretariat shall transmit the provisional agenda and provisional annotated agenda and any supporting documentation to the members at least two weeks prior to a meeting. Documents may be transmitted after that date with the approval of the Co-Chairs. </w:t>
      </w:r>
    </w:p>
    <w:p w14:paraId="5EB63C09" w14:textId="2DCCF1E2" w:rsidR="00554B98" w:rsidRPr="00CD1C0E" w:rsidRDefault="009E5AC3" w:rsidP="009E5AC3">
      <w:pPr>
        <w:pStyle w:val="RegSingleTxtG"/>
        <w:numPr>
          <w:ilvl w:val="0"/>
          <w:numId w:val="0"/>
        </w:numPr>
        <w:tabs>
          <w:tab w:val="left" w:pos="568"/>
        </w:tabs>
        <w:ind w:left="1134"/>
      </w:pPr>
      <w:r w:rsidRPr="00CD1C0E">
        <w:t>33.</w:t>
      </w:r>
      <w:r w:rsidRPr="00CD1C0E">
        <w:tab/>
      </w:r>
      <w:r w:rsidR="00554B98" w:rsidRPr="00CD1C0E">
        <w:t xml:space="preserve">Documents for a meeting shall be published on the UNFCCC website at least two weeks prior to that meeting, to the extent possible. </w:t>
      </w:r>
    </w:p>
    <w:p w14:paraId="102A0901" w14:textId="575D3527" w:rsidR="00554B98" w:rsidRPr="00CD1C0E" w:rsidRDefault="009E5AC3" w:rsidP="009E5AC3">
      <w:pPr>
        <w:pStyle w:val="RegSingleTxtG"/>
        <w:numPr>
          <w:ilvl w:val="0"/>
          <w:numId w:val="0"/>
        </w:numPr>
        <w:tabs>
          <w:tab w:val="left" w:pos="568"/>
        </w:tabs>
        <w:ind w:left="1134"/>
      </w:pPr>
      <w:r w:rsidRPr="00CD1C0E">
        <w:t>34.</w:t>
      </w:r>
      <w:r w:rsidRPr="00CD1C0E">
        <w:tab/>
      </w:r>
      <w:r w:rsidR="00554B98" w:rsidRPr="00CD1C0E">
        <w:t>The KCI shall, at the beginning of each meeting, adopt the agenda for that meeting.</w:t>
      </w:r>
    </w:p>
    <w:p w14:paraId="37A815C6" w14:textId="3271EB50" w:rsidR="00554B98" w:rsidRPr="00CD1C0E" w:rsidRDefault="009E5AC3" w:rsidP="009E5AC3">
      <w:pPr>
        <w:pStyle w:val="RegSingleTxtG"/>
        <w:numPr>
          <w:ilvl w:val="0"/>
          <w:numId w:val="0"/>
        </w:numPr>
        <w:tabs>
          <w:tab w:val="left" w:pos="568"/>
        </w:tabs>
        <w:ind w:left="1134"/>
      </w:pPr>
      <w:r w:rsidRPr="00CD1C0E">
        <w:t>35.</w:t>
      </w:r>
      <w:r w:rsidRPr="00CD1C0E">
        <w:tab/>
      </w:r>
      <w:r w:rsidR="00554B98" w:rsidRPr="00CD1C0E">
        <w:t>The CMA decided that members of the KCI shall prepare an annual report for consideration by the forum with a view to making recommendations for consideration by the SBSTA and the SBI, which, in turn, are to recommend actions to the Conference of the Parties (COP), the Conference of the Parties serving as the meeting of the Parties to the Kyoto Protocol (CMP)</w:t>
      </w:r>
      <w:r w:rsidR="00554B98" w:rsidRPr="00CD1C0E" w:rsidDel="0089053E">
        <w:t xml:space="preserve"> and the CMA</w:t>
      </w:r>
      <w:r w:rsidR="00554B98" w:rsidRPr="00CD1C0E">
        <w:t xml:space="preserve"> for their consideration and adoption.</w:t>
      </w:r>
      <w:r w:rsidR="00554B98" w:rsidRPr="00CD1C0E">
        <w:rPr>
          <w:sz w:val="18"/>
          <w:vertAlign w:val="superscript"/>
        </w:rPr>
        <w:footnoteReference w:id="77"/>
      </w:r>
      <w:r w:rsidR="00554B98" w:rsidRPr="00CD1C0E">
        <w:rPr>
          <w:rFonts w:asciiTheme="minorHAnsi" w:eastAsiaTheme="minorHAnsi" w:hAnsiTheme="minorHAnsi" w:cstheme="minorBidi"/>
          <w:sz w:val="22"/>
          <w:szCs w:val="22"/>
          <w:lang w:eastAsia="en-US"/>
        </w:rPr>
        <w:t xml:space="preserve"> </w:t>
      </w:r>
    </w:p>
    <w:p w14:paraId="46581F6D" w14:textId="53605A38" w:rsidR="00554B98" w:rsidRPr="00CD1C0E" w:rsidRDefault="009E5AC3" w:rsidP="009E5AC3">
      <w:pPr>
        <w:pStyle w:val="RegSingleTxtG"/>
        <w:numPr>
          <w:ilvl w:val="0"/>
          <w:numId w:val="0"/>
        </w:numPr>
        <w:tabs>
          <w:tab w:val="left" w:pos="568"/>
        </w:tabs>
        <w:ind w:left="1134"/>
      </w:pPr>
      <w:r w:rsidRPr="00CD1C0E">
        <w:t>36.</w:t>
      </w:r>
      <w:r w:rsidRPr="00CD1C0E">
        <w:tab/>
      </w:r>
      <w:r w:rsidR="00554B98" w:rsidRPr="00CD1C0E">
        <w:t>Th</w:t>
      </w:r>
      <w:r w:rsidR="003A716B">
        <w:t>e</w:t>
      </w:r>
      <w:r w:rsidR="00554B98" w:rsidRPr="00CD1C0E">
        <w:t xml:space="preserve"> annual report shall be made available on the UNFCCC website before the relevant sessions of the COP, the CMP</w:t>
      </w:r>
      <w:r w:rsidR="00554B98" w:rsidRPr="00CD1C0E" w:rsidDel="00897261">
        <w:t xml:space="preserve"> and the CMA</w:t>
      </w:r>
      <w:r w:rsidR="00554B98" w:rsidRPr="00CD1C0E">
        <w:t>.</w:t>
      </w:r>
    </w:p>
    <w:p w14:paraId="3DBA71EA" w14:textId="17C13A79" w:rsidR="00554B98" w:rsidRPr="00CD1C0E" w:rsidRDefault="009E5AC3" w:rsidP="009E5AC3">
      <w:pPr>
        <w:pStyle w:val="RegHChG"/>
        <w:numPr>
          <w:ilvl w:val="0"/>
          <w:numId w:val="0"/>
        </w:numPr>
        <w:tabs>
          <w:tab w:val="left" w:pos="1135"/>
        </w:tabs>
        <w:ind w:left="1135" w:hanging="454"/>
        <w:rPr>
          <w:b w:val="0"/>
        </w:rPr>
      </w:pPr>
      <w:bookmarkStart w:id="59" w:name="_Toc73714990"/>
      <w:bookmarkStart w:id="60" w:name="_Toc73716074"/>
      <w:bookmarkStart w:id="61" w:name="_Toc73717165"/>
      <w:r w:rsidRPr="00CD1C0E">
        <w:t>IX.</w:t>
      </w:r>
      <w:r w:rsidRPr="00CD1C0E">
        <w:tab/>
      </w:r>
      <w:r w:rsidR="00554B98" w:rsidRPr="00CD1C0E">
        <w:t>Decision-making</w:t>
      </w:r>
      <w:bookmarkEnd w:id="59"/>
      <w:bookmarkEnd w:id="60"/>
      <w:bookmarkEnd w:id="61"/>
    </w:p>
    <w:p w14:paraId="34B0E544" w14:textId="376AD02E" w:rsidR="00554B98" w:rsidRPr="00CD1C0E" w:rsidRDefault="009E5AC3" w:rsidP="009E5AC3">
      <w:pPr>
        <w:pStyle w:val="RegSingleTxtG"/>
        <w:numPr>
          <w:ilvl w:val="0"/>
          <w:numId w:val="0"/>
        </w:numPr>
        <w:tabs>
          <w:tab w:val="left" w:pos="568"/>
        </w:tabs>
        <w:ind w:left="1134"/>
      </w:pPr>
      <w:r w:rsidRPr="00CD1C0E">
        <w:t>37.</w:t>
      </w:r>
      <w:r w:rsidRPr="00CD1C0E">
        <w:tab/>
      </w:r>
      <w:r w:rsidR="00554B98" w:rsidRPr="00CD1C0E">
        <w:t>The CMA decided that the KCI shall operate on the basis of consensus of its members.</w:t>
      </w:r>
      <w:r w:rsidR="00554B98" w:rsidRPr="00CD1C0E">
        <w:rPr>
          <w:sz w:val="18"/>
          <w:vertAlign w:val="superscript"/>
        </w:rPr>
        <w:footnoteReference w:id="78"/>
      </w:r>
    </w:p>
    <w:p w14:paraId="01583195" w14:textId="240037D6" w:rsidR="00554B98" w:rsidRPr="00CD1C0E" w:rsidRDefault="009E5AC3" w:rsidP="009E5AC3">
      <w:pPr>
        <w:pStyle w:val="RegSingleTxtG"/>
        <w:numPr>
          <w:ilvl w:val="0"/>
          <w:numId w:val="0"/>
        </w:numPr>
        <w:tabs>
          <w:tab w:val="left" w:pos="568"/>
        </w:tabs>
        <w:ind w:left="1134"/>
      </w:pPr>
      <w:r w:rsidRPr="00CD1C0E">
        <w:t>38.</w:t>
      </w:r>
      <w:r w:rsidRPr="00CD1C0E">
        <w:tab/>
      </w:r>
      <w:r w:rsidR="00554B98" w:rsidRPr="00CD1C0E">
        <w:t>The KCI may use electronic means to facilitate its work, as appropriate and in accordance with the workplan of the forum and its KCI.</w:t>
      </w:r>
    </w:p>
    <w:p w14:paraId="2F72C65F" w14:textId="5CD007C0" w:rsidR="00554B98" w:rsidRPr="00CD1C0E" w:rsidRDefault="009E5AC3" w:rsidP="009E5AC3">
      <w:pPr>
        <w:pStyle w:val="RegHChG"/>
        <w:numPr>
          <w:ilvl w:val="0"/>
          <w:numId w:val="0"/>
        </w:numPr>
        <w:tabs>
          <w:tab w:val="left" w:pos="1135"/>
        </w:tabs>
        <w:ind w:left="1135" w:hanging="454"/>
        <w:rPr>
          <w:b w:val="0"/>
        </w:rPr>
      </w:pPr>
      <w:bookmarkStart w:id="62" w:name="_Toc73714991"/>
      <w:bookmarkStart w:id="63" w:name="_Toc73716075"/>
      <w:bookmarkStart w:id="64" w:name="_Toc73717166"/>
      <w:r w:rsidRPr="00CD1C0E">
        <w:t>X.</w:t>
      </w:r>
      <w:r w:rsidRPr="00CD1C0E">
        <w:tab/>
      </w:r>
      <w:r w:rsidR="00554B98" w:rsidRPr="00CD1C0E">
        <w:t>Working language</w:t>
      </w:r>
      <w:bookmarkEnd w:id="62"/>
      <w:bookmarkEnd w:id="63"/>
      <w:bookmarkEnd w:id="64"/>
    </w:p>
    <w:p w14:paraId="6130E88D" w14:textId="2E250225" w:rsidR="00554B98" w:rsidRPr="00CD1C0E" w:rsidRDefault="009E5AC3" w:rsidP="009E5AC3">
      <w:pPr>
        <w:pStyle w:val="RegSingleTxtG"/>
        <w:numPr>
          <w:ilvl w:val="0"/>
          <w:numId w:val="0"/>
        </w:numPr>
        <w:tabs>
          <w:tab w:val="left" w:pos="568"/>
        </w:tabs>
        <w:ind w:left="1134"/>
        <w:rPr>
          <w:bCs/>
        </w:rPr>
      </w:pPr>
      <w:r w:rsidRPr="00CD1C0E">
        <w:rPr>
          <w:bCs/>
        </w:rPr>
        <w:t>39.</w:t>
      </w:r>
      <w:r w:rsidRPr="00CD1C0E">
        <w:rPr>
          <w:bCs/>
        </w:rPr>
        <w:tab/>
      </w:r>
      <w:r w:rsidR="00554B98" w:rsidRPr="00CD1C0E">
        <w:t>The working language of the KCI shall be English.</w:t>
      </w:r>
    </w:p>
    <w:p w14:paraId="2C565DDA" w14:textId="30178D96" w:rsidR="00554B98" w:rsidRPr="00CD1C0E" w:rsidRDefault="009E5AC3" w:rsidP="009E5AC3">
      <w:pPr>
        <w:pStyle w:val="RegHChG"/>
        <w:numPr>
          <w:ilvl w:val="0"/>
          <w:numId w:val="0"/>
        </w:numPr>
        <w:tabs>
          <w:tab w:val="left" w:pos="1135"/>
        </w:tabs>
        <w:ind w:left="1135" w:hanging="454"/>
        <w:rPr>
          <w:b w:val="0"/>
        </w:rPr>
      </w:pPr>
      <w:bookmarkStart w:id="65" w:name="_Toc73714992"/>
      <w:bookmarkStart w:id="66" w:name="_Toc73716076"/>
      <w:bookmarkStart w:id="67" w:name="_Toc73717167"/>
      <w:r w:rsidRPr="00CD1C0E">
        <w:t>XI.</w:t>
      </w:r>
      <w:r w:rsidRPr="00CD1C0E">
        <w:tab/>
      </w:r>
      <w:r w:rsidR="00554B98" w:rsidRPr="00CD1C0E">
        <w:t>Participation of expert advisers in meetings</w:t>
      </w:r>
      <w:bookmarkEnd w:id="65"/>
      <w:bookmarkEnd w:id="66"/>
      <w:bookmarkEnd w:id="67"/>
    </w:p>
    <w:p w14:paraId="085B304B" w14:textId="481A32B1" w:rsidR="00554B98" w:rsidRPr="00CD1C0E" w:rsidRDefault="009E5AC3" w:rsidP="009E5AC3">
      <w:pPr>
        <w:pStyle w:val="RegSingleTxtG"/>
        <w:numPr>
          <w:ilvl w:val="0"/>
          <w:numId w:val="0"/>
        </w:numPr>
        <w:tabs>
          <w:tab w:val="left" w:pos="568"/>
        </w:tabs>
        <w:ind w:left="1134"/>
      </w:pPr>
      <w:r w:rsidRPr="00CD1C0E">
        <w:t>40.</w:t>
      </w:r>
      <w:r w:rsidRPr="00CD1C0E">
        <w:tab/>
      </w:r>
      <w:r w:rsidR="00554B98" w:rsidRPr="00CD1C0E">
        <w:t xml:space="preserve">The KCI, in </w:t>
      </w:r>
      <w:r w:rsidR="003A716B">
        <w:t>fulfilling</w:t>
      </w:r>
      <w:r w:rsidR="00554B98" w:rsidRPr="00CD1C0E">
        <w:t xml:space="preserve"> its mandate, should draw upon outside expertise at its meetings.</w:t>
      </w:r>
    </w:p>
    <w:p w14:paraId="2D585449" w14:textId="33791B54" w:rsidR="00554B98" w:rsidRPr="00CD1C0E" w:rsidRDefault="009E5AC3" w:rsidP="009E5AC3">
      <w:pPr>
        <w:pStyle w:val="RegSingleTxtG"/>
        <w:numPr>
          <w:ilvl w:val="0"/>
          <w:numId w:val="0"/>
        </w:numPr>
        <w:tabs>
          <w:tab w:val="left" w:pos="568"/>
        </w:tabs>
        <w:ind w:left="1134"/>
      </w:pPr>
      <w:r w:rsidRPr="00CD1C0E">
        <w:t>41.</w:t>
      </w:r>
      <w:r w:rsidRPr="00CD1C0E">
        <w:tab/>
      </w:r>
      <w:r w:rsidR="00554B98" w:rsidRPr="00CD1C0E">
        <w:t>The Co-Chairs may, in consultation with the KCI, invite representatives of international organizations, the private sector, academia and/or civil society to participate in a meeting of the KCI as expert advisers on specific issues under consideration at the meeting.</w:t>
      </w:r>
    </w:p>
    <w:p w14:paraId="30A64059" w14:textId="6CDED274" w:rsidR="00554B98" w:rsidRPr="00CD1C0E" w:rsidRDefault="009E5AC3" w:rsidP="009E5AC3">
      <w:pPr>
        <w:pStyle w:val="RegHChG"/>
        <w:numPr>
          <w:ilvl w:val="0"/>
          <w:numId w:val="0"/>
        </w:numPr>
        <w:tabs>
          <w:tab w:val="left" w:pos="1135"/>
        </w:tabs>
        <w:ind w:left="1135" w:hanging="454"/>
        <w:rPr>
          <w:b w:val="0"/>
        </w:rPr>
      </w:pPr>
      <w:bookmarkStart w:id="68" w:name="_Toc73714993"/>
      <w:bookmarkStart w:id="69" w:name="_Toc73716077"/>
      <w:bookmarkStart w:id="70" w:name="_Toc73717168"/>
      <w:r w:rsidRPr="00CD1C0E">
        <w:t>XII.</w:t>
      </w:r>
      <w:r w:rsidRPr="00CD1C0E">
        <w:tab/>
      </w:r>
      <w:r w:rsidR="00554B98" w:rsidRPr="00CD1C0E">
        <w:t>Participation of observers</w:t>
      </w:r>
      <w:bookmarkEnd w:id="68"/>
      <w:bookmarkEnd w:id="69"/>
      <w:bookmarkEnd w:id="70"/>
    </w:p>
    <w:p w14:paraId="74FF6946" w14:textId="41C9917A" w:rsidR="00554B98" w:rsidRPr="00CD1C0E" w:rsidRDefault="009E5AC3" w:rsidP="009E5AC3">
      <w:pPr>
        <w:pStyle w:val="RegSingleTxtG"/>
        <w:numPr>
          <w:ilvl w:val="0"/>
          <w:numId w:val="0"/>
        </w:numPr>
        <w:tabs>
          <w:tab w:val="left" w:pos="568"/>
        </w:tabs>
        <w:ind w:left="1134"/>
      </w:pPr>
      <w:r w:rsidRPr="00CD1C0E">
        <w:t>42.</w:t>
      </w:r>
      <w:r w:rsidRPr="00CD1C0E">
        <w:tab/>
      </w:r>
      <w:r w:rsidR="00554B98" w:rsidRPr="00CD1C0E">
        <w:rPr>
          <w:rFonts w:eastAsia="Times New Roman"/>
        </w:rPr>
        <w:t>The CMA decided</w:t>
      </w:r>
      <w:r w:rsidR="00554B98" w:rsidRPr="00CD1C0E">
        <w:t xml:space="preserve"> that meetings of the KCI shall be open to attendance as observers by all Parties and accredited observer organizations, unless otherwise decided by the KCI.</w:t>
      </w:r>
      <w:r w:rsidR="00554B98" w:rsidRPr="00CD1C0E">
        <w:rPr>
          <w:sz w:val="18"/>
          <w:vertAlign w:val="superscript"/>
        </w:rPr>
        <w:footnoteReference w:id="79"/>
      </w:r>
      <w:r w:rsidR="00554B98" w:rsidRPr="00CD1C0E">
        <w:t xml:space="preserve"> </w:t>
      </w:r>
    </w:p>
    <w:p w14:paraId="0576A58F" w14:textId="7A2392F4" w:rsidR="00554B98" w:rsidRPr="00CD1C0E" w:rsidRDefault="009E5AC3" w:rsidP="009E5AC3">
      <w:pPr>
        <w:pStyle w:val="RegSingleTxtG"/>
        <w:numPr>
          <w:ilvl w:val="0"/>
          <w:numId w:val="0"/>
        </w:numPr>
        <w:tabs>
          <w:tab w:val="left" w:pos="568"/>
        </w:tabs>
        <w:ind w:left="1134"/>
      </w:pPr>
      <w:r w:rsidRPr="00CD1C0E">
        <w:t>43.</w:t>
      </w:r>
      <w:r w:rsidRPr="00CD1C0E">
        <w:tab/>
      </w:r>
      <w:r w:rsidR="00554B98" w:rsidRPr="00CD1C0E">
        <w:t>The KCI may decide to close a meeting or part thereof to observers at any time.</w:t>
      </w:r>
    </w:p>
    <w:p w14:paraId="33BA0DA1" w14:textId="594D00C6" w:rsidR="00554B98" w:rsidRPr="00CD1C0E" w:rsidRDefault="009E5AC3" w:rsidP="009E5AC3">
      <w:pPr>
        <w:pStyle w:val="RegSingleTxtG"/>
        <w:numPr>
          <w:ilvl w:val="0"/>
          <w:numId w:val="0"/>
        </w:numPr>
        <w:tabs>
          <w:tab w:val="left" w:pos="568"/>
        </w:tabs>
        <w:ind w:left="1134"/>
      </w:pPr>
      <w:r w:rsidRPr="00CD1C0E">
        <w:t>44.</w:t>
      </w:r>
      <w:r w:rsidRPr="00CD1C0E">
        <w:tab/>
      </w:r>
      <w:r w:rsidR="00554B98" w:rsidRPr="00CD1C0E">
        <w:t xml:space="preserve">The secretariat shall make the dates and venues of the meetings available to the public to enable participation by observers. </w:t>
      </w:r>
    </w:p>
    <w:p w14:paraId="03A9B98D" w14:textId="4FC1CFC8" w:rsidR="00554B98" w:rsidRPr="00CD1C0E" w:rsidRDefault="009E5AC3" w:rsidP="009E5AC3">
      <w:pPr>
        <w:pStyle w:val="RegSingleTxtG"/>
        <w:numPr>
          <w:ilvl w:val="0"/>
          <w:numId w:val="0"/>
        </w:numPr>
        <w:tabs>
          <w:tab w:val="left" w:pos="568"/>
        </w:tabs>
        <w:ind w:left="1134"/>
      </w:pPr>
      <w:r w:rsidRPr="00CD1C0E">
        <w:t>45.</w:t>
      </w:r>
      <w:r w:rsidRPr="00CD1C0E">
        <w:tab/>
      </w:r>
      <w:r w:rsidR="00554B98" w:rsidRPr="00CD1C0E">
        <w:t>Observers may, with the agreement of the KCI, be invited to address the KCI on matters under consideration by the KCI. The Co-Chairs shall notify the KCI one week in advance of the meeting of any proposed interventions by observers.</w:t>
      </w:r>
    </w:p>
    <w:p w14:paraId="21400475" w14:textId="1B8EC900" w:rsidR="00554B98" w:rsidRPr="00CD1C0E" w:rsidRDefault="009E5AC3" w:rsidP="009E5AC3">
      <w:pPr>
        <w:pStyle w:val="RegSingleTxtG"/>
        <w:numPr>
          <w:ilvl w:val="0"/>
          <w:numId w:val="0"/>
        </w:numPr>
        <w:tabs>
          <w:tab w:val="left" w:pos="568"/>
        </w:tabs>
        <w:ind w:left="1134"/>
      </w:pPr>
      <w:r w:rsidRPr="00CD1C0E">
        <w:t>46.</w:t>
      </w:r>
      <w:r w:rsidRPr="00CD1C0E">
        <w:tab/>
      </w:r>
      <w:r w:rsidR="00554B98" w:rsidRPr="00CD1C0E">
        <w:t xml:space="preserve">The KCI may request interventions from observers throughout the meeting, as appropriate. </w:t>
      </w:r>
    </w:p>
    <w:p w14:paraId="2FF7B2C1" w14:textId="6E33FEB8" w:rsidR="00554B98" w:rsidRPr="00CD1C0E" w:rsidRDefault="009E5AC3" w:rsidP="009E5AC3">
      <w:pPr>
        <w:pStyle w:val="RegHChG"/>
        <w:numPr>
          <w:ilvl w:val="0"/>
          <w:numId w:val="0"/>
        </w:numPr>
        <w:tabs>
          <w:tab w:val="left" w:pos="1135"/>
        </w:tabs>
        <w:ind w:left="1135" w:hanging="454"/>
        <w:rPr>
          <w:b w:val="0"/>
        </w:rPr>
      </w:pPr>
      <w:bookmarkStart w:id="71" w:name="_Toc73714994"/>
      <w:bookmarkStart w:id="72" w:name="_Toc73716078"/>
      <w:bookmarkStart w:id="73" w:name="_Toc73717169"/>
      <w:r w:rsidRPr="00CD1C0E">
        <w:lastRenderedPageBreak/>
        <w:t>XIII.</w:t>
      </w:r>
      <w:r w:rsidRPr="00CD1C0E">
        <w:tab/>
      </w:r>
      <w:r w:rsidR="00554B98" w:rsidRPr="00CD1C0E">
        <w:t>Use of electronic means of communication</w:t>
      </w:r>
      <w:bookmarkEnd w:id="71"/>
      <w:bookmarkEnd w:id="72"/>
      <w:bookmarkEnd w:id="73"/>
    </w:p>
    <w:p w14:paraId="4C915D12" w14:textId="5AB1B32F" w:rsidR="00554B98" w:rsidRPr="00CD1C0E" w:rsidRDefault="009E5AC3" w:rsidP="009E5AC3">
      <w:pPr>
        <w:pStyle w:val="RegSingleTxtG"/>
        <w:numPr>
          <w:ilvl w:val="0"/>
          <w:numId w:val="0"/>
        </w:numPr>
        <w:tabs>
          <w:tab w:val="left" w:pos="568"/>
        </w:tabs>
        <w:ind w:left="1134"/>
      </w:pPr>
      <w:r w:rsidRPr="00CD1C0E">
        <w:t>47.</w:t>
      </w:r>
      <w:r w:rsidRPr="00CD1C0E">
        <w:tab/>
      </w:r>
      <w:r w:rsidR="00554B98" w:rsidRPr="00CD1C0E">
        <w:t>The KCI shall use electronic means of communication to facilitate intersessional work</w:t>
      </w:r>
      <w:r w:rsidR="00554B98" w:rsidRPr="00CD1C0E">
        <w:rPr>
          <w:rFonts w:eastAsia="Times New Roman"/>
        </w:rPr>
        <w:t xml:space="preserve">, as appropriate and in accordance with the workplan of the forum and </w:t>
      </w:r>
      <w:r w:rsidR="00554B98" w:rsidRPr="008A12A5">
        <w:t>its</w:t>
      </w:r>
      <w:r w:rsidR="00554B98" w:rsidRPr="00CD1C0E">
        <w:rPr>
          <w:rFonts w:eastAsia="Times New Roman"/>
        </w:rPr>
        <w:t xml:space="preserve"> KCI</w:t>
      </w:r>
      <w:r w:rsidR="00554B98" w:rsidRPr="00CD1C0E">
        <w:t>. The secretariat shall ensure that a secure and dedicated web interface is established and maintained to facilitate the work of the KCI.</w:t>
      </w:r>
    </w:p>
    <w:p w14:paraId="7FAC55E6" w14:textId="20929643" w:rsidR="00554B98" w:rsidRPr="00CD1C0E" w:rsidRDefault="009E5AC3" w:rsidP="009E5AC3">
      <w:pPr>
        <w:pStyle w:val="RegHChG"/>
        <w:numPr>
          <w:ilvl w:val="0"/>
          <w:numId w:val="0"/>
        </w:numPr>
        <w:tabs>
          <w:tab w:val="left" w:pos="1135"/>
        </w:tabs>
        <w:ind w:left="1135" w:hanging="454"/>
        <w:rPr>
          <w:b w:val="0"/>
        </w:rPr>
      </w:pPr>
      <w:bookmarkStart w:id="74" w:name="_Toc73714995"/>
      <w:bookmarkStart w:id="75" w:name="_Toc73716079"/>
      <w:bookmarkStart w:id="76" w:name="_Toc73717170"/>
      <w:r w:rsidRPr="00CD1C0E">
        <w:t>XIV.</w:t>
      </w:r>
      <w:r w:rsidRPr="00CD1C0E">
        <w:tab/>
      </w:r>
      <w:r w:rsidR="00554B98" w:rsidRPr="00CD1C0E">
        <w:t>Working groups</w:t>
      </w:r>
      <w:bookmarkEnd w:id="74"/>
      <w:bookmarkEnd w:id="75"/>
      <w:bookmarkEnd w:id="76"/>
    </w:p>
    <w:p w14:paraId="11685B02" w14:textId="7AF1929D" w:rsidR="00554B98" w:rsidRPr="00CD1C0E" w:rsidRDefault="009E5AC3" w:rsidP="009E5AC3">
      <w:pPr>
        <w:pStyle w:val="RegSingleTxtG"/>
        <w:numPr>
          <w:ilvl w:val="0"/>
          <w:numId w:val="0"/>
        </w:numPr>
        <w:tabs>
          <w:tab w:val="left" w:pos="568"/>
        </w:tabs>
        <w:ind w:left="1134"/>
      </w:pPr>
      <w:r w:rsidRPr="00CD1C0E">
        <w:t>48.</w:t>
      </w:r>
      <w:r w:rsidRPr="00CD1C0E">
        <w:tab/>
      </w:r>
      <w:r w:rsidR="00554B98" w:rsidRPr="00CD1C0E">
        <w:t xml:space="preserve">The KCI may establish working groups among its members to support the forum in performing its functions. The working groups may receive inputs from experts, practitioners and relevant organizations in accordance with the workplan of the forum and its KCI and in line with paragraphs </w:t>
      </w:r>
      <w:r w:rsidR="00A42619">
        <w:t>40</w:t>
      </w:r>
      <w:r w:rsidR="00554B98" w:rsidRPr="00CD1C0E">
        <w:t>–</w:t>
      </w:r>
      <w:r w:rsidR="00A42619" w:rsidRPr="00CD1C0E">
        <w:t>4</w:t>
      </w:r>
      <w:r w:rsidR="00A42619">
        <w:t>1</w:t>
      </w:r>
      <w:r w:rsidR="00A42619" w:rsidRPr="00CD1C0E">
        <w:t xml:space="preserve"> </w:t>
      </w:r>
      <w:r w:rsidR="00554B98" w:rsidRPr="00CD1C0E">
        <w:t>above.</w:t>
      </w:r>
    </w:p>
    <w:p w14:paraId="6B781857" w14:textId="0BAD4850" w:rsidR="00554B98" w:rsidRPr="00CD1C0E" w:rsidRDefault="009E5AC3" w:rsidP="009E5AC3">
      <w:pPr>
        <w:pStyle w:val="RegHChG"/>
        <w:numPr>
          <w:ilvl w:val="0"/>
          <w:numId w:val="0"/>
        </w:numPr>
        <w:tabs>
          <w:tab w:val="left" w:pos="1135"/>
        </w:tabs>
        <w:ind w:left="1135" w:hanging="454"/>
        <w:rPr>
          <w:b w:val="0"/>
        </w:rPr>
      </w:pPr>
      <w:bookmarkStart w:id="77" w:name="_Toc73714996"/>
      <w:bookmarkStart w:id="78" w:name="_Toc73716080"/>
      <w:bookmarkStart w:id="79" w:name="_Toc73717171"/>
      <w:r w:rsidRPr="00CD1C0E">
        <w:t>XV.</w:t>
      </w:r>
      <w:r w:rsidRPr="00CD1C0E">
        <w:tab/>
      </w:r>
      <w:r w:rsidR="00554B98" w:rsidRPr="00CD1C0E">
        <w:t>Workplan</w:t>
      </w:r>
      <w:bookmarkEnd w:id="77"/>
      <w:bookmarkEnd w:id="78"/>
      <w:bookmarkEnd w:id="79"/>
    </w:p>
    <w:p w14:paraId="794ABFC8" w14:textId="26790478" w:rsidR="00554B98" w:rsidRPr="00CD1C0E" w:rsidRDefault="009E5AC3" w:rsidP="009E5AC3">
      <w:pPr>
        <w:pStyle w:val="RegSingleTxtG"/>
        <w:numPr>
          <w:ilvl w:val="0"/>
          <w:numId w:val="0"/>
        </w:numPr>
        <w:tabs>
          <w:tab w:val="left" w:pos="568"/>
        </w:tabs>
        <w:ind w:left="1134"/>
      </w:pPr>
      <w:r w:rsidRPr="00CD1C0E">
        <w:t>49.</w:t>
      </w:r>
      <w:r w:rsidRPr="00CD1C0E">
        <w:tab/>
      </w:r>
      <w:r w:rsidR="00554B98" w:rsidRPr="00CD1C0E">
        <w:t>The KCI will support the work of the forum in line with the workplan of the forum and its KCI.</w:t>
      </w:r>
    </w:p>
    <w:p w14:paraId="43AC575D" w14:textId="15B636F6" w:rsidR="00554B98" w:rsidRPr="00CD1C0E" w:rsidRDefault="009E5AC3" w:rsidP="009E5AC3">
      <w:pPr>
        <w:pStyle w:val="RegHChG"/>
        <w:numPr>
          <w:ilvl w:val="0"/>
          <w:numId w:val="0"/>
        </w:numPr>
        <w:tabs>
          <w:tab w:val="left" w:pos="1135"/>
        </w:tabs>
        <w:ind w:left="1135" w:hanging="454"/>
        <w:rPr>
          <w:b w:val="0"/>
        </w:rPr>
      </w:pPr>
      <w:bookmarkStart w:id="80" w:name="_Toc73714997"/>
      <w:bookmarkStart w:id="81" w:name="_Toc73716081"/>
      <w:bookmarkStart w:id="82" w:name="_Toc73717172"/>
      <w:r w:rsidRPr="00CD1C0E">
        <w:t>XVI.</w:t>
      </w:r>
      <w:r w:rsidRPr="00CD1C0E">
        <w:tab/>
      </w:r>
      <w:r w:rsidR="00554B98" w:rsidRPr="00CD1C0E">
        <w:t>Amendments to the rules of procedure</w:t>
      </w:r>
      <w:bookmarkEnd w:id="80"/>
      <w:bookmarkEnd w:id="81"/>
      <w:bookmarkEnd w:id="82"/>
    </w:p>
    <w:p w14:paraId="45A0606E" w14:textId="31B55CCF" w:rsidR="00554B98" w:rsidRPr="00CD1C0E" w:rsidRDefault="009E5AC3" w:rsidP="009E5AC3">
      <w:pPr>
        <w:pStyle w:val="RegSingleTxtG"/>
        <w:numPr>
          <w:ilvl w:val="0"/>
          <w:numId w:val="0"/>
        </w:numPr>
        <w:tabs>
          <w:tab w:val="left" w:pos="568"/>
        </w:tabs>
        <w:ind w:left="1134"/>
        <w:rPr>
          <w:rFonts w:eastAsiaTheme="minorHAnsi"/>
          <w:lang w:eastAsia="en-US"/>
        </w:rPr>
      </w:pPr>
      <w:r w:rsidRPr="00CD1C0E">
        <w:rPr>
          <w:rFonts w:eastAsiaTheme="minorHAnsi"/>
          <w:lang w:eastAsia="en-US"/>
        </w:rPr>
        <w:t>50.</w:t>
      </w:r>
      <w:r w:rsidRPr="00CD1C0E">
        <w:rPr>
          <w:rFonts w:eastAsiaTheme="minorHAnsi"/>
          <w:lang w:eastAsia="en-US"/>
        </w:rPr>
        <w:tab/>
      </w:r>
      <w:r w:rsidR="00554B98" w:rsidRPr="00CD1C0E">
        <w:t>The KCI may recommend amendments to these rules of procedure for consideration by the forum and approval by the subsidiary bodies.</w:t>
      </w:r>
    </w:p>
    <w:p w14:paraId="34A0270A" w14:textId="5540CAEA" w:rsidR="00554B98" w:rsidRPr="00CD1C0E" w:rsidRDefault="009E5AC3" w:rsidP="009E5AC3">
      <w:pPr>
        <w:pStyle w:val="RegSingleTxtG"/>
        <w:numPr>
          <w:ilvl w:val="0"/>
          <w:numId w:val="0"/>
        </w:numPr>
        <w:tabs>
          <w:tab w:val="left" w:pos="568"/>
        </w:tabs>
        <w:ind w:left="1134"/>
      </w:pPr>
      <w:r w:rsidRPr="00CD1C0E">
        <w:t>51.</w:t>
      </w:r>
      <w:r w:rsidRPr="00CD1C0E">
        <w:tab/>
      </w:r>
      <w:r w:rsidR="00554B98" w:rsidRPr="00CD1C0E">
        <w:t xml:space="preserve">Proposals and amendments to proposals for the rules of procedure may be introduced and submitted to the secretariat in writing by KCI members; such proposals and amendments shall be circulated for consideration by all members of the KCI. </w:t>
      </w:r>
    </w:p>
    <w:p w14:paraId="7F06849E" w14:textId="50472AC6" w:rsidR="00554B98" w:rsidRPr="00CD1C0E" w:rsidRDefault="009E5AC3" w:rsidP="009E5AC3">
      <w:pPr>
        <w:pStyle w:val="RegSingleTxtG"/>
        <w:numPr>
          <w:ilvl w:val="0"/>
          <w:numId w:val="0"/>
        </w:numPr>
        <w:tabs>
          <w:tab w:val="left" w:pos="568"/>
        </w:tabs>
        <w:ind w:left="1134"/>
      </w:pPr>
      <w:r w:rsidRPr="00CD1C0E">
        <w:t>52.</w:t>
      </w:r>
      <w:r w:rsidRPr="00CD1C0E">
        <w:tab/>
      </w:r>
      <w:r w:rsidR="00554B98" w:rsidRPr="00CD1C0E">
        <w:t xml:space="preserve">No proposal for the rules of procedure shall be discussed or put forward for a decision at any meeting unless copies have been circulated to the KCI members no later than </w:t>
      </w:r>
      <w:r w:rsidR="00554B98" w:rsidRPr="00CD1C0E">
        <w:rPr>
          <w:rFonts w:eastAsia="Times New Roman"/>
        </w:rPr>
        <w:t xml:space="preserve">two weeks </w:t>
      </w:r>
      <w:r w:rsidR="00554B98" w:rsidRPr="00CD1C0E">
        <w:t>before the meeting.</w:t>
      </w:r>
    </w:p>
    <w:p w14:paraId="381AA75F" w14:textId="701C6CB4" w:rsidR="00554B98" w:rsidRPr="00CD1C0E" w:rsidRDefault="009E5AC3" w:rsidP="009E5AC3">
      <w:pPr>
        <w:pStyle w:val="RegHChG"/>
        <w:numPr>
          <w:ilvl w:val="0"/>
          <w:numId w:val="0"/>
        </w:numPr>
        <w:tabs>
          <w:tab w:val="left" w:pos="1135"/>
        </w:tabs>
        <w:ind w:left="1135" w:hanging="454"/>
        <w:rPr>
          <w:b w:val="0"/>
        </w:rPr>
      </w:pPr>
      <w:bookmarkStart w:id="83" w:name="_Toc73714998"/>
      <w:bookmarkStart w:id="84" w:name="_Toc73716082"/>
      <w:bookmarkStart w:id="85" w:name="_Toc73717173"/>
      <w:r w:rsidRPr="00CD1C0E">
        <w:t>XVII.</w:t>
      </w:r>
      <w:r w:rsidRPr="00CD1C0E">
        <w:tab/>
      </w:r>
      <w:r w:rsidR="00554B98" w:rsidRPr="00CD1C0E">
        <w:t>Overriding authority of the Convention, the Kyoto Protocol and the Paris Agreement</w:t>
      </w:r>
      <w:bookmarkEnd w:id="83"/>
      <w:bookmarkEnd w:id="84"/>
      <w:bookmarkEnd w:id="85"/>
    </w:p>
    <w:p w14:paraId="7193B8A8" w14:textId="020760E2" w:rsidR="00554B98" w:rsidRPr="00CD1C0E" w:rsidRDefault="009E5AC3" w:rsidP="009E5AC3">
      <w:pPr>
        <w:pStyle w:val="RegSingleTxtG"/>
        <w:numPr>
          <w:ilvl w:val="0"/>
          <w:numId w:val="0"/>
        </w:numPr>
        <w:tabs>
          <w:tab w:val="left" w:pos="568"/>
        </w:tabs>
        <w:ind w:left="1134"/>
      </w:pPr>
      <w:r w:rsidRPr="00CD1C0E">
        <w:t>53.</w:t>
      </w:r>
      <w:r w:rsidRPr="00CD1C0E">
        <w:tab/>
      </w:r>
      <w:r w:rsidR="00554B98" w:rsidRPr="00C571AC">
        <w:rPr>
          <w:lang w:eastAsia="en-US"/>
        </w:rPr>
        <w:t>In the event of a conflict between any provision of these rules and any provision of the Convention, the Kyoto Protocol or the Paris Agreement, the provision of the Convention, the Kyoto Protocol or the Paris Agreement shall take precedence.</w:t>
      </w:r>
    </w:p>
    <w:p w14:paraId="24D4D35F" w14:textId="77777777" w:rsidR="00554B98" w:rsidRPr="00C571AC" w:rsidRDefault="00554B98" w:rsidP="00B52C26">
      <w:pPr>
        <w:spacing w:after="120"/>
        <w:ind w:left="1134"/>
        <w:rPr>
          <w:b/>
          <w:lang w:eastAsia="en-US"/>
        </w:rPr>
      </w:pPr>
      <w:r w:rsidRPr="00C571AC">
        <w:rPr>
          <w:b/>
          <w:lang w:eastAsia="en-US"/>
        </w:rPr>
        <w:t>Document information</w:t>
      </w:r>
    </w:p>
    <w:tbl>
      <w:tblPr>
        <w:tblStyle w:val="TableGrid"/>
        <w:tblW w:w="7371"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29"/>
        <w:gridCol w:w="4542"/>
      </w:tblGrid>
      <w:tr w:rsidR="00B52C26" w:rsidRPr="00CD1C0E" w14:paraId="43F6A6DB" w14:textId="77777777" w:rsidTr="008B38C5">
        <w:trPr>
          <w:trHeight w:val="240"/>
          <w:tblHeader/>
        </w:trPr>
        <w:tc>
          <w:tcPr>
            <w:tcW w:w="2829" w:type="dxa"/>
            <w:tcBorders>
              <w:top w:val="single" w:sz="4" w:space="0" w:color="auto"/>
              <w:bottom w:val="single" w:sz="12" w:space="0" w:color="auto"/>
            </w:tcBorders>
            <w:shd w:val="clear" w:color="auto" w:fill="auto"/>
            <w:vAlign w:val="bottom"/>
          </w:tcPr>
          <w:p w14:paraId="13BDBA95" w14:textId="77777777" w:rsidR="00B52C26" w:rsidRPr="00CD1C0E" w:rsidRDefault="00B52C26" w:rsidP="0042770E">
            <w:pPr>
              <w:suppressAutoHyphens w:val="0"/>
              <w:spacing w:before="40" w:after="40" w:line="180" w:lineRule="exact"/>
              <w:rPr>
                <w:i/>
                <w:sz w:val="16"/>
              </w:rPr>
            </w:pPr>
            <w:r w:rsidRPr="00CD1C0E">
              <w:rPr>
                <w:i/>
                <w:sz w:val="16"/>
              </w:rPr>
              <w:t>Version</w:t>
            </w:r>
          </w:p>
        </w:tc>
        <w:tc>
          <w:tcPr>
            <w:tcW w:w="4542" w:type="dxa"/>
            <w:tcBorders>
              <w:top w:val="single" w:sz="4" w:space="0" w:color="auto"/>
              <w:bottom w:val="single" w:sz="12" w:space="0" w:color="auto"/>
            </w:tcBorders>
            <w:shd w:val="clear" w:color="auto" w:fill="auto"/>
            <w:vAlign w:val="bottom"/>
          </w:tcPr>
          <w:p w14:paraId="02925C96" w14:textId="77777777" w:rsidR="00B52C26" w:rsidRPr="00CD1C0E" w:rsidRDefault="00B52C26" w:rsidP="0042770E">
            <w:pPr>
              <w:suppressAutoHyphens w:val="0"/>
              <w:spacing w:before="40" w:after="40" w:line="180" w:lineRule="exact"/>
              <w:rPr>
                <w:i/>
                <w:sz w:val="16"/>
              </w:rPr>
            </w:pPr>
            <w:r w:rsidRPr="00CD1C0E">
              <w:rPr>
                <w:i/>
                <w:sz w:val="16"/>
              </w:rPr>
              <w:t>Description</w:t>
            </w:r>
          </w:p>
        </w:tc>
      </w:tr>
      <w:tr w:rsidR="00B52C26" w:rsidRPr="00CD1C0E" w14:paraId="021C7A12" w14:textId="77777777" w:rsidTr="008B38C5">
        <w:trPr>
          <w:trHeight w:val="240"/>
        </w:trPr>
        <w:tc>
          <w:tcPr>
            <w:tcW w:w="2829" w:type="dxa"/>
            <w:tcBorders>
              <w:top w:val="single" w:sz="12" w:space="0" w:color="auto"/>
            </w:tcBorders>
            <w:shd w:val="clear" w:color="auto" w:fill="auto"/>
          </w:tcPr>
          <w:p w14:paraId="686BFA86" w14:textId="77777777" w:rsidR="00B52C26" w:rsidRPr="00CD1C0E" w:rsidRDefault="00B52C26" w:rsidP="0042770E">
            <w:pPr>
              <w:suppressAutoHyphens w:val="0"/>
              <w:spacing w:before="40" w:after="80" w:line="220" w:lineRule="exact"/>
            </w:pPr>
            <w:r w:rsidRPr="00CD1C0E">
              <w:t>Version 2</w:t>
            </w:r>
          </w:p>
        </w:tc>
        <w:tc>
          <w:tcPr>
            <w:tcW w:w="4542" w:type="dxa"/>
            <w:tcBorders>
              <w:top w:val="single" w:sz="12" w:space="0" w:color="auto"/>
            </w:tcBorders>
            <w:shd w:val="clear" w:color="auto" w:fill="auto"/>
          </w:tcPr>
          <w:p w14:paraId="1468589F" w14:textId="77777777" w:rsidR="00B52C26" w:rsidRPr="00CD1C0E" w:rsidRDefault="00B52C26" w:rsidP="007D0D36">
            <w:pPr>
              <w:suppressAutoHyphens w:val="0"/>
              <w:spacing w:before="40" w:after="80" w:line="220" w:lineRule="exact"/>
            </w:pPr>
            <w:r w:rsidRPr="00CD1C0E">
              <w:t xml:space="preserve">Revision of paragraph 7 and addition of paragraph 11 </w:t>
            </w:r>
          </w:p>
        </w:tc>
      </w:tr>
      <w:tr w:rsidR="00B52C26" w:rsidRPr="00CD1C0E" w14:paraId="4902267C" w14:textId="77777777" w:rsidTr="008B38C5">
        <w:trPr>
          <w:trHeight w:val="240"/>
        </w:trPr>
        <w:tc>
          <w:tcPr>
            <w:tcW w:w="2829" w:type="dxa"/>
            <w:tcBorders>
              <w:bottom w:val="single" w:sz="12" w:space="0" w:color="auto"/>
            </w:tcBorders>
            <w:shd w:val="clear" w:color="auto" w:fill="auto"/>
          </w:tcPr>
          <w:p w14:paraId="1983C1C2" w14:textId="77777777" w:rsidR="00B52C26" w:rsidRPr="00CD1C0E" w:rsidRDefault="00B52C26" w:rsidP="0042770E">
            <w:pPr>
              <w:suppressAutoHyphens w:val="0"/>
              <w:spacing w:before="40" w:after="80" w:line="220" w:lineRule="exact"/>
            </w:pPr>
            <w:r w:rsidRPr="00CD1C0E">
              <w:t>Version 1</w:t>
            </w:r>
          </w:p>
        </w:tc>
        <w:tc>
          <w:tcPr>
            <w:tcW w:w="4542" w:type="dxa"/>
            <w:tcBorders>
              <w:bottom w:val="single" w:sz="12" w:space="0" w:color="auto"/>
            </w:tcBorders>
            <w:shd w:val="clear" w:color="auto" w:fill="auto"/>
          </w:tcPr>
          <w:p w14:paraId="7BD8D8CD" w14:textId="77777777" w:rsidR="00B52C26" w:rsidRPr="00CD1C0E" w:rsidRDefault="00B52C26" w:rsidP="0042770E">
            <w:pPr>
              <w:suppressAutoHyphens w:val="0"/>
              <w:spacing w:before="40" w:after="80" w:line="220" w:lineRule="exact"/>
            </w:pPr>
            <w:r w:rsidRPr="00CD1C0E">
              <w:t xml:space="preserve">Adopted by decisions </w:t>
            </w:r>
            <w:r w:rsidRPr="00CD1C0E">
              <w:rPr>
                <w:iCs/>
                <w:szCs w:val="17"/>
              </w:rPr>
              <w:t>4/CP.25, 4/CMA.15 and 4/CMA.2</w:t>
            </w:r>
          </w:p>
        </w:tc>
      </w:tr>
    </w:tbl>
    <w:p w14:paraId="4FE6E98B" w14:textId="16BC567B" w:rsidR="006D6A64" w:rsidRDefault="00D2292A" w:rsidP="006D6A64">
      <w:pPr>
        <w:spacing w:before="240"/>
        <w:ind w:left="1134" w:right="1134"/>
        <w:jc w:val="right"/>
        <w:rPr>
          <w:i/>
        </w:rPr>
        <w:sectPr w:rsidR="006D6A64" w:rsidSect="00265564">
          <w:headerReference w:type="even" r:id="rId99"/>
          <w:headerReference w:type="default" r:id="rId100"/>
          <w:footerReference w:type="even" r:id="rId101"/>
          <w:footerReference w:type="default" r:id="rId102"/>
          <w:footnotePr>
            <w:numRestart w:val="eachSect"/>
          </w:footnotePr>
          <w:pgSz w:w="11906" w:h="16838" w:code="9"/>
          <w:pgMar w:top="1417" w:right="1134" w:bottom="1134" w:left="1134" w:header="850" w:footer="567" w:gutter="0"/>
          <w:cols w:space="708"/>
          <w:docGrid w:linePitch="360"/>
        </w:sectPr>
      </w:pPr>
      <w:r>
        <w:rPr>
          <w:i/>
        </w:rPr>
        <w:t>12</w:t>
      </w:r>
      <w:r w:rsidRPr="00D2292A">
        <w:rPr>
          <w:i/>
          <w:vertAlign w:val="superscript"/>
        </w:rPr>
        <w:t>th</w:t>
      </w:r>
      <w:r>
        <w:rPr>
          <w:i/>
        </w:rPr>
        <w:t xml:space="preserve"> </w:t>
      </w:r>
      <w:r w:rsidR="006D6A64" w:rsidRPr="006C7D6D">
        <w:rPr>
          <w:i/>
        </w:rPr>
        <w:t>plenary meeting</w:t>
      </w:r>
      <w:r w:rsidR="006D6A64" w:rsidRPr="006C7D6D">
        <w:rPr>
          <w:i/>
        </w:rPr>
        <w:br/>
      </w:r>
      <w:r>
        <w:rPr>
          <w:i/>
        </w:rPr>
        <w:t>13</w:t>
      </w:r>
      <w:r w:rsidR="006D6A64" w:rsidRPr="006C7D6D">
        <w:rPr>
          <w:i/>
        </w:rPr>
        <w:t xml:space="preserve"> November 2021</w:t>
      </w:r>
    </w:p>
    <w:p w14:paraId="7FE8876C" w14:textId="0F310F06" w:rsidR="00AE4A4F" w:rsidRDefault="00AE4A4F" w:rsidP="009E5AC3">
      <w:pPr>
        <w:pStyle w:val="RegHChG"/>
        <w:numPr>
          <w:ilvl w:val="0"/>
          <w:numId w:val="0"/>
        </w:numPr>
        <w:spacing w:before="120"/>
        <w:ind w:left="1134" w:hanging="454"/>
      </w:pPr>
      <w:bookmarkStart w:id="86" w:name="Decision24"/>
      <w:r>
        <w:lastRenderedPageBreak/>
        <w:t>Decision 24/CMA.3</w:t>
      </w:r>
    </w:p>
    <w:bookmarkEnd w:id="86"/>
    <w:p w14:paraId="16A02C81" w14:textId="21478C87" w:rsidR="00AE4A4F" w:rsidRDefault="009C1520" w:rsidP="009E5AC3">
      <w:pPr>
        <w:pStyle w:val="RegHChG"/>
        <w:numPr>
          <w:ilvl w:val="0"/>
          <w:numId w:val="0"/>
        </w:numPr>
        <w:ind w:left="1135" w:hanging="454"/>
      </w:pPr>
      <w:r>
        <w:t>Rules of procedure of the committee to facilitate implementation and promote compliance referred to in Article 15, paragraph 2, of the Paris Agreement</w:t>
      </w:r>
    </w:p>
    <w:p w14:paraId="6B458EB9" w14:textId="77777777" w:rsidR="009522FE" w:rsidRPr="00C571AC" w:rsidRDefault="009522FE" w:rsidP="009522FE">
      <w:pPr>
        <w:pStyle w:val="SingleTxtG"/>
        <w:ind w:firstLine="567"/>
        <w:rPr>
          <w:i/>
        </w:rPr>
      </w:pPr>
      <w:r w:rsidRPr="00C571AC">
        <w:rPr>
          <w:i/>
        </w:rPr>
        <w:t>The Conference of the Parties serving as the meeting of the Parties to the Paris Agreement</w:t>
      </w:r>
      <w:r w:rsidRPr="00C571AC">
        <w:t>,</w:t>
      </w:r>
      <w:r w:rsidRPr="00C571AC">
        <w:rPr>
          <w:i/>
        </w:rPr>
        <w:t xml:space="preserve"> </w:t>
      </w:r>
    </w:p>
    <w:p w14:paraId="66812EAA" w14:textId="5C44BB4B" w:rsidR="009522FE" w:rsidRPr="007355F2" w:rsidRDefault="009522FE" w:rsidP="009522FE">
      <w:pPr>
        <w:pStyle w:val="RegSingleTxtG"/>
        <w:numPr>
          <w:ilvl w:val="5"/>
          <w:numId w:val="0"/>
        </w:numPr>
        <w:tabs>
          <w:tab w:val="clear" w:pos="1701"/>
          <w:tab w:val="left" w:pos="1134"/>
        </w:tabs>
        <w:ind w:left="1134" w:right="1133"/>
      </w:pPr>
      <w:r w:rsidRPr="00C571AC">
        <w:tab/>
      </w:r>
      <w:r w:rsidR="00655F64" w:rsidRPr="00C571AC">
        <w:tab/>
      </w:r>
      <w:r w:rsidRPr="7EA56501">
        <w:rPr>
          <w:i/>
          <w:iCs/>
        </w:rPr>
        <w:t xml:space="preserve">Recalling </w:t>
      </w:r>
      <w:r w:rsidRPr="7EA56501">
        <w:t>Article 15 of the Paris Agreement and decision 1/CP.21, paragraphs</w:t>
      </w:r>
      <w:r>
        <w:t xml:space="preserve"> </w:t>
      </w:r>
      <w:r w:rsidRPr="7EA56501">
        <w:t>102</w:t>
      </w:r>
      <w:r>
        <w:t>–</w:t>
      </w:r>
      <w:r w:rsidRPr="00CC5AF1">
        <w:t>103</w:t>
      </w:r>
      <w:r w:rsidRPr="7EA56501">
        <w:t>,</w:t>
      </w:r>
    </w:p>
    <w:p w14:paraId="04E8197C" w14:textId="77777777" w:rsidR="009522FE" w:rsidRDefault="009522FE" w:rsidP="009522FE">
      <w:pPr>
        <w:pStyle w:val="RegSingleTxtG"/>
        <w:numPr>
          <w:ilvl w:val="5"/>
          <w:numId w:val="0"/>
        </w:numPr>
        <w:tabs>
          <w:tab w:val="clear" w:pos="1701"/>
          <w:tab w:val="left" w:pos="1134"/>
        </w:tabs>
        <w:ind w:left="1134" w:right="1133"/>
        <w:rPr>
          <w:i/>
          <w:iCs/>
        </w:rPr>
      </w:pPr>
      <w:r>
        <w:rPr>
          <w:i/>
          <w:iCs/>
        </w:rPr>
        <w:tab/>
      </w:r>
      <w:r>
        <w:rPr>
          <w:i/>
          <w:iCs/>
        </w:rPr>
        <w:tab/>
        <w:t>Also r</w:t>
      </w:r>
      <w:r w:rsidRPr="763FF276">
        <w:rPr>
          <w:i/>
          <w:iCs/>
        </w:rPr>
        <w:t xml:space="preserve">ecalling </w:t>
      </w:r>
      <w:r w:rsidRPr="7EA56501">
        <w:t>the modalities and procedures for the effective operation of the committee to facilitate implementation and promote compliance referred to in Article 15, paragraph 2, of the Paris Agreement</w:t>
      </w:r>
      <w:r>
        <w:t xml:space="preserve"> (hereinafter </w:t>
      </w:r>
      <w:r w:rsidRPr="00CC5AF1">
        <w:t xml:space="preserve">referred to as </w:t>
      </w:r>
      <w:r>
        <w:t>the Committee)</w:t>
      </w:r>
      <w:r w:rsidRPr="7EA56501">
        <w:t xml:space="preserve"> as contained in the annex to </w:t>
      </w:r>
      <w:r>
        <w:t xml:space="preserve">decision 20/CMA.1, </w:t>
      </w:r>
      <w:r w:rsidRPr="7EA56501">
        <w:t>in particular paragraphs 17</w:t>
      </w:r>
      <w:r>
        <w:t>–</w:t>
      </w:r>
      <w:r w:rsidRPr="7EA56501">
        <w:t>18,</w:t>
      </w:r>
      <w:r w:rsidRPr="763FF276">
        <w:rPr>
          <w:i/>
          <w:iCs/>
        </w:rPr>
        <w:t xml:space="preserve"> </w:t>
      </w:r>
    </w:p>
    <w:p w14:paraId="572668D6" w14:textId="7455D3FD" w:rsidR="009522FE" w:rsidRPr="00CC5AF1" w:rsidRDefault="009522FE" w:rsidP="001D7FEA">
      <w:pPr>
        <w:pStyle w:val="RegSingleTxtG"/>
        <w:numPr>
          <w:ilvl w:val="0"/>
          <w:numId w:val="0"/>
        </w:numPr>
        <w:ind w:left="1134"/>
      </w:pPr>
      <w:r w:rsidRPr="001D7FEA">
        <w:rPr>
          <w:i/>
        </w:rPr>
        <w:tab/>
        <w:t xml:space="preserve">Welcoming </w:t>
      </w:r>
      <w:r w:rsidRPr="00CC5AF1">
        <w:t>the annual reports of the</w:t>
      </w:r>
      <w:r w:rsidRPr="7EA56501">
        <w:t xml:space="preserve"> Committee to the Conference of the Parties serving as the meeting of the Parties to the Paris Agreement for 2020 and 2021,</w:t>
      </w:r>
      <w:r w:rsidRPr="7EA56501">
        <w:rPr>
          <w:rStyle w:val="FootnoteReference"/>
        </w:rPr>
        <w:footnoteReference w:id="80"/>
      </w:r>
    </w:p>
    <w:p w14:paraId="7790BBD2" w14:textId="77777777" w:rsidR="009522FE" w:rsidRPr="00754E12" w:rsidRDefault="009522FE" w:rsidP="009522FE">
      <w:pPr>
        <w:pStyle w:val="RegSingleTxtG"/>
        <w:numPr>
          <w:ilvl w:val="5"/>
          <w:numId w:val="0"/>
        </w:numPr>
        <w:tabs>
          <w:tab w:val="clear" w:pos="1701"/>
          <w:tab w:val="left" w:pos="1134"/>
        </w:tabs>
        <w:ind w:left="1134" w:right="1133"/>
      </w:pPr>
      <w:r w:rsidRPr="00CC5AF1">
        <w:rPr>
          <w:i/>
        </w:rPr>
        <w:tab/>
      </w:r>
      <w:r w:rsidRPr="00CC5AF1">
        <w:rPr>
          <w:i/>
        </w:rPr>
        <w:tab/>
        <w:t xml:space="preserve">Noting with appreciation </w:t>
      </w:r>
      <w:r w:rsidRPr="00CC5AF1">
        <w:t>the work undertaken by the Committee to date,</w:t>
      </w:r>
      <w:r w:rsidRPr="00754E12">
        <w:t xml:space="preserve"> </w:t>
      </w:r>
    </w:p>
    <w:p w14:paraId="06825E94" w14:textId="4D5647A5" w:rsidR="009522FE" w:rsidRDefault="009E5AC3" w:rsidP="009E5AC3">
      <w:pPr>
        <w:pStyle w:val="RegSingleTxtG"/>
        <w:numPr>
          <w:ilvl w:val="0"/>
          <w:numId w:val="0"/>
        </w:numPr>
        <w:ind w:left="1134"/>
        <w:rPr>
          <w:rFonts w:eastAsia="Times New Roman"/>
        </w:rPr>
      </w:pPr>
      <w:r>
        <w:rPr>
          <w:rFonts w:eastAsia="Times New Roman"/>
        </w:rPr>
        <w:t>1.</w:t>
      </w:r>
      <w:r>
        <w:rPr>
          <w:rFonts w:eastAsia="Times New Roman"/>
        </w:rPr>
        <w:tab/>
      </w:r>
      <w:r w:rsidR="009522FE" w:rsidRPr="00754E12">
        <w:rPr>
          <w:i/>
        </w:rPr>
        <w:t>Adopts</w:t>
      </w:r>
      <w:r w:rsidR="009522FE">
        <w:t xml:space="preserve"> the rules of procedure related to the institutional arrangements of the committee to facilitate implementation and promote compliance referred to in Article 15, paragraph 2, of the Paris Agreement (hereinafter </w:t>
      </w:r>
      <w:r w:rsidR="009522FE" w:rsidRPr="00CC5AF1">
        <w:t xml:space="preserve">referred to as </w:t>
      </w:r>
      <w:r w:rsidR="009522FE">
        <w:t>the Committee) as contained in the annex,</w:t>
      </w:r>
      <w:r w:rsidR="009522FE">
        <w:rPr>
          <w:rStyle w:val="FootnoteReference"/>
        </w:rPr>
        <w:footnoteReference w:id="81"/>
      </w:r>
      <w:r w:rsidR="009522FE">
        <w:t xml:space="preserve"> in accordance with paragraphs 17–18 of the annex to decision 20/CMA.1</w:t>
      </w:r>
      <w:r w:rsidR="009522FE" w:rsidRPr="00CC5AF1">
        <w:t>,</w:t>
      </w:r>
      <w:r w:rsidR="009522FE">
        <w:t xml:space="preserve"> for its effective operation;</w:t>
      </w:r>
    </w:p>
    <w:p w14:paraId="52730DD6" w14:textId="2190DC0B" w:rsidR="009522FE" w:rsidRDefault="009E5AC3" w:rsidP="009E5AC3">
      <w:pPr>
        <w:pStyle w:val="RegSingleTxtG"/>
        <w:numPr>
          <w:ilvl w:val="0"/>
          <w:numId w:val="0"/>
        </w:numPr>
        <w:ind w:left="1134"/>
        <w:rPr>
          <w:iCs/>
        </w:rPr>
      </w:pPr>
      <w:r>
        <w:rPr>
          <w:iCs/>
        </w:rPr>
        <w:t>2.</w:t>
      </w:r>
      <w:r>
        <w:rPr>
          <w:iCs/>
        </w:rPr>
        <w:tab/>
      </w:r>
      <w:r w:rsidR="009522FE" w:rsidRPr="00754E12">
        <w:rPr>
          <w:i/>
        </w:rPr>
        <w:t>Invites</w:t>
      </w:r>
      <w:r w:rsidR="009522FE">
        <w:t xml:space="preserve"> the Committee to continue and accelerate its work with urgency on its remaining rules of procedure in accordance with paragraphs 17–18 of the annex to decision 20/CMA.1, recognizing the challenges the Committee has faced in completing its work owing to the </w:t>
      </w:r>
      <w:r w:rsidR="009522FE" w:rsidRPr="00CC5AF1">
        <w:t>coronavirus disease 2019</w:t>
      </w:r>
      <w:r w:rsidR="009522FE">
        <w:t xml:space="preserve"> pandemic, </w:t>
      </w:r>
      <w:r w:rsidR="009522FE" w:rsidRPr="00126DB8">
        <w:rPr>
          <w:iCs/>
        </w:rPr>
        <w:t xml:space="preserve">with a view to recommending </w:t>
      </w:r>
      <w:r w:rsidR="009522FE">
        <w:t>them</w:t>
      </w:r>
      <w:r w:rsidR="009522FE" w:rsidRPr="00126DB8">
        <w:rPr>
          <w:iCs/>
        </w:rPr>
        <w:t xml:space="preserve"> for consideration and adoption </w:t>
      </w:r>
      <w:r w:rsidR="009522FE">
        <w:rPr>
          <w:iCs/>
        </w:rPr>
        <w:t>by the Conference of the Parties serving as the meeting of the Parties to the Paris Agreement at its fourth session (November 2022)</w:t>
      </w:r>
      <w:r w:rsidR="009522FE">
        <w:t>;</w:t>
      </w:r>
    </w:p>
    <w:p w14:paraId="1C4DF7DD" w14:textId="1EAB02A3" w:rsidR="009522FE" w:rsidRPr="009F61B7" w:rsidRDefault="009E5AC3" w:rsidP="009E5AC3">
      <w:pPr>
        <w:pStyle w:val="RegSingleTxtG"/>
        <w:numPr>
          <w:ilvl w:val="0"/>
          <w:numId w:val="0"/>
        </w:numPr>
        <w:tabs>
          <w:tab w:val="left" w:pos="6440"/>
        </w:tabs>
        <w:ind w:left="1135"/>
        <w:rPr>
          <w:iCs/>
        </w:rPr>
      </w:pPr>
      <w:r w:rsidRPr="009F61B7">
        <w:rPr>
          <w:iCs/>
        </w:rPr>
        <w:t>3.</w:t>
      </w:r>
      <w:r w:rsidRPr="009F61B7">
        <w:rPr>
          <w:iCs/>
        </w:rPr>
        <w:tab/>
      </w:r>
      <w:r w:rsidR="009522FE" w:rsidRPr="009F61B7">
        <w:rPr>
          <w:i/>
          <w:iCs/>
        </w:rPr>
        <w:t>Encourages</w:t>
      </w:r>
      <w:r w:rsidR="009522FE">
        <w:t xml:space="preserve"> the Committee to make efforts to start its work on receiving information from the secretariat in relation to the submission of reports and communications from Parties according to its mandate under decision 20/CMA.1.</w:t>
      </w:r>
    </w:p>
    <w:p w14:paraId="762A95AD" w14:textId="77777777" w:rsidR="009522FE" w:rsidRDefault="009522FE" w:rsidP="009522FE">
      <w:pPr>
        <w:tabs>
          <w:tab w:val="left" w:pos="1701"/>
        </w:tabs>
        <w:spacing w:after="120"/>
        <w:ind w:left="1135" w:right="1134"/>
        <w:jc w:val="both"/>
        <w:rPr>
          <w:iCs/>
        </w:rPr>
        <w:sectPr w:rsidR="009522FE" w:rsidSect="00265564">
          <w:headerReference w:type="even" r:id="rId103"/>
          <w:footerReference w:type="even" r:id="rId104"/>
          <w:footerReference w:type="default" r:id="rId105"/>
          <w:headerReference w:type="first" r:id="rId106"/>
          <w:footnotePr>
            <w:numRestart w:val="eachSect"/>
          </w:footnotePr>
          <w:pgSz w:w="11906" w:h="16838" w:code="9"/>
          <w:pgMar w:top="1417" w:right="1134" w:bottom="1134" w:left="1134" w:header="850" w:footer="567" w:gutter="0"/>
          <w:cols w:space="708"/>
          <w:docGrid w:linePitch="360"/>
        </w:sectPr>
      </w:pPr>
    </w:p>
    <w:p w14:paraId="5ABCF71F" w14:textId="77777777" w:rsidR="009522FE" w:rsidRPr="00CC5AF1" w:rsidRDefault="009522FE" w:rsidP="009522FE">
      <w:pPr>
        <w:tabs>
          <w:tab w:val="left" w:pos="1701"/>
        </w:tabs>
        <w:spacing w:after="120"/>
        <w:ind w:right="-1"/>
        <w:rPr>
          <w:b/>
          <w:sz w:val="28"/>
          <w:szCs w:val="28"/>
        </w:rPr>
      </w:pPr>
      <w:r w:rsidRPr="00CC5AF1">
        <w:rPr>
          <w:b/>
          <w:bCs/>
          <w:iCs/>
          <w:sz w:val="28"/>
          <w:szCs w:val="28"/>
        </w:rPr>
        <w:lastRenderedPageBreak/>
        <w:t>Annex</w:t>
      </w:r>
    </w:p>
    <w:p w14:paraId="1E61420C" w14:textId="77777777" w:rsidR="009522FE" w:rsidRPr="00CC5AF1" w:rsidRDefault="009522FE" w:rsidP="009522FE">
      <w:pPr>
        <w:pStyle w:val="HChG"/>
        <w:ind w:firstLine="0"/>
      </w:pPr>
      <w:r w:rsidRPr="00CC5AF1">
        <w:t>Rules of procedure of the committee to facilitate implementation and promote compliance referred to in Article 15, paragraph 2, of the Paris Agreement</w:t>
      </w:r>
    </w:p>
    <w:p w14:paraId="142F7B69" w14:textId="1CCDCFD6" w:rsidR="009522FE" w:rsidRPr="00F92B59" w:rsidRDefault="009E5AC3" w:rsidP="009E5AC3">
      <w:pPr>
        <w:pStyle w:val="RegHChG"/>
        <w:numPr>
          <w:ilvl w:val="0"/>
          <w:numId w:val="0"/>
        </w:numPr>
        <w:tabs>
          <w:tab w:val="left" w:pos="1135"/>
        </w:tabs>
        <w:ind w:left="1135" w:right="1133" w:hanging="454"/>
      </w:pPr>
      <w:r w:rsidRPr="00F92B59">
        <w:t>I.</w:t>
      </w:r>
      <w:r w:rsidRPr="00F92B59">
        <w:tab/>
      </w:r>
      <w:r w:rsidR="009522FE" w:rsidRPr="00F92B59">
        <w:t>Rule 1</w:t>
      </w:r>
      <w:r w:rsidR="009522FE">
        <w:t>: O</w:t>
      </w:r>
      <w:r w:rsidR="009522FE" w:rsidRPr="00F92B59">
        <w:t>bjective and scope</w:t>
      </w:r>
    </w:p>
    <w:p w14:paraId="7C9E35B2" w14:textId="60E71998" w:rsidR="009522FE" w:rsidRPr="00EF5F74" w:rsidRDefault="009E5AC3" w:rsidP="009E5AC3">
      <w:pPr>
        <w:pStyle w:val="RegSingleTxtG"/>
        <w:numPr>
          <w:ilvl w:val="0"/>
          <w:numId w:val="0"/>
        </w:numPr>
        <w:ind w:left="1134" w:right="1133"/>
      </w:pPr>
      <w:r w:rsidRPr="00EF5F74">
        <w:t>1.</w:t>
      </w:r>
      <w:r w:rsidRPr="00EF5F74">
        <w:tab/>
      </w:r>
      <w:r w:rsidR="009522FE" w:rsidRPr="00EF5F74">
        <w:t xml:space="preserve">The objective of these rules of procedure is to facilitate implementation of and promote compliance with </w:t>
      </w:r>
      <w:r w:rsidR="009522FE">
        <w:t xml:space="preserve">the </w:t>
      </w:r>
      <w:r w:rsidR="009522FE" w:rsidRPr="00EF5F74">
        <w:t>provisions of the Paris Agreement.</w:t>
      </w:r>
    </w:p>
    <w:p w14:paraId="5C7EE39A" w14:textId="749706A7" w:rsidR="009522FE" w:rsidRPr="00EF5F74" w:rsidRDefault="009E5AC3" w:rsidP="009E5AC3">
      <w:pPr>
        <w:pStyle w:val="RegSingleTxtG"/>
        <w:numPr>
          <w:ilvl w:val="0"/>
          <w:numId w:val="0"/>
        </w:numPr>
        <w:ind w:left="1134" w:right="1133"/>
      </w:pPr>
      <w:r w:rsidRPr="00EF5F74">
        <w:t>2.</w:t>
      </w:r>
      <w:r w:rsidRPr="00EF5F74">
        <w:tab/>
      </w:r>
      <w:r w:rsidR="009522FE" w:rsidRPr="00EF5F74">
        <w:t xml:space="preserve">These rules of procedure shall apply to the </w:t>
      </w:r>
      <w:r w:rsidR="009522FE">
        <w:t>c</w:t>
      </w:r>
      <w:r w:rsidR="009522FE" w:rsidRPr="00EF5F74">
        <w:t>ommittee to facilitate implementation and promote compliance referred to in Article 15, paragraph 2, of the Paris Agreement (</w:t>
      </w:r>
      <w:r w:rsidR="00591F95">
        <w:t xml:space="preserve">hereinafter referred to as </w:t>
      </w:r>
      <w:r w:rsidR="009522FE" w:rsidRPr="00EF5F74">
        <w:t>the Committee), as defined in the annex to decision 20/CMA.1, entitled “Modalities and procedures for the effective operation of the committee referred to in Article 15, paragraph 2, of the Paris Agreement” (</w:t>
      </w:r>
      <w:r w:rsidR="00591F95">
        <w:t xml:space="preserve">hereinafter referred to as </w:t>
      </w:r>
      <w:r w:rsidR="009522FE">
        <w:t>the m</w:t>
      </w:r>
      <w:r w:rsidR="009522FE" w:rsidRPr="00EF5F74">
        <w:t xml:space="preserve">odalities and </w:t>
      </w:r>
      <w:r w:rsidR="009522FE">
        <w:t>p</w:t>
      </w:r>
      <w:r w:rsidR="009522FE" w:rsidRPr="00EF5F74">
        <w:t xml:space="preserve">rocedures). These rules of procedure shall be read together with and in furtherance of the </w:t>
      </w:r>
      <w:r w:rsidR="009522FE">
        <w:t>m</w:t>
      </w:r>
      <w:r w:rsidR="009522FE" w:rsidRPr="00EF5F74">
        <w:t xml:space="preserve">odalities and </w:t>
      </w:r>
      <w:r w:rsidR="009522FE">
        <w:t>p</w:t>
      </w:r>
      <w:r w:rsidR="009522FE" w:rsidRPr="00EF5F74">
        <w:t>rocedures and will be implemented to reflect all provisions of the Paris Agreement, including its Article 2.</w:t>
      </w:r>
    </w:p>
    <w:p w14:paraId="0AEE6131" w14:textId="76AD620A" w:rsidR="009522FE" w:rsidRPr="00F92B59" w:rsidRDefault="009E5AC3" w:rsidP="009E5AC3">
      <w:pPr>
        <w:pStyle w:val="RegHChG"/>
        <w:numPr>
          <w:ilvl w:val="0"/>
          <w:numId w:val="0"/>
        </w:numPr>
        <w:tabs>
          <w:tab w:val="left" w:pos="1135"/>
        </w:tabs>
        <w:ind w:left="1135" w:right="1133" w:hanging="454"/>
      </w:pPr>
      <w:r w:rsidRPr="00F92B59">
        <w:t>II.</w:t>
      </w:r>
      <w:r w:rsidRPr="00F92B59">
        <w:tab/>
      </w:r>
      <w:r w:rsidR="009522FE" w:rsidRPr="00F92B59">
        <w:t>Rule 2</w:t>
      </w:r>
      <w:r w:rsidR="009522FE">
        <w:t>: D</w:t>
      </w:r>
      <w:r w:rsidR="009522FE" w:rsidRPr="00F92B59">
        <w:t>efinitions</w:t>
      </w:r>
    </w:p>
    <w:p w14:paraId="76134AE5" w14:textId="77777777" w:rsidR="009522FE" w:rsidRDefault="009522FE" w:rsidP="009522FE">
      <w:pPr>
        <w:spacing w:after="120"/>
        <w:ind w:left="567" w:right="1133" w:firstLine="567"/>
      </w:pPr>
      <w:r>
        <w:t>(placeholder)</w:t>
      </w:r>
    </w:p>
    <w:p w14:paraId="5D2D38F0" w14:textId="26D5E48B" w:rsidR="009522FE" w:rsidRPr="00F92B59" w:rsidRDefault="009E5AC3" w:rsidP="009E5AC3">
      <w:pPr>
        <w:pStyle w:val="RegHChG"/>
        <w:numPr>
          <w:ilvl w:val="0"/>
          <w:numId w:val="0"/>
        </w:numPr>
        <w:tabs>
          <w:tab w:val="left" w:pos="1135"/>
        </w:tabs>
        <w:ind w:left="1135" w:right="1133" w:hanging="454"/>
      </w:pPr>
      <w:r w:rsidRPr="00F92B59">
        <w:t>III.</w:t>
      </w:r>
      <w:r w:rsidRPr="00F92B59">
        <w:tab/>
      </w:r>
      <w:r w:rsidR="009522FE" w:rsidRPr="00F92B59">
        <w:t>Rule 3</w:t>
      </w:r>
      <w:r w:rsidR="009522FE">
        <w:t>: M</w:t>
      </w:r>
      <w:r w:rsidR="009522FE" w:rsidRPr="00F92B59">
        <w:t>embers and alternate members</w:t>
      </w:r>
    </w:p>
    <w:p w14:paraId="2AEE31DF" w14:textId="5F1795AD" w:rsidR="009522FE" w:rsidRPr="004455B9" w:rsidRDefault="009E5AC3" w:rsidP="009E5AC3">
      <w:pPr>
        <w:pStyle w:val="RegH1G"/>
        <w:numPr>
          <w:ilvl w:val="0"/>
          <w:numId w:val="0"/>
        </w:numPr>
        <w:tabs>
          <w:tab w:val="left" w:pos="1135"/>
        </w:tabs>
        <w:ind w:left="1135" w:right="1133" w:hanging="454"/>
      </w:pPr>
      <w:r w:rsidRPr="004455B9">
        <w:t>A.</w:t>
      </w:r>
      <w:r w:rsidRPr="004455B9">
        <w:tab/>
      </w:r>
      <w:r w:rsidR="009522FE" w:rsidRPr="004455B9">
        <w:t>Rule 3.1</w:t>
      </w:r>
      <w:r w:rsidR="009522FE">
        <w:t>: T</w:t>
      </w:r>
      <w:r w:rsidR="009522FE" w:rsidRPr="004455B9">
        <w:t>erm of service</w:t>
      </w:r>
    </w:p>
    <w:p w14:paraId="0EFBF3F5" w14:textId="0F7D905A" w:rsidR="009522FE" w:rsidRPr="00030056" w:rsidRDefault="009E5AC3" w:rsidP="009E5AC3">
      <w:pPr>
        <w:pStyle w:val="RegSingleTxtG"/>
        <w:numPr>
          <w:ilvl w:val="0"/>
          <w:numId w:val="0"/>
        </w:numPr>
        <w:ind w:left="1134" w:right="1133"/>
      </w:pPr>
      <w:r w:rsidRPr="00030056">
        <w:t>1.</w:t>
      </w:r>
      <w:r w:rsidRPr="00030056">
        <w:tab/>
      </w:r>
      <w:r w:rsidR="009522FE" w:rsidRPr="00030056">
        <w:t xml:space="preserve">The term of service of each member and alternate member shall begin on 1 January of the calendar year immediately following their election and end on 31 December of the last year of </w:t>
      </w:r>
      <w:r w:rsidR="009522FE">
        <w:t>th</w:t>
      </w:r>
      <w:r w:rsidR="009522FE" w:rsidRPr="00030056">
        <w:t>e</w:t>
      </w:r>
      <w:r w:rsidR="009522FE">
        <w:t>i</w:t>
      </w:r>
      <w:r w:rsidR="009522FE" w:rsidRPr="00030056">
        <w:t>r term.</w:t>
      </w:r>
    </w:p>
    <w:p w14:paraId="72CABD77" w14:textId="308F9616" w:rsidR="009522FE" w:rsidRPr="00030056" w:rsidRDefault="009E5AC3" w:rsidP="009E5AC3">
      <w:pPr>
        <w:pStyle w:val="RegSingleTxtG"/>
        <w:numPr>
          <w:ilvl w:val="0"/>
          <w:numId w:val="0"/>
        </w:numPr>
        <w:ind w:left="1134" w:right="1133"/>
      </w:pPr>
      <w:r w:rsidRPr="00030056">
        <w:t>2.</w:t>
      </w:r>
      <w:r w:rsidRPr="00030056">
        <w:tab/>
      </w:r>
      <w:r w:rsidR="009522FE" w:rsidRPr="00030056">
        <w:t>For each new term</w:t>
      </w:r>
      <w:r w:rsidR="00EB6CF8">
        <w:t>,</w:t>
      </w:r>
      <w:r w:rsidR="009522FE" w:rsidRPr="00030056">
        <w:t xml:space="preserve"> pursuant to paragraphs 5 and 8 of </w:t>
      </w:r>
      <w:r w:rsidR="009522FE">
        <w:t>the modalities and procedures</w:t>
      </w:r>
      <w:r w:rsidR="00CF5050">
        <w:t>,</w:t>
      </w:r>
      <w:r w:rsidR="009522FE">
        <w:t xml:space="preserve"> </w:t>
      </w:r>
      <w:r w:rsidR="009522FE" w:rsidRPr="00030056">
        <w:t>the selection and notification to the secretariat of a member or alternate member shall be made by the nominating regional group or constituency</w:t>
      </w:r>
      <w:r w:rsidR="009522FE">
        <w:t>,</w:t>
      </w:r>
      <w:r w:rsidR="009522FE" w:rsidRPr="00030056">
        <w:t xml:space="preserve"> as applicable, for election by the </w:t>
      </w:r>
      <w:r w:rsidR="009522FE">
        <w:t>Conference of the Parties serving as the meeting of the Parties to the Paris Agreement (</w:t>
      </w:r>
      <w:r w:rsidR="009522FE" w:rsidRPr="00030056">
        <w:t>CMA</w:t>
      </w:r>
      <w:r w:rsidR="009522FE">
        <w:t>)</w:t>
      </w:r>
      <w:r w:rsidR="009522FE" w:rsidRPr="00030056">
        <w:t>.</w:t>
      </w:r>
    </w:p>
    <w:p w14:paraId="66D378A9" w14:textId="15426E56" w:rsidR="009522FE" w:rsidRPr="00030056" w:rsidRDefault="009E5AC3" w:rsidP="009E5AC3">
      <w:pPr>
        <w:pStyle w:val="RegSingleTxtG"/>
        <w:numPr>
          <w:ilvl w:val="0"/>
          <w:numId w:val="0"/>
        </w:numPr>
        <w:ind w:left="1134" w:right="1133"/>
      </w:pPr>
      <w:r w:rsidRPr="00030056">
        <w:t>3.</w:t>
      </w:r>
      <w:r w:rsidRPr="00030056">
        <w:tab/>
      </w:r>
      <w:r w:rsidR="009522FE" w:rsidRPr="00030056">
        <w:t>When a member or alternate member resigns or is otherwise unable to complete the assigned term or functions, an expert from the same Party shall be named by that Party to replace that member or alternate member for the remainder of the term. That Party may also, after consultation with its regional group or constituency</w:t>
      </w:r>
      <w:r w:rsidR="009522FE">
        <w:t>,</w:t>
      </w:r>
      <w:r w:rsidR="009522FE" w:rsidRPr="00030056">
        <w:t xml:space="preserve"> as applicable, name an expert from another Party </w:t>
      </w:r>
      <w:r w:rsidR="009522FE">
        <w:t>in</w:t>
      </w:r>
      <w:r w:rsidR="009522FE" w:rsidRPr="00030056">
        <w:t xml:space="preserve"> the same regional group or constituency</w:t>
      </w:r>
      <w:r w:rsidR="009522FE">
        <w:t>,</w:t>
      </w:r>
      <w:r w:rsidR="009522FE" w:rsidRPr="00030056">
        <w:t xml:space="preserve"> as applicable, to replace the member or alternate member. The Party shall notify the secretariat, in writing, of the name and contact details of the nominated member or alternate member, which will be subsequently communicated to the Committee by the secretariat.</w:t>
      </w:r>
    </w:p>
    <w:p w14:paraId="59C8E41A" w14:textId="378C1D07" w:rsidR="009522FE" w:rsidRPr="00030056" w:rsidRDefault="009E5AC3" w:rsidP="009E5AC3">
      <w:pPr>
        <w:pStyle w:val="RegSingleTxtG"/>
        <w:numPr>
          <w:ilvl w:val="0"/>
          <w:numId w:val="0"/>
        </w:numPr>
        <w:ind w:left="1134" w:right="1133"/>
      </w:pPr>
      <w:r w:rsidRPr="00030056">
        <w:t>4.</w:t>
      </w:r>
      <w:r w:rsidRPr="00030056">
        <w:tab/>
      </w:r>
      <w:r w:rsidR="009522FE" w:rsidRPr="00030056">
        <w:t>If a member or alternate member is temporarily unable to serve in the Committee, the Committee shall, at the request of that member or alternate member, invite the naming of an expert from the same Party by that Party in consultation with the regional group or constituency</w:t>
      </w:r>
      <w:r w:rsidR="009522FE">
        <w:t>,</w:t>
      </w:r>
      <w:r w:rsidR="009522FE" w:rsidRPr="00030056">
        <w:t xml:space="preserve"> as applicable, to replace the member or alternate member in an ad interim capacity for a period of up to one year from the date of that request.</w:t>
      </w:r>
    </w:p>
    <w:p w14:paraId="0AE3AB31" w14:textId="4C8C259F" w:rsidR="009522FE" w:rsidRPr="00162623" w:rsidRDefault="009E5AC3" w:rsidP="009E5AC3">
      <w:pPr>
        <w:pStyle w:val="RegH1G"/>
        <w:numPr>
          <w:ilvl w:val="0"/>
          <w:numId w:val="0"/>
        </w:numPr>
        <w:tabs>
          <w:tab w:val="left" w:pos="1135"/>
        </w:tabs>
        <w:ind w:left="1135" w:right="1133" w:hanging="454"/>
      </w:pPr>
      <w:r w:rsidRPr="00162623">
        <w:t>B.</w:t>
      </w:r>
      <w:r w:rsidRPr="00162623">
        <w:tab/>
      </w:r>
      <w:r w:rsidR="009522FE" w:rsidRPr="00162623">
        <w:t>Rule 3.2</w:t>
      </w:r>
      <w:r w:rsidR="009522FE">
        <w:t>:</w:t>
      </w:r>
      <w:r w:rsidR="009522FE" w:rsidRPr="00162623">
        <w:t xml:space="preserve"> </w:t>
      </w:r>
      <w:r w:rsidR="009522FE">
        <w:t>R</w:t>
      </w:r>
      <w:r w:rsidR="009522FE" w:rsidRPr="00162623">
        <w:t>ole of alternate members</w:t>
      </w:r>
    </w:p>
    <w:p w14:paraId="5B2B1FEF" w14:textId="4C72008E" w:rsidR="009522FE" w:rsidRDefault="009E5AC3" w:rsidP="009E5AC3">
      <w:pPr>
        <w:pStyle w:val="RegSingleTxtG"/>
        <w:numPr>
          <w:ilvl w:val="0"/>
          <w:numId w:val="0"/>
        </w:numPr>
        <w:ind w:left="1134" w:right="1133"/>
      </w:pPr>
      <w:r>
        <w:t>1.</w:t>
      </w:r>
      <w:r>
        <w:tab/>
      </w:r>
      <w:r w:rsidR="009522FE">
        <w:t>Subject to these rules, alternate members are entitled to participate in the proceedings of the Committee, without the right to vote.</w:t>
      </w:r>
    </w:p>
    <w:p w14:paraId="20750950" w14:textId="1E19522B" w:rsidR="009522FE" w:rsidRDefault="009E5AC3" w:rsidP="009E5AC3">
      <w:pPr>
        <w:pStyle w:val="RegSingleTxtG"/>
        <w:numPr>
          <w:ilvl w:val="0"/>
          <w:numId w:val="0"/>
        </w:numPr>
        <w:ind w:left="1134" w:right="1133"/>
      </w:pPr>
      <w:r>
        <w:lastRenderedPageBreak/>
        <w:t>2.</w:t>
      </w:r>
      <w:r>
        <w:tab/>
      </w:r>
      <w:r w:rsidR="009522FE">
        <w:t>An alternate member may cast a vote only if acting as the member.</w:t>
      </w:r>
    </w:p>
    <w:p w14:paraId="44F314B5" w14:textId="4EB8AEDE" w:rsidR="009522FE" w:rsidRDefault="009E5AC3" w:rsidP="009E5AC3">
      <w:pPr>
        <w:pStyle w:val="RegSingleTxtG"/>
        <w:numPr>
          <w:ilvl w:val="0"/>
          <w:numId w:val="0"/>
        </w:numPr>
        <w:ind w:left="1134" w:right="1133"/>
      </w:pPr>
      <w:r>
        <w:t>3.</w:t>
      </w:r>
      <w:r>
        <w:tab/>
      </w:r>
      <w:r w:rsidR="009522FE">
        <w:t>In the absence of a member from all or part of a meeting of the Committee, their alternate shall act as the member.</w:t>
      </w:r>
    </w:p>
    <w:p w14:paraId="3C6E4B01" w14:textId="01485384" w:rsidR="009522FE" w:rsidRDefault="009E5AC3" w:rsidP="009E5AC3">
      <w:pPr>
        <w:pStyle w:val="RegSingleTxtG"/>
        <w:numPr>
          <w:ilvl w:val="0"/>
          <w:numId w:val="0"/>
        </w:numPr>
        <w:ind w:left="1134" w:right="1133"/>
      </w:pPr>
      <w:r>
        <w:t>4.</w:t>
      </w:r>
      <w:r>
        <w:tab/>
      </w:r>
      <w:r w:rsidR="009522FE">
        <w:t>If a member’s seat is vacant, or a member resigns or is otherwise unable to complete their assigned term or functions, their alternate shall act as the member of the Committee, ad interim, until the member is formally elected or replaced in accordance with paragraph 9 of the modalities and procedures and rule 3.1.3 above.</w:t>
      </w:r>
    </w:p>
    <w:p w14:paraId="6E404ABD" w14:textId="292EBE54" w:rsidR="009522FE" w:rsidRPr="00162623" w:rsidRDefault="009E5AC3" w:rsidP="009E5AC3">
      <w:pPr>
        <w:pStyle w:val="RegH1G"/>
        <w:numPr>
          <w:ilvl w:val="0"/>
          <w:numId w:val="0"/>
        </w:numPr>
        <w:tabs>
          <w:tab w:val="left" w:pos="1135"/>
        </w:tabs>
        <w:ind w:left="1135" w:right="1133" w:hanging="454"/>
      </w:pPr>
      <w:r w:rsidRPr="00162623">
        <w:t>C.</w:t>
      </w:r>
      <w:r w:rsidRPr="00162623">
        <w:tab/>
      </w:r>
      <w:r w:rsidR="009522FE" w:rsidRPr="00162623">
        <w:t>Rule 3.3</w:t>
      </w:r>
      <w:r w:rsidR="009522FE">
        <w:t>: D</w:t>
      </w:r>
      <w:r w:rsidR="009522FE" w:rsidRPr="00162623">
        <w:t>uties and conduct</w:t>
      </w:r>
    </w:p>
    <w:p w14:paraId="33802BA6" w14:textId="3B39884D" w:rsidR="009522FE" w:rsidRDefault="009E5AC3" w:rsidP="009E5AC3">
      <w:pPr>
        <w:pStyle w:val="RegSingleTxtG"/>
        <w:numPr>
          <w:ilvl w:val="0"/>
          <w:numId w:val="0"/>
        </w:numPr>
        <w:ind w:left="1134" w:right="1133"/>
      </w:pPr>
      <w:r>
        <w:t>1.</w:t>
      </w:r>
      <w:r>
        <w:tab/>
      </w:r>
      <w:r w:rsidR="009522FE">
        <w:t>Members and alternate members shall perform any duties and exercise any authority in an honourable, independent, impartial and conscientious manner, abiding by the Code of Conduct for UNFCCC conferences, meeting and events</w:t>
      </w:r>
      <w:r w:rsidR="009522FE" w:rsidRPr="006A0349">
        <w:rPr>
          <w:sz w:val="18"/>
          <w:szCs w:val="18"/>
          <w:vertAlign w:val="superscript"/>
        </w:rPr>
        <w:footnoteReference w:id="82"/>
      </w:r>
      <w:r w:rsidR="009522FE" w:rsidRPr="0067019F">
        <w:rPr>
          <w:vertAlign w:val="superscript"/>
        </w:rPr>
        <w:t xml:space="preserve"> </w:t>
      </w:r>
      <w:r w:rsidR="009522FE">
        <w:t>and the Code of Ethics for elected and appointed officers,</w:t>
      </w:r>
      <w:r w:rsidR="009522FE" w:rsidRPr="006A0349">
        <w:rPr>
          <w:sz w:val="18"/>
          <w:szCs w:val="18"/>
          <w:vertAlign w:val="superscript"/>
        </w:rPr>
        <w:footnoteReference w:id="83"/>
      </w:r>
      <w:r w:rsidR="009522FE">
        <w:t xml:space="preserve"> including amended, revised and replaced versions of the same, which would be applicable mutatis mutandis to the Committee.</w:t>
      </w:r>
    </w:p>
    <w:p w14:paraId="571743DD" w14:textId="347302A7" w:rsidR="009522FE" w:rsidRDefault="009E5AC3" w:rsidP="009E5AC3">
      <w:pPr>
        <w:pStyle w:val="RegSingleTxtG"/>
        <w:numPr>
          <w:ilvl w:val="0"/>
          <w:numId w:val="0"/>
        </w:numPr>
        <w:ind w:left="1134" w:right="1133"/>
      </w:pPr>
      <w:r>
        <w:t>2.</w:t>
      </w:r>
      <w:r>
        <w:tab/>
      </w:r>
      <w:r w:rsidR="009522FE">
        <w:t>Members and alternate members of the Committee shall respect the obligation to preserve the confidentiality of information received in confidence or identified as such by the Committee, in accordance with paragraph 14 of the modalities and procedures.</w:t>
      </w:r>
    </w:p>
    <w:p w14:paraId="329356D8" w14:textId="66DC81F8" w:rsidR="009522FE" w:rsidRDefault="009E5AC3" w:rsidP="009E5AC3">
      <w:pPr>
        <w:pStyle w:val="RegSingleTxtG"/>
        <w:numPr>
          <w:ilvl w:val="0"/>
          <w:numId w:val="0"/>
        </w:numPr>
        <w:ind w:left="1134" w:right="1133"/>
      </w:pPr>
      <w:r>
        <w:t>3.</w:t>
      </w:r>
      <w:r>
        <w:tab/>
      </w:r>
      <w:r w:rsidR="009522FE">
        <w:t>At the beginning of their service, each member and alternate member shall confirm, in writing, that they will perform their duties and exercise their authority honourably, independently, impartially and conscientiously and declare, subject to their responsibilities within the Committee, that they will not disclose, even after the termination of their functions, any information determined by the Committee to be confidential that they have obtained by reason of their duties in the Committee, and shall disclose immediately any interest in any matter under discussion before the Committee that may constitute a real or apparent, personal or financial conflict of interest or that might be incompatible with the objectivity, independence and impartiality expected of a member or alternate member of the Committee and shall refrain from participating in the work of the Committee in relation to such matter.</w:t>
      </w:r>
    </w:p>
    <w:p w14:paraId="597762FA" w14:textId="12767E6B" w:rsidR="009522FE" w:rsidRPr="00162623" w:rsidRDefault="009E5AC3" w:rsidP="009E5AC3">
      <w:pPr>
        <w:pStyle w:val="RegH1G"/>
        <w:numPr>
          <w:ilvl w:val="0"/>
          <w:numId w:val="0"/>
        </w:numPr>
        <w:tabs>
          <w:tab w:val="left" w:pos="1135"/>
        </w:tabs>
        <w:ind w:left="1135" w:right="1133" w:hanging="454"/>
      </w:pPr>
      <w:r w:rsidRPr="00162623">
        <w:t>D.</w:t>
      </w:r>
      <w:r w:rsidRPr="00162623">
        <w:tab/>
      </w:r>
      <w:r w:rsidR="009522FE" w:rsidRPr="00162623">
        <w:t>Rule 3.4</w:t>
      </w:r>
      <w:r w:rsidR="009522FE">
        <w:t xml:space="preserve">: </w:t>
      </w:r>
      <w:r w:rsidR="009522FE" w:rsidRPr="00162623">
        <w:t>Conflict of interest</w:t>
      </w:r>
    </w:p>
    <w:p w14:paraId="541CE7BC" w14:textId="126A48C6" w:rsidR="009522FE" w:rsidRDefault="009E5AC3" w:rsidP="009E5AC3">
      <w:pPr>
        <w:pStyle w:val="RegSingleTxtG"/>
        <w:numPr>
          <w:ilvl w:val="0"/>
          <w:numId w:val="0"/>
        </w:numPr>
        <w:ind w:left="1134" w:right="1133"/>
      </w:pPr>
      <w:r>
        <w:t>1.</w:t>
      </w:r>
      <w:r>
        <w:tab/>
      </w:r>
      <w:r w:rsidR="009522FE">
        <w:t>Members and alternate members must promptly disclose and recuse themselves from any deliberations or decision-making where their personal or financial interests may be affected, in order to avoid a conflict of interest or the appearance of one.</w:t>
      </w:r>
    </w:p>
    <w:p w14:paraId="73F30C1B" w14:textId="0B8F4582" w:rsidR="009522FE" w:rsidRPr="00F92B59" w:rsidRDefault="009E5AC3" w:rsidP="009E5AC3">
      <w:pPr>
        <w:pStyle w:val="RegHChG"/>
        <w:numPr>
          <w:ilvl w:val="0"/>
          <w:numId w:val="0"/>
        </w:numPr>
        <w:tabs>
          <w:tab w:val="left" w:pos="1135"/>
        </w:tabs>
        <w:ind w:left="1135" w:right="1133" w:hanging="454"/>
      </w:pPr>
      <w:r w:rsidRPr="00F92B59">
        <w:t>IV.</w:t>
      </w:r>
      <w:r w:rsidRPr="00F92B59">
        <w:tab/>
      </w:r>
      <w:r w:rsidR="009522FE" w:rsidRPr="00F92B59">
        <w:t>Rule 4</w:t>
      </w:r>
      <w:r w:rsidR="009522FE">
        <w:t xml:space="preserve">: </w:t>
      </w:r>
      <w:r w:rsidR="009522FE" w:rsidRPr="00F92B59">
        <w:t>Election, roles and functions of the Co-Chairs</w:t>
      </w:r>
    </w:p>
    <w:p w14:paraId="4E246ED4" w14:textId="19DB4268" w:rsidR="009522FE" w:rsidRDefault="009E5AC3" w:rsidP="009E5AC3">
      <w:pPr>
        <w:pStyle w:val="RegSingleTxtG"/>
        <w:numPr>
          <w:ilvl w:val="0"/>
          <w:numId w:val="0"/>
        </w:numPr>
        <w:ind w:left="1134" w:right="1133"/>
      </w:pPr>
      <w:r>
        <w:t>1.</w:t>
      </w:r>
      <w:r>
        <w:tab/>
      </w:r>
      <w:r w:rsidR="009522FE">
        <w:t>The Committee shall elect from among its members one Co-Chair from a developed country Party and one Co-Chair from a developing country Party.</w:t>
      </w:r>
    </w:p>
    <w:p w14:paraId="66BCA124" w14:textId="3A243392" w:rsidR="009522FE" w:rsidRDefault="009E5AC3" w:rsidP="009E5AC3">
      <w:pPr>
        <w:pStyle w:val="RegSingleTxtG"/>
        <w:numPr>
          <w:ilvl w:val="0"/>
          <w:numId w:val="0"/>
        </w:numPr>
        <w:ind w:left="1134" w:right="1133"/>
      </w:pPr>
      <w:r>
        <w:t>2.</w:t>
      </w:r>
      <w:r>
        <w:tab/>
      </w:r>
      <w:r w:rsidR="009522FE">
        <w:t>Each Co-Chair shall serve as Co-Chair for the entire three years of their term</w:t>
      </w:r>
      <w:r w:rsidR="009522FE">
        <w:rPr>
          <w:rStyle w:val="FootnoteReference"/>
        </w:rPr>
        <w:footnoteReference w:id="84"/>
      </w:r>
      <w:r w:rsidR="009522FE">
        <w:t xml:space="preserve"> and shall serve as Co-Chair during and between Committee meetings.</w:t>
      </w:r>
    </w:p>
    <w:p w14:paraId="6D7ED205" w14:textId="572B7B40" w:rsidR="009522FE" w:rsidRDefault="009E5AC3" w:rsidP="009E5AC3">
      <w:pPr>
        <w:pStyle w:val="RegSingleTxtG"/>
        <w:numPr>
          <w:ilvl w:val="0"/>
          <w:numId w:val="0"/>
        </w:numPr>
        <w:ind w:left="1134" w:right="1133"/>
      </w:pPr>
      <w:r>
        <w:t>3.</w:t>
      </w:r>
      <w:r>
        <w:tab/>
      </w:r>
      <w:r w:rsidR="009522FE">
        <w:t>The Co-Chairs shall coordinate the agreed work of the Committee during and between meetings.</w:t>
      </w:r>
    </w:p>
    <w:p w14:paraId="354BF1E5" w14:textId="6F3B7604" w:rsidR="009522FE" w:rsidRDefault="009E5AC3" w:rsidP="009E5AC3">
      <w:pPr>
        <w:pStyle w:val="RegSingleTxtG"/>
        <w:numPr>
          <w:ilvl w:val="0"/>
          <w:numId w:val="0"/>
        </w:numPr>
        <w:ind w:left="1134" w:right="1133"/>
      </w:pPr>
      <w:r>
        <w:t>4.</w:t>
      </w:r>
      <w:r>
        <w:tab/>
      </w:r>
      <w:r w:rsidR="009522FE">
        <w:t>If a Co-Chair ceases to be able to carry out their functions, or ceases to be a member, a new Co-Chair shall be elected for the remainder of the term.</w:t>
      </w:r>
    </w:p>
    <w:p w14:paraId="3D8B9D35" w14:textId="0C95F097" w:rsidR="009522FE" w:rsidRDefault="009E5AC3" w:rsidP="009E5AC3">
      <w:pPr>
        <w:pStyle w:val="RegSingleTxtG"/>
        <w:numPr>
          <w:ilvl w:val="0"/>
          <w:numId w:val="0"/>
        </w:numPr>
        <w:ind w:left="1134" w:right="1133"/>
      </w:pPr>
      <w:r>
        <w:lastRenderedPageBreak/>
        <w:t>5.</w:t>
      </w:r>
      <w:r>
        <w:tab/>
      </w:r>
      <w:r w:rsidR="009522FE">
        <w:t>The Co-Chairs shall share and allocate between themselves responsibility for chairing Committee meetings.</w:t>
      </w:r>
    </w:p>
    <w:p w14:paraId="301ACAE1" w14:textId="28457B3F" w:rsidR="009522FE" w:rsidRDefault="009E5AC3" w:rsidP="009E5AC3">
      <w:pPr>
        <w:pStyle w:val="RegSingleTxtG"/>
        <w:numPr>
          <w:ilvl w:val="0"/>
          <w:numId w:val="0"/>
        </w:numPr>
        <w:ind w:left="1134" w:right="1133"/>
      </w:pPr>
      <w:r>
        <w:t>6.</w:t>
      </w:r>
      <w:r>
        <w:tab/>
      </w:r>
      <w:r w:rsidR="009522FE">
        <w:t>If one of the elected Co-Chairs is not able to serve in the capacity of Co-Chair for a meeting or in relation to a particular matter, the other Co-Chair shall serve as Chair. If both Co-Chairs are unable to serve in their respective capacities, the Committee shall elect a member from among those present to serve as Chair for that meeting or in relation to that matter, as applicable.</w:t>
      </w:r>
    </w:p>
    <w:p w14:paraId="0EE5DE4D" w14:textId="55D00465" w:rsidR="009522FE" w:rsidRDefault="009E5AC3" w:rsidP="009E5AC3">
      <w:pPr>
        <w:pStyle w:val="RegSingleTxtG"/>
        <w:numPr>
          <w:ilvl w:val="0"/>
          <w:numId w:val="0"/>
        </w:numPr>
        <w:ind w:left="1134" w:right="1133"/>
      </w:pPr>
      <w:r>
        <w:t>7.</w:t>
      </w:r>
      <w:r>
        <w:tab/>
      </w:r>
      <w:r w:rsidR="009522FE">
        <w:t>In carrying out their functions, the Co-Chairs shall be guided by the best interests of the Committee, in accordance with paragraph 11 of the modalities and procedures.</w:t>
      </w:r>
    </w:p>
    <w:p w14:paraId="238DEB2B" w14:textId="469B7B25" w:rsidR="009522FE" w:rsidRDefault="009E5AC3" w:rsidP="009E5AC3">
      <w:pPr>
        <w:pStyle w:val="RegSingleTxtG"/>
        <w:numPr>
          <w:ilvl w:val="0"/>
          <w:numId w:val="0"/>
        </w:numPr>
        <w:ind w:left="1134" w:right="1133"/>
      </w:pPr>
      <w:r>
        <w:t>8.</w:t>
      </w:r>
      <w:r>
        <w:tab/>
      </w:r>
      <w:r w:rsidR="009522FE">
        <w:t>The Co-Chairs shall be responsible for opening, conducting, suspending, adjourning and closing Committee meetings and for dealing with all procedural matters, in accordance with paragraphs 15–16 of the modalities and procedures and these rules of procedure.</w:t>
      </w:r>
    </w:p>
    <w:p w14:paraId="16839722" w14:textId="741AE3A1" w:rsidR="009522FE" w:rsidRDefault="009E5AC3" w:rsidP="009E5AC3">
      <w:pPr>
        <w:pStyle w:val="RegSingleTxtG"/>
        <w:numPr>
          <w:ilvl w:val="0"/>
          <w:numId w:val="0"/>
        </w:numPr>
        <w:ind w:left="1134" w:right="1133"/>
      </w:pPr>
      <w:r>
        <w:t>9.</w:t>
      </w:r>
      <w:r>
        <w:tab/>
      </w:r>
      <w:r w:rsidR="009522FE">
        <w:t>The Co-Chairs are responsible for ensuring the observance of these rules of procedure and the adopted agenda for each meeting of the Committee.</w:t>
      </w:r>
    </w:p>
    <w:p w14:paraId="5149A3E8" w14:textId="68BEA05C" w:rsidR="009522FE" w:rsidRDefault="009E5AC3" w:rsidP="009E5AC3">
      <w:pPr>
        <w:pStyle w:val="RegSingleTxtG"/>
        <w:numPr>
          <w:ilvl w:val="0"/>
          <w:numId w:val="0"/>
        </w:numPr>
        <w:ind w:left="1134" w:right="1133"/>
      </w:pPr>
      <w:r>
        <w:t>10.</w:t>
      </w:r>
      <w:r>
        <w:tab/>
      </w:r>
      <w:r w:rsidR="009522FE">
        <w:t>The Co-Chairs shall rule on points of order and any such determination will be final unless a Committee member objects. In that case, the Committee shall consider the course of action to be taken.</w:t>
      </w:r>
    </w:p>
    <w:p w14:paraId="1121C9BC" w14:textId="76B71572" w:rsidR="009522FE" w:rsidRDefault="009E5AC3" w:rsidP="009E5AC3">
      <w:pPr>
        <w:pStyle w:val="RegSingleTxtG"/>
        <w:numPr>
          <w:ilvl w:val="0"/>
          <w:numId w:val="0"/>
        </w:numPr>
        <w:ind w:left="1134" w:right="1133"/>
      </w:pPr>
      <w:r>
        <w:t>11.</w:t>
      </w:r>
      <w:r>
        <w:tab/>
      </w:r>
      <w:r w:rsidR="009522FE">
        <w:t>The Co-Chairs shall present a draft report on each meeting, containing, inter alia, the decisions taken at the meeting, for consideration and approval by the Committee.</w:t>
      </w:r>
    </w:p>
    <w:p w14:paraId="5844EB97" w14:textId="54AFC8CC" w:rsidR="009522FE" w:rsidRDefault="009E5AC3" w:rsidP="009E5AC3">
      <w:pPr>
        <w:pStyle w:val="RegSingleTxtG"/>
        <w:numPr>
          <w:ilvl w:val="0"/>
          <w:numId w:val="0"/>
        </w:numPr>
        <w:ind w:left="1134" w:right="1133"/>
      </w:pPr>
      <w:r>
        <w:t>12.</w:t>
      </w:r>
      <w:r>
        <w:tab/>
      </w:r>
      <w:r w:rsidR="009522FE">
        <w:t>The Co-Chairs may represent the Committee at external meetings and report back to the Committee on those meetings. They may agree to delegate that function to other members or alternate members.</w:t>
      </w:r>
    </w:p>
    <w:p w14:paraId="670EE5D5" w14:textId="7DAF99E4" w:rsidR="009522FE" w:rsidRDefault="009E5AC3" w:rsidP="009E5AC3">
      <w:pPr>
        <w:pStyle w:val="RegSingleTxtG"/>
        <w:numPr>
          <w:ilvl w:val="0"/>
          <w:numId w:val="0"/>
        </w:numPr>
        <w:ind w:left="1134" w:right="1133"/>
      </w:pPr>
      <w:r>
        <w:t>13.</w:t>
      </w:r>
      <w:r>
        <w:tab/>
      </w:r>
      <w:r w:rsidR="009522FE">
        <w:t>The Co-Chairs shall carry out any other functions assigned to them through these rules of procedure or a decision of the Committee.</w:t>
      </w:r>
    </w:p>
    <w:p w14:paraId="4193FE63" w14:textId="58778ED6" w:rsidR="009522FE" w:rsidRPr="00F92B59" w:rsidRDefault="009E5AC3" w:rsidP="009E5AC3">
      <w:pPr>
        <w:pStyle w:val="RegHChG"/>
        <w:numPr>
          <w:ilvl w:val="0"/>
          <w:numId w:val="0"/>
        </w:numPr>
        <w:tabs>
          <w:tab w:val="left" w:pos="1135"/>
        </w:tabs>
        <w:ind w:left="1135" w:right="1133" w:hanging="454"/>
      </w:pPr>
      <w:r w:rsidRPr="00F92B59">
        <w:t>V.</w:t>
      </w:r>
      <w:r w:rsidRPr="00F92B59">
        <w:tab/>
      </w:r>
      <w:r w:rsidR="009522FE" w:rsidRPr="00F92B59">
        <w:t>Rule 5</w:t>
      </w:r>
      <w:r w:rsidR="009522FE">
        <w:t xml:space="preserve">: </w:t>
      </w:r>
      <w:r w:rsidR="009522FE" w:rsidRPr="00F92B59">
        <w:t>Dates, notice and location of meetings</w:t>
      </w:r>
    </w:p>
    <w:p w14:paraId="6592E5EB" w14:textId="1C5DE06E" w:rsidR="009522FE" w:rsidRDefault="009E5AC3" w:rsidP="009E5AC3">
      <w:pPr>
        <w:pStyle w:val="RegSingleTxtG"/>
        <w:numPr>
          <w:ilvl w:val="0"/>
          <w:numId w:val="0"/>
        </w:numPr>
        <w:ind w:left="1134" w:right="1133"/>
      </w:pPr>
      <w:r>
        <w:t>1.</w:t>
      </w:r>
      <w:r>
        <w:tab/>
      </w:r>
      <w:r w:rsidR="009522FE">
        <w:t>In accordance with paragraph 12 of the modalities and procedures, the Committee shall meet at least twice every year. At the first Committee meeting of each calendar year, the Co-Chairs shall propose a schedule of meetings for that calendar year taking into account the desirability of holding meetings in conjunction with sessions of the subsidiary bodies serving the Paris Agreement, as appropriate.</w:t>
      </w:r>
    </w:p>
    <w:p w14:paraId="4F8B4CED" w14:textId="009CD9D8" w:rsidR="009522FE" w:rsidRDefault="009E5AC3" w:rsidP="009E5AC3">
      <w:pPr>
        <w:pStyle w:val="RegSingleTxtG"/>
        <w:numPr>
          <w:ilvl w:val="0"/>
          <w:numId w:val="0"/>
        </w:numPr>
        <w:ind w:left="1134" w:right="1133"/>
      </w:pPr>
      <w:r>
        <w:t>2.</w:t>
      </w:r>
      <w:r>
        <w:tab/>
      </w:r>
      <w:r w:rsidR="009522FE">
        <w:t>At each meeting, the Committee will confirm the dates, duration and venue of the following meeting.</w:t>
      </w:r>
    </w:p>
    <w:p w14:paraId="2E12F0CC" w14:textId="086AB48A" w:rsidR="009522FE" w:rsidRDefault="009E5AC3" w:rsidP="009E5AC3">
      <w:pPr>
        <w:pStyle w:val="RegSingleTxtG"/>
        <w:numPr>
          <w:ilvl w:val="0"/>
          <w:numId w:val="0"/>
        </w:numPr>
        <w:ind w:left="1134" w:right="1133"/>
      </w:pPr>
      <w:r>
        <w:t>3.</w:t>
      </w:r>
      <w:r>
        <w:tab/>
      </w:r>
      <w:r w:rsidR="009522FE">
        <w:t>If changes to the schedule or additional meetings are required, the Co-Chairs shall, after consultation with the Committee, request the secretariat to give notice of any changes in the dates of scheduled meetings and/or of the dates of additional meetings to members and alternate members, and, to the extent possible, notice of a meeting shall be given at least four weeks before the opening of that meeting.</w:t>
      </w:r>
    </w:p>
    <w:p w14:paraId="27AC8DA4" w14:textId="2C27A827" w:rsidR="009522FE" w:rsidRDefault="009E5AC3" w:rsidP="009E5AC3">
      <w:pPr>
        <w:pStyle w:val="RegSingleTxtG"/>
        <w:numPr>
          <w:ilvl w:val="0"/>
          <w:numId w:val="0"/>
        </w:numPr>
        <w:ind w:left="1134" w:right="1133"/>
      </w:pPr>
      <w:r>
        <w:t>4.</w:t>
      </w:r>
      <w:r>
        <w:tab/>
      </w:r>
      <w:r w:rsidR="009522FE">
        <w:t>The Committee shall endeavour to hold its meetings in Bonn, as appropriate, and may consider holding meetings virtually on an exceptional basis and when required to advance its work, as proposed by the Co-Chairs after consultation with the Committee.</w:t>
      </w:r>
    </w:p>
    <w:p w14:paraId="21C283A7" w14:textId="38F8642B" w:rsidR="009522FE" w:rsidRDefault="009E5AC3" w:rsidP="009E5AC3">
      <w:pPr>
        <w:pStyle w:val="RegSingleTxtG"/>
        <w:numPr>
          <w:ilvl w:val="0"/>
          <w:numId w:val="0"/>
        </w:numPr>
        <w:ind w:left="1134" w:right="1133"/>
      </w:pPr>
      <w:r>
        <w:t>5.</w:t>
      </w:r>
      <w:r>
        <w:tab/>
      </w:r>
      <w:r w:rsidR="009522FE">
        <w:t>In arranging virtual meetings, the Committee shall pay particular attention to the working modalities of such meetings, including the fair and balanced choice of time zones of members and alternates members, with the aim of ensuring inclusive and effective participation of all members and alternate members.</w:t>
      </w:r>
    </w:p>
    <w:p w14:paraId="3E41648D" w14:textId="3086A86E" w:rsidR="009522FE" w:rsidRDefault="009E5AC3" w:rsidP="009E5AC3">
      <w:pPr>
        <w:pStyle w:val="RegSingleTxtG"/>
        <w:numPr>
          <w:ilvl w:val="0"/>
          <w:numId w:val="0"/>
        </w:numPr>
        <w:ind w:left="1134" w:right="1133"/>
      </w:pPr>
      <w:r>
        <w:t>6.</w:t>
      </w:r>
      <w:r>
        <w:tab/>
      </w:r>
      <w:r w:rsidR="009522FE">
        <w:t>The secretariat shall notify members and alternate members of the date, duration and venue of the meetings and circulate the agenda for the meeting at least five weeks before the opening of the meeting.</w:t>
      </w:r>
    </w:p>
    <w:p w14:paraId="6DBB489E" w14:textId="626AA69C" w:rsidR="009522FE" w:rsidRPr="00F92B59" w:rsidRDefault="009E5AC3" w:rsidP="009E5AC3">
      <w:pPr>
        <w:pStyle w:val="RegHChG"/>
        <w:numPr>
          <w:ilvl w:val="0"/>
          <w:numId w:val="0"/>
        </w:numPr>
        <w:tabs>
          <w:tab w:val="left" w:pos="1135"/>
        </w:tabs>
        <w:ind w:left="1135" w:right="1133" w:hanging="454"/>
      </w:pPr>
      <w:r w:rsidRPr="00F92B59">
        <w:lastRenderedPageBreak/>
        <w:t>VI.</w:t>
      </w:r>
      <w:r w:rsidRPr="00F92B59">
        <w:tab/>
      </w:r>
      <w:r w:rsidR="009522FE" w:rsidRPr="00F92B59">
        <w:t>Rule 6</w:t>
      </w:r>
      <w:r w:rsidR="009522FE">
        <w:t xml:space="preserve">: </w:t>
      </w:r>
      <w:r w:rsidR="009522FE" w:rsidRPr="00F92B59">
        <w:t>Development, transmission and adoption of</w:t>
      </w:r>
      <w:r w:rsidR="009522FE">
        <w:t xml:space="preserve"> meeting</w:t>
      </w:r>
      <w:r w:rsidR="009522FE" w:rsidRPr="00F92B59">
        <w:t xml:space="preserve"> agenda</w:t>
      </w:r>
      <w:r w:rsidR="009522FE">
        <w:t>s</w:t>
      </w:r>
    </w:p>
    <w:p w14:paraId="44DDB59B" w14:textId="782C9C07" w:rsidR="009522FE" w:rsidRDefault="009E5AC3" w:rsidP="009E5AC3">
      <w:pPr>
        <w:pStyle w:val="RegSingleTxtG"/>
        <w:numPr>
          <w:ilvl w:val="0"/>
          <w:numId w:val="0"/>
        </w:numPr>
        <w:ind w:left="1134" w:right="1133"/>
      </w:pPr>
      <w:r>
        <w:t>1.</w:t>
      </w:r>
      <w:r>
        <w:tab/>
      </w:r>
      <w:r w:rsidR="009522FE">
        <w:t>The Co-Chairs, assisted by the secretariat, shall draft the provisional agenda for each meeting of the Committee and transmit it to the Committee no less than five weeks before the opening of the meeting.</w:t>
      </w:r>
    </w:p>
    <w:p w14:paraId="088CDDD8" w14:textId="554FF9BD" w:rsidR="009522FE" w:rsidRDefault="009E5AC3" w:rsidP="009E5AC3">
      <w:pPr>
        <w:pStyle w:val="RegSingleTxtG"/>
        <w:numPr>
          <w:ilvl w:val="0"/>
          <w:numId w:val="0"/>
        </w:numPr>
        <w:ind w:left="1134" w:right="1133"/>
      </w:pPr>
      <w:r>
        <w:t>2.</w:t>
      </w:r>
      <w:r>
        <w:tab/>
      </w:r>
      <w:r w:rsidR="009522FE">
        <w:t>The provisional agenda for each meeting shall include, as appropriate:</w:t>
      </w:r>
    </w:p>
    <w:p w14:paraId="1F27557A" w14:textId="41D2F6B9" w:rsidR="009522FE" w:rsidRDefault="009E5AC3" w:rsidP="009E5AC3">
      <w:pPr>
        <w:pStyle w:val="RegSingleTxtG2"/>
        <w:numPr>
          <w:ilvl w:val="0"/>
          <w:numId w:val="0"/>
        </w:numPr>
        <w:ind w:left="1134" w:right="1133" w:firstLine="567"/>
      </w:pPr>
      <w:r>
        <w:rPr>
          <w:szCs w:val="28"/>
        </w:rPr>
        <w:t>(a)</w:t>
      </w:r>
      <w:r>
        <w:rPr>
          <w:szCs w:val="28"/>
        </w:rPr>
        <w:tab/>
      </w:r>
      <w:r w:rsidR="009522FE">
        <w:t>Items in accordance with the functions of the Committee as provided in Article 15 of the Paris Agreement, the modalities and procedures and these rules of procedure;</w:t>
      </w:r>
    </w:p>
    <w:p w14:paraId="4306F107" w14:textId="6CB39E76" w:rsidR="009522FE" w:rsidRDefault="009E5AC3" w:rsidP="009E5AC3">
      <w:pPr>
        <w:pStyle w:val="RegSingleTxtG2"/>
        <w:numPr>
          <w:ilvl w:val="0"/>
          <w:numId w:val="0"/>
        </w:numPr>
        <w:ind w:left="1134" w:right="1133" w:firstLine="567"/>
      </w:pPr>
      <w:r>
        <w:rPr>
          <w:szCs w:val="28"/>
        </w:rPr>
        <w:t>(b)</w:t>
      </w:r>
      <w:r>
        <w:rPr>
          <w:szCs w:val="28"/>
        </w:rPr>
        <w:tab/>
      </w:r>
      <w:r w:rsidR="009522FE">
        <w:t>Items in accordance with the agreed outcomes of the previous meeting of the Committee;</w:t>
      </w:r>
    </w:p>
    <w:p w14:paraId="7C596CDC" w14:textId="2479B8CF" w:rsidR="009522FE" w:rsidRDefault="009E5AC3" w:rsidP="009E5AC3">
      <w:pPr>
        <w:pStyle w:val="RegSingleTxtG2"/>
        <w:numPr>
          <w:ilvl w:val="0"/>
          <w:numId w:val="0"/>
        </w:numPr>
        <w:ind w:left="1134" w:right="1133" w:firstLine="567"/>
      </w:pPr>
      <w:r>
        <w:rPr>
          <w:szCs w:val="28"/>
        </w:rPr>
        <w:t>(c)</w:t>
      </w:r>
      <w:r>
        <w:rPr>
          <w:szCs w:val="28"/>
        </w:rPr>
        <w:tab/>
      </w:r>
      <w:r w:rsidR="009522FE">
        <w:t>Items in accordance with paragraph 6 of this rule;</w:t>
      </w:r>
    </w:p>
    <w:p w14:paraId="0DB23387" w14:textId="4CC45EE8" w:rsidR="009522FE" w:rsidRDefault="009E5AC3" w:rsidP="009E5AC3">
      <w:pPr>
        <w:pStyle w:val="RegSingleTxtG2"/>
        <w:numPr>
          <w:ilvl w:val="0"/>
          <w:numId w:val="0"/>
        </w:numPr>
        <w:ind w:left="1134" w:right="1133" w:firstLine="567"/>
      </w:pPr>
      <w:r>
        <w:rPr>
          <w:szCs w:val="28"/>
        </w:rPr>
        <w:t>(d)</w:t>
      </w:r>
      <w:r>
        <w:rPr>
          <w:szCs w:val="28"/>
        </w:rPr>
        <w:tab/>
      </w:r>
      <w:r w:rsidR="009522FE">
        <w:t>Items in accordance with the workplan of the Committee and the arrangements for the subsequent meeting(s) of the Committee;</w:t>
      </w:r>
    </w:p>
    <w:p w14:paraId="086F8269" w14:textId="34917F10" w:rsidR="009522FE" w:rsidRDefault="009E5AC3" w:rsidP="009E5AC3">
      <w:pPr>
        <w:pStyle w:val="RegSingleTxtG2"/>
        <w:numPr>
          <w:ilvl w:val="0"/>
          <w:numId w:val="0"/>
        </w:numPr>
        <w:ind w:left="1134" w:right="1133" w:firstLine="567"/>
      </w:pPr>
      <w:r>
        <w:rPr>
          <w:szCs w:val="28"/>
        </w:rPr>
        <w:t>(e)</w:t>
      </w:r>
      <w:r>
        <w:rPr>
          <w:szCs w:val="28"/>
        </w:rPr>
        <w:tab/>
      </w:r>
      <w:r w:rsidR="009522FE">
        <w:t>Items proposed by any member or alternate member subject to paragraph 3 of this rule;</w:t>
      </w:r>
    </w:p>
    <w:p w14:paraId="38EAAABF" w14:textId="3B57DBA1" w:rsidR="009522FE" w:rsidRDefault="009E5AC3" w:rsidP="009E5AC3">
      <w:pPr>
        <w:pStyle w:val="RegSingleTxtG2"/>
        <w:numPr>
          <w:ilvl w:val="0"/>
          <w:numId w:val="0"/>
        </w:numPr>
        <w:ind w:left="1134" w:right="1133" w:firstLine="567"/>
      </w:pPr>
      <w:r>
        <w:rPr>
          <w:szCs w:val="28"/>
        </w:rPr>
        <w:t>(f)</w:t>
      </w:r>
      <w:r>
        <w:rPr>
          <w:szCs w:val="28"/>
        </w:rPr>
        <w:tab/>
      </w:r>
      <w:r w:rsidR="009522FE">
        <w:t>A standing agenda item on budget and finance;</w:t>
      </w:r>
    </w:p>
    <w:p w14:paraId="1DA5287F" w14:textId="6047BE2E" w:rsidR="009522FE" w:rsidRDefault="009E5AC3" w:rsidP="009E5AC3">
      <w:pPr>
        <w:pStyle w:val="RegSingleTxtG2"/>
        <w:numPr>
          <w:ilvl w:val="0"/>
          <w:numId w:val="0"/>
        </w:numPr>
        <w:ind w:left="1134" w:right="1133" w:firstLine="567"/>
      </w:pPr>
      <w:r>
        <w:rPr>
          <w:szCs w:val="28"/>
        </w:rPr>
        <w:t>(g)</w:t>
      </w:r>
      <w:r>
        <w:rPr>
          <w:szCs w:val="28"/>
        </w:rPr>
        <w:tab/>
      </w:r>
      <w:r w:rsidR="009522FE">
        <w:t>A standing agenda item on information from the secretariat in relation to the submission of reports and communications from Parties to guide the Committee in its functions in accordance with paragraphs 20, 22(a–b) and 32–34 of the modalities and procedures.</w:t>
      </w:r>
    </w:p>
    <w:p w14:paraId="640F5212" w14:textId="7EF035AA" w:rsidR="009522FE" w:rsidRDefault="009E5AC3" w:rsidP="009E5AC3">
      <w:pPr>
        <w:pStyle w:val="RegSingleTxtG"/>
        <w:numPr>
          <w:ilvl w:val="0"/>
          <w:numId w:val="0"/>
        </w:numPr>
        <w:ind w:left="1134" w:right="1133"/>
      </w:pPr>
      <w:r>
        <w:t>3.</w:t>
      </w:r>
      <w:r>
        <w:tab/>
      </w:r>
      <w:r w:rsidR="009522FE">
        <w:t>Additions or changes to the provisional agenda for a meeting may be proposed to the Co-Chairs and the secretariat by any member or alternate member and will be incorporated into the provisional agenda provided that the member or alternate member gives notice thereof to the Co-Chairs and the secretariat within one week after the transmission of the provisional agenda.</w:t>
      </w:r>
    </w:p>
    <w:p w14:paraId="3ACC76BF" w14:textId="3117F3C9" w:rsidR="009522FE" w:rsidRDefault="009E5AC3" w:rsidP="009E5AC3">
      <w:pPr>
        <w:pStyle w:val="RegSingleTxtG"/>
        <w:numPr>
          <w:ilvl w:val="0"/>
          <w:numId w:val="0"/>
        </w:numPr>
        <w:ind w:left="1134" w:right="1133"/>
      </w:pPr>
      <w:r>
        <w:t>4.</w:t>
      </w:r>
      <w:r>
        <w:tab/>
      </w:r>
      <w:r w:rsidR="009522FE">
        <w:t>The agenda shall be proposed for adoption by the Committee at the beginning of each meeting.</w:t>
      </w:r>
    </w:p>
    <w:p w14:paraId="50F4610A" w14:textId="3C4B5566" w:rsidR="009522FE" w:rsidRDefault="009E5AC3" w:rsidP="009E5AC3">
      <w:pPr>
        <w:pStyle w:val="RegSingleTxtG"/>
        <w:numPr>
          <w:ilvl w:val="0"/>
          <w:numId w:val="0"/>
        </w:numPr>
        <w:ind w:left="1134" w:right="1133"/>
      </w:pPr>
      <w:r>
        <w:t>5.</w:t>
      </w:r>
      <w:r>
        <w:tab/>
      </w:r>
      <w:r w:rsidR="009522FE">
        <w:t>Prior to the adoption of the agenda at a meeting, the Committee may, by consensus, decide to add items to, delete items from, or defer or amend items in the provisional agenda for that meeting or the provisional agenda for the subsequent meeting, as appropriate.</w:t>
      </w:r>
    </w:p>
    <w:p w14:paraId="4A3BACCD" w14:textId="27C7EFE8" w:rsidR="009522FE" w:rsidRDefault="009E5AC3" w:rsidP="009E5AC3">
      <w:pPr>
        <w:pStyle w:val="RegSingleTxtG"/>
        <w:numPr>
          <w:ilvl w:val="0"/>
          <w:numId w:val="0"/>
        </w:numPr>
        <w:ind w:left="1134" w:right="1133"/>
      </w:pPr>
      <w:r>
        <w:t>6.</w:t>
      </w:r>
      <w:r>
        <w:tab/>
      </w:r>
      <w:r w:rsidR="009522FE">
        <w:t>Any item on the agenda the consideration of which has not been completed at the meeting shall be included in the provisional agenda for the subsequent meeting, unless otherwise decided by the Committee.</w:t>
      </w:r>
    </w:p>
    <w:p w14:paraId="6E610B16" w14:textId="3F4727A0" w:rsidR="009522FE" w:rsidRPr="00F92B59" w:rsidRDefault="009E5AC3" w:rsidP="009E5AC3">
      <w:pPr>
        <w:pStyle w:val="RegHChG"/>
        <w:numPr>
          <w:ilvl w:val="0"/>
          <w:numId w:val="0"/>
        </w:numPr>
        <w:tabs>
          <w:tab w:val="left" w:pos="1135"/>
        </w:tabs>
        <w:ind w:left="1135" w:right="1133" w:hanging="454"/>
      </w:pPr>
      <w:r w:rsidRPr="00F92B59">
        <w:t>VII.</w:t>
      </w:r>
      <w:r w:rsidRPr="00F92B59">
        <w:tab/>
      </w:r>
      <w:r w:rsidR="009522FE" w:rsidRPr="00F92B59">
        <w:t>Rule 7</w:t>
      </w:r>
      <w:r w:rsidR="009522FE">
        <w:t xml:space="preserve">: </w:t>
      </w:r>
      <w:r w:rsidR="009522FE" w:rsidRPr="00F92B59">
        <w:t>Documentation</w:t>
      </w:r>
    </w:p>
    <w:p w14:paraId="1BF34A4C" w14:textId="6689607A" w:rsidR="009522FE" w:rsidRDefault="009E5AC3" w:rsidP="009E5AC3">
      <w:pPr>
        <w:pStyle w:val="RegSingleTxtG"/>
        <w:numPr>
          <w:ilvl w:val="0"/>
          <w:numId w:val="0"/>
        </w:numPr>
        <w:ind w:left="1134" w:right="1133"/>
      </w:pPr>
      <w:r>
        <w:t>1.</w:t>
      </w:r>
      <w:r>
        <w:tab/>
      </w:r>
      <w:r w:rsidR="009522FE">
        <w:t>Documentation for meetings of the Committee shall be made available to the Committee at least four weeks before the meeting.</w:t>
      </w:r>
    </w:p>
    <w:p w14:paraId="5F761076" w14:textId="7046C891" w:rsidR="009522FE" w:rsidRDefault="009E5AC3" w:rsidP="009E5AC3">
      <w:pPr>
        <w:pStyle w:val="RegSingleTxtG"/>
        <w:numPr>
          <w:ilvl w:val="0"/>
          <w:numId w:val="0"/>
        </w:numPr>
        <w:ind w:left="1134" w:right="1133"/>
      </w:pPr>
      <w:r>
        <w:t>2.</w:t>
      </w:r>
      <w:r>
        <w:tab/>
      </w:r>
      <w:r w:rsidR="009522FE">
        <w:t>The provisional agenda, the adopted meeting report and any other documentation as agreed by the Committee, as appropriate, shall be made publicly available on the UNFCCC website, subject to the confidentiality requirements set out in paragraph 14 of the modalities and procedures.</w:t>
      </w:r>
    </w:p>
    <w:p w14:paraId="4F626A50" w14:textId="77576EE9" w:rsidR="009522FE" w:rsidRDefault="009E5AC3" w:rsidP="009E5AC3">
      <w:pPr>
        <w:pStyle w:val="RegSingleTxtG"/>
        <w:numPr>
          <w:ilvl w:val="0"/>
          <w:numId w:val="0"/>
        </w:numPr>
        <w:ind w:left="1134" w:right="1133"/>
      </w:pPr>
      <w:r>
        <w:t>3.</w:t>
      </w:r>
      <w:r>
        <w:tab/>
      </w:r>
      <w:r w:rsidR="009522FE">
        <w:t>The Committee may use electronic means of communication for the transmission and sharing of documentation, without prejudice to other means of communication, as appropriate.</w:t>
      </w:r>
    </w:p>
    <w:p w14:paraId="0D956B0A" w14:textId="5C8BB97A" w:rsidR="009522FE" w:rsidRDefault="009E5AC3" w:rsidP="009E5AC3">
      <w:pPr>
        <w:pStyle w:val="RegSingleTxtG"/>
        <w:numPr>
          <w:ilvl w:val="0"/>
          <w:numId w:val="0"/>
        </w:numPr>
        <w:ind w:left="1134" w:right="1133"/>
      </w:pPr>
      <w:r>
        <w:t>4.</w:t>
      </w:r>
      <w:r>
        <w:tab/>
      </w:r>
      <w:r w:rsidR="009522FE">
        <w:t>The secretariat shall ensure that a secure and dedicated web interface is established and maintained to facilitate the work of the Committee.</w:t>
      </w:r>
    </w:p>
    <w:p w14:paraId="3838084B" w14:textId="2089ABAC" w:rsidR="009522FE" w:rsidRPr="00F92B59" w:rsidRDefault="009E5AC3" w:rsidP="009E5AC3">
      <w:pPr>
        <w:pStyle w:val="RegHChG"/>
        <w:numPr>
          <w:ilvl w:val="0"/>
          <w:numId w:val="0"/>
        </w:numPr>
        <w:tabs>
          <w:tab w:val="left" w:pos="1135"/>
        </w:tabs>
        <w:ind w:left="1135" w:right="1133" w:hanging="454"/>
      </w:pPr>
      <w:r w:rsidRPr="00F92B59">
        <w:lastRenderedPageBreak/>
        <w:t>VIII.</w:t>
      </w:r>
      <w:r w:rsidRPr="00F92B59">
        <w:tab/>
      </w:r>
      <w:r w:rsidR="009522FE" w:rsidRPr="00F92B59">
        <w:t>Rule 8</w:t>
      </w:r>
      <w:r w:rsidR="009522FE">
        <w:t xml:space="preserve">: </w:t>
      </w:r>
      <w:r w:rsidR="009522FE" w:rsidRPr="00F92B59">
        <w:t>Quorum</w:t>
      </w:r>
    </w:p>
    <w:p w14:paraId="58A2FEC9" w14:textId="3EE2DEC9" w:rsidR="009522FE" w:rsidRDefault="009E5AC3" w:rsidP="009E5AC3">
      <w:pPr>
        <w:pStyle w:val="RegSingleTxtG"/>
        <w:numPr>
          <w:ilvl w:val="0"/>
          <w:numId w:val="0"/>
        </w:numPr>
        <w:ind w:left="1134" w:right="1133"/>
      </w:pPr>
      <w:r>
        <w:t>1.</w:t>
      </w:r>
      <w:r>
        <w:tab/>
      </w:r>
      <w:r w:rsidR="009522FE">
        <w:t>A quorum shall be established, in accordance with paragraph 15 of the modalities and procedures, prior to the commencement of the meeting, taking into account that in the absence of a member from all or part of a meeting of the Committee their alternate shall act as the member.</w:t>
      </w:r>
    </w:p>
    <w:p w14:paraId="00154130" w14:textId="52A92AFC" w:rsidR="009522FE" w:rsidRDefault="009E5AC3" w:rsidP="009E5AC3">
      <w:pPr>
        <w:pStyle w:val="RegSingleTxtG"/>
        <w:numPr>
          <w:ilvl w:val="0"/>
          <w:numId w:val="0"/>
        </w:numPr>
        <w:ind w:left="1134" w:right="1133"/>
      </w:pPr>
      <w:r>
        <w:t>2.</w:t>
      </w:r>
      <w:r>
        <w:tab/>
      </w:r>
      <w:r w:rsidR="009522FE">
        <w:t>A quorum shall be confirmed immediately prior to the adoption of any decision, taking into account that an alternate member may cast a vote only if acting as the member.</w:t>
      </w:r>
    </w:p>
    <w:p w14:paraId="4A726B96" w14:textId="5AB7A7B1" w:rsidR="009522FE" w:rsidRDefault="009E5AC3" w:rsidP="009E5AC3">
      <w:pPr>
        <w:pStyle w:val="RegSingleTxtG"/>
        <w:numPr>
          <w:ilvl w:val="0"/>
          <w:numId w:val="0"/>
        </w:numPr>
        <w:ind w:left="1134" w:right="1133"/>
      </w:pPr>
      <w:r>
        <w:t>3.</w:t>
      </w:r>
      <w:r>
        <w:tab/>
      </w:r>
      <w:r w:rsidR="009522FE">
        <w:t>A member or alternate member may ask for a confirmation of quorum prior to the commencement of the meeting or prior to the adoption of any decision by the Committee.</w:t>
      </w:r>
    </w:p>
    <w:p w14:paraId="22962639" w14:textId="5642C620" w:rsidR="009522FE" w:rsidRPr="00F92B59" w:rsidRDefault="009E5AC3" w:rsidP="009E5AC3">
      <w:pPr>
        <w:pStyle w:val="RegHChG"/>
        <w:numPr>
          <w:ilvl w:val="0"/>
          <w:numId w:val="0"/>
        </w:numPr>
        <w:tabs>
          <w:tab w:val="left" w:pos="1135"/>
        </w:tabs>
        <w:ind w:left="1135" w:right="1133" w:hanging="454"/>
      </w:pPr>
      <w:r w:rsidRPr="00F92B59">
        <w:t>IX.</w:t>
      </w:r>
      <w:r w:rsidRPr="00F92B59">
        <w:tab/>
      </w:r>
      <w:r w:rsidR="009522FE" w:rsidRPr="00F92B59">
        <w:t>Rule 9</w:t>
      </w:r>
      <w:r w:rsidR="009522FE">
        <w:t xml:space="preserve">: </w:t>
      </w:r>
      <w:r w:rsidR="009522FE" w:rsidRPr="00F92B59">
        <w:t xml:space="preserve">Decision-making and voting in accordance with paragraph 16 of the </w:t>
      </w:r>
      <w:r w:rsidR="009522FE">
        <w:t>m</w:t>
      </w:r>
      <w:r w:rsidR="009522FE" w:rsidRPr="00F92B59">
        <w:t xml:space="preserve">odalities and </w:t>
      </w:r>
      <w:r w:rsidR="009522FE">
        <w:t>p</w:t>
      </w:r>
      <w:r w:rsidR="009522FE" w:rsidRPr="00F92B59">
        <w:t>rocedures</w:t>
      </w:r>
    </w:p>
    <w:p w14:paraId="754519D1" w14:textId="7AACE7BA" w:rsidR="009522FE" w:rsidRDefault="009E5AC3" w:rsidP="009E5AC3">
      <w:pPr>
        <w:pStyle w:val="RegSingleTxtG"/>
        <w:numPr>
          <w:ilvl w:val="0"/>
          <w:numId w:val="0"/>
        </w:numPr>
        <w:ind w:left="1134" w:right="1133"/>
      </w:pPr>
      <w:r>
        <w:t>1.</w:t>
      </w:r>
      <w:r>
        <w:tab/>
      </w:r>
      <w:r w:rsidR="009522FE">
        <w:t>The Committee shall make every effort to reach agreement by consensus. When proposing a draft decision for adoption, the Co-Chairs shall ascertain whether consensus has been reached.</w:t>
      </w:r>
    </w:p>
    <w:p w14:paraId="76FC6135" w14:textId="46425B14" w:rsidR="009522FE" w:rsidRDefault="009E5AC3" w:rsidP="009E5AC3">
      <w:pPr>
        <w:pStyle w:val="RegSingleTxtG"/>
        <w:numPr>
          <w:ilvl w:val="0"/>
          <w:numId w:val="0"/>
        </w:numPr>
        <w:ind w:left="1134" w:right="1133"/>
      </w:pPr>
      <w:r>
        <w:t>2.</w:t>
      </w:r>
      <w:r>
        <w:tab/>
      </w:r>
      <w:r w:rsidR="009522FE">
        <w:t>Efforts by the Co-Chairs to facilitate the reaching of consensus may include:</w:t>
      </w:r>
    </w:p>
    <w:p w14:paraId="4B2A18E0" w14:textId="316D3977" w:rsidR="009522FE" w:rsidRDefault="009E5AC3" w:rsidP="009E5AC3">
      <w:pPr>
        <w:pStyle w:val="RegSingleTxtG2"/>
        <w:numPr>
          <w:ilvl w:val="0"/>
          <w:numId w:val="0"/>
        </w:numPr>
        <w:ind w:left="1134" w:right="1133" w:firstLine="567"/>
      </w:pPr>
      <w:r>
        <w:rPr>
          <w:szCs w:val="28"/>
        </w:rPr>
        <w:t>(a)</w:t>
      </w:r>
      <w:r>
        <w:rPr>
          <w:szCs w:val="28"/>
        </w:rPr>
        <w:tab/>
      </w:r>
      <w:r w:rsidR="009522FE">
        <w:t>Consulting with members and alternates on draft documents, including draft decisions, prior to the meeting;</w:t>
      </w:r>
    </w:p>
    <w:p w14:paraId="29093580" w14:textId="059B49DC" w:rsidR="009522FE" w:rsidRDefault="009E5AC3" w:rsidP="009E5AC3">
      <w:pPr>
        <w:pStyle w:val="RegSingleTxtG2"/>
        <w:numPr>
          <w:ilvl w:val="0"/>
          <w:numId w:val="0"/>
        </w:numPr>
        <w:ind w:left="1134" w:right="1133" w:firstLine="567"/>
      </w:pPr>
      <w:r>
        <w:rPr>
          <w:szCs w:val="28"/>
        </w:rPr>
        <w:t>(b)</w:t>
      </w:r>
      <w:r>
        <w:rPr>
          <w:szCs w:val="28"/>
        </w:rPr>
        <w:tab/>
      </w:r>
      <w:r w:rsidR="009522FE">
        <w:t xml:space="preserve">Consulting with members and alternates on the relevant matter during the meeting; </w:t>
      </w:r>
    </w:p>
    <w:p w14:paraId="61562718" w14:textId="48371E89" w:rsidR="009522FE" w:rsidRDefault="009E5AC3" w:rsidP="009E5AC3">
      <w:pPr>
        <w:pStyle w:val="RegSingleTxtG2"/>
        <w:numPr>
          <w:ilvl w:val="0"/>
          <w:numId w:val="0"/>
        </w:numPr>
        <w:ind w:left="1134" w:right="1133" w:firstLine="567"/>
      </w:pPr>
      <w:r>
        <w:rPr>
          <w:szCs w:val="28"/>
        </w:rPr>
        <w:t>(c)</w:t>
      </w:r>
      <w:r>
        <w:rPr>
          <w:szCs w:val="28"/>
        </w:rPr>
        <w:tab/>
      </w:r>
      <w:r w:rsidR="009522FE">
        <w:t>Providing the opportunity for members to state and/or formally record in the report on the relevant meeting their reservations regarding a particular decision without preventing consensus from being reached.</w:t>
      </w:r>
    </w:p>
    <w:p w14:paraId="4126BB61" w14:textId="64F93A1C" w:rsidR="009522FE" w:rsidRDefault="009E5AC3" w:rsidP="009E5AC3">
      <w:pPr>
        <w:pStyle w:val="RegSingleTxtG"/>
        <w:numPr>
          <w:ilvl w:val="0"/>
          <w:numId w:val="0"/>
        </w:numPr>
        <w:ind w:left="1134" w:right="1133"/>
      </w:pPr>
      <w:r>
        <w:t>3.</w:t>
      </w:r>
      <w:r>
        <w:tab/>
      </w:r>
      <w:r w:rsidR="009522FE">
        <w:t>The Co-Chairs, acting together and in good faith, and following consultations with all members and alternate members, shall determine whether all efforts at reaching consensus in respect of a particular draft decision have been exhausted.</w:t>
      </w:r>
    </w:p>
    <w:p w14:paraId="05EF5527" w14:textId="38F9DF53" w:rsidR="009522FE" w:rsidRDefault="009E5AC3" w:rsidP="009E5AC3">
      <w:pPr>
        <w:pStyle w:val="RegSingleTxtG"/>
        <w:numPr>
          <w:ilvl w:val="0"/>
          <w:numId w:val="0"/>
        </w:numPr>
        <w:ind w:left="1134" w:right="1133"/>
      </w:pPr>
      <w:r>
        <w:t>4.</w:t>
      </w:r>
      <w:r>
        <w:tab/>
      </w:r>
      <w:r w:rsidR="009522FE">
        <w:t>In making such a determination the Co-Chairs shall take into consideration:</w:t>
      </w:r>
    </w:p>
    <w:p w14:paraId="49A275A3" w14:textId="7FF6C53E" w:rsidR="009522FE" w:rsidRDefault="009E5AC3" w:rsidP="009E5AC3">
      <w:pPr>
        <w:pStyle w:val="RegSingleTxtG2"/>
        <w:numPr>
          <w:ilvl w:val="0"/>
          <w:numId w:val="0"/>
        </w:numPr>
        <w:ind w:left="1134" w:right="1133" w:firstLine="567"/>
      </w:pPr>
      <w:r>
        <w:rPr>
          <w:szCs w:val="28"/>
        </w:rPr>
        <w:t>(a)</w:t>
      </w:r>
      <w:r>
        <w:rPr>
          <w:szCs w:val="28"/>
        </w:rPr>
        <w:tab/>
      </w:r>
      <w:r w:rsidR="009522FE">
        <w:t>Whether consultations on the relevant matter have occurred during and/or between meetings, including between the Co-Chairs, without consensus being reached;</w:t>
      </w:r>
    </w:p>
    <w:p w14:paraId="7887B817" w14:textId="3337D518" w:rsidR="009522FE" w:rsidRDefault="009E5AC3" w:rsidP="009E5AC3">
      <w:pPr>
        <w:pStyle w:val="RegSingleTxtG2"/>
        <w:numPr>
          <w:ilvl w:val="0"/>
          <w:numId w:val="0"/>
        </w:numPr>
        <w:ind w:left="1134" w:right="1133" w:firstLine="567"/>
      </w:pPr>
      <w:r>
        <w:rPr>
          <w:szCs w:val="28"/>
        </w:rPr>
        <w:t>(b)</w:t>
      </w:r>
      <w:r>
        <w:rPr>
          <w:szCs w:val="28"/>
        </w:rPr>
        <w:tab/>
      </w:r>
      <w:r w:rsidR="009522FE">
        <w:t>Whether the subject matter of the draft decision has been considered at prior meetings without consensus being reached;</w:t>
      </w:r>
    </w:p>
    <w:p w14:paraId="09AE4E4F" w14:textId="5FBB65A8" w:rsidR="009522FE" w:rsidRDefault="009E5AC3" w:rsidP="009E5AC3">
      <w:pPr>
        <w:pStyle w:val="RegSingleTxtG2"/>
        <w:numPr>
          <w:ilvl w:val="0"/>
          <w:numId w:val="0"/>
        </w:numPr>
        <w:ind w:left="1134" w:right="1133" w:firstLine="567"/>
      </w:pPr>
      <w:r>
        <w:rPr>
          <w:szCs w:val="28"/>
        </w:rPr>
        <w:t>(c)</w:t>
      </w:r>
      <w:r>
        <w:rPr>
          <w:szCs w:val="28"/>
        </w:rPr>
        <w:tab/>
      </w:r>
      <w:r w:rsidR="009522FE">
        <w:t>Whether and how many members have indicated that they cannot join consensus on an issue.</w:t>
      </w:r>
    </w:p>
    <w:p w14:paraId="7EFEDB3A" w14:textId="7706ECE8" w:rsidR="009522FE" w:rsidRDefault="009E5AC3" w:rsidP="009E5AC3">
      <w:pPr>
        <w:pStyle w:val="RegSingleTxtG"/>
        <w:numPr>
          <w:ilvl w:val="0"/>
          <w:numId w:val="0"/>
        </w:numPr>
        <w:ind w:left="1134" w:right="1133"/>
      </w:pPr>
      <w:r>
        <w:t>5.</w:t>
      </w:r>
      <w:r>
        <w:tab/>
      </w:r>
      <w:r w:rsidR="009522FE">
        <w:t>If all efforts at reaching consensus have been exhausted, as a last resort, the following voting procedures shall apply:</w:t>
      </w:r>
    </w:p>
    <w:p w14:paraId="122D388F" w14:textId="4DD171C8" w:rsidR="009522FE" w:rsidRDefault="009E5AC3" w:rsidP="009E5AC3">
      <w:pPr>
        <w:pStyle w:val="RegSingleTxtG2"/>
        <w:numPr>
          <w:ilvl w:val="0"/>
          <w:numId w:val="0"/>
        </w:numPr>
        <w:ind w:left="1134" w:right="1133" w:firstLine="567"/>
      </w:pPr>
      <w:r>
        <w:rPr>
          <w:szCs w:val="28"/>
        </w:rPr>
        <w:t>(a)</w:t>
      </w:r>
      <w:r>
        <w:rPr>
          <w:szCs w:val="28"/>
        </w:rPr>
        <w:tab/>
      </w:r>
      <w:r w:rsidR="009522FE">
        <w:t>Prior to any votes being cast, the Co-Chairs shall provide a final draft decision to each member. Such a draft decision shall be the version of the decision that, in the Co-Chairs’ judgment, was supported by the greatest number of members;</w:t>
      </w:r>
    </w:p>
    <w:p w14:paraId="6BDF7C6B" w14:textId="0A508380" w:rsidR="009522FE" w:rsidRDefault="009E5AC3" w:rsidP="009E5AC3">
      <w:pPr>
        <w:pStyle w:val="RegSingleTxtG2"/>
        <w:numPr>
          <w:ilvl w:val="0"/>
          <w:numId w:val="0"/>
        </w:numPr>
        <w:ind w:left="1134" w:right="1133" w:firstLine="567"/>
      </w:pPr>
      <w:r>
        <w:rPr>
          <w:szCs w:val="28"/>
        </w:rPr>
        <w:t>(b)</w:t>
      </w:r>
      <w:r>
        <w:rPr>
          <w:szCs w:val="28"/>
        </w:rPr>
        <w:tab/>
      </w:r>
      <w:r w:rsidR="009522FE">
        <w:t>The Co-Chairs retain their right to vote;</w:t>
      </w:r>
    </w:p>
    <w:p w14:paraId="77B51718" w14:textId="748AC265" w:rsidR="009522FE" w:rsidRDefault="009E5AC3" w:rsidP="009E5AC3">
      <w:pPr>
        <w:pStyle w:val="RegSingleTxtG2"/>
        <w:numPr>
          <w:ilvl w:val="0"/>
          <w:numId w:val="0"/>
        </w:numPr>
        <w:ind w:left="1134" w:right="1133" w:firstLine="567"/>
      </w:pPr>
      <w:r>
        <w:rPr>
          <w:szCs w:val="28"/>
        </w:rPr>
        <w:t>(c)</w:t>
      </w:r>
      <w:r>
        <w:rPr>
          <w:szCs w:val="28"/>
        </w:rPr>
        <w:tab/>
      </w:r>
      <w:r w:rsidR="009522FE">
        <w:t>Each member shall have one vote;</w:t>
      </w:r>
    </w:p>
    <w:p w14:paraId="7943E83B" w14:textId="02438D27" w:rsidR="009522FE" w:rsidRDefault="009E5AC3" w:rsidP="009E5AC3">
      <w:pPr>
        <w:pStyle w:val="RegSingleTxtG2"/>
        <w:numPr>
          <w:ilvl w:val="0"/>
          <w:numId w:val="0"/>
        </w:numPr>
        <w:ind w:left="1134" w:right="1133" w:firstLine="567"/>
      </w:pPr>
      <w:r>
        <w:rPr>
          <w:szCs w:val="28"/>
        </w:rPr>
        <w:t>(d)</w:t>
      </w:r>
      <w:r>
        <w:rPr>
          <w:szCs w:val="28"/>
        </w:rPr>
        <w:tab/>
      </w:r>
      <w:r w:rsidR="009522FE">
        <w:t>A decision that is voted in favour of by at least three quarters of members present and voting shall be considered adopted.</w:t>
      </w:r>
    </w:p>
    <w:p w14:paraId="3D310AA8" w14:textId="0F85275B" w:rsidR="009522FE" w:rsidRDefault="009E5AC3" w:rsidP="009E5AC3">
      <w:pPr>
        <w:pStyle w:val="RegSingleTxtG"/>
        <w:numPr>
          <w:ilvl w:val="0"/>
          <w:numId w:val="0"/>
        </w:numPr>
        <w:ind w:left="1134" w:right="1133"/>
      </w:pPr>
      <w:r>
        <w:t>6.</w:t>
      </w:r>
      <w:r>
        <w:tab/>
      </w:r>
      <w:r w:rsidR="009522FE">
        <w:t>For the purpose of this rule, the phrase “members present and voting” means members and alternate members acting as members present at the meeting at which voting takes place and casting an affirmative or negative vote. Members abstaining from voting shall be considered as not voting for the purpose of determining the three-quarters majority.</w:t>
      </w:r>
    </w:p>
    <w:p w14:paraId="1D72A62D" w14:textId="2E6FBBD2" w:rsidR="009522FE" w:rsidRDefault="009E5AC3" w:rsidP="009E5AC3">
      <w:pPr>
        <w:pStyle w:val="RegSingleTxtG"/>
        <w:numPr>
          <w:ilvl w:val="0"/>
          <w:numId w:val="0"/>
        </w:numPr>
        <w:ind w:left="1134" w:right="1133"/>
      </w:pPr>
      <w:r>
        <w:lastRenderedPageBreak/>
        <w:t>7.</w:t>
      </w:r>
      <w:r>
        <w:tab/>
      </w:r>
      <w:r w:rsidR="009522FE">
        <w:t>The Committee may, in writing using electronic means, take decisions between meetings for procedural matters or for matters for which it has during a meeting agreed such decisions are needed.</w:t>
      </w:r>
    </w:p>
    <w:p w14:paraId="525DC957" w14:textId="21D2C8D8" w:rsidR="009522FE" w:rsidRDefault="009E5AC3" w:rsidP="009E5AC3">
      <w:pPr>
        <w:pStyle w:val="RegSingleTxtG"/>
        <w:numPr>
          <w:ilvl w:val="0"/>
          <w:numId w:val="0"/>
        </w:numPr>
        <w:ind w:left="1134" w:right="1133"/>
      </w:pPr>
      <w:r>
        <w:t>8.</w:t>
      </w:r>
      <w:r>
        <w:tab/>
      </w:r>
      <w:r w:rsidR="009522FE">
        <w:t>In accordance with paragraph 7 of this rule, rule 3.2 above and paragraphs 15–16 of the modalities and procedures, the Co-Chairs will circulate a proposed written decision for adoption on a no-objection basis within three weeks, after which the proposed written decision will be deemed adopted, unless there is an objection. If an objection is received, the Co-Chairs will work through the objection with the member or alternate member acting for the member, as ascertained by the Co-Chairs. If the objecting member or alternate member acting for a member upholds their objection, the proposed written decision will be considered by the Committee at the following meeting. If the objection is withdrawn or resolved without altering the text of the decision, the decision will be deemed adopted. The secretariat shall circulate to the Committee all written comments and objections.</w:t>
      </w:r>
    </w:p>
    <w:p w14:paraId="7301E2E6" w14:textId="51B4D817" w:rsidR="009522FE" w:rsidRDefault="009E5AC3" w:rsidP="009E5AC3">
      <w:pPr>
        <w:pStyle w:val="RegSingleTxtG"/>
        <w:numPr>
          <w:ilvl w:val="0"/>
          <w:numId w:val="0"/>
        </w:numPr>
        <w:ind w:left="1134" w:right="1133"/>
      </w:pPr>
      <w:r>
        <w:t>9.</w:t>
      </w:r>
      <w:r>
        <w:tab/>
      </w:r>
      <w:r w:rsidR="009522FE">
        <w:t>Decisions adopted by the Committee shall be included in the report on the meeting and those decisions adopted pursuant to a vote shall include an indication of the final tally of votes together with any comments from dissenting members. Decisions approved between meetings shall be recorded in the report on the following Committee meeting.</w:t>
      </w:r>
    </w:p>
    <w:p w14:paraId="2A6A78A8" w14:textId="088782E2" w:rsidR="009522FE" w:rsidRDefault="009E5AC3" w:rsidP="009E5AC3">
      <w:pPr>
        <w:pStyle w:val="RegSingleTxtG"/>
        <w:numPr>
          <w:ilvl w:val="0"/>
          <w:numId w:val="0"/>
        </w:numPr>
        <w:ind w:left="1134" w:right="1133"/>
      </w:pPr>
      <w:r>
        <w:t>10.</w:t>
      </w:r>
      <w:r>
        <w:tab/>
      </w:r>
      <w:r w:rsidR="009522FE">
        <w:t>Decisions of the Committee shall be reasoned and in writing.</w:t>
      </w:r>
    </w:p>
    <w:p w14:paraId="51A39C79" w14:textId="63532A38" w:rsidR="009522FE" w:rsidRPr="005F27E8" w:rsidRDefault="009E5AC3" w:rsidP="009E5AC3">
      <w:pPr>
        <w:pStyle w:val="RegHChG"/>
        <w:numPr>
          <w:ilvl w:val="0"/>
          <w:numId w:val="0"/>
        </w:numPr>
        <w:tabs>
          <w:tab w:val="left" w:pos="1135"/>
        </w:tabs>
        <w:ind w:left="1135" w:right="1133" w:hanging="454"/>
      </w:pPr>
      <w:r w:rsidRPr="005F27E8">
        <w:t>X.</w:t>
      </w:r>
      <w:r w:rsidRPr="005F27E8">
        <w:tab/>
      </w:r>
      <w:r w:rsidR="009522FE" w:rsidRPr="00F92B59">
        <w:t>Rule 10</w:t>
      </w:r>
      <w:r w:rsidR="009522FE">
        <w:t xml:space="preserve">: </w:t>
      </w:r>
      <w:r w:rsidR="009522FE" w:rsidRPr="00F92B59">
        <w:t>Expert advice and information in accordance with paragraphs 25(c) and 35 of the modalities and procedures</w:t>
      </w:r>
    </w:p>
    <w:p w14:paraId="0CB6A6D3" w14:textId="61B12130" w:rsidR="009522FE" w:rsidRDefault="009E5AC3" w:rsidP="009E5AC3">
      <w:pPr>
        <w:pStyle w:val="RegSingleTxtG"/>
        <w:numPr>
          <w:ilvl w:val="0"/>
          <w:numId w:val="0"/>
        </w:numPr>
        <w:ind w:left="1134" w:right="1133"/>
      </w:pPr>
      <w:r>
        <w:t>1.</w:t>
      </w:r>
      <w:r>
        <w:tab/>
      </w:r>
      <w:r w:rsidR="009522FE">
        <w:tab/>
      </w:r>
      <w:r w:rsidR="009522FE" w:rsidRPr="7EA56501">
        <w:t>In accordance with paragraph 35 of the modalities and procedures, the Co-Chairs, at the request of the Committee, may, in the course of its work, seek expert advice and information on behalf of the Committee, and may seek and receive information from processes, bodies, arrangements and forums under and serving the Paris Agreement, including, as appropriate and in consultation with the Party concerned, by inviting representatives of those relevant bodies and making arrangements for them to participate in its relevant meetings.</w:t>
      </w:r>
    </w:p>
    <w:p w14:paraId="562AB076" w14:textId="2F1C09CF" w:rsidR="009522FE" w:rsidRDefault="009E5AC3" w:rsidP="009E5AC3">
      <w:pPr>
        <w:pStyle w:val="RegSingleTxtG"/>
        <w:numPr>
          <w:ilvl w:val="0"/>
          <w:numId w:val="0"/>
        </w:numPr>
        <w:ind w:left="1134" w:right="1133"/>
      </w:pPr>
      <w:r>
        <w:t>2.</w:t>
      </w:r>
      <w:r>
        <w:tab/>
      </w:r>
      <w:r w:rsidR="009522FE">
        <w:t>When seeking such expert advice and information, the Committee should, as appropriate, take into account the expertise and experience from the region of the Party concerned, and may invite expert advice from the Party concerned.</w:t>
      </w:r>
    </w:p>
    <w:p w14:paraId="3EC08778" w14:textId="7D61E1B0" w:rsidR="009522FE" w:rsidRDefault="009E5AC3" w:rsidP="009E5AC3">
      <w:pPr>
        <w:pStyle w:val="RegSingleTxtG"/>
        <w:numPr>
          <w:ilvl w:val="0"/>
          <w:numId w:val="0"/>
        </w:numPr>
        <w:ind w:left="1134" w:right="1133"/>
      </w:pPr>
      <w:r>
        <w:t>3.</w:t>
      </w:r>
      <w:r>
        <w:tab/>
      </w:r>
      <w:r w:rsidR="009522FE">
        <w:t>The Committee may</w:t>
      </w:r>
      <w:r w:rsidR="00CF586C">
        <w:t>,</w:t>
      </w:r>
      <w:r w:rsidR="009522FE">
        <w:t xml:space="preserve"> in due course, develop working arrangements on expert advice</w:t>
      </w:r>
      <w:r w:rsidR="00CF586C">
        <w:t>,</w:t>
      </w:r>
      <w:r w:rsidR="009522FE">
        <w:t xml:space="preserve"> as appropriate.</w:t>
      </w:r>
    </w:p>
    <w:p w14:paraId="7B19CFF2" w14:textId="7D2E899A" w:rsidR="009522FE" w:rsidRPr="005F27E8" w:rsidRDefault="009E5AC3" w:rsidP="009E5AC3">
      <w:pPr>
        <w:pStyle w:val="RegHChG"/>
        <w:numPr>
          <w:ilvl w:val="0"/>
          <w:numId w:val="0"/>
        </w:numPr>
        <w:tabs>
          <w:tab w:val="left" w:pos="1135"/>
        </w:tabs>
        <w:ind w:left="1135" w:right="1133" w:hanging="454"/>
      </w:pPr>
      <w:r w:rsidRPr="005F27E8">
        <w:t>XI.</w:t>
      </w:r>
      <w:r w:rsidRPr="005F27E8">
        <w:tab/>
      </w:r>
      <w:r w:rsidR="009522FE" w:rsidRPr="00F92B59">
        <w:t>Rule 11</w:t>
      </w:r>
      <w:r w:rsidR="009522FE">
        <w:t xml:space="preserve">: </w:t>
      </w:r>
      <w:r w:rsidR="009522FE" w:rsidRPr="00F92B59">
        <w:t>Languages</w:t>
      </w:r>
    </w:p>
    <w:p w14:paraId="284B7073" w14:textId="27C64AC1" w:rsidR="009522FE" w:rsidRDefault="009E5AC3" w:rsidP="009E5AC3">
      <w:pPr>
        <w:pStyle w:val="RegSingleTxtG"/>
        <w:numPr>
          <w:ilvl w:val="0"/>
          <w:numId w:val="0"/>
        </w:numPr>
        <w:ind w:left="1134" w:right="1133"/>
      </w:pPr>
      <w:r>
        <w:t>1.</w:t>
      </w:r>
      <w:r>
        <w:tab/>
      </w:r>
      <w:r w:rsidR="009522FE">
        <w:tab/>
      </w:r>
      <w:r w:rsidR="009522FE" w:rsidRPr="7EA56501">
        <w:t>The working language of the Committee shall be English.</w:t>
      </w:r>
    </w:p>
    <w:p w14:paraId="7125B73A" w14:textId="371E7DA1" w:rsidR="009522FE" w:rsidRDefault="009E5AC3" w:rsidP="009E5AC3">
      <w:pPr>
        <w:pStyle w:val="RegSingleTxtG"/>
        <w:numPr>
          <w:ilvl w:val="0"/>
          <w:numId w:val="0"/>
        </w:numPr>
        <w:ind w:left="1134" w:right="1133"/>
      </w:pPr>
      <w:r>
        <w:t>2.</w:t>
      </w:r>
      <w:r>
        <w:tab/>
      </w:r>
      <w:r w:rsidR="009522FE">
        <w:t>The parts of the meeting of the Committee that are of particular relevance to a Party concerned and open to that Party shall be translated into one of the other five official languages of the United Nations by the secretariat at the request of the Party, subject to the availability of dedicated resources.</w:t>
      </w:r>
    </w:p>
    <w:p w14:paraId="4EF328E6" w14:textId="74F005E1" w:rsidR="009522FE" w:rsidRDefault="009E5AC3" w:rsidP="009E5AC3">
      <w:pPr>
        <w:pStyle w:val="RegSingleTxtG"/>
        <w:numPr>
          <w:ilvl w:val="0"/>
          <w:numId w:val="0"/>
        </w:numPr>
        <w:ind w:left="1134" w:right="1133"/>
      </w:pPr>
      <w:r>
        <w:t>3.</w:t>
      </w:r>
      <w:r>
        <w:tab/>
      </w:r>
      <w:r w:rsidR="009522FE">
        <w:t xml:space="preserve">A representative of a Party concerned may engage with the Committee in the language of </w:t>
      </w:r>
      <w:r w:rsidR="00A66C83">
        <w:t>their</w:t>
      </w:r>
      <w:r w:rsidR="009522FE">
        <w:t xml:space="preserve"> choice provided that the Party arranges for the interpretation of the communication, whether written or oral, into English.</w:t>
      </w:r>
    </w:p>
    <w:p w14:paraId="6174F112" w14:textId="25381E52" w:rsidR="009522FE" w:rsidRDefault="009E5AC3" w:rsidP="009E5AC3">
      <w:pPr>
        <w:pStyle w:val="RegSingleTxtG"/>
        <w:numPr>
          <w:ilvl w:val="0"/>
          <w:numId w:val="0"/>
        </w:numPr>
        <w:ind w:left="1134" w:right="1133"/>
      </w:pPr>
      <w:r>
        <w:t>4.</w:t>
      </w:r>
      <w:r>
        <w:tab/>
      </w:r>
      <w:r w:rsidR="009522FE">
        <w:t>Submissions from Parties should be made in English. Submissions may be made in one of the other five official languages of the United Nations if the Party also provides a translation into English.</w:t>
      </w:r>
    </w:p>
    <w:p w14:paraId="5E51207F" w14:textId="414C3FCB" w:rsidR="009522FE" w:rsidRPr="005F27E8" w:rsidRDefault="009E5AC3" w:rsidP="009E5AC3">
      <w:pPr>
        <w:pStyle w:val="RegHChG"/>
        <w:numPr>
          <w:ilvl w:val="0"/>
          <w:numId w:val="0"/>
        </w:numPr>
        <w:tabs>
          <w:tab w:val="left" w:pos="1135"/>
        </w:tabs>
        <w:ind w:left="1135" w:right="1133" w:hanging="454"/>
      </w:pPr>
      <w:r w:rsidRPr="005F27E8">
        <w:t>XII.</w:t>
      </w:r>
      <w:r w:rsidRPr="005F27E8">
        <w:tab/>
      </w:r>
      <w:r w:rsidR="009522FE" w:rsidRPr="00F92B59">
        <w:t>Rule 12</w:t>
      </w:r>
      <w:r w:rsidR="009522FE">
        <w:t xml:space="preserve">: </w:t>
      </w:r>
      <w:r w:rsidR="009522FE" w:rsidRPr="00F92B59">
        <w:t>Observers</w:t>
      </w:r>
    </w:p>
    <w:p w14:paraId="6958839F" w14:textId="348DDC61" w:rsidR="009522FE" w:rsidRDefault="009E5AC3" w:rsidP="009E5AC3">
      <w:pPr>
        <w:pStyle w:val="RegSingleTxtG"/>
        <w:numPr>
          <w:ilvl w:val="0"/>
          <w:numId w:val="0"/>
        </w:numPr>
        <w:ind w:left="1134" w:right="1133"/>
      </w:pPr>
      <w:r>
        <w:t>1.</w:t>
      </w:r>
      <w:r>
        <w:tab/>
      </w:r>
      <w:r w:rsidR="009522FE">
        <w:t xml:space="preserve">Meetings of the Committee shall be open to Parties and admitted non-Party observers to observe, subject to paragraphs 13–14 of the modalities and procedures, unless the </w:t>
      </w:r>
      <w:r w:rsidR="009522FE">
        <w:lastRenderedPageBreak/>
        <w:t>Committee decides to hold the meeting or a part</w:t>
      </w:r>
      <w:r w:rsidR="00554CD2">
        <w:t xml:space="preserve"> </w:t>
      </w:r>
      <w:r w:rsidR="009522FE">
        <w:t>or parts thereof in a closed session in order to, inter alia, protect the confidentiality of information received in confidence in accordance with paragraph 14 of the modalities and procedures. Such a decision by the Committee may be taken on a case-by-case basis at any time before or during a meeting.</w:t>
      </w:r>
    </w:p>
    <w:p w14:paraId="03BE62A7" w14:textId="34622763" w:rsidR="009522FE" w:rsidRDefault="009E5AC3" w:rsidP="009E5AC3">
      <w:pPr>
        <w:pStyle w:val="RegSingleTxtG"/>
        <w:numPr>
          <w:ilvl w:val="0"/>
          <w:numId w:val="0"/>
        </w:numPr>
        <w:ind w:left="1134" w:right="1133"/>
      </w:pPr>
      <w:r>
        <w:t>2.</w:t>
      </w:r>
      <w:r>
        <w:tab/>
      </w:r>
      <w:r w:rsidR="009522FE">
        <w:t>The secretariat shall inform the Committee before the meeting of any requests to attend the meeting received from non-Party observers admitted to the UNFCCC process.</w:t>
      </w:r>
    </w:p>
    <w:p w14:paraId="39DB45C2" w14:textId="49ED6C57" w:rsidR="009522FE" w:rsidRDefault="009E5AC3" w:rsidP="009E5AC3">
      <w:pPr>
        <w:pStyle w:val="RegSingleTxtG"/>
        <w:numPr>
          <w:ilvl w:val="0"/>
          <w:numId w:val="0"/>
        </w:numPr>
        <w:ind w:left="1134" w:right="1133"/>
      </w:pPr>
      <w:r>
        <w:t>3.</w:t>
      </w:r>
      <w:r>
        <w:tab/>
      </w:r>
      <w:r w:rsidR="009522FE">
        <w:t>Admitted non-Party observers shall abide by the guidelines for the participation of representatives of non-governmental organizations at meetings of UNFCCC bodies</w:t>
      </w:r>
      <w:r w:rsidR="009522FE">
        <w:rPr>
          <w:rStyle w:val="FootnoteReference"/>
        </w:rPr>
        <w:footnoteReference w:id="85"/>
      </w:r>
      <w:r w:rsidR="009522FE">
        <w:t xml:space="preserve"> and the Code of Conduct for UNFCCC conferences, meeting and events, including amended, revised and replaced versions of the same, which would be applied mutatis mutandis to the Committee.</w:t>
      </w:r>
    </w:p>
    <w:p w14:paraId="2C0FF9F2" w14:textId="6A690F57" w:rsidR="009522FE" w:rsidRDefault="009E5AC3" w:rsidP="009E5AC3">
      <w:pPr>
        <w:pStyle w:val="RegSingleTxtG"/>
        <w:numPr>
          <w:ilvl w:val="0"/>
          <w:numId w:val="0"/>
        </w:numPr>
        <w:ind w:left="1134" w:right="1133"/>
      </w:pPr>
      <w:r>
        <w:t>4.</w:t>
      </w:r>
      <w:r>
        <w:tab/>
      </w:r>
      <w:r w:rsidR="009522FE">
        <w:t>Parties and admitted non-Party observers shall leave the meeting if the Committee decides to hold a part of the meeting in a closed session.</w:t>
      </w:r>
    </w:p>
    <w:p w14:paraId="7BF483EA" w14:textId="24EB1A9F" w:rsidR="009522FE" w:rsidRDefault="009E5AC3" w:rsidP="009E5AC3">
      <w:pPr>
        <w:pStyle w:val="RegSingleTxtG"/>
        <w:numPr>
          <w:ilvl w:val="0"/>
          <w:numId w:val="0"/>
        </w:numPr>
        <w:ind w:left="1134" w:right="1133"/>
      </w:pPr>
      <w:r>
        <w:t>5.</w:t>
      </w:r>
      <w:r>
        <w:tab/>
      </w:r>
      <w:r w:rsidR="009522FE">
        <w:t>The parts of the meeting that are open to observers shall be recorded and the recording made available on the UNFCCC website after the meeting, unless the Committee decides otherwise.</w:t>
      </w:r>
    </w:p>
    <w:p w14:paraId="6E75A164" w14:textId="41B70296" w:rsidR="009522FE" w:rsidRDefault="009E5AC3" w:rsidP="009E5AC3">
      <w:pPr>
        <w:pStyle w:val="RegSingleTxtG"/>
        <w:numPr>
          <w:ilvl w:val="0"/>
          <w:numId w:val="0"/>
        </w:numPr>
        <w:ind w:left="1134" w:right="1133"/>
      </w:pPr>
      <w:r>
        <w:t>6.</w:t>
      </w:r>
      <w:r>
        <w:tab/>
      </w:r>
      <w:r w:rsidR="009522FE">
        <w:t>If, in the course of a meeting, a member or alternate member believes that an observer has violated paragraph 3 of this rule, it may request the Co-Chairs to immediately consult the Committee on this issue in a closed session. If, following the consultations, the Co-Chairs find in favour of the member or alternate member concerned, the observer concerned shall leave the meeting. If the member or alternate member concerned objects to the finding of the Co-Chairs, the Committee shall consider the course of action to be taken.</w:t>
      </w:r>
    </w:p>
    <w:p w14:paraId="31BD5D0F" w14:textId="229ED0A5" w:rsidR="009522FE" w:rsidRPr="005F27E8" w:rsidRDefault="009E5AC3" w:rsidP="009E5AC3">
      <w:pPr>
        <w:pStyle w:val="RegHChG"/>
        <w:numPr>
          <w:ilvl w:val="0"/>
          <w:numId w:val="0"/>
        </w:numPr>
        <w:tabs>
          <w:tab w:val="left" w:pos="1135"/>
        </w:tabs>
        <w:ind w:left="1135" w:right="1133" w:hanging="454"/>
      </w:pPr>
      <w:r w:rsidRPr="005F27E8">
        <w:t>XIII.</w:t>
      </w:r>
      <w:r w:rsidRPr="005F27E8">
        <w:tab/>
      </w:r>
      <w:r w:rsidR="009522FE" w:rsidRPr="00F92B59">
        <w:t>Rule 13</w:t>
      </w:r>
      <w:r w:rsidR="009522FE">
        <w:t xml:space="preserve">: </w:t>
      </w:r>
      <w:r w:rsidR="009522FE" w:rsidRPr="00F92B59">
        <w:t>Secretariat</w:t>
      </w:r>
    </w:p>
    <w:p w14:paraId="48A7D94C" w14:textId="1516B15C" w:rsidR="009522FE" w:rsidRDefault="009E5AC3" w:rsidP="009E5AC3">
      <w:pPr>
        <w:pStyle w:val="RegSingleTxtG"/>
        <w:numPr>
          <w:ilvl w:val="0"/>
          <w:numId w:val="0"/>
        </w:numPr>
        <w:ind w:left="1134" w:right="1133"/>
      </w:pPr>
      <w:r>
        <w:t>1.</w:t>
      </w:r>
      <w:r>
        <w:tab/>
      </w:r>
      <w:r w:rsidR="009522FE">
        <w:tab/>
      </w:r>
      <w:r w:rsidR="009522FE" w:rsidRPr="7EA56501">
        <w:t>The secretariat shall support and facilitate the work of the Committee, subject to the availability of resources.</w:t>
      </w:r>
    </w:p>
    <w:p w14:paraId="6A481212" w14:textId="57167F18" w:rsidR="009522FE" w:rsidRDefault="009E5AC3" w:rsidP="009E5AC3">
      <w:pPr>
        <w:pStyle w:val="RegSingleTxtG"/>
        <w:numPr>
          <w:ilvl w:val="0"/>
          <w:numId w:val="0"/>
        </w:numPr>
        <w:ind w:left="1134" w:right="1133"/>
      </w:pPr>
      <w:r>
        <w:t>2.</w:t>
      </w:r>
      <w:r>
        <w:tab/>
      </w:r>
      <w:r w:rsidR="009522FE">
        <w:t>Subject to paragraph 1 of this rule, the secretariat shall:</w:t>
      </w:r>
    </w:p>
    <w:p w14:paraId="69EA3818" w14:textId="08A9044C" w:rsidR="009522FE" w:rsidRDefault="009E5AC3" w:rsidP="009E5AC3">
      <w:pPr>
        <w:pStyle w:val="RegSingleTxtG2"/>
        <w:numPr>
          <w:ilvl w:val="0"/>
          <w:numId w:val="0"/>
        </w:numPr>
        <w:ind w:left="1134" w:right="1133" w:firstLine="567"/>
      </w:pPr>
      <w:r>
        <w:rPr>
          <w:szCs w:val="28"/>
        </w:rPr>
        <w:t>(a)</w:t>
      </w:r>
      <w:r>
        <w:rPr>
          <w:szCs w:val="28"/>
        </w:rPr>
        <w:tab/>
      </w:r>
      <w:r w:rsidR="009522FE">
        <w:t>Make the necessary arrangements for the meetings of the Committee, including preparing provisional agendas in consultation with the Co-Chairs, announcing meetings, issuing invitations and making available the documents for the meetings;</w:t>
      </w:r>
    </w:p>
    <w:p w14:paraId="5976DEB6" w14:textId="21B3C569" w:rsidR="009522FE" w:rsidRDefault="009E5AC3" w:rsidP="009E5AC3">
      <w:pPr>
        <w:pStyle w:val="RegSingleTxtG2"/>
        <w:numPr>
          <w:ilvl w:val="0"/>
          <w:numId w:val="0"/>
        </w:numPr>
        <w:ind w:left="1134" w:right="1133" w:firstLine="567"/>
      </w:pPr>
      <w:r>
        <w:rPr>
          <w:szCs w:val="28"/>
        </w:rPr>
        <w:t>(b)</w:t>
      </w:r>
      <w:r>
        <w:rPr>
          <w:szCs w:val="28"/>
        </w:rPr>
        <w:tab/>
      </w:r>
      <w:r w:rsidR="009522FE">
        <w:t>Maintain meeting records and arrange for the storage and preservation of meeting documents;</w:t>
      </w:r>
    </w:p>
    <w:p w14:paraId="404ADED5" w14:textId="386F5244" w:rsidR="009522FE" w:rsidRDefault="009E5AC3" w:rsidP="009E5AC3">
      <w:pPr>
        <w:pStyle w:val="RegSingleTxtG2"/>
        <w:numPr>
          <w:ilvl w:val="0"/>
          <w:numId w:val="0"/>
        </w:numPr>
        <w:ind w:left="1134" w:right="1133" w:firstLine="567"/>
      </w:pPr>
      <w:r>
        <w:rPr>
          <w:szCs w:val="28"/>
        </w:rPr>
        <w:t>(c)</w:t>
      </w:r>
      <w:r>
        <w:rPr>
          <w:szCs w:val="28"/>
        </w:rPr>
        <w:tab/>
      </w:r>
      <w:r w:rsidR="009522FE">
        <w:t>Make documents available to the public in accordance with rule 7 above and paragraph 14 of the modalities and procedures, unless otherwise determined by the Committee;</w:t>
      </w:r>
    </w:p>
    <w:p w14:paraId="13536EBE" w14:textId="09C3D281" w:rsidR="009522FE" w:rsidRDefault="009E5AC3" w:rsidP="009E5AC3">
      <w:pPr>
        <w:pStyle w:val="RegSingleTxtG2"/>
        <w:numPr>
          <w:ilvl w:val="0"/>
          <w:numId w:val="0"/>
        </w:numPr>
        <w:ind w:left="1134" w:right="1133" w:firstLine="567"/>
      </w:pPr>
      <w:r>
        <w:rPr>
          <w:szCs w:val="28"/>
        </w:rPr>
        <w:t>(d)</w:t>
      </w:r>
      <w:r>
        <w:rPr>
          <w:szCs w:val="28"/>
        </w:rPr>
        <w:tab/>
      </w:r>
      <w:r w:rsidR="009522FE">
        <w:t>Perform any other functions requested by the Committee, consistently with any relevant decisions of the CMA;</w:t>
      </w:r>
    </w:p>
    <w:p w14:paraId="02CC2EF1" w14:textId="1700838F" w:rsidR="009522FE" w:rsidRPr="003C55F9" w:rsidRDefault="009E5AC3" w:rsidP="009E5AC3">
      <w:pPr>
        <w:pStyle w:val="RegSingleTxtG2"/>
        <w:numPr>
          <w:ilvl w:val="0"/>
          <w:numId w:val="0"/>
        </w:numPr>
        <w:ind w:left="1134" w:right="1133" w:firstLine="567"/>
        <w:rPr>
          <w:spacing w:val="-4"/>
        </w:rPr>
      </w:pPr>
      <w:r w:rsidRPr="003C55F9">
        <w:rPr>
          <w:spacing w:val="-4"/>
          <w:szCs w:val="28"/>
        </w:rPr>
        <w:t>(e)</w:t>
      </w:r>
      <w:r w:rsidRPr="003C55F9">
        <w:rPr>
          <w:spacing w:val="-4"/>
          <w:szCs w:val="28"/>
        </w:rPr>
        <w:tab/>
      </w:r>
      <w:r w:rsidR="009522FE" w:rsidRPr="003C55F9">
        <w:rPr>
          <w:spacing w:val="-4"/>
        </w:rPr>
        <w:t>Arrange for interpretation at the meeting, as may be required under rule 11.2 above.</w:t>
      </w:r>
    </w:p>
    <w:p w14:paraId="6E3184B4" w14:textId="3E6A81C0" w:rsidR="009522FE" w:rsidRPr="005F27E8" w:rsidRDefault="009E5AC3" w:rsidP="009E5AC3">
      <w:pPr>
        <w:pStyle w:val="RegHChG"/>
        <w:numPr>
          <w:ilvl w:val="0"/>
          <w:numId w:val="0"/>
        </w:numPr>
        <w:tabs>
          <w:tab w:val="left" w:pos="1135"/>
        </w:tabs>
        <w:ind w:left="1135" w:right="1133" w:hanging="454"/>
      </w:pPr>
      <w:r w:rsidRPr="005F27E8">
        <w:t>XIV.</w:t>
      </w:r>
      <w:r w:rsidRPr="005F27E8">
        <w:tab/>
      </w:r>
      <w:r w:rsidR="009522FE" w:rsidRPr="00F92B59">
        <w:t>Rule 14</w:t>
      </w:r>
      <w:r w:rsidR="009522FE" w:rsidRPr="00CC5AF1">
        <w:t>:</w:t>
      </w:r>
      <w:r w:rsidR="000B6161">
        <w:t xml:space="preserve"> </w:t>
      </w:r>
      <w:r w:rsidR="009522FE" w:rsidRPr="00F92B59">
        <w:t>Conference of the Parties serving as the meeting of the Parties to the Paris Agreement</w:t>
      </w:r>
    </w:p>
    <w:p w14:paraId="7CBCCD39" w14:textId="1076F38F" w:rsidR="009522FE" w:rsidRDefault="009E5AC3" w:rsidP="009E5AC3">
      <w:pPr>
        <w:pStyle w:val="RegSingleTxtG"/>
        <w:numPr>
          <w:ilvl w:val="0"/>
          <w:numId w:val="0"/>
        </w:numPr>
        <w:ind w:left="1134" w:right="1133"/>
      </w:pPr>
      <w:r>
        <w:t>1.</w:t>
      </w:r>
      <w:r>
        <w:tab/>
      </w:r>
      <w:r w:rsidR="009522FE">
        <w:tab/>
      </w:r>
      <w:r w:rsidR="009522FE" w:rsidRPr="7EA56501">
        <w:t>Pursuant to Article 15 of the Paris Agreement, the Committee shall report annually to the CMA and may receive guidance from the CMA.</w:t>
      </w:r>
    </w:p>
    <w:p w14:paraId="721A00C2" w14:textId="4BD0486A" w:rsidR="009522FE" w:rsidRDefault="009E5AC3" w:rsidP="009E5AC3">
      <w:pPr>
        <w:pStyle w:val="RegSingleTxtG"/>
        <w:numPr>
          <w:ilvl w:val="0"/>
          <w:numId w:val="0"/>
        </w:numPr>
        <w:ind w:left="1134" w:right="1133"/>
      </w:pPr>
      <w:r>
        <w:t>2.</w:t>
      </w:r>
      <w:r>
        <w:tab/>
      </w:r>
      <w:r w:rsidR="009522FE">
        <w:t xml:space="preserve">The annual report of the Committee to the CMA shall be made publicly available and shall include information on any decision adopted by the Committee, unless otherwise decided in accordance with these rules of procedure, and systemic issues identified by the </w:t>
      </w:r>
      <w:r w:rsidR="009522FE">
        <w:lastRenderedPageBreak/>
        <w:t xml:space="preserve">Committee, as relevant and appropriate, on the implementation of and compliance with the provisions of the Paris Agreement. </w:t>
      </w:r>
    </w:p>
    <w:p w14:paraId="56D2B86B" w14:textId="69826E59" w:rsidR="008B1A2A" w:rsidRDefault="009E5AC3" w:rsidP="009E5AC3">
      <w:pPr>
        <w:pStyle w:val="RegSingleTxtG"/>
        <w:numPr>
          <w:ilvl w:val="0"/>
          <w:numId w:val="0"/>
        </w:numPr>
        <w:ind w:left="1134" w:right="1133"/>
      </w:pPr>
      <w:r>
        <w:t>3.</w:t>
      </w:r>
      <w:r>
        <w:tab/>
      </w:r>
      <w:r w:rsidR="009522FE">
        <w:t>The Committee may propose amendments to these rules of procedure for consideration and adoption by the CMA.</w:t>
      </w:r>
    </w:p>
    <w:p w14:paraId="332CB925" w14:textId="47755F32" w:rsidR="005F7DEA" w:rsidRDefault="005F7DEA" w:rsidP="005F7DEA">
      <w:pPr>
        <w:spacing w:before="240"/>
        <w:ind w:left="1134" w:right="1134"/>
        <w:jc w:val="right"/>
        <w:rPr>
          <w:i/>
        </w:rPr>
        <w:sectPr w:rsidR="005F7DEA" w:rsidSect="00265564">
          <w:headerReference w:type="even" r:id="rId107"/>
          <w:headerReference w:type="default" r:id="rId108"/>
          <w:footerReference w:type="even" r:id="rId109"/>
          <w:footerReference w:type="default" r:id="rId110"/>
          <w:footnotePr>
            <w:numRestart w:val="eachSect"/>
          </w:footnotePr>
          <w:pgSz w:w="11906" w:h="16838" w:code="9"/>
          <w:pgMar w:top="1417" w:right="1134" w:bottom="1134" w:left="1134" w:header="850" w:footer="567" w:gutter="0"/>
          <w:cols w:space="708"/>
          <w:docGrid w:linePitch="360"/>
        </w:sectPr>
      </w:pPr>
      <w:r>
        <w:rPr>
          <w:i/>
        </w:rPr>
        <w:t>10</w:t>
      </w:r>
      <w:r w:rsidRPr="005F7DEA">
        <w:rPr>
          <w:i/>
          <w:vertAlign w:val="superscript"/>
        </w:rPr>
        <w:t>th</w:t>
      </w:r>
      <w:r>
        <w:rPr>
          <w:i/>
        </w:rPr>
        <w:t xml:space="preserve"> </w:t>
      </w:r>
      <w:r w:rsidRPr="006C7D6D">
        <w:rPr>
          <w:i/>
        </w:rPr>
        <w:t>plenary meeting</w:t>
      </w:r>
      <w:r w:rsidRPr="006C7D6D">
        <w:rPr>
          <w:i/>
        </w:rPr>
        <w:br/>
      </w:r>
      <w:r>
        <w:rPr>
          <w:i/>
        </w:rPr>
        <w:t>11</w:t>
      </w:r>
      <w:r w:rsidRPr="006C7D6D">
        <w:rPr>
          <w:i/>
        </w:rPr>
        <w:t xml:space="preserve"> November 2021</w:t>
      </w:r>
    </w:p>
    <w:p w14:paraId="47E7FDBF" w14:textId="43655BD3" w:rsidR="00C04DE9" w:rsidRDefault="00C04DE9" w:rsidP="009E5AC3">
      <w:pPr>
        <w:pStyle w:val="RegHChG"/>
        <w:numPr>
          <w:ilvl w:val="0"/>
          <w:numId w:val="0"/>
        </w:numPr>
        <w:spacing w:before="120"/>
        <w:ind w:left="1134" w:hanging="454"/>
      </w:pPr>
      <w:bookmarkStart w:id="88" w:name="Resolution1"/>
      <w:r>
        <w:lastRenderedPageBreak/>
        <w:t>Resolution 1/CMA.3</w:t>
      </w:r>
    </w:p>
    <w:bookmarkEnd w:id="88"/>
    <w:p w14:paraId="29FE52CB" w14:textId="3E0B0864" w:rsidR="00C04DE9" w:rsidRDefault="000863F3" w:rsidP="009E5AC3">
      <w:pPr>
        <w:pStyle w:val="RegHChG"/>
        <w:numPr>
          <w:ilvl w:val="0"/>
          <w:numId w:val="0"/>
        </w:numPr>
        <w:ind w:left="1135" w:hanging="454"/>
      </w:pPr>
      <w:r>
        <w:t>Expression of gratitude to the Government of the United Kingdom of Great Britain and Northern Ireland and the people of the city of Glasgow</w:t>
      </w:r>
    </w:p>
    <w:p w14:paraId="61DDECB6" w14:textId="7ACD5F85" w:rsidR="00653032" w:rsidRDefault="00653032" w:rsidP="00653032">
      <w:pPr>
        <w:pStyle w:val="H1G"/>
      </w:pPr>
      <w:r>
        <w:tab/>
      </w:r>
      <w:r>
        <w:tab/>
        <w:t xml:space="preserve">Resolution submitted by the </w:t>
      </w:r>
      <w:r w:rsidRPr="00892FB5">
        <w:t>Arab Republic of Egypt</w:t>
      </w:r>
    </w:p>
    <w:p w14:paraId="19CEE4BA" w14:textId="77777777" w:rsidR="00653032" w:rsidRPr="004308AA" w:rsidRDefault="00653032" w:rsidP="00653032">
      <w:pPr>
        <w:pStyle w:val="SingleTxtG"/>
        <w:ind w:firstLine="567"/>
        <w:rPr>
          <w:b/>
          <w:i/>
        </w:rPr>
      </w:pPr>
      <w:r w:rsidRPr="00B67C9F">
        <w:rPr>
          <w:i/>
        </w:rPr>
        <w:tab/>
      </w:r>
      <w:r w:rsidRPr="004308AA">
        <w:rPr>
          <w:i/>
        </w:rPr>
        <w:t>The Conference of the Parties, the Conference of the Parties serving as the meeting of the Parties to the Kyoto Protocol and the Conference of the Parties serving as the meeting of the Parties to the Paris Agreement</w:t>
      </w:r>
      <w:r w:rsidRPr="00C41B87">
        <w:t>,</w:t>
      </w:r>
    </w:p>
    <w:p w14:paraId="3129688C" w14:textId="480A3F9C" w:rsidR="00653032" w:rsidRPr="004308AA" w:rsidRDefault="00653032" w:rsidP="00653032">
      <w:pPr>
        <w:pStyle w:val="SingleTxtG"/>
        <w:ind w:firstLine="567"/>
        <w:rPr>
          <w:b/>
        </w:rPr>
      </w:pPr>
      <w:r w:rsidRPr="004308AA">
        <w:tab/>
      </w:r>
      <w:r w:rsidRPr="004308AA">
        <w:rPr>
          <w:i/>
        </w:rPr>
        <w:t xml:space="preserve">Having met </w:t>
      </w:r>
      <w:r>
        <w:t>in Glasgow</w:t>
      </w:r>
      <w:r w:rsidRPr="004308AA">
        <w:t xml:space="preserve"> from </w:t>
      </w:r>
      <w:r>
        <w:t>31 October</w:t>
      </w:r>
      <w:r w:rsidRPr="004308AA">
        <w:t xml:space="preserve"> to </w:t>
      </w:r>
      <w:r>
        <w:t>1</w:t>
      </w:r>
      <w:r w:rsidR="00F24F44">
        <w:t>3</w:t>
      </w:r>
      <w:r w:rsidRPr="004308AA">
        <w:t xml:space="preserve"> </w:t>
      </w:r>
      <w:r>
        <w:t>November 2021</w:t>
      </w:r>
      <w:r w:rsidRPr="004308AA">
        <w:t>,</w:t>
      </w:r>
    </w:p>
    <w:p w14:paraId="1C9C8672" w14:textId="548CCFDA" w:rsidR="00653032" w:rsidRPr="004308AA" w:rsidRDefault="009E5AC3" w:rsidP="009E5AC3">
      <w:pPr>
        <w:pStyle w:val="RegSingleTxtG"/>
        <w:numPr>
          <w:ilvl w:val="0"/>
          <w:numId w:val="0"/>
        </w:numPr>
        <w:ind w:left="1134"/>
      </w:pPr>
      <w:bookmarkStart w:id="89" w:name="_Hlk27037402"/>
      <w:r w:rsidRPr="004308AA">
        <w:t>1.</w:t>
      </w:r>
      <w:r w:rsidRPr="004308AA">
        <w:tab/>
      </w:r>
      <w:r w:rsidR="00653032" w:rsidRPr="00653032">
        <w:rPr>
          <w:i/>
        </w:rPr>
        <w:t xml:space="preserve">Express their profound gratitude </w:t>
      </w:r>
      <w:r w:rsidR="00653032" w:rsidRPr="004308AA">
        <w:t xml:space="preserve">to the </w:t>
      </w:r>
      <w:bookmarkStart w:id="90" w:name="_Hlk27069105"/>
      <w:r w:rsidR="00653032" w:rsidRPr="00BE18F0">
        <w:t xml:space="preserve">Government of the </w:t>
      </w:r>
      <w:bookmarkEnd w:id="90"/>
      <w:r w:rsidR="00653032">
        <w:t xml:space="preserve">United Kingdom of Great Britain and Northern Ireland </w:t>
      </w:r>
      <w:r w:rsidR="00653032" w:rsidRPr="004308AA">
        <w:t>for having made it possible for the twenty-</w:t>
      </w:r>
      <w:r w:rsidR="00653032">
        <w:t xml:space="preserve">sixth </w:t>
      </w:r>
      <w:r w:rsidR="00653032" w:rsidRPr="004308AA">
        <w:t xml:space="preserve">session of the Conference of the Parties, the </w:t>
      </w:r>
      <w:r w:rsidR="00653032">
        <w:t xml:space="preserve">sixteenth </w:t>
      </w:r>
      <w:r w:rsidR="00653032" w:rsidRPr="004308AA">
        <w:t xml:space="preserve">session of the Conference of the Parties serving as the meeting of the Parties to the Kyoto Protocol and the </w:t>
      </w:r>
      <w:r w:rsidR="00653032">
        <w:t xml:space="preserve">third </w:t>
      </w:r>
      <w:r w:rsidR="00653032" w:rsidRPr="004308AA">
        <w:t xml:space="preserve">session of the Conference of the Parties serving as the meeting of the Parties to the Paris Agreement to be held in </w:t>
      </w:r>
      <w:r w:rsidR="00653032">
        <w:t>Glasgow;</w:t>
      </w:r>
    </w:p>
    <w:bookmarkEnd w:id="89"/>
    <w:p w14:paraId="3BDE971C" w14:textId="537542B4" w:rsidR="00653032" w:rsidRPr="004308AA" w:rsidRDefault="009E5AC3" w:rsidP="009E5AC3">
      <w:pPr>
        <w:pStyle w:val="RegSingleTxtG"/>
        <w:numPr>
          <w:ilvl w:val="0"/>
          <w:numId w:val="0"/>
        </w:numPr>
        <w:ind w:left="1134"/>
      </w:pPr>
      <w:r w:rsidRPr="004308AA">
        <w:t>2.</w:t>
      </w:r>
      <w:r w:rsidRPr="004308AA">
        <w:tab/>
      </w:r>
      <w:r w:rsidR="00653032" w:rsidRPr="004308AA">
        <w:rPr>
          <w:i/>
        </w:rPr>
        <w:t xml:space="preserve">Request </w:t>
      </w:r>
      <w:r w:rsidR="00653032" w:rsidRPr="004308AA">
        <w:t xml:space="preserve">the Government of </w:t>
      </w:r>
      <w:r w:rsidR="00653032">
        <w:t xml:space="preserve">the United Kingdom of Great Britain and Northern Ireland </w:t>
      </w:r>
      <w:r w:rsidR="00653032" w:rsidRPr="004308AA">
        <w:t xml:space="preserve">to convey to the city and people of </w:t>
      </w:r>
      <w:r w:rsidR="00653032">
        <w:t>Glasgow</w:t>
      </w:r>
      <w:r w:rsidR="00653032" w:rsidRPr="004308AA">
        <w:t xml:space="preserv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6A6E6CB5" w14:textId="428C2848" w:rsidR="005F7DEA" w:rsidRDefault="00D2292A" w:rsidP="00D2292A">
      <w:pPr>
        <w:spacing w:before="240"/>
        <w:ind w:left="1134" w:right="1134"/>
        <w:jc w:val="right"/>
        <w:rPr>
          <w:i/>
        </w:rPr>
      </w:pPr>
      <w:r>
        <w:rPr>
          <w:i/>
        </w:rPr>
        <w:t>12</w:t>
      </w:r>
      <w:r w:rsidRPr="00D2292A">
        <w:rPr>
          <w:i/>
          <w:vertAlign w:val="superscript"/>
        </w:rPr>
        <w:t>th</w:t>
      </w:r>
      <w:r>
        <w:rPr>
          <w:i/>
        </w:rPr>
        <w:t xml:space="preserve"> </w:t>
      </w:r>
      <w:r w:rsidRPr="006C7D6D">
        <w:rPr>
          <w:i/>
        </w:rPr>
        <w:t>plenary meeting</w:t>
      </w:r>
      <w:r w:rsidRPr="006C7D6D">
        <w:rPr>
          <w:i/>
        </w:rPr>
        <w:br/>
      </w:r>
      <w:r>
        <w:rPr>
          <w:i/>
        </w:rPr>
        <w:t>13</w:t>
      </w:r>
      <w:r w:rsidRPr="006C7D6D">
        <w:rPr>
          <w:i/>
        </w:rPr>
        <w:t xml:space="preserve"> November 2021</w:t>
      </w:r>
    </w:p>
    <w:p w14:paraId="045D28B8" w14:textId="1FB53EFA" w:rsidR="00377E8D" w:rsidRPr="000B6161" w:rsidRDefault="00377E8D" w:rsidP="000B6161">
      <w:pPr>
        <w:spacing w:before="240"/>
        <w:ind w:left="1134" w:right="1134"/>
        <w:jc w:val="center"/>
        <w:rPr>
          <w:sz w:val="24"/>
          <w:szCs w:val="24"/>
          <w:u w:val="single"/>
        </w:rPr>
      </w:pPr>
      <w:r w:rsidRPr="00DD2ACB">
        <w:rPr>
          <w:sz w:val="24"/>
          <w:szCs w:val="24"/>
          <w:u w:val="single"/>
        </w:rPr>
        <w:tab/>
      </w:r>
      <w:r w:rsidRPr="00DD2ACB">
        <w:rPr>
          <w:sz w:val="24"/>
          <w:szCs w:val="24"/>
          <w:u w:val="single"/>
        </w:rPr>
        <w:tab/>
      </w:r>
      <w:r w:rsidRPr="00DD2ACB">
        <w:rPr>
          <w:sz w:val="24"/>
          <w:szCs w:val="24"/>
          <w:u w:val="single"/>
        </w:rPr>
        <w:tab/>
      </w:r>
      <w:r w:rsidRPr="00DD2ACB">
        <w:rPr>
          <w:sz w:val="24"/>
          <w:szCs w:val="24"/>
          <w:u w:val="single"/>
        </w:rPr>
        <w:tab/>
      </w:r>
    </w:p>
    <w:sectPr w:rsidR="00377E8D" w:rsidRPr="000B6161" w:rsidSect="00265564">
      <w:headerReference w:type="even" r:id="rId111"/>
      <w:headerReference w:type="default" r:id="rId112"/>
      <w:footerReference w:type="even" r:id="rId113"/>
      <w:footerReference w:type="default" r:id="rId114"/>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19D0D" w14:textId="77777777" w:rsidR="005050DA" w:rsidRDefault="005050DA" w:rsidP="00C45173">
      <w:pPr>
        <w:spacing w:line="14" w:lineRule="exact"/>
      </w:pPr>
      <w:r>
        <w:separator/>
      </w:r>
    </w:p>
    <w:p w14:paraId="6A32C1A6" w14:textId="77777777" w:rsidR="005050DA" w:rsidRPr="00C45173" w:rsidRDefault="005050DA" w:rsidP="00C45173">
      <w:pPr>
        <w:spacing w:line="14" w:lineRule="atLeast"/>
        <w:rPr>
          <w:sz w:val="2"/>
          <w:szCs w:val="2"/>
        </w:rPr>
      </w:pPr>
    </w:p>
  </w:endnote>
  <w:endnote w:type="continuationSeparator" w:id="0">
    <w:p w14:paraId="6C406686" w14:textId="77777777" w:rsidR="005050DA" w:rsidRDefault="005050DA">
      <w:r>
        <w:continuationSeparator/>
      </w:r>
    </w:p>
    <w:p w14:paraId="7DAA0B0D" w14:textId="77777777" w:rsidR="005050DA" w:rsidRDefault="005050DA"/>
  </w:endnote>
  <w:endnote w:type="continuationNotice" w:id="1">
    <w:p w14:paraId="11542109" w14:textId="77777777" w:rsidR="005050DA" w:rsidRDefault="005050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099C8" w14:textId="1D4157BA" w:rsidR="00A36552"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w:t>
    </w:r>
    <w:r w:rsidRPr="00265564">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6A85" w14:textId="4EDCBB3F" w:rsidR="00F32DCA"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14</w:t>
    </w:r>
    <w:r w:rsidRPr="00265564">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F559" w14:textId="0D849948" w:rsidR="00C67FD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14</w:t>
    </w:r>
    <w:r w:rsidRPr="00265564">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04B67" w14:textId="77777777" w:rsidR="00C67FD4" w:rsidRPr="001955D5" w:rsidRDefault="00C67FD4" w:rsidP="001955D5">
    <w:pPr>
      <w:pStyle w:val="Footer"/>
      <w:tabs>
        <w:tab w:val="right" w:pos="9638"/>
      </w:tabs>
      <w:rPr>
        <w:b/>
        <w:sz w:val="18"/>
      </w:rPr>
    </w:pPr>
    <w:r>
      <w:tab/>
    </w: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7</w:t>
    </w:r>
    <w:r w:rsidRPr="001955D5">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1213E" w14:textId="4B1E6A23" w:rsidR="00FA0635"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16</w:t>
    </w:r>
    <w:r w:rsidRPr="00265564">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F90C4" w14:textId="68829C65" w:rsidR="00FA0635"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16</w:t>
    </w:r>
    <w:r w:rsidRPr="00265564">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9E2C" w14:textId="5C328ACA" w:rsidR="00D65E5A"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20</w:t>
    </w:r>
    <w:r w:rsidRPr="00265564">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9100A" w14:textId="3495E72D" w:rsidR="00D65E5A"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20</w:t>
    </w:r>
    <w:r w:rsidRPr="00265564">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60DDD" w14:textId="7BD28F18" w:rsidR="000A008B"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22</w:t>
    </w:r>
    <w:r w:rsidRPr="00265564">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DEA4C" w14:textId="673E8D11" w:rsidR="000A008B"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24</w:t>
    </w:r>
    <w:r w:rsidRPr="00265564">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8F2F4" w14:textId="519B882D" w:rsidR="006328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26</w:t>
    </w:r>
    <w:r w:rsidRPr="00265564">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2A096" w14:textId="792EDEFC" w:rsidR="00A36552"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w:t>
    </w:r>
    <w:r w:rsidRPr="00265564">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54D18" w14:textId="0F619D62" w:rsidR="006328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26</w:t>
    </w:r>
    <w:r w:rsidRPr="00265564">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42F65" w14:textId="77777777" w:rsidR="009C0DA2" w:rsidRPr="001955D5" w:rsidRDefault="009C0DA2"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CFC1E" w14:textId="2EE31327" w:rsidR="009C0DA2"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28</w:t>
    </w:r>
    <w:r w:rsidRPr="00265564">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2F82" w14:textId="1F3FA274" w:rsidR="00FD1EFF"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28</w:t>
    </w:r>
    <w:r w:rsidRPr="00265564">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6503" w14:textId="77777777" w:rsidR="00FD1EFF" w:rsidRPr="001955D5" w:rsidRDefault="00FD1EFF" w:rsidP="001955D5">
    <w:pPr>
      <w:pStyle w:val="Footer"/>
      <w:tabs>
        <w:tab w:val="right" w:pos="9638"/>
      </w:tabs>
      <w:rPr>
        <w:b/>
        <w:sz w:val="18"/>
      </w:rPr>
    </w:pPr>
    <w:r>
      <w:tab/>
    </w: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7</w:t>
    </w:r>
    <w:r w:rsidRPr="001955D5">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6AAE7" w14:textId="77777777" w:rsidR="001549E7" w:rsidRPr="001955D5" w:rsidRDefault="001549E7"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AB122" w14:textId="6A5D7885" w:rsidR="001549E7"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30</w:t>
    </w:r>
    <w:r w:rsidRPr="00265564">
      <w:rPr>
        <w:b/>
        <w:sz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B365" w14:textId="23C2C59F" w:rsidR="00E33FA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32</w:t>
    </w:r>
    <w:r w:rsidRPr="00265564">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8CC9B" w14:textId="2A8B9750" w:rsidR="00E33FA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34</w:t>
    </w:r>
    <w:r w:rsidRPr="00265564">
      <w:rPr>
        <w:b/>
        <w:sz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02B5F" w14:textId="73D6C703" w:rsidR="0020326E"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34</w:t>
    </w:r>
    <w:r w:rsidRPr="00265564">
      <w:rPr>
        <w:b/>
        <w:sz w:val="18"/>
      </w:rPr>
      <w:fldChar w:fldCharType="end"/>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42AC" w14:textId="4B6E0E6F" w:rsidR="00FD1D57"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8</w:t>
    </w:r>
    <w:r w:rsidRPr="00265564">
      <w:rPr>
        <w:b/>
        <w:sz w:val="18"/>
      </w:rPr>
      <w:fldChar w:fldCharType="end"/>
    </w:r>
    <w:r>
      <w:rPr>
        <w:sz w:val="18"/>
      </w:rPr>
      <w:tab/>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017D0" w14:textId="77777777" w:rsidR="0020326E" w:rsidRPr="001955D5" w:rsidRDefault="0020326E" w:rsidP="001955D5">
    <w:pPr>
      <w:pStyle w:val="Footer"/>
      <w:tabs>
        <w:tab w:val="right" w:pos="9638"/>
      </w:tabs>
      <w:rPr>
        <w:b/>
        <w:sz w:val="18"/>
      </w:rPr>
    </w:pPr>
    <w:r>
      <w:tab/>
    </w: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7</w:t>
    </w:r>
    <w:r w:rsidRPr="001955D5">
      <w:rPr>
        <w:b/>
        <w:sz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CD31F" w14:textId="230882D1" w:rsidR="009C2EB3"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36</w:t>
    </w:r>
    <w:r w:rsidRPr="00265564">
      <w:rPr>
        <w:b/>
        <w:sz w:val="18"/>
      </w:rPr>
      <w:fldChar w:fldCharType="end"/>
    </w:r>
    <w:r>
      <w:rPr>
        <w:sz w:val="18"/>
      </w:rPr>
      <w:tab/>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46D1" w14:textId="7A20DA8B" w:rsidR="009C2EB3"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36</w:t>
    </w:r>
    <w:r w:rsidRPr="00265564">
      <w:rPr>
        <w:b/>
        <w:sz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FDC33" w14:textId="0FDE8836" w:rsidR="002655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38</w:t>
    </w:r>
    <w:r w:rsidRPr="00265564">
      <w:rPr>
        <w:b/>
        <w:sz w:val="18"/>
      </w:rPr>
      <w:fldChar w:fldCharType="end"/>
    </w:r>
    <w:r>
      <w:rPr>
        <w:sz w:val="18"/>
      </w:rPr>
      <w:tab/>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22959" w14:textId="75D34C74" w:rsidR="002655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38</w:t>
    </w:r>
    <w:r w:rsidRPr="00265564">
      <w:rPr>
        <w:b/>
        <w:sz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AB3D0" w14:textId="3025E04F" w:rsidR="007235D9"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44</w:t>
    </w:r>
    <w:r w:rsidRPr="00265564">
      <w:rPr>
        <w:b/>
        <w:sz w:val="18"/>
      </w:rPr>
      <w:fldChar w:fldCharType="end"/>
    </w:r>
    <w:r>
      <w:rPr>
        <w:sz w:val="18"/>
      </w:rPr>
      <w:tab/>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2A244" w14:textId="4D13FC07" w:rsidR="007235D9"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46</w:t>
    </w:r>
    <w:r w:rsidRPr="00265564">
      <w:rPr>
        <w:b/>
        <w:sz w:val="18"/>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469BC" w14:textId="61DFF3DB" w:rsidR="00554B98"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46</w:t>
    </w:r>
    <w:r w:rsidRPr="00265564">
      <w:rPr>
        <w:b/>
        <w:sz w:val="18"/>
      </w:rPr>
      <w:fldChar w:fldCharType="end"/>
    </w:r>
    <w:r>
      <w:rPr>
        <w:sz w:val="18"/>
      </w:rPr>
      <w:tab/>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81D" w14:textId="485C2301" w:rsidR="00554B98"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48</w:t>
    </w:r>
    <w:r w:rsidRPr="00265564">
      <w:rPr>
        <w:b/>
        <w:sz w:val="18"/>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31BEE" w14:textId="18C563ED" w:rsidR="00554B98"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48</w:t>
    </w:r>
    <w:r w:rsidRPr="0026556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EC61" w14:textId="2866724A" w:rsidR="00FD1D57"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8</w:t>
    </w:r>
    <w:r w:rsidRPr="00265564">
      <w:rPr>
        <w:b/>
        <w:sz w:val="18"/>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CF60" w14:textId="77777777" w:rsidR="00554B98" w:rsidRPr="008C129C" w:rsidRDefault="00554B98" w:rsidP="0042770E">
    <w:pPr>
      <w:pStyle w:val="Footer"/>
      <w:tabs>
        <w:tab w:val="right" w:pos="9638"/>
      </w:tabs>
      <w:rPr>
        <w:b/>
        <w:sz w:val="18"/>
      </w:rPr>
    </w:pPr>
    <w:r>
      <w:tab/>
    </w:r>
    <w:r w:rsidRPr="008C129C">
      <w:rPr>
        <w:b/>
        <w:sz w:val="18"/>
      </w:rPr>
      <w:fldChar w:fldCharType="begin"/>
    </w:r>
    <w:r w:rsidRPr="008C129C">
      <w:rPr>
        <w:b/>
        <w:sz w:val="18"/>
      </w:rPr>
      <w:instrText xml:space="preserve"> PAGE  \* MERGEFORMAT </w:instrText>
    </w:r>
    <w:r w:rsidRPr="008C129C">
      <w:rPr>
        <w:b/>
        <w:sz w:val="18"/>
      </w:rPr>
      <w:fldChar w:fldCharType="separate"/>
    </w:r>
    <w:r w:rsidRPr="008C129C">
      <w:rPr>
        <w:b/>
        <w:noProof/>
        <w:sz w:val="18"/>
      </w:rPr>
      <w:t>4</w:t>
    </w:r>
    <w:r w:rsidRPr="008C129C">
      <w:rPr>
        <w:b/>
        <w:sz w:val="18"/>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004E6" w14:textId="58721D90" w:rsidR="006D6A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52</w:t>
    </w:r>
    <w:r w:rsidRPr="00265564">
      <w:rPr>
        <w:b/>
        <w:sz w:val="18"/>
      </w:rPr>
      <w:fldChar w:fldCharType="end"/>
    </w:r>
    <w:r>
      <w:rPr>
        <w:sz w:val="18"/>
      </w:rPr>
      <w:tab/>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67087" w14:textId="5DDBECA4" w:rsidR="006D6A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54</w:t>
    </w:r>
    <w:r w:rsidRPr="00265564">
      <w:rPr>
        <w:b/>
        <w:sz w:val="18"/>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AAFD" w14:textId="4991E7D7" w:rsidR="009522FE"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54</w:t>
    </w:r>
    <w:r w:rsidRPr="00265564">
      <w:rPr>
        <w:b/>
        <w:sz w:val="18"/>
      </w:rPr>
      <w:fldChar w:fldCharType="end"/>
    </w:r>
    <w:r>
      <w:rPr>
        <w:sz w:val="18"/>
      </w:rPr>
      <w:tab/>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D927E" w14:textId="77777777" w:rsidR="009522FE" w:rsidRPr="00043A8F" w:rsidRDefault="009522FE" w:rsidP="0042770E">
    <w:pPr>
      <w:pStyle w:val="Footer"/>
      <w:tabs>
        <w:tab w:val="right" w:pos="9638"/>
      </w:tabs>
      <w:rPr>
        <w:b/>
        <w:sz w:val="18"/>
      </w:rPr>
    </w:pPr>
    <w:r>
      <w:tab/>
    </w:r>
    <w:r w:rsidRPr="00043A8F">
      <w:rPr>
        <w:b/>
        <w:sz w:val="18"/>
      </w:rPr>
      <w:fldChar w:fldCharType="begin"/>
    </w:r>
    <w:r w:rsidRPr="00043A8F">
      <w:rPr>
        <w:b/>
        <w:sz w:val="18"/>
      </w:rPr>
      <w:instrText xml:space="preserve"> PAGE  \* MERGEFORMAT </w:instrText>
    </w:r>
    <w:r w:rsidRPr="00043A8F">
      <w:rPr>
        <w:b/>
        <w:sz w:val="18"/>
      </w:rPr>
      <w:fldChar w:fldCharType="separate"/>
    </w:r>
    <w:r w:rsidRPr="00043A8F">
      <w:rPr>
        <w:b/>
        <w:noProof/>
        <w:sz w:val="18"/>
      </w:rPr>
      <w:t>4</w:t>
    </w:r>
    <w:r w:rsidRPr="00043A8F">
      <w:rPr>
        <w:b/>
        <w:sz w:val="18"/>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0BC1D" w14:textId="533B9C56" w:rsidR="005F7DEA"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54</w:t>
    </w:r>
    <w:r w:rsidRPr="00265564">
      <w:rPr>
        <w:b/>
        <w:sz w:val="18"/>
      </w:rPr>
      <w:fldChar w:fldCharType="end"/>
    </w:r>
    <w:r>
      <w:rPr>
        <w:sz w:val="18"/>
      </w:rPr>
      <w:tab/>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86271" w14:textId="02C63276" w:rsidR="005F7DEA"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61</w:t>
    </w:r>
    <w:r w:rsidRPr="00265564">
      <w:rPr>
        <w:b/>
        <w:sz w:val="18"/>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783F2" w14:textId="77777777" w:rsidR="00265564"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61</w:t>
    </w:r>
    <w:r w:rsidRPr="00265564">
      <w:rPr>
        <w:b/>
        <w:sz w:val="18"/>
      </w:rPr>
      <w:fldChar w:fldCharType="end"/>
    </w:r>
    <w:r>
      <w:rPr>
        <w:sz w:val="18"/>
      </w:rPr>
      <w:tab/>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51518" w14:textId="541FFE7B" w:rsidR="00265564"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63</w:t>
    </w:r>
    <w:r w:rsidRPr="0026556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C7847" w14:textId="77777777" w:rsidR="00B00A1C" w:rsidRPr="001955D5" w:rsidRDefault="00B00A1C"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B15B8" w14:textId="20648DB2" w:rsidR="00B00A1C"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10</w:t>
    </w:r>
    <w:r w:rsidRPr="00265564">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5750C" w14:textId="1EB2BDED" w:rsidR="003127A7" w:rsidRPr="00265564" w:rsidRDefault="00265564" w:rsidP="00265564">
    <w:pPr>
      <w:pStyle w:val="Footer"/>
      <w:tabs>
        <w:tab w:val="right" w:pos="9638"/>
      </w:tabs>
    </w:pP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12</w:t>
    </w:r>
    <w:r w:rsidRPr="00265564">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4D2DC" w14:textId="54F9F062" w:rsidR="003127A7" w:rsidRPr="00265564" w:rsidRDefault="00265564" w:rsidP="00265564">
    <w:pPr>
      <w:pStyle w:val="Footer"/>
      <w:tabs>
        <w:tab w:val="right" w:pos="9638"/>
      </w:tabs>
      <w:rPr>
        <w:b/>
        <w:sz w:val="18"/>
      </w:rPr>
    </w:pPr>
    <w:r>
      <w:tab/>
    </w:r>
    <w:r w:rsidRPr="00265564">
      <w:rPr>
        <w:b/>
        <w:sz w:val="18"/>
      </w:rPr>
      <w:fldChar w:fldCharType="begin"/>
    </w:r>
    <w:r w:rsidRPr="00265564">
      <w:rPr>
        <w:b/>
        <w:sz w:val="18"/>
      </w:rPr>
      <w:instrText xml:space="preserve"> PAGE  \* MERGEFORMAT </w:instrText>
    </w:r>
    <w:r w:rsidRPr="00265564">
      <w:rPr>
        <w:b/>
        <w:sz w:val="18"/>
      </w:rPr>
      <w:fldChar w:fldCharType="separate"/>
    </w:r>
    <w:r w:rsidRPr="00265564">
      <w:rPr>
        <w:b/>
        <w:noProof/>
        <w:sz w:val="18"/>
      </w:rPr>
      <w:t>12</w:t>
    </w:r>
    <w:r w:rsidRPr="00265564">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3E1B0" w14:textId="77777777" w:rsidR="00F32DCA" w:rsidRPr="001955D5" w:rsidRDefault="00F32DCA" w:rsidP="001955D5">
    <w:pPr>
      <w:pStyle w:val="Footer"/>
      <w:tabs>
        <w:tab w:val="right" w:pos="9638"/>
      </w:tabs>
    </w:pPr>
    <w:r w:rsidRPr="001955D5">
      <w:rPr>
        <w:b/>
        <w:sz w:val="18"/>
      </w:rPr>
      <w:fldChar w:fldCharType="begin"/>
    </w:r>
    <w:r w:rsidRPr="001955D5">
      <w:rPr>
        <w:b/>
        <w:sz w:val="18"/>
      </w:rPr>
      <w:instrText xml:space="preserve"> PAGE  \* MERGEFORMAT </w:instrText>
    </w:r>
    <w:r w:rsidRPr="001955D5">
      <w:rPr>
        <w:b/>
        <w:sz w:val="18"/>
      </w:rPr>
      <w:fldChar w:fldCharType="separate"/>
    </w:r>
    <w:r w:rsidRPr="001955D5">
      <w:rPr>
        <w:b/>
        <w:noProof/>
        <w:sz w:val="18"/>
      </w:rPr>
      <w:t>6</w:t>
    </w:r>
    <w:r w:rsidRPr="001955D5">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25203" w14:textId="77777777" w:rsidR="005050DA" w:rsidRDefault="005050DA">
      <w:r>
        <w:separator/>
      </w:r>
    </w:p>
  </w:footnote>
  <w:footnote w:type="continuationSeparator" w:id="0">
    <w:p w14:paraId="08E556CA" w14:textId="77777777" w:rsidR="005050DA" w:rsidRDefault="005050DA">
      <w:r>
        <w:continuationSeparator/>
      </w:r>
    </w:p>
    <w:p w14:paraId="613F4505" w14:textId="77777777" w:rsidR="005050DA" w:rsidRDefault="005050DA"/>
  </w:footnote>
  <w:footnote w:type="continuationNotice" w:id="1">
    <w:p w14:paraId="001738F3" w14:textId="77777777" w:rsidR="005050DA" w:rsidRDefault="005050DA">
      <w:pPr>
        <w:spacing w:line="240" w:lineRule="auto"/>
      </w:pPr>
    </w:p>
  </w:footnote>
  <w:footnote w:id="2">
    <w:p w14:paraId="59EDA750" w14:textId="77777777" w:rsidR="00697035" w:rsidRPr="005B7E0B" w:rsidRDefault="00697035" w:rsidP="00697035">
      <w:pPr>
        <w:pStyle w:val="FootnoteText"/>
        <w:widowControl w:val="0"/>
        <w:rPr>
          <w:lang w:val="en-US"/>
        </w:rPr>
      </w:pPr>
      <w:r>
        <w:tab/>
      </w:r>
      <w:r>
        <w:rPr>
          <w:rStyle w:val="FootnoteReference"/>
        </w:rPr>
        <w:footnoteRef/>
      </w:r>
      <w:r>
        <w:tab/>
      </w:r>
      <w:r w:rsidRPr="00CB465B">
        <w:t xml:space="preserve">Adaptation Committee. 2021. </w:t>
      </w:r>
      <w:r w:rsidRPr="00050ECD">
        <w:rPr>
          <w:i/>
        </w:rPr>
        <w:t>Approaches to reviewing the overall progress made in achieving the global goal on adaptation: Technical paper by the Adaptation Committee</w:t>
      </w:r>
      <w:r w:rsidRPr="00CB465B">
        <w:t xml:space="preserve">. Bonn: UNFCCC. Available at </w:t>
      </w:r>
      <w:hyperlink r:id="rId1" w:history="1">
        <w:r w:rsidRPr="00E66741">
          <w:rPr>
            <w:rStyle w:val="Hyperlink"/>
          </w:rPr>
          <w:t>https://unfccc.int/process-and-meetings/bodies/constituted-bodies/adaptation-committee-ac/publications-bulletin-adaptation-committee</w:t>
        </w:r>
      </w:hyperlink>
      <w:r w:rsidRPr="00CB465B">
        <w:t>.</w:t>
      </w:r>
    </w:p>
  </w:footnote>
  <w:footnote w:id="3">
    <w:p w14:paraId="0D389456" w14:textId="77777777" w:rsidR="00697035" w:rsidRPr="00054FFC" w:rsidRDefault="00697035" w:rsidP="00697035">
      <w:pPr>
        <w:pStyle w:val="FootnoteText"/>
        <w:widowControl w:val="0"/>
        <w:rPr>
          <w:lang w:val="es-ES"/>
        </w:rPr>
      </w:pPr>
      <w:r>
        <w:tab/>
      </w:r>
      <w:r>
        <w:rPr>
          <w:rStyle w:val="FootnoteReference"/>
        </w:rPr>
        <w:footnoteRef/>
      </w:r>
      <w:r w:rsidRPr="00054FFC">
        <w:rPr>
          <w:lang w:val="es-ES"/>
        </w:rPr>
        <w:tab/>
      </w:r>
      <w:r>
        <w:rPr>
          <w:lang w:val="es-ES"/>
        </w:rPr>
        <w:t>As per d</w:t>
      </w:r>
      <w:r w:rsidRPr="00054FFC">
        <w:rPr>
          <w:lang w:val="es-ES"/>
        </w:rPr>
        <w:t xml:space="preserve">ecision 1/CMA.2, para. 14. </w:t>
      </w:r>
    </w:p>
  </w:footnote>
  <w:footnote w:id="4">
    <w:p w14:paraId="4E9F6CC6" w14:textId="77777777" w:rsidR="00697035" w:rsidRPr="00050ECD" w:rsidRDefault="00697035" w:rsidP="00697035">
      <w:pPr>
        <w:pStyle w:val="FootnoteText"/>
        <w:widowControl w:val="0"/>
        <w:rPr>
          <w:lang w:val="en-US"/>
        </w:rPr>
      </w:pPr>
      <w:r w:rsidRPr="00054FFC">
        <w:rPr>
          <w:lang w:val="es-ES"/>
        </w:rPr>
        <w:tab/>
      </w:r>
      <w:r>
        <w:rPr>
          <w:rStyle w:val="FootnoteReference"/>
        </w:rPr>
        <w:footnoteRef/>
      </w:r>
      <w:r w:rsidRPr="00054FFC">
        <w:rPr>
          <w:lang w:val="es-ES"/>
        </w:rPr>
        <w:tab/>
      </w:r>
      <w:r>
        <w:rPr>
          <w:lang w:val="es-ES"/>
        </w:rPr>
        <w:t xml:space="preserve">See document </w:t>
      </w:r>
      <w:r w:rsidRPr="00054FFC">
        <w:rPr>
          <w:lang w:val="es-ES"/>
        </w:rPr>
        <w:t xml:space="preserve">FCCC/SB/2021/6, paras. </w:t>
      </w:r>
      <w:r w:rsidRPr="0027689D">
        <w:t>32–35 and 85–86</w:t>
      </w:r>
      <w:r>
        <w:t>.</w:t>
      </w:r>
    </w:p>
  </w:footnote>
  <w:footnote w:id="5">
    <w:p w14:paraId="551CD759" w14:textId="77777777" w:rsidR="00697035" w:rsidRPr="00050ECD" w:rsidRDefault="00697035" w:rsidP="00697035">
      <w:pPr>
        <w:pStyle w:val="FootnoteText"/>
        <w:widowControl w:val="0"/>
        <w:rPr>
          <w:lang w:val="en-US"/>
        </w:rPr>
      </w:pPr>
      <w:r>
        <w:tab/>
      </w:r>
      <w:r>
        <w:rPr>
          <w:rStyle w:val="FootnoteReference"/>
        </w:rPr>
        <w:footnoteRef/>
      </w:r>
      <w:r>
        <w:tab/>
        <w:t xml:space="preserve">See </w:t>
      </w:r>
      <w:hyperlink r:id="rId2" w:history="1">
        <w:r w:rsidRPr="00E03764">
          <w:rPr>
            <w:rStyle w:val="Hyperlink"/>
          </w:rPr>
          <w:t>https://unfccc.int/event/AC-webinar-GGA</w:t>
        </w:r>
      </w:hyperlink>
      <w:r>
        <w:t xml:space="preserve">. </w:t>
      </w:r>
    </w:p>
  </w:footnote>
  <w:footnote w:id="6">
    <w:p w14:paraId="4E7E4EFE" w14:textId="77777777" w:rsidR="00697035" w:rsidRPr="003174E1" w:rsidRDefault="00697035" w:rsidP="00697035">
      <w:pPr>
        <w:pStyle w:val="FootnoteText"/>
        <w:widowControl w:val="0"/>
        <w:tabs>
          <w:tab w:val="clear" w:pos="1021"/>
          <w:tab w:val="right" w:pos="1020"/>
        </w:tabs>
        <w:rPr>
          <w:lang w:val="en-US"/>
        </w:rPr>
      </w:pPr>
      <w:r>
        <w:tab/>
      </w:r>
      <w:r>
        <w:rPr>
          <w:rStyle w:val="FootnoteReference"/>
        </w:rPr>
        <w:footnoteRef/>
      </w:r>
      <w:r>
        <w:tab/>
      </w:r>
      <w:hyperlink r:id="rId3" w:history="1">
        <w:r w:rsidRPr="00042550">
          <w:rPr>
            <w:rStyle w:val="Hyperlink"/>
          </w:rPr>
          <w:t>https://www4.unfccc.int/sites/submissionsstaging/Pages/Home.aspx</w:t>
        </w:r>
      </w:hyperlink>
      <w:r>
        <w:t xml:space="preserve">. </w:t>
      </w:r>
    </w:p>
  </w:footnote>
  <w:footnote w:id="7">
    <w:p w14:paraId="68BB979E" w14:textId="77777777" w:rsidR="000B40C8" w:rsidRPr="00FC3055" w:rsidRDefault="000B40C8" w:rsidP="000B40C8">
      <w:pPr>
        <w:pStyle w:val="FootnoteText"/>
        <w:widowControl w:val="0"/>
        <w:rPr>
          <w:lang w:val="en-US"/>
        </w:rPr>
      </w:pPr>
      <w:r>
        <w:tab/>
      </w:r>
      <w:r>
        <w:rPr>
          <w:rStyle w:val="FootnoteReference"/>
        </w:rPr>
        <w:footnoteRef/>
      </w:r>
      <w:r>
        <w:tab/>
        <w:t xml:space="preserve">FCCC/SB/2019/3, FCCC/SB/2020/2 and FCCC/SB/2021/6. </w:t>
      </w:r>
    </w:p>
  </w:footnote>
  <w:footnote w:id="8">
    <w:p w14:paraId="7FB48021" w14:textId="77777777" w:rsidR="000B40C8" w:rsidRPr="00711D2C" w:rsidRDefault="000B40C8" w:rsidP="000B40C8">
      <w:pPr>
        <w:pStyle w:val="FootnoteText"/>
        <w:widowControl w:val="0"/>
        <w:rPr>
          <w:lang w:val="es-ES"/>
        </w:rPr>
      </w:pPr>
      <w:r>
        <w:tab/>
      </w:r>
      <w:r>
        <w:rPr>
          <w:rStyle w:val="FootnoteReference"/>
        </w:rPr>
        <w:footnoteRef/>
      </w:r>
      <w:r w:rsidRPr="00711D2C">
        <w:rPr>
          <w:lang w:val="es-ES"/>
        </w:rPr>
        <w:tab/>
        <w:t>FCCC/SB/2021/6, annex.</w:t>
      </w:r>
    </w:p>
  </w:footnote>
  <w:footnote w:id="9">
    <w:p w14:paraId="4AA47C3B" w14:textId="77D8869E" w:rsidR="000B40C8" w:rsidRPr="00711D2C" w:rsidRDefault="000B40C8" w:rsidP="000B40C8">
      <w:pPr>
        <w:pStyle w:val="FootnoteText"/>
        <w:ind w:hanging="567"/>
        <w:rPr>
          <w:lang w:val="es-ES"/>
        </w:rPr>
      </w:pPr>
      <w:r w:rsidRPr="00711D2C">
        <w:rPr>
          <w:lang w:val="es-ES"/>
        </w:rPr>
        <w:tab/>
      </w:r>
      <w:r>
        <w:rPr>
          <w:rStyle w:val="FootnoteReference"/>
        </w:rPr>
        <w:footnoteRef/>
      </w:r>
      <w:r w:rsidRPr="00711D2C">
        <w:rPr>
          <w:lang w:val="es-ES"/>
        </w:rPr>
        <w:tab/>
      </w:r>
      <w:r w:rsidR="008A6268">
        <w:rPr>
          <w:lang w:val="es-ES"/>
        </w:rPr>
        <w:t>See d</w:t>
      </w:r>
      <w:r w:rsidRPr="00711D2C">
        <w:rPr>
          <w:lang w:val="es-ES"/>
        </w:rPr>
        <w:t>ecision 9/CMA.1, para. 15.</w:t>
      </w:r>
    </w:p>
  </w:footnote>
  <w:footnote w:id="10">
    <w:p w14:paraId="233EC238" w14:textId="48B159A7" w:rsidR="000B40C8" w:rsidRPr="00E35213" w:rsidRDefault="000B40C8" w:rsidP="000B40C8">
      <w:pPr>
        <w:pStyle w:val="FootnoteText"/>
      </w:pPr>
      <w:r w:rsidRPr="00711D2C">
        <w:rPr>
          <w:lang w:val="es-ES"/>
        </w:rPr>
        <w:tab/>
      </w:r>
      <w:r>
        <w:rPr>
          <w:rStyle w:val="FootnoteReference"/>
        </w:rPr>
        <w:footnoteRef/>
      </w:r>
      <w:r w:rsidRPr="00711D2C">
        <w:rPr>
          <w:lang w:val="es-ES"/>
        </w:rPr>
        <w:tab/>
      </w:r>
      <w:r w:rsidR="008A6268">
        <w:rPr>
          <w:lang w:val="es-ES"/>
        </w:rPr>
        <w:t>See d</w:t>
      </w:r>
      <w:r w:rsidRPr="00711D2C">
        <w:rPr>
          <w:lang w:val="es-ES"/>
        </w:rPr>
        <w:t xml:space="preserve">ecision 11/CMA.1, para. </w:t>
      </w:r>
      <w:r w:rsidRPr="00E35213">
        <w:t>17.</w:t>
      </w:r>
    </w:p>
  </w:footnote>
  <w:footnote w:id="11">
    <w:p w14:paraId="7739A699" w14:textId="77777777" w:rsidR="000C6D98" w:rsidRPr="00C02919" w:rsidRDefault="000C6D98" w:rsidP="000C6D98">
      <w:pPr>
        <w:pStyle w:val="FootnoteText"/>
        <w:rPr>
          <w:lang w:val="en-AU"/>
        </w:rPr>
      </w:pPr>
      <w:r>
        <w:tab/>
      </w:r>
      <w:r>
        <w:rPr>
          <w:rStyle w:val="FootnoteReference"/>
        </w:rPr>
        <w:footnoteRef/>
      </w:r>
      <w:r>
        <w:tab/>
      </w:r>
      <w:hyperlink r:id="rId4">
        <w:r w:rsidRPr="00E07874">
          <w:rPr>
            <w:rStyle w:val="Hyperlink"/>
          </w:rPr>
          <w:t>https://www4.unfccc.int/sites/submissionsstaging/Pages/Home.aspx</w:t>
        </w:r>
      </w:hyperlink>
      <w:r>
        <w:t>.</w:t>
      </w:r>
    </w:p>
  </w:footnote>
  <w:footnote w:id="12">
    <w:p w14:paraId="043ABE9D" w14:textId="2CC4E76F" w:rsidR="000741B9" w:rsidRPr="00724235" w:rsidRDefault="000741B9" w:rsidP="00724235">
      <w:pPr>
        <w:pStyle w:val="FootnoteText"/>
        <w:widowControl w:val="0"/>
        <w:tabs>
          <w:tab w:val="clear" w:pos="1021"/>
          <w:tab w:val="right" w:pos="1020"/>
        </w:tabs>
        <w:rPr>
          <w:lang w:val="en-US"/>
        </w:rPr>
      </w:pPr>
      <w:r>
        <w:tab/>
      </w:r>
      <w:r>
        <w:rPr>
          <w:rStyle w:val="FootnoteReference"/>
        </w:rPr>
        <w:footnoteRef/>
      </w:r>
      <w:r>
        <w:tab/>
      </w:r>
      <w:hyperlink r:id="rId5">
        <w:r w:rsidRPr="00E07874">
          <w:rPr>
            <w:rStyle w:val="Hyperlink"/>
          </w:rPr>
          <w:t>https://www4.unfccc.int/sites/submissionsstaging/Pages/Home.aspx</w:t>
        </w:r>
      </w:hyperlink>
      <w:r w:rsidR="00724235" w:rsidRPr="00724235">
        <w:rPr>
          <w:rStyle w:val="Hyperlink"/>
          <w:color w:val="auto"/>
          <w:u w:val="none"/>
        </w:rPr>
        <w:t>.</w:t>
      </w:r>
      <w:r>
        <w:t xml:space="preserve"> </w:t>
      </w:r>
    </w:p>
  </w:footnote>
  <w:footnote w:id="13">
    <w:p w14:paraId="6521633B" w14:textId="77777777" w:rsidR="00F32DCA" w:rsidRPr="008913A2" w:rsidRDefault="00F32DCA" w:rsidP="00F32DCA">
      <w:pPr>
        <w:pStyle w:val="FootnoteText"/>
        <w:widowControl w:val="0"/>
        <w:tabs>
          <w:tab w:val="clear" w:pos="1021"/>
          <w:tab w:val="right" w:pos="1020"/>
        </w:tabs>
        <w:rPr>
          <w:lang w:val="en-US"/>
        </w:rPr>
      </w:pPr>
      <w:r>
        <w:tab/>
      </w:r>
      <w:r>
        <w:rPr>
          <w:rStyle w:val="FootnoteReference"/>
        </w:rPr>
        <w:footnoteRef/>
      </w:r>
      <w:r>
        <w:tab/>
        <w:t>In response to d</w:t>
      </w:r>
      <w:r w:rsidRPr="00DE67A2">
        <w:t xml:space="preserve">ecision </w:t>
      </w:r>
      <w:r>
        <w:t>5</w:t>
      </w:r>
      <w:r w:rsidRPr="00DE67A2">
        <w:t>/</w:t>
      </w:r>
      <w:r>
        <w:t>CMA</w:t>
      </w:r>
      <w:r w:rsidRPr="00DE67A2">
        <w:t>.</w:t>
      </w:r>
      <w:r>
        <w:t>2</w:t>
      </w:r>
      <w:r w:rsidRPr="00DE67A2">
        <w:t>, para. 10.</w:t>
      </w:r>
    </w:p>
  </w:footnote>
  <w:footnote w:id="14">
    <w:p w14:paraId="4CE8BF0D" w14:textId="77777777" w:rsidR="00F32DCA" w:rsidRPr="00141154" w:rsidRDefault="00F32DCA" w:rsidP="00F32DCA">
      <w:pPr>
        <w:pStyle w:val="FootnoteText"/>
        <w:widowControl w:val="0"/>
        <w:tabs>
          <w:tab w:val="clear" w:pos="1021"/>
          <w:tab w:val="right" w:pos="1020"/>
        </w:tabs>
        <w:rPr>
          <w:lang w:val="en-US"/>
        </w:rPr>
      </w:pPr>
      <w:r>
        <w:tab/>
      </w:r>
      <w:r w:rsidRPr="00141154">
        <w:rPr>
          <w:rStyle w:val="FootnoteReference"/>
        </w:rPr>
        <w:footnoteRef/>
      </w:r>
      <w:r w:rsidRPr="00141154">
        <w:tab/>
      </w:r>
      <w:r w:rsidRPr="0097287C">
        <w:rPr>
          <w:rFonts w:eastAsia="Malgun Gothic"/>
          <w:szCs w:val="18"/>
          <w:lang w:eastAsia="ko-KR"/>
        </w:rPr>
        <w:t>FCCC/CP/2021/10</w:t>
      </w:r>
      <w:r>
        <w:rPr>
          <w:rFonts w:eastAsia="Malgun Gothic"/>
          <w:szCs w:val="18"/>
          <w:lang w:eastAsia="ko-KR"/>
        </w:rPr>
        <w:t>–</w:t>
      </w:r>
      <w:r w:rsidRPr="0097287C">
        <w:rPr>
          <w:rFonts w:eastAsia="Malgun Gothic"/>
          <w:szCs w:val="18"/>
          <w:lang w:eastAsia="ko-KR"/>
        </w:rPr>
        <w:t>FCCC/PA/CMA/2021/7</w:t>
      </w:r>
      <w:r w:rsidRPr="00141154">
        <w:rPr>
          <w:rFonts w:eastAsia="Malgun Gothic"/>
          <w:szCs w:val="18"/>
          <w:lang w:eastAsia="ko-KR"/>
        </w:rPr>
        <w:t>, annex II.</w:t>
      </w:r>
    </w:p>
  </w:footnote>
  <w:footnote w:id="15">
    <w:p w14:paraId="0BDB7218" w14:textId="77777777" w:rsidR="004C6532" w:rsidRPr="00EC107D" w:rsidRDefault="004C6532" w:rsidP="004C6532">
      <w:pPr>
        <w:pStyle w:val="FootnoteText"/>
        <w:widowControl w:val="0"/>
        <w:tabs>
          <w:tab w:val="clear" w:pos="1021"/>
          <w:tab w:val="right" w:pos="1020"/>
        </w:tabs>
        <w:rPr>
          <w:lang w:val="en-US"/>
        </w:rPr>
      </w:pPr>
      <w:r>
        <w:tab/>
      </w:r>
      <w:r>
        <w:rPr>
          <w:rStyle w:val="FootnoteReference"/>
        </w:rPr>
        <w:footnoteRef/>
      </w:r>
      <w:r>
        <w:tab/>
      </w:r>
      <w:r w:rsidRPr="00FC7B76">
        <w:rPr>
          <w:szCs w:val="22"/>
        </w:rPr>
        <w:t>In accordance with decision 1/CP.21, para. 61.</w:t>
      </w:r>
    </w:p>
  </w:footnote>
  <w:footnote w:id="16">
    <w:p w14:paraId="7CB4CD1F" w14:textId="77777777" w:rsidR="004C6532" w:rsidRPr="00780989" w:rsidRDefault="004C6532" w:rsidP="004C6532">
      <w:pPr>
        <w:pStyle w:val="FootnoteText"/>
        <w:widowControl w:val="0"/>
        <w:ind w:hanging="567"/>
        <w:rPr>
          <w:lang w:val="en-US"/>
        </w:rPr>
      </w:pPr>
      <w:r>
        <w:tab/>
      </w:r>
      <w:r>
        <w:rPr>
          <w:rStyle w:val="FootnoteReference"/>
        </w:rPr>
        <w:footnoteRef/>
      </w:r>
      <w:r>
        <w:tab/>
      </w:r>
      <w:r w:rsidRPr="00FC7B76">
        <w:rPr>
          <w:szCs w:val="22"/>
        </w:rPr>
        <w:t>FCCC/CP/2020/5 and FCCC/CP/2021/8.</w:t>
      </w:r>
    </w:p>
  </w:footnote>
  <w:footnote w:id="17">
    <w:p w14:paraId="3F2E0643" w14:textId="77777777" w:rsidR="004C6532" w:rsidRPr="009176C4" w:rsidRDefault="004C6532" w:rsidP="004C6532">
      <w:pPr>
        <w:pStyle w:val="FootnoteText"/>
        <w:widowControl w:val="0"/>
        <w:tabs>
          <w:tab w:val="clear" w:pos="1021"/>
          <w:tab w:val="right" w:pos="1020"/>
        </w:tabs>
        <w:rPr>
          <w:lang w:val="en-US"/>
        </w:rPr>
      </w:pPr>
      <w:r>
        <w:tab/>
      </w:r>
      <w:r>
        <w:rPr>
          <w:rStyle w:val="FootnoteReference"/>
        </w:rPr>
        <w:footnoteRef/>
      </w:r>
      <w:r>
        <w:tab/>
        <w:t xml:space="preserve">Contained in Green Climate Fund document GCF/B.27/21, annex II. Available at </w:t>
      </w:r>
      <w:hyperlink r:id="rId6" w:history="1">
        <w:r w:rsidRPr="00DA2F1D">
          <w:rPr>
            <w:rStyle w:val="Hyperlink"/>
          </w:rPr>
          <w:t>https://www.greenclimate.fund/document/gcf-b27-21</w:t>
        </w:r>
      </w:hyperlink>
      <w:r w:rsidRPr="00506681">
        <w:rPr>
          <w:rStyle w:val="Hyperlink"/>
          <w:color w:val="auto"/>
          <w:u w:val="none"/>
        </w:rPr>
        <w:t>.</w:t>
      </w:r>
      <w:r w:rsidRPr="00905824">
        <w:t xml:space="preserve"> </w:t>
      </w:r>
    </w:p>
  </w:footnote>
  <w:footnote w:id="18">
    <w:p w14:paraId="63B316AC" w14:textId="77777777" w:rsidR="004C6532" w:rsidRPr="00CB1B3B" w:rsidRDefault="004C6532" w:rsidP="004C6532">
      <w:pPr>
        <w:pStyle w:val="FootnoteText"/>
        <w:widowControl w:val="0"/>
        <w:tabs>
          <w:tab w:val="clear" w:pos="1021"/>
          <w:tab w:val="right" w:pos="1020"/>
        </w:tabs>
        <w:rPr>
          <w:lang w:val="en-US"/>
        </w:rPr>
      </w:pPr>
      <w:r>
        <w:tab/>
      </w:r>
      <w:r>
        <w:rPr>
          <w:rStyle w:val="FootnoteReference"/>
        </w:rPr>
        <w:footnoteRef/>
      </w:r>
      <w:r>
        <w:tab/>
        <w:t>Available at</w:t>
      </w:r>
      <w:r w:rsidRPr="004533C1">
        <w:t xml:space="preserve"> </w:t>
      </w:r>
      <w:hyperlink r:id="rId7" w:history="1">
        <w:r w:rsidRPr="006C16B6">
          <w:rPr>
            <w:rStyle w:val="Hyperlink"/>
          </w:rPr>
          <w:t>https://www.greenclimate.fund/document/guiding-principles-and-factors-determining-terms-financial-instruments</w:t>
        </w:r>
      </w:hyperlink>
      <w:r>
        <w:t xml:space="preserve">. </w:t>
      </w:r>
    </w:p>
  </w:footnote>
  <w:footnote w:id="19">
    <w:p w14:paraId="61666321" w14:textId="77777777" w:rsidR="00272AEC" w:rsidRPr="00227C0E" w:rsidRDefault="00272AEC" w:rsidP="00272AEC">
      <w:pPr>
        <w:pStyle w:val="FootnoteText"/>
        <w:widowControl w:val="0"/>
        <w:tabs>
          <w:tab w:val="clear" w:pos="1021"/>
          <w:tab w:val="right" w:pos="1020"/>
        </w:tabs>
        <w:rPr>
          <w:lang w:val="en-US"/>
        </w:rPr>
      </w:pPr>
      <w:r>
        <w:tab/>
      </w:r>
      <w:r>
        <w:rPr>
          <w:rStyle w:val="FootnoteReference"/>
        </w:rPr>
        <w:footnoteRef/>
      </w:r>
      <w:r>
        <w:tab/>
        <w:t xml:space="preserve">Global Environment Facility. 2019. </w:t>
      </w:r>
      <w:r>
        <w:rPr>
          <w:i/>
          <w:iCs/>
        </w:rPr>
        <w:t>Instrument for the Establishment of the Restructured Global Environment Facility</w:t>
      </w:r>
      <w:r>
        <w:t xml:space="preserve">. Washington, D.C.: Global Environment Facility. Available at </w:t>
      </w:r>
      <w:hyperlink r:id="rId8" w:history="1">
        <w:r>
          <w:rPr>
            <w:rStyle w:val="Hyperlink"/>
          </w:rPr>
          <w:t>https://www.thegef.org/documents/instrument-establishment-restructured-gef</w:t>
        </w:r>
      </w:hyperlink>
      <w:r>
        <w:t xml:space="preserve">. </w:t>
      </w:r>
    </w:p>
  </w:footnote>
  <w:footnote w:id="20">
    <w:p w14:paraId="2FF5CBBF" w14:textId="77777777" w:rsidR="00272AEC" w:rsidRPr="00CC5994" w:rsidRDefault="00272AEC" w:rsidP="00272AEC">
      <w:pPr>
        <w:pStyle w:val="FootnoteText"/>
        <w:widowControl w:val="0"/>
        <w:rPr>
          <w:lang w:val="en-US"/>
        </w:rPr>
      </w:pPr>
      <w:r>
        <w:tab/>
      </w:r>
      <w:r>
        <w:rPr>
          <w:rStyle w:val="FootnoteReference"/>
        </w:rPr>
        <w:footnoteRef/>
      </w:r>
      <w:r>
        <w:tab/>
      </w:r>
      <w:r w:rsidRPr="000D1350">
        <w:rPr>
          <w:szCs w:val="22"/>
        </w:rPr>
        <w:t>In accordance with decision 1/CP.21, para. 61.</w:t>
      </w:r>
    </w:p>
  </w:footnote>
  <w:footnote w:id="21">
    <w:p w14:paraId="4508FEE3" w14:textId="77777777" w:rsidR="00177FB7" w:rsidRPr="000E56DD" w:rsidRDefault="00177FB7" w:rsidP="00177FB7">
      <w:pPr>
        <w:pStyle w:val="FootnoteText"/>
        <w:widowControl w:val="0"/>
        <w:rPr>
          <w:lang w:val="en-US"/>
        </w:rPr>
      </w:pPr>
      <w:r>
        <w:tab/>
      </w:r>
      <w:r>
        <w:rPr>
          <w:rStyle w:val="FootnoteReference"/>
        </w:rPr>
        <w:footnoteRef/>
      </w:r>
      <w:r>
        <w:tab/>
      </w:r>
      <w:r w:rsidRPr="000E56DD">
        <w:rPr>
          <w:lang w:val="en-US"/>
        </w:rPr>
        <w:t>FCCC/KP/CMP/2020/2−FCCC/PA/CMA/2020/2</w:t>
      </w:r>
      <w:r>
        <w:rPr>
          <w:lang w:val="en-US"/>
        </w:rPr>
        <w:t xml:space="preserve"> and</w:t>
      </w:r>
      <w:r w:rsidRPr="000E56DD">
        <w:rPr>
          <w:lang w:val="en-US"/>
        </w:rPr>
        <w:t xml:space="preserve"> FCCC/KP/CMP/2021/2−FCCC/PA/CMA/2021/4 and Add.1.</w:t>
      </w:r>
    </w:p>
  </w:footnote>
  <w:footnote w:id="22">
    <w:p w14:paraId="052720B6" w14:textId="77777777" w:rsidR="00177FB7" w:rsidRPr="0065552D" w:rsidRDefault="00177FB7" w:rsidP="00177FB7">
      <w:pPr>
        <w:pStyle w:val="FootnoteText"/>
        <w:widowControl w:val="0"/>
        <w:tabs>
          <w:tab w:val="clear" w:pos="1021"/>
          <w:tab w:val="right" w:pos="1020"/>
        </w:tabs>
        <w:rPr>
          <w:lang w:val="en-US"/>
        </w:rPr>
      </w:pPr>
      <w:r>
        <w:tab/>
      </w:r>
      <w:r>
        <w:rPr>
          <w:rStyle w:val="FootnoteReference"/>
        </w:rPr>
        <w:footnoteRef/>
      </w:r>
      <w:r>
        <w:tab/>
        <w:t xml:space="preserve">See </w:t>
      </w:r>
      <w:hyperlink r:id="rId9" w:history="1">
        <w:r w:rsidRPr="00781F3A">
          <w:rPr>
            <w:rStyle w:val="Hyperlink"/>
          </w:rPr>
          <w:t>https://www.adaptation-fund.org/document/medium-term-strategy-2018-2022/</w:t>
        </w:r>
      </w:hyperlink>
      <w:r>
        <w:t xml:space="preserve">. </w:t>
      </w:r>
    </w:p>
  </w:footnote>
  <w:footnote w:id="23">
    <w:p w14:paraId="491E9C37" w14:textId="5DE3DDBD" w:rsidR="00177FB7" w:rsidRPr="00161857" w:rsidRDefault="00177FB7" w:rsidP="00177FB7">
      <w:pPr>
        <w:pStyle w:val="FootnoteText"/>
        <w:widowControl w:val="0"/>
        <w:rPr>
          <w:szCs w:val="18"/>
          <w:lang w:val="en-US"/>
        </w:rPr>
      </w:pPr>
      <w:r>
        <w:tab/>
      </w:r>
      <w:r>
        <w:rPr>
          <w:rStyle w:val="FootnoteReference"/>
        </w:rPr>
        <w:footnoteRef/>
      </w:r>
      <w:r>
        <w:tab/>
      </w:r>
      <w:r w:rsidR="006F7018">
        <w:t xml:space="preserve">See </w:t>
      </w:r>
      <w:r w:rsidRPr="00161857">
        <w:rPr>
          <w:color w:val="242424"/>
          <w:szCs w:val="18"/>
          <w:shd w:val="clear" w:color="auto" w:fill="FFFFFF"/>
        </w:rPr>
        <w:t>Adaptation Fund Board document AFB/EFC.28/7. Available at </w:t>
      </w:r>
      <w:hyperlink r:id="rId10" w:history="1">
        <w:r w:rsidRPr="00161857">
          <w:rPr>
            <w:rStyle w:val="Hyperlink"/>
            <w:szCs w:val="18"/>
            <w:shd w:val="clear" w:color="auto" w:fill="FFFFFF"/>
          </w:rPr>
          <w:t>https://www.adaptation-fund.org/document/mid-term-review-of-the-medium-term-strategy-of-the-adaptation-fund/</w:t>
        </w:r>
      </w:hyperlink>
      <w:r w:rsidRPr="00161857">
        <w:rPr>
          <w:color w:val="242424"/>
          <w:szCs w:val="18"/>
          <w:shd w:val="clear" w:color="auto" w:fill="FFFFFF"/>
        </w:rPr>
        <w:t>.</w:t>
      </w:r>
    </w:p>
  </w:footnote>
  <w:footnote w:id="24">
    <w:p w14:paraId="365BC95D" w14:textId="77777777" w:rsidR="00177FB7" w:rsidRPr="007B195A" w:rsidRDefault="00177FB7" w:rsidP="00177FB7">
      <w:pPr>
        <w:pStyle w:val="FootnoteText"/>
        <w:rPr>
          <w:lang w:val="en-US"/>
        </w:rPr>
      </w:pPr>
      <w:r>
        <w:tab/>
      </w:r>
      <w:r>
        <w:rPr>
          <w:rStyle w:val="FootnoteReference"/>
        </w:rPr>
        <w:footnoteRef/>
      </w:r>
      <w:r>
        <w:tab/>
      </w:r>
      <w:r w:rsidRPr="007B195A">
        <w:t xml:space="preserve">Adaptation Fund Board decision B.36/42. Available at </w:t>
      </w:r>
      <w:hyperlink r:id="rId11" w:history="1">
        <w:r w:rsidRPr="007B195A">
          <w:rPr>
            <w:rStyle w:val="Hyperlink"/>
          </w:rPr>
          <w:t>https://www.adaptation-fund.org/documents-publications/</w:t>
        </w:r>
      </w:hyperlink>
      <w:r w:rsidRPr="007B195A">
        <w:t>.</w:t>
      </w:r>
    </w:p>
  </w:footnote>
  <w:footnote w:id="25">
    <w:p w14:paraId="49194DC8" w14:textId="77777777" w:rsidR="00177FB7" w:rsidRPr="00CA184D" w:rsidRDefault="00177FB7" w:rsidP="00177FB7">
      <w:pPr>
        <w:pStyle w:val="FootnoteText"/>
        <w:widowControl w:val="0"/>
        <w:rPr>
          <w:lang w:val="en-US"/>
        </w:rPr>
      </w:pPr>
      <w:r>
        <w:tab/>
      </w:r>
      <w:r>
        <w:rPr>
          <w:rStyle w:val="FootnoteReference"/>
        </w:rPr>
        <w:footnoteRef/>
      </w:r>
      <w:r>
        <w:tab/>
        <w:t xml:space="preserve">Decision 3/CMP.15, para. 5. </w:t>
      </w:r>
    </w:p>
  </w:footnote>
  <w:footnote w:id="26">
    <w:p w14:paraId="6AC9CC51" w14:textId="77777777" w:rsidR="00177FB7" w:rsidRPr="00963001" w:rsidRDefault="00177FB7" w:rsidP="00177FB7">
      <w:pPr>
        <w:pStyle w:val="FootnoteText"/>
        <w:widowControl w:val="0"/>
        <w:rPr>
          <w:lang w:val="en-US"/>
        </w:rPr>
      </w:pPr>
      <w:r>
        <w:tab/>
      </w:r>
      <w:r>
        <w:rPr>
          <w:rStyle w:val="FootnoteReference"/>
        </w:rPr>
        <w:footnoteRef/>
      </w:r>
      <w:r>
        <w:tab/>
      </w:r>
      <w:r>
        <w:tab/>
        <w:t xml:space="preserve">Pursuant to decision 1/CMP.14, para. 6. </w:t>
      </w:r>
    </w:p>
  </w:footnote>
  <w:footnote w:id="27">
    <w:p w14:paraId="5AB03762" w14:textId="28D5CB4A" w:rsidR="00177FB7" w:rsidRPr="00F80100" w:rsidRDefault="00177FB7" w:rsidP="00177FB7">
      <w:pPr>
        <w:pStyle w:val="FootnoteText"/>
        <w:rPr>
          <w:lang w:val="en-US"/>
        </w:rPr>
      </w:pPr>
      <w:r>
        <w:tab/>
      </w:r>
      <w:r>
        <w:rPr>
          <w:rStyle w:val="FootnoteReference"/>
        </w:rPr>
        <w:footnoteRef/>
      </w:r>
      <w:r>
        <w:tab/>
        <w:t xml:space="preserve">See document </w:t>
      </w:r>
      <w:r w:rsidRPr="00F80100">
        <w:t>FCCC/KP/CMP/2019/4/Add.1−FCCC/PA/CMA/2019/2/Add.1</w:t>
      </w:r>
      <w:r>
        <w:t>, annexes IV</w:t>
      </w:r>
      <w:r w:rsidR="00E3475D">
        <w:t>–</w:t>
      </w:r>
      <w:r>
        <w:t>V.</w:t>
      </w:r>
    </w:p>
  </w:footnote>
  <w:footnote w:id="28">
    <w:p w14:paraId="3549A376" w14:textId="77777777" w:rsidR="00177FB7" w:rsidRPr="00447C0C" w:rsidRDefault="00177FB7" w:rsidP="00177FB7">
      <w:pPr>
        <w:pStyle w:val="FootnoteText"/>
        <w:rPr>
          <w:lang w:val="en-US"/>
        </w:rPr>
      </w:pPr>
      <w:r>
        <w:tab/>
      </w:r>
      <w:r>
        <w:rPr>
          <w:rStyle w:val="FootnoteReference"/>
        </w:rPr>
        <w:footnoteRef/>
      </w:r>
      <w:r>
        <w:tab/>
        <w:t xml:space="preserve">See decision 1/CMP.14, para. 5. </w:t>
      </w:r>
    </w:p>
  </w:footnote>
  <w:footnote w:id="29">
    <w:p w14:paraId="77AFD897" w14:textId="77777777" w:rsidR="00E01870" w:rsidRPr="00756E1D" w:rsidRDefault="00E01870" w:rsidP="00E01870">
      <w:pPr>
        <w:pStyle w:val="FootnoteText"/>
        <w:widowControl w:val="0"/>
        <w:tabs>
          <w:tab w:val="clear" w:pos="1021"/>
          <w:tab w:val="right" w:pos="1020"/>
        </w:tabs>
        <w:rPr>
          <w:lang w:val="en-US"/>
        </w:rPr>
      </w:pPr>
      <w:r>
        <w:tab/>
      </w:r>
      <w:r>
        <w:rPr>
          <w:rStyle w:val="FootnoteReference"/>
        </w:rPr>
        <w:footnoteRef/>
      </w:r>
      <w:r>
        <w:tab/>
        <w:t xml:space="preserve">Article 9, para. 5, of the Paris Agreement. </w:t>
      </w:r>
    </w:p>
  </w:footnote>
  <w:footnote w:id="30">
    <w:p w14:paraId="30152306" w14:textId="77777777" w:rsidR="00E01870" w:rsidRPr="00F7349A" w:rsidRDefault="00E01870" w:rsidP="00E01870">
      <w:pPr>
        <w:pStyle w:val="FootnoteText"/>
        <w:widowControl w:val="0"/>
        <w:tabs>
          <w:tab w:val="left" w:pos="1134"/>
          <w:tab w:val="left" w:pos="1701"/>
          <w:tab w:val="left" w:pos="2268"/>
          <w:tab w:val="left" w:pos="3018"/>
        </w:tabs>
        <w:rPr>
          <w:lang w:val="en-US"/>
        </w:rPr>
      </w:pPr>
      <w:r>
        <w:tab/>
      </w:r>
      <w:r>
        <w:rPr>
          <w:rStyle w:val="FootnoteReference"/>
        </w:rPr>
        <w:footnoteRef/>
      </w:r>
      <w:r>
        <w:tab/>
      </w:r>
      <w:r>
        <w:rPr>
          <w:szCs w:val="16"/>
        </w:rPr>
        <w:t xml:space="preserve">Available at </w:t>
      </w:r>
      <w:hyperlink r:id="rId12" w:history="1">
        <w:r w:rsidRPr="003D330B">
          <w:rPr>
            <w:rStyle w:val="Hyperlink"/>
            <w:szCs w:val="16"/>
          </w:rPr>
          <w:t>https://unfccc.int/Art.9.5-biennial-communications</w:t>
        </w:r>
      </w:hyperlink>
      <w:r w:rsidRPr="00020925">
        <w:rPr>
          <w:szCs w:val="16"/>
        </w:rPr>
        <w:t>.</w:t>
      </w:r>
    </w:p>
  </w:footnote>
  <w:footnote w:id="31">
    <w:p w14:paraId="35ED74EC" w14:textId="77777777" w:rsidR="00E01870" w:rsidRPr="00F7349A" w:rsidRDefault="00E01870" w:rsidP="00E01870">
      <w:pPr>
        <w:pStyle w:val="FootnoteText"/>
        <w:widowControl w:val="0"/>
        <w:tabs>
          <w:tab w:val="left" w:pos="1134"/>
          <w:tab w:val="left" w:pos="1701"/>
          <w:tab w:val="left" w:pos="2268"/>
          <w:tab w:val="left" w:pos="3018"/>
        </w:tabs>
        <w:rPr>
          <w:lang w:val="en-US"/>
        </w:rPr>
      </w:pPr>
      <w:r>
        <w:tab/>
      </w:r>
      <w:r>
        <w:rPr>
          <w:rStyle w:val="FootnoteReference"/>
        </w:rPr>
        <w:footnoteRef/>
      </w:r>
      <w:r>
        <w:tab/>
      </w:r>
      <w:r w:rsidRPr="00020925">
        <w:rPr>
          <w:szCs w:val="16"/>
        </w:rPr>
        <w:t>FCCC/PA/CMA/2021</w:t>
      </w:r>
      <w:r>
        <w:rPr>
          <w:szCs w:val="16"/>
        </w:rPr>
        <w:t>/3</w:t>
      </w:r>
      <w:r w:rsidRPr="00020925">
        <w:rPr>
          <w:szCs w:val="16"/>
        </w:rPr>
        <w:t>.</w:t>
      </w:r>
    </w:p>
  </w:footnote>
  <w:footnote w:id="32">
    <w:p w14:paraId="71AB501B" w14:textId="77777777" w:rsidR="00E01870" w:rsidRPr="00A972DF" w:rsidRDefault="00E01870" w:rsidP="00E01870">
      <w:pPr>
        <w:pStyle w:val="FootnoteText"/>
        <w:widowControl w:val="0"/>
        <w:tabs>
          <w:tab w:val="clear" w:pos="1021"/>
          <w:tab w:val="right" w:pos="1020"/>
        </w:tabs>
        <w:rPr>
          <w:lang w:val="en-US"/>
        </w:rPr>
      </w:pPr>
      <w:r>
        <w:tab/>
      </w:r>
      <w:r>
        <w:rPr>
          <w:rStyle w:val="FootnoteReference"/>
        </w:rPr>
        <w:footnoteRef/>
      </w:r>
      <w:r>
        <w:tab/>
        <w:t xml:space="preserve">FCCC/PA/CMA/2021/5. </w:t>
      </w:r>
    </w:p>
  </w:footnote>
  <w:footnote w:id="33">
    <w:p w14:paraId="542D1BDC" w14:textId="77777777" w:rsidR="00E01870" w:rsidRPr="009A39F9" w:rsidRDefault="00E01870" w:rsidP="00E01870">
      <w:pPr>
        <w:pStyle w:val="FootnoteText"/>
        <w:widowControl w:val="0"/>
        <w:tabs>
          <w:tab w:val="clear" w:pos="1021"/>
          <w:tab w:val="right" w:pos="1020"/>
        </w:tabs>
        <w:rPr>
          <w:lang w:val="en-US"/>
        </w:rPr>
      </w:pPr>
      <w:r>
        <w:tab/>
      </w:r>
      <w:r>
        <w:rPr>
          <w:rStyle w:val="FootnoteReference"/>
        </w:rPr>
        <w:footnoteRef/>
      </w:r>
      <w:r>
        <w:tab/>
        <w:t xml:space="preserve">Decision 12/CMA.1, para. 8. </w:t>
      </w:r>
    </w:p>
  </w:footnote>
  <w:footnote w:id="34">
    <w:p w14:paraId="6A4D753A" w14:textId="655E40B3" w:rsidR="00C26921" w:rsidRPr="00F03C9B" w:rsidRDefault="00C26921" w:rsidP="00C26921">
      <w:pPr>
        <w:pStyle w:val="FootnoteText"/>
        <w:rPr>
          <w:lang w:val="en-US"/>
        </w:rPr>
      </w:pPr>
      <w:r>
        <w:tab/>
      </w:r>
      <w:r>
        <w:rPr>
          <w:rStyle w:val="FootnoteReference"/>
        </w:rPr>
        <w:footnoteRef/>
      </w:r>
      <w:r>
        <w:tab/>
      </w:r>
      <w:r w:rsidR="00921AB2">
        <w:t xml:space="preserve">FCCC/SB/2020/4 and </w:t>
      </w:r>
      <w:r w:rsidRPr="0082053E">
        <w:t>FCCC/SB/2021/5</w:t>
      </w:r>
      <w:r>
        <w:t>.</w:t>
      </w:r>
    </w:p>
  </w:footnote>
  <w:footnote w:id="35">
    <w:p w14:paraId="38971188" w14:textId="77777777" w:rsidR="00C26921" w:rsidRPr="001917DB" w:rsidRDefault="00C26921" w:rsidP="00C26921">
      <w:pPr>
        <w:pStyle w:val="FootnoteText"/>
        <w:widowControl w:val="0"/>
        <w:rPr>
          <w:lang w:val="en-US"/>
        </w:rPr>
      </w:pPr>
      <w:r>
        <w:tab/>
      </w:r>
      <w:r>
        <w:rPr>
          <w:rStyle w:val="FootnoteReference"/>
        </w:rPr>
        <w:footnoteRef/>
      </w:r>
      <w:r>
        <w:tab/>
        <w:t xml:space="preserve">See document </w:t>
      </w:r>
      <w:r w:rsidRPr="00215D8E">
        <w:t>FCCC/SB/2020/4</w:t>
      </w:r>
      <w:r>
        <w:t xml:space="preserve">, annex II. </w:t>
      </w:r>
    </w:p>
  </w:footnote>
  <w:footnote w:id="36">
    <w:p w14:paraId="1688519F" w14:textId="77777777" w:rsidR="00C26921" w:rsidRPr="002D7C21" w:rsidRDefault="00C26921" w:rsidP="00C26921">
      <w:pPr>
        <w:pStyle w:val="FootnoteText"/>
        <w:widowControl w:val="0"/>
        <w:rPr>
          <w:lang w:val="en-US"/>
        </w:rPr>
      </w:pPr>
      <w:r>
        <w:tab/>
      </w:r>
      <w:r>
        <w:rPr>
          <w:rStyle w:val="FootnoteReference"/>
        </w:rPr>
        <w:footnoteRef/>
      </w:r>
      <w:r>
        <w:tab/>
        <w:t>Pursuant to decision 8/CMA.2, para. 3.</w:t>
      </w:r>
    </w:p>
  </w:footnote>
  <w:footnote w:id="37">
    <w:p w14:paraId="06AFF19E" w14:textId="386E3B87" w:rsidR="00C26921" w:rsidRPr="001A1DA9" w:rsidRDefault="00C26921" w:rsidP="00C26921">
      <w:pPr>
        <w:pStyle w:val="FootnoteText"/>
        <w:rPr>
          <w:color w:val="000000" w:themeColor="text1"/>
          <w:lang w:val="en-US"/>
        </w:rPr>
      </w:pPr>
      <w:r>
        <w:tab/>
      </w:r>
      <w:r>
        <w:rPr>
          <w:rStyle w:val="FootnoteReference"/>
        </w:rPr>
        <w:footnoteRef/>
      </w:r>
      <w:r>
        <w:tab/>
      </w:r>
      <w:r w:rsidRPr="004F437A">
        <w:rPr>
          <w:color w:val="000000" w:themeColor="text1"/>
        </w:rPr>
        <w:t>Technology Executive Committee and Climate Technology Centre and Network. 2021.</w:t>
      </w:r>
      <w:r>
        <w:rPr>
          <w:color w:val="000000" w:themeColor="text1"/>
        </w:rPr>
        <w:t xml:space="preserve"> </w:t>
      </w:r>
      <w:r w:rsidRPr="004F437A">
        <w:rPr>
          <w:i/>
          <w:iCs/>
          <w:color w:val="000000" w:themeColor="text1"/>
        </w:rPr>
        <w:t xml:space="preserve">Technology and </w:t>
      </w:r>
      <w:r w:rsidR="00F40326">
        <w:rPr>
          <w:i/>
          <w:iCs/>
          <w:color w:val="000000" w:themeColor="text1"/>
        </w:rPr>
        <w:t>n</w:t>
      </w:r>
      <w:r w:rsidRPr="004F437A">
        <w:rPr>
          <w:i/>
          <w:iCs/>
          <w:color w:val="000000" w:themeColor="text1"/>
        </w:rPr>
        <w:t xml:space="preserve">ationally </w:t>
      </w:r>
      <w:r w:rsidR="00F40326">
        <w:rPr>
          <w:i/>
          <w:iCs/>
          <w:color w:val="000000" w:themeColor="text1"/>
        </w:rPr>
        <w:t>d</w:t>
      </w:r>
      <w:r w:rsidRPr="004F437A">
        <w:rPr>
          <w:i/>
          <w:iCs/>
          <w:color w:val="000000" w:themeColor="text1"/>
        </w:rPr>
        <w:t xml:space="preserve">etermined </w:t>
      </w:r>
      <w:r w:rsidR="00F40326">
        <w:rPr>
          <w:i/>
          <w:iCs/>
          <w:color w:val="000000" w:themeColor="text1"/>
        </w:rPr>
        <w:t>c</w:t>
      </w:r>
      <w:r w:rsidRPr="004F437A">
        <w:rPr>
          <w:i/>
          <w:iCs/>
          <w:color w:val="000000" w:themeColor="text1"/>
        </w:rPr>
        <w:t>ontributions</w:t>
      </w:r>
      <w:r w:rsidRPr="004F437A">
        <w:rPr>
          <w:color w:val="000000" w:themeColor="text1"/>
        </w:rPr>
        <w:t xml:space="preserve">. </w:t>
      </w:r>
      <w:r w:rsidR="0043757B">
        <w:rPr>
          <w:color w:val="000000" w:themeColor="text1"/>
        </w:rPr>
        <w:t xml:space="preserve">Bonn: UNFCCC. </w:t>
      </w:r>
      <w:r w:rsidRPr="004F437A">
        <w:rPr>
          <w:color w:val="000000" w:themeColor="text1"/>
        </w:rPr>
        <w:t>Available at</w:t>
      </w:r>
      <w:r>
        <w:rPr>
          <w:color w:val="000000" w:themeColor="text1"/>
        </w:rPr>
        <w:t xml:space="preserve"> </w:t>
      </w:r>
      <w:hyperlink r:id="rId13" w:history="1">
        <w:r w:rsidRPr="00AA46FC">
          <w:rPr>
            <w:rStyle w:val="Hyperlink"/>
            <w:lang w:val="en-US"/>
          </w:rPr>
          <w:t>https://unfccc.int/ttclear/tec/techandndc.html</w:t>
        </w:r>
      </w:hyperlink>
      <w:r w:rsidRPr="001A1DA9">
        <w:rPr>
          <w:color w:val="000000" w:themeColor="text1"/>
          <w:lang w:val="en-US"/>
        </w:rPr>
        <w:t>.</w:t>
      </w:r>
    </w:p>
  </w:footnote>
  <w:footnote w:id="38">
    <w:p w14:paraId="26D4FE5C" w14:textId="77EE768B" w:rsidR="00C26921" w:rsidRPr="00E260E0" w:rsidRDefault="00C26921" w:rsidP="00C26921">
      <w:pPr>
        <w:pStyle w:val="FootnoteText"/>
        <w:widowControl w:val="0"/>
        <w:rPr>
          <w:lang w:val="en-US"/>
        </w:rPr>
      </w:pPr>
      <w:r>
        <w:tab/>
      </w:r>
      <w:r>
        <w:rPr>
          <w:rStyle w:val="FootnoteReference"/>
        </w:rPr>
        <w:footnoteRef/>
      </w:r>
      <w:r>
        <w:tab/>
      </w:r>
      <w:r w:rsidR="009A70E8">
        <w:t>See</w:t>
      </w:r>
      <w:r>
        <w:t xml:space="preserve"> document </w:t>
      </w:r>
      <w:r w:rsidRPr="0082053E">
        <w:t>FCCC/SB/2021/5</w:t>
      </w:r>
      <w:r>
        <w:t>, annex I.</w:t>
      </w:r>
    </w:p>
  </w:footnote>
  <w:footnote w:id="39">
    <w:p w14:paraId="542EDF98" w14:textId="77777777" w:rsidR="00C26921" w:rsidRPr="009B1C7C" w:rsidRDefault="00C26921" w:rsidP="00C26921">
      <w:pPr>
        <w:pStyle w:val="FootnoteText"/>
        <w:widowControl w:val="0"/>
        <w:tabs>
          <w:tab w:val="clear" w:pos="1021"/>
          <w:tab w:val="right" w:pos="1020"/>
        </w:tabs>
        <w:rPr>
          <w:lang w:val="en-US"/>
        </w:rPr>
      </w:pPr>
      <w:r>
        <w:tab/>
      </w:r>
      <w:r>
        <w:rPr>
          <w:rStyle w:val="FootnoteReference"/>
        </w:rPr>
        <w:footnoteRef/>
      </w:r>
      <w:r>
        <w:tab/>
      </w:r>
      <w:r w:rsidRPr="009B1C7C">
        <w:t>Available at</w:t>
      </w:r>
      <w:r w:rsidRPr="001A1DA9">
        <w:t xml:space="preserve"> </w:t>
      </w:r>
      <w:hyperlink r:id="rId14" w:history="1">
        <w:r w:rsidRPr="0099324B">
          <w:rPr>
            <w:rStyle w:val="Hyperlink"/>
          </w:rPr>
          <w:t>https://unfccc.int/ttclear/tec</w:t>
        </w:r>
      </w:hyperlink>
      <w:r>
        <w:t>.</w:t>
      </w:r>
    </w:p>
  </w:footnote>
  <w:footnote w:id="40">
    <w:p w14:paraId="2544B1B2" w14:textId="77777777" w:rsidR="00C26921" w:rsidRPr="0003389B" w:rsidRDefault="00C26921" w:rsidP="00C26921">
      <w:pPr>
        <w:pStyle w:val="FootnoteText"/>
        <w:rPr>
          <w:lang w:val="en-US"/>
        </w:rPr>
      </w:pPr>
      <w:r>
        <w:tab/>
      </w:r>
      <w:r>
        <w:rPr>
          <w:rStyle w:val="FootnoteReference"/>
        </w:rPr>
        <w:footnoteRef/>
      </w:r>
      <w:r>
        <w:tab/>
      </w:r>
      <w:r w:rsidRPr="00CC43EA">
        <w:t>See documents FCCC/SB/2020/4 and FCCC/SB/2021/5.</w:t>
      </w:r>
    </w:p>
  </w:footnote>
  <w:footnote w:id="41">
    <w:p w14:paraId="5761CD95" w14:textId="36A0E96E" w:rsidR="00C26921" w:rsidRPr="004A61CA" w:rsidRDefault="00C26921" w:rsidP="00C26921">
      <w:pPr>
        <w:pStyle w:val="FootnoteText"/>
        <w:rPr>
          <w:lang w:val="en-US"/>
        </w:rPr>
      </w:pPr>
      <w:r>
        <w:tab/>
      </w:r>
      <w:r>
        <w:rPr>
          <w:rStyle w:val="FootnoteReference"/>
        </w:rPr>
        <w:footnoteRef/>
      </w:r>
      <w:r>
        <w:tab/>
      </w:r>
      <w:r w:rsidR="00514DDA">
        <w:t xml:space="preserve">See </w:t>
      </w:r>
      <w:hyperlink r:id="rId15" w:history="1">
        <w:r w:rsidR="006C0BA4" w:rsidRPr="006C0BA4">
          <w:rPr>
            <w:rStyle w:val="Hyperlink"/>
            <w:lang w:val="en-US"/>
          </w:rPr>
          <w:t>https://unfccc.int/ttclear/events/2020/2020_event07</w:t>
        </w:r>
      </w:hyperlink>
      <w:r>
        <w:rPr>
          <w:lang w:val="en-US"/>
        </w:rPr>
        <w:t>.</w:t>
      </w:r>
    </w:p>
  </w:footnote>
  <w:footnote w:id="42">
    <w:p w14:paraId="1662C140" w14:textId="77777777" w:rsidR="005E53C5" w:rsidRPr="000A4A99" w:rsidRDefault="005E53C5" w:rsidP="005E53C5">
      <w:pPr>
        <w:pStyle w:val="FootnoteText"/>
        <w:widowControl w:val="0"/>
        <w:tabs>
          <w:tab w:val="clear" w:pos="1021"/>
          <w:tab w:val="right" w:pos="1020"/>
        </w:tabs>
        <w:rPr>
          <w:szCs w:val="18"/>
          <w:lang w:val="en-US"/>
        </w:rPr>
      </w:pPr>
      <w:r w:rsidRPr="000A4A99">
        <w:rPr>
          <w:szCs w:val="18"/>
        </w:rPr>
        <w:tab/>
      </w:r>
      <w:r w:rsidRPr="000A4A99">
        <w:rPr>
          <w:rStyle w:val="FootnoteReference"/>
          <w:szCs w:val="18"/>
        </w:rPr>
        <w:footnoteRef/>
      </w:r>
      <w:r w:rsidRPr="000A4A99">
        <w:rPr>
          <w:szCs w:val="18"/>
        </w:rPr>
        <w:tab/>
      </w:r>
      <w:r w:rsidRPr="000A4A99">
        <w:rPr>
          <w:szCs w:val="18"/>
          <w:lang w:val="en-US"/>
        </w:rPr>
        <w:t>In accordance with decisions 2/CP.17, 14/CP.18 and 12/CP.24.</w:t>
      </w:r>
      <w:r w:rsidRPr="000A4A99">
        <w:rPr>
          <w:szCs w:val="18"/>
        </w:rPr>
        <w:t xml:space="preserve"> </w:t>
      </w:r>
    </w:p>
  </w:footnote>
  <w:footnote w:id="43">
    <w:p w14:paraId="659C6BB2" w14:textId="77777777" w:rsidR="005E53C5" w:rsidRPr="006D2A1F" w:rsidRDefault="005E53C5" w:rsidP="005E53C5">
      <w:pPr>
        <w:pStyle w:val="FootnoteText"/>
        <w:widowControl w:val="0"/>
        <w:tabs>
          <w:tab w:val="clear" w:pos="1021"/>
          <w:tab w:val="right" w:pos="1020"/>
        </w:tabs>
        <w:rPr>
          <w:szCs w:val="18"/>
          <w:lang w:val="en-US"/>
        </w:rPr>
      </w:pPr>
      <w:r w:rsidRPr="006D2A1F">
        <w:rPr>
          <w:szCs w:val="18"/>
        </w:rPr>
        <w:tab/>
      </w:r>
      <w:r w:rsidRPr="006D2A1F">
        <w:rPr>
          <w:rStyle w:val="FootnoteReference"/>
          <w:szCs w:val="18"/>
        </w:rPr>
        <w:footnoteRef/>
      </w:r>
      <w:r w:rsidRPr="006D2A1F">
        <w:rPr>
          <w:szCs w:val="18"/>
        </w:rPr>
        <w:tab/>
      </w:r>
      <w:r w:rsidRPr="006D2A1F">
        <w:rPr>
          <w:szCs w:val="18"/>
          <w:lang w:val="en-US"/>
        </w:rPr>
        <w:t>FCCC/SBI/2020/INF.5.</w:t>
      </w:r>
    </w:p>
  </w:footnote>
  <w:footnote w:id="44">
    <w:p w14:paraId="49BA210B" w14:textId="77777777" w:rsidR="0046233C" w:rsidRDefault="0046233C" w:rsidP="0046233C">
      <w:pPr>
        <w:pStyle w:val="FootnoteText"/>
        <w:widowControl w:val="0"/>
        <w:ind w:left="0" w:firstLine="0"/>
        <w:rPr>
          <w:lang w:val="en-US"/>
        </w:rPr>
      </w:pPr>
      <w:r>
        <w:tab/>
      </w:r>
      <w:r>
        <w:rPr>
          <w:rStyle w:val="FootnoteReference"/>
        </w:rPr>
        <w:footnoteRef/>
      </w:r>
      <w:r>
        <w:tab/>
        <w:t>FCCC/SBI/2020/13 and FCCC/SBI/2021/10.</w:t>
      </w:r>
    </w:p>
  </w:footnote>
  <w:footnote w:id="45">
    <w:p w14:paraId="0492824F" w14:textId="48A76C98" w:rsidR="0046233C" w:rsidRPr="00E67801" w:rsidRDefault="0046233C" w:rsidP="0046233C">
      <w:pPr>
        <w:pStyle w:val="FootnoteText"/>
        <w:rPr>
          <w:lang w:val="en-US"/>
        </w:rPr>
      </w:pPr>
      <w:r>
        <w:tab/>
      </w:r>
      <w:r>
        <w:rPr>
          <w:rStyle w:val="FootnoteReference"/>
        </w:rPr>
        <w:footnoteRef/>
      </w:r>
      <w:r>
        <w:tab/>
      </w:r>
      <w:r>
        <w:tab/>
        <w:t>FCCC/SBI/2021/10, paras. 72</w:t>
      </w:r>
      <w:r w:rsidR="00122DA7">
        <w:t>–</w:t>
      </w:r>
      <w:r>
        <w:t>81.</w:t>
      </w:r>
    </w:p>
  </w:footnote>
  <w:footnote w:id="46">
    <w:p w14:paraId="747E810E" w14:textId="5CDFAFE9" w:rsidR="005523F5" w:rsidRPr="0029503C" w:rsidRDefault="005523F5" w:rsidP="0029503C">
      <w:pPr>
        <w:pStyle w:val="FootnoteText"/>
        <w:widowControl w:val="0"/>
        <w:tabs>
          <w:tab w:val="clear" w:pos="1021"/>
          <w:tab w:val="right" w:pos="1020"/>
        </w:tabs>
        <w:rPr>
          <w:lang w:val="en-US"/>
        </w:rPr>
      </w:pPr>
      <w:r>
        <w:tab/>
      </w:r>
      <w:r>
        <w:rPr>
          <w:rStyle w:val="FootnoteReference"/>
        </w:rPr>
        <w:footnoteRef/>
      </w:r>
      <w:r>
        <w:tab/>
      </w:r>
      <w:r w:rsidR="003F6860">
        <w:t xml:space="preserve">Available at </w:t>
      </w:r>
      <w:hyperlink r:id="rId16" w:history="1">
        <w:r w:rsidR="00946FDF" w:rsidRPr="006D1F41">
          <w:rPr>
            <w:rStyle w:val="Hyperlink"/>
          </w:rPr>
          <w:t>https://unfccc.int/documents/209801</w:t>
        </w:r>
      </w:hyperlink>
      <w:r w:rsidR="00AA0A12">
        <w:t>.</w:t>
      </w:r>
    </w:p>
  </w:footnote>
  <w:footnote w:id="47">
    <w:p w14:paraId="1C1318BB" w14:textId="27C9A8FC" w:rsidR="00EF4FA4" w:rsidRPr="0029503C" w:rsidRDefault="00EF4FA4" w:rsidP="0029503C">
      <w:pPr>
        <w:pStyle w:val="FootnoteText"/>
        <w:widowControl w:val="0"/>
        <w:tabs>
          <w:tab w:val="clear" w:pos="1021"/>
          <w:tab w:val="right" w:pos="1020"/>
        </w:tabs>
        <w:rPr>
          <w:lang w:val="en-US"/>
        </w:rPr>
      </w:pPr>
      <w:r>
        <w:tab/>
      </w:r>
      <w:r>
        <w:rPr>
          <w:rStyle w:val="FootnoteReference"/>
        </w:rPr>
        <w:footnoteRef/>
      </w:r>
      <w:r>
        <w:tab/>
      </w:r>
      <w:r w:rsidR="008F19E9">
        <w:t xml:space="preserve">Available at </w:t>
      </w:r>
      <w:hyperlink r:id="rId17" w:history="1">
        <w:r w:rsidR="00946FDF" w:rsidRPr="006D1F41">
          <w:rPr>
            <w:rStyle w:val="Hyperlink"/>
          </w:rPr>
          <w:t>https://unfccc.int/documents/267207</w:t>
        </w:r>
      </w:hyperlink>
      <w:r w:rsidR="00AA0A12">
        <w:t>.</w:t>
      </w:r>
    </w:p>
  </w:footnote>
  <w:footnote w:id="48">
    <w:p w14:paraId="039DC5FA" w14:textId="77777777" w:rsidR="0046233C" w:rsidRDefault="0046233C" w:rsidP="0046233C">
      <w:pPr>
        <w:pStyle w:val="FootnoteText"/>
        <w:widowControl w:val="0"/>
        <w:rPr>
          <w:lang w:val="fr-FR"/>
        </w:rPr>
      </w:pPr>
      <w:r>
        <w:rPr>
          <w:lang w:val="fr-FR"/>
        </w:rPr>
        <w:tab/>
      </w:r>
      <w:r>
        <w:rPr>
          <w:rStyle w:val="FootnoteReference"/>
        </w:rPr>
        <w:footnoteRef/>
      </w:r>
      <w:r>
        <w:rPr>
          <w:lang w:val="fr-FR"/>
        </w:rPr>
        <w:tab/>
      </w:r>
      <w:r>
        <w:rPr>
          <w:lang w:val="fr-FR"/>
        </w:rPr>
        <w:tab/>
        <w:t>See document FCCC/SBI/2021/10, para. 15.</w:t>
      </w:r>
    </w:p>
  </w:footnote>
  <w:footnote w:id="49">
    <w:p w14:paraId="3243BFAB" w14:textId="77777777" w:rsidR="006718EE" w:rsidRPr="00ED1A1D" w:rsidRDefault="006718EE" w:rsidP="006718EE">
      <w:pPr>
        <w:pStyle w:val="FootnoteText"/>
        <w:widowControl w:val="0"/>
        <w:tabs>
          <w:tab w:val="clear" w:pos="1021"/>
          <w:tab w:val="right" w:pos="1020"/>
        </w:tabs>
        <w:rPr>
          <w:lang w:val="en-US"/>
        </w:rPr>
      </w:pPr>
      <w:r>
        <w:tab/>
      </w:r>
      <w:r>
        <w:rPr>
          <w:rStyle w:val="FootnoteReference"/>
        </w:rPr>
        <w:footnoteRef/>
      </w:r>
      <w:r>
        <w:tab/>
        <w:t>Nothing in this document prejudices Parties’ views or prejudges outcomes on matters related to the governance of the Warsaw International Mechanism</w:t>
      </w:r>
      <w:r w:rsidRPr="00D35F30">
        <w:t xml:space="preserve"> </w:t>
      </w:r>
      <w:r w:rsidRPr="00EB19C7">
        <w:t>for Loss and Damage associated with Climate Change Impacts</w:t>
      </w:r>
      <w:r>
        <w:t>.</w:t>
      </w:r>
    </w:p>
  </w:footnote>
  <w:footnote w:id="50">
    <w:p w14:paraId="049EDE14" w14:textId="25AB12CC" w:rsidR="005A368D" w:rsidRPr="005A368D" w:rsidRDefault="005A368D" w:rsidP="005A368D">
      <w:pPr>
        <w:pStyle w:val="FootnoteText"/>
        <w:widowControl w:val="0"/>
        <w:tabs>
          <w:tab w:val="clear" w:pos="1021"/>
          <w:tab w:val="right" w:pos="1020"/>
        </w:tabs>
        <w:rPr>
          <w:lang w:val="en-US"/>
        </w:rPr>
      </w:pPr>
      <w:r>
        <w:tab/>
      </w:r>
      <w:r>
        <w:rPr>
          <w:rStyle w:val="FootnoteReference"/>
        </w:rPr>
        <w:footnoteRef/>
      </w:r>
      <w:r>
        <w:tab/>
      </w:r>
      <w:r w:rsidR="00AF4EDD" w:rsidRPr="00422195">
        <w:rPr>
          <w:rFonts w:eastAsia="Times New Roman"/>
          <w:szCs w:val="18"/>
        </w:rPr>
        <w:t>I</w:t>
      </w:r>
      <w:r w:rsidR="00C277C5">
        <w:rPr>
          <w:rFonts w:eastAsia="Times New Roman"/>
          <w:szCs w:val="18"/>
        </w:rPr>
        <w:t xml:space="preserve">ntergovernmental </w:t>
      </w:r>
      <w:r w:rsidR="00AF4EDD" w:rsidRPr="00422195">
        <w:rPr>
          <w:rFonts w:eastAsia="Times New Roman"/>
          <w:szCs w:val="18"/>
        </w:rPr>
        <w:t>P</w:t>
      </w:r>
      <w:r w:rsidR="00C277C5">
        <w:rPr>
          <w:rFonts w:eastAsia="Times New Roman"/>
          <w:szCs w:val="18"/>
        </w:rPr>
        <w:t xml:space="preserve">anel on </w:t>
      </w:r>
      <w:r w:rsidR="00AF4EDD" w:rsidRPr="00422195">
        <w:rPr>
          <w:rFonts w:eastAsia="Times New Roman"/>
          <w:szCs w:val="18"/>
        </w:rPr>
        <w:t>C</w:t>
      </w:r>
      <w:r w:rsidR="00C277C5">
        <w:rPr>
          <w:rFonts w:eastAsia="Times New Roman"/>
          <w:szCs w:val="18"/>
        </w:rPr>
        <w:t xml:space="preserve">limate </w:t>
      </w:r>
      <w:r w:rsidR="00AF4EDD" w:rsidRPr="00422195">
        <w:rPr>
          <w:rFonts w:eastAsia="Times New Roman"/>
          <w:szCs w:val="18"/>
        </w:rPr>
        <w:t>C</w:t>
      </w:r>
      <w:r w:rsidR="00C277C5">
        <w:rPr>
          <w:rFonts w:eastAsia="Times New Roman"/>
          <w:szCs w:val="18"/>
        </w:rPr>
        <w:t>hange</w:t>
      </w:r>
      <w:r w:rsidR="00AF4EDD" w:rsidRPr="00422195">
        <w:rPr>
          <w:rFonts w:eastAsia="Times New Roman"/>
          <w:szCs w:val="18"/>
        </w:rPr>
        <w:t xml:space="preserve">. 2021. </w:t>
      </w:r>
      <w:r w:rsidR="00AF4EDD" w:rsidRPr="00422195">
        <w:rPr>
          <w:rFonts w:eastAsia="Times New Roman"/>
          <w:i/>
          <w:iCs/>
          <w:szCs w:val="18"/>
        </w:rPr>
        <w:t>Climate Change 2021: The Physical Science Basis. Contribution of Working Group I to the Sixth Assessment Report of the Intergovernmental Panel on Climate Change</w:t>
      </w:r>
      <w:r w:rsidR="00AF4EDD" w:rsidRPr="00422195">
        <w:rPr>
          <w:rFonts w:eastAsia="Times New Roman"/>
          <w:szCs w:val="18"/>
        </w:rPr>
        <w:t xml:space="preserve">. V Masson-Delmotte, P Zhai, A Pirani, et al. (eds.). Cambridge: Cambridge University Press. Available at </w:t>
      </w:r>
      <w:hyperlink r:id="rId18" w:history="1">
        <w:r w:rsidR="00AF4EDD" w:rsidRPr="00422195">
          <w:rPr>
            <w:rFonts w:eastAsia="Times New Roman"/>
            <w:color w:val="0000FF"/>
            <w:szCs w:val="18"/>
            <w:u w:val="single"/>
          </w:rPr>
          <w:t>https://www.ipcc.ch/report/ar6/wg1/</w:t>
        </w:r>
      </w:hyperlink>
      <w:r w:rsidR="00AF4EDD" w:rsidRPr="00422195">
        <w:rPr>
          <w:rFonts w:eastAsia="Times New Roman"/>
          <w:szCs w:val="18"/>
        </w:rPr>
        <w:t>.</w:t>
      </w:r>
      <w:r>
        <w:t xml:space="preserve"> </w:t>
      </w:r>
    </w:p>
  </w:footnote>
  <w:footnote w:id="51">
    <w:p w14:paraId="2813D509" w14:textId="660D07CD" w:rsidR="006718EE" w:rsidRPr="00B50756" w:rsidRDefault="006718EE" w:rsidP="006718EE">
      <w:pPr>
        <w:pStyle w:val="FootnoteText"/>
        <w:widowControl w:val="0"/>
        <w:tabs>
          <w:tab w:val="clear" w:pos="1021"/>
          <w:tab w:val="right" w:pos="1020"/>
        </w:tabs>
        <w:rPr>
          <w:lang w:val="en-US"/>
        </w:rPr>
      </w:pPr>
      <w:r>
        <w:tab/>
      </w:r>
      <w:r>
        <w:rPr>
          <w:rStyle w:val="FootnoteReference"/>
        </w:rPr>
        <w:footnoteRef/>
      </w:r>
      <w:r>
        <w:tab/>
      </w:r>
      <w:r w:rsidR="00BB0359">
        <w:t xml:space="preserve">FCCC/SB/2020/3 and </w:t>
      </w:r>
      <w:r>
        <w:t xml:space="preserve">FCCC/SB/2021/4 and Add.1–2. </w:t>
      </w:r>
    </w:p>
  </w:footnote>
  <w:footnote w:id="52">
    <w:p w14:paraId="1BE08414" w14:textId="77777777" w:rsidR="006718EE" w:rsidRPr="00F73A82" w:rsidRDefault="006718EE" w:rsidP="006718EE">
      <w:pPr>
        <w:pStyle w:val="FootnoteText"/>
        <w:widowControl w:val="0"/>
        <w:tabs>
          <w:tab w:val="clear" w:pos="1021"/>
          <w:tab w:val="right" w:pos="1020"/>
        </w:tabs>
        <w:rPr>
          <w:lang w:val="en-US"/>
        </w:rPr>
      </w:pPr>
      <w:r>
        <w:tab/>
      </w:r>
      <w:r>
        <w:rPr>
          <w:rStyle w:val="FootnoteReference"/>
        </w:rPr>
        <w:footnoteRef/>
      </w:r>
      <w:r>
        <w:tab/>
        <w:t>As per decision 2/CMA.2, para. 44.</w:t>
      </w:r>
    </w:p>
  </w:footnote>
  <w:footnote w:id="53">
    <w:p w14:paraId="0F37A386" w14:textId="77777777" w:rsidR="006718EE" w:rsidRPr="0084714E" w:rsidRDefault="006718EE" w:rsidP="006718EE">
      <w:pPr>
        <w:pStyle w:val="FootnoteText"/>
        <w:widowControl w:val="0"/>
        <w:rPr>
          <w:lang w:val="en-US"/>
        </w:rPr>
      </w:pPr>
      <w:r>
        <w:tab/>
      </w:r>
      <w:r w:rsidRPr="00AB3D9C">
        <w:rPr>
          <w:rStyle w:val="FootnoteReference"/>
        </w:rPr>
        <w:footnoteRef/>
      </w:r>
      <w:r w:rsidRPr="00AB3D9C">
        <w:tab/>
        <w:t xml:space="preserve">As contained in </w:t>
      </w:r>
      <w:r>
        <w:t xml:space="preserve">the annex to </w:t>
      </w:r>
      <w:r w:rsidRPr="00AB3D9C">
        <w:t xml:space="preserve">document </w:t>
      </w:r>
      <w:r w:rsidRPr="00AB3D9C">
        <w:rPr>
          <w:rFonts w:hint="eastAsia"/>
        </w:rPr>
        <w:t>FCCC/SB/2017</w:t>
      </w:r>
      <w:r w:rsidRPr="0085227A">
        <w:rPr>
          <w:rFonts w:hint="eastAsia"/>
        </w:rPr>
        <w:t>/1/Add.1</w:t>
      </w:r>
      <w:r>
        <w:rPr>
          <w:bdr w:val="none" w:sz="0" w:space="0" w:color="auto" w:frame="1"/>
          <w:shd w:val="clear" w:color="auto" w:fill="FFFFFF"/>
        </w:rPr>
        <w:t>.</w:t>
      </w:r>
    </w:p>
  </w:footnote>
  <w:footnote w:id="54">
    <w:p w14:paraId="6488FE41" w14:textId="77777777" w:rsidR="006718EE" w:rsidRPr="00CD1BC4" w:rsidRDefault="006718EE" w:rsidP="006718EE">
      <w:pPr>
        <w:pStyle w:val="FootnoteText"/>
        <w:widowControl w:val="0"/>
        <w:rPr>
          <w:lang w:val="en-US"/>
        </w:rPr>
      </w:pPr>
      <w:r>
        <w:tab/>
      </w:r>
      <w:r>
        <w:rPr>
          <w:rStyle w:val="FootnoteReference"/>
        </w:rPr>
        <w:footnoteRef/>
      </w:r>
      <w:r>
        <w:tab/>
        <w:t xml:space="preserve">Decision 2/CP.19, para. 5. </w:t>
      </w:r>
    </w:p>
  </w:footnote>
  <w:footnote w:id="55">
    <w:p w14:paraId="768EF4C1" w14:textId="77777777" w:rsidR="006718EE" w:rsidRPr="00636DC0" w:rsidRDefault="006718EE" w:rsidP="006718EE">
      <w:pPr>
        <w:pStyle w:val="FootnoteText"/>
      </w:pPr>
      <w:r>
        <w:tab/>
      </w:r>
      <w:r>
        <w:rPr>
          <w:rStyle w:val="FootnoteReference"/>
        </w:rPr>
        <w:footnoteRef/>
      </w:r>
      <w:r>
        <w:tab/>
      </w:r>
      <w:hyperlink r:id="rId19" w:history="1">
        <w:r>
          <w:rPr>
            <w:rStyle w:val="Hyperlink"/>
          </w:rPr>
          <w:t>https://www4.unfccc.int/sites/submissionsstaging/Pages/Home.aspx</w:t>
        </w:r>
      </w:hyperlink>
      <w:r>
        <w:rPr>
          <w:bdr w:val="none" w:sz="0" w:space="0" w:color="auto" w:frame="1"/>
          <w:shd w:val="clear" w:color="auto" w:fill="FFFFFF"/>
        </w:rPr>
        <w:t>.</w:t>
      </w:r>
    </w:p>
  </w:footnote>
  <w:footnote w:id="56">
    <w:p w14:paraId="65507497" w14:textId="77777777" w:rsidR="006718EE" w:rsidRPr="00F7221D" w:rsidRDefault="006718EE" w:rsidP="006718EE">
      <w:pPr>
        <w:pStyle w:val="FootnoteText"/>
        <w:widowControl w:val="0"/>
        <w:tabs>
          <w:tab w:val="clear" w:pos="1021"/>
          <w:tab w:val="right" w:pos="1020"/>
        </w:tabs>
        <w:rPr>
          <w:lang w:val="en-US"/>
        </w:rPr>
      </w:pPr>
      <w:r>
        <w:tab/>
      </w:r>
      <w:r>
        <w:rPr>
          <w:rStyle w:val="FootnoteReference"/>
        </w:rPr>
        <w:footnoteRef/>
      </w:r>
      <w:r>
        <w:tab/>
        <w:t>With the workshop to be held in a hybrid in-person and virtual format to encourage broad participation.</w:t>
      </w:r>
    </w:p>
  </w:footnote>
  <w:footnote w:id="57">
    <w:p w14:paraId="5A95B506" w14:textId="69DC5604" w:rsidR="006718EE" w:rsidRPr="00081C40" w:rsidRDefault="006718EE" w:rsidP="006718EE">
      <w:pPr>
        <w:pStyle w:val="FootnoteText"/>
        <w:widowControl w:val="0"/>
        <w:tabs>
          <w:tab w:val="clear" w:pos="1021"/>
          <w:tab w:val="right" w:pos="1020"/>
        </w:tabs>
        <w:rPr>
          <w:lang w:val="en-US"/>
        </w:rPr>
      </w:pPr>
      <w:r>
        <w:tab/>
      </w:r>
      <w:r>
        <w:rPr>
          <w:rStyle w:val="FootnoteReference"/>
        </w:rPr>
        <w:footnoteRef/>
      </w:r>
      <w:r>
        <w:tab/>
      </w:r>
      <w:r w:rsidR="00287ABB">
        <w:t>A</w:t>
      </w:r>
      <w:r>
        <w:t>pproaches</w:t>
      </w:r>
      <w:r w:rsidR="00287ABB">
        <w:t xml:space="preserve"> relevant to</w:t>
      </w:r>
      <w:r>
        <w:t>, inter alia, slow onset events, non-economic losses and human mobility.</w:t>
      </w:r>
    </w:p>
  </w:footnote>
  <w:footnote w:id="58">
    <w:p w14:paraId="3C4E7DCC" w14:textId="44DCC945" w:rsidR="006718EE" w:rsidRPr="00E1604E" w:rsidRDefault="006718EE" w:rsidP="006718EE">
      <w:pPr>
        <w:pStyle w:val="FootnoteText"/>
        <w:widowControl w:val="0"/>
        <w:rPr>
          <w:sz w:val="10"/>
          <w:lang w:val="en-US"/>
        </w:rPr>
      </w:pPr>
      <w:r>
        <w:tab/>
      </w:r>
      <w:r>
        <w:rPr>
          <w:rStyle w:val="FootnoteReference"/>
        </w:rPr>
        <w:footnoteRef/>
      </w:r>
      <w:r>
        <w:tab/>
      </w:r>
      <w:r w:rsidRPr="00E1604E">
        <w:rPr>
          <w:color w:val="000000"/>
          <w:szCs w:val="24"/>
        </w:rPr>
        <w:t xml:space="preserve">It is noted that discussions on </w:t>
      </w:r>
      <w:r w:rsidR="000F5E52">
        <w:rPr>
          <w:color w:val="000000"/>
          <w:szCs w:val="24"/>
        </w:rPr>
        <w:t xml:space="preserve">the </w:t>
      </w:r>
      <w:r w:rsidRPr="00E1604E">
        <w:rPr>
          <w:color w:val="000000"/>
          <w:szCs w:val="24"/>
        </w:rPr>
        <w:t xml:space="preserve">governance of the </w:t>
      </w:r>
      <w:r w:rsidR="000F5E52" w:rsidRPr="00E846A1">
        <w:rPr>
          <w:color w:val="000000"/>
          <w:szCs w:val="24"/>
        </w:rPr>
        <w:t>Warsaw International Mechanism</w:t>
      </w:r>
      <w:r w:rsidRPr="00E1604E">
        <w:rPr>
          <w:color w:val="000000"/>
          <w:szCs w:val="24"/>
        </w:rPr>
        <w:t xml:space="preserve"> did not produce an outcome; this is without prejudice to further consideration of this matter.</w:t>
      </w:r>
      <w:r w:rsidRPr="00E1604E">
        <w:rPr>
          <w:sz w:val="10"/>
        </w:rPr>
        <w:t xml:space="preserve"> </w:t>
      </w:r>
    </w:p>
  </w:footnote>
  <w:footnote w:id="59">
    <w:p w14:paraId="1B6923F2" w14:textId="30D0042D" w:rsidR="00162CD4" w:rsidRPr="001618E0" w:rsidRDefault="00162CD4" w:rsidP="00162CD4">
      <w:pPr>
        <w:pStyle w:val="FootnoteText"/>
        <w:widowControl w:val="0"/>
        <w:tabs>
          <w:tab w:val="clear" w:pos="1021"/>
          <w:tab w:val="right" w:pos="1020"/>
        </w:tabs>
        <w:rPr>
          <w:lang w:val="en-US"/>
        </w:rPr>
      </w:pPr>
      <w:r>
        <w:tab/>
      </w:r>
      <w:r>
        <w:rPr>
          <w:rStyle w:val="FootnoteReference"/>
        </w:rPr>
        <w:footnoteRef/>
      </w:r>
      <w:r>
        <w:tab/>
      </w:r>
      <w:r w:rsidRPr="001618E0">
        <w:t>As appropriate, submitted as a component of or in conjunction with other communications or documents, including a national adaptation plan, a nationally determined contribution and/or a national communication, as referred to in Article 7, para</w:t>
      </w:r>
      <w:r w:rsidR="00AD5270">
        <w:t>.</w:t>
      </w:r>
      <w:r w:rsidRPr="001618E0">
        <w:t xml:space="preserve"> 11, of the Paris Agreement.</w:t>
      </w:r>
    </w:p>
  </w:footnote>
  <w:footnote w:id="60">
    <w:p w14:paraId="6B0B1CF6" w14:textId="77777777" w:rsidR="00B361F7" w:rsidRPr="003970BB" w:rsidRDefault="00B361F7" w:rsidP="00B361F7">
      <w:pPr>
        <w:pStyle w:val="FootnoteText"/>
        <w:widowControl w:val="0"/>
        <w:rPr>
          <w:lang w:val="en-US"/>
        </w:rPr>
      </w:pPr>
      <w:r>
        <w:tab/>
      </w:r>
      <w:r>
        <w:rPr>
          <w:rStyle w:val="FootnoteReference"/>
        </w:rPr>
        <w:footnoteRef/>
      </w:r>
      <w:r>
        <w:tab/>
        <w:t>As per decision 15/CP.25, paras. 2–4.</w:t>
      </w:r>
    </w:p>
  </w:footnote>
  <w:footnote w:id="61">
    <w:p w14:paraId="2462EC33" w14:textId="77777777" w:rsidR="00B361F7" w:rsidRPr="00700BB7" w:rsidRDefault="00B361F7" w:rsidP="00B361F7">
      <w:pPr>
        <w:pStyle w:val="FootnoteText"/>
        <w:widowControl w:val="0"/>
        <w:rPr>
          <w:lang w:val="en-US"/>
        </w:rPr>
      </w:pPr>
      <w:r>
        <w:tab/>
      </w:r>
      <w:r>
        <w:rPr>
          <w:rStyle w:val="FootnoteReference"/>
        </w:rPr>
        <w:footnoteRef/>
      </w:r>
      <w:r>
        <w:tab/>
      </w:r>
      <w:r>
        <w:rPr>
          <w:lang w:val="en-US"/>
        </w:rPr>
        <w:t>FCCC/SBI/2020/9, FCCC/SBI/2020/INF.4 and FCCC/SBI/2021/1.</w:t>
      </w:r>
    </w:p>
  </w:footnote>
  <w:footnote w:id="62">
    <w:p w14:paraId="020C2A7C" w14:textId="77777777" w:rsidR="00B361F7" w:rsidRPr="006956C3" w:rsidRDefault="00B361F7" w:rsidP="00B361F7">
      <w:pPr>
        <w:pStyle w:val="FootnoteText"/>
      </w:pPr>
      <w:r>
        <w:tab/>
      </w:r>
      <w:r>
        <w:rPr>
          <w:rStyle w:val="FootnoteReference"/>
        </w:rPr>
        <w:footnoteRef/>
      </w:r>
      <w:r>
        <w:tab/>
      </w:r>
      <w:hyperlink r:id="rId20">
        <w:r w:rsidRPr="00E07874">
          <w:rPr>
            <w:rStyle w:val="Hyperlink"/>
          </w:rPr>
          <w:t>https://www4.unfccc.int/sites/submissionsstaging/Pages/Home.aspx</w:t>
        </w:r>
      </w:hyperlink>
      <w:r>
        <w:t>.</w:t>
      </w:r>
    </w:p>
  </w:footnote>
  <w:footnote w:id="63">
    <w:p w14:paraId="085815DD" w14:textId="10FFCFE6" w:rsidR="00B361F7" w:rsidRPr="008940EC" w:rsidRDefault="00B361F7" w:rsidP="00B361F7">
      <w:pPr>
        <w:pStyle w:val="FootnoteText"/>
        <w:rPr>
          <w:lang w:val="en-US"/>
        </w:rPr>
      </w:pPr>
      <w:r>
        <w:tab/>
      </w:r>
      <w:r>
        <w:rPr>
          <w:rStyle w:val="FootnoteReference"/>
        </w:rPr>
        <w:footnoteRef/>
      </w:r>
      <w:r>
        <w:tab/>
        <w:t>D</w:t>
      </w:r>
      <w:r w:rsidRPr="008940EC">
        <w:t>ecisions 15/CP.18, 19/CP.20, 17/CP.22, 15/CP.25 and 17/CMA.1</w:t>
      </w:r>
      <w:r>
        <w:t>.</w:t>
      </w:r>
    </w:p>
  </w:footnote>
  <w:footnote w:id="64">
    <w:p w14:paraId="728B402E" w14:textId="77777777" w:rsidR="00554B98" w:rsidRPr="00AD200B" w:rsidRDefault="00554B98" w:rsidP="00554B98">
      <w:pPr>
        <w:pStyle w:val="FootnoteText"/>
        <w:widowControl w:val="0"/>
        <w:rPr>
          <w:lang w:val="en-US"/>
        </w:rPr>
      </w:pPr>
      <w:r w:rsidRPr="00D54F8B">
        <w:rPr>
          <w:lang w:val="es-ES"/>
        </w:rPr>
        <w:tab/>
      </w:r>
      <w:r>
        <w:rPr>
          <w:rStyle w:val="FootnoteReference"/>
        </w:rPr>
        <w:footnoteRef/>
      </w:r>
      <w:r w:rsidRPr="00AD200B">
        <w:rPr>
          <w:lang w:val="en-US"/>
        </w:rPr>
        <w:tab/>
      </w:r>
      <w:r w:rsidRPr="00B80BEA">
        <w:rPr>
          <w:color w:val="000000" w:themeColor="text1"/>
        </w:rPr>
        <w:t>K</w:t>
      </w:r>
      <w:r>
        <w:rPr>
          <w:color w:val="000000" w:themeColor="text1"/>
        </w:rPr>
        <w:t xml:space="preserve">atowice </w:t>
      </w:r>
      <w:r w:rsidRPr="00B80BEA">
        <w:rPr>
          <w:color w:val="000000" w:themeColor="text1"/>
        </w:rPr>
        <w:t>C</w:t>
      </w:r>
      <w:r>
        <w:rPr>
          <w:color w:val="000000" w:themeColor="text1"/>
        </w:rPr>
        <w:t xml:space="preserve">ommittee on </w:t>
      </w:r>
      <w:r w:rsidRPr="00B80BEA">
        <w:rPr>
          <w:color w:val="000000" w:themeColor="text1"/>
        </w:rPr>
        <w:t>I</w:t>
      </w:r>
      <w:r>
        <w:rPr>
          <w:color w:val="000000" w:themeColor="text1"/>
        </w:rPr>
        <w:t>mpacts</w:t>
      </w:r>
      <w:r w:rsidRPr="00AD200B" w:rsidDel="008839C4">
        <w:rPr>
          <w:lang w:val="en-US"/>
        </w:rPr>
        <w:t xml:space="preserve"> </w:t>
      </w:r>
      <w:r w:rsidRPr="00AD200B">
        <w:rPr>
          <w:lang w:val="en-US"/>
        </w:rPr>
        <w:t xml:space="preserve">document KCI/2021/4/8. Available at </w:t>
      </w:r>
      <w:hyperlink r:id="rId21" w:history="1">
        <w:r w:rsidRPr="00AD200B">
          <w:rPr>
            <w:rStyle w:val="Hyperlink"/>
            <w:lang w:val="en-US"/>
          </w:rPr>
          <w:t>https://unfccc.int/process-and-meetings/bodies/constituted-bodies/KCI</w:t>
        </w:r>
      </w:hyperlink>
      <w:r w:rsidRPr="00AD200B">
        <w:rPr>
          <w:lang w:val="en-US"/>
        </w:rPr>
        <w:t>.</w:t>
      </w:r>
    </w:p>
  </w:footnote>
  <w:footnote w:id="65">
    <w:p w14:paraId="632A1C72" w14:textId="77777777" w:rsidR="00554B98" w:rsidRPr="00523E48" w:rsidRDefault="00554B98" w:rsidP="00554B98">
      <w:pPr>
        <w:pStyle w:val="FootnoteText"/>
        <w:widowControl w:val="0"/>
        <w:tabs>
          <w:tab w:val="clear" w:pos="1021"/>
          <w:tab w:val="right" w:pos="1020"/>
        </w:tabs>
        <w:rPr>
          <w:lang w:val="en-US"/>
        </w:rPr>
      </w:pPr>
      <w:r>
        <w:tab/>
      </w:r>
      <w:r>
        <w:rPr>
          <w:rStyle w:val="FootnoteReference"/>
        </w:rPr>
        <w:footnoteRef/>
      </w:r>
      <w:r>
        <w:tab/>
        <w:t xml:space="preserve">See </w:t>
      </w:r>
      <w:hyperlink r:id="rId22" w:history="1">
        <w:r w:rsidRPr="00B31641">
          <w:rPr>
            <w:rStyle w:val="Hyperlink"/>
          </w:rPr>
          <w:t>https://unfccc.int/topics/mitigation/workstreams/response-measures/workshops-and-events</w:t>
        </w:r>
      </w:hyperlink>
      <w:r w:rsidRPr="008B38C5">
        <w:rPr>
          <w:rStyle w:val="Hyperlink"/>
          <w:color w:val="auto"/>
          <w:u w:val="none"/>
        </w:rPr>
        <w:t>.</w:t>
      </w:r>
      <w:r w:rsidRPr="006421BC">
        <w:t xml:space="preserve"> </w:t>
      </w:r>
    </w:p>
  </w:footnote>
  <w:footnote w:id="66">
    <w:p w14:paraId="61922571" w14:textId="77777777" w:rsidR="00554B98" w:rsidRPr="00FD3B1E" w:rsidRDefault="00554B98" w:rsidP="00554B98">
      <w:pPr>
        <w:pStyle w:val="FootnoteText"/>
        <w:widowControl w:val="0"/>
        <w:tabs>
          <w:tab w:val="clear" w:pos="1021"/>
          <w:tab w:val="right" w:pos="1020"/>
        </w:tabs>
        <w:rPr>
          <w:lang w:val="en-US"/>
        </w:rPr>
      </w:pPr>
      <w:r>
        <w:tab/>
      </w:r>
      <w:r>
        <w:rPr>
          <w:rStyle w:val="FootnoteReference"/>
        </w:rPr>
        <w:footnoteRef/>
      </w:r>
      <w:r>
        <w:tab/>
        <w:t>Contained in annex II to decisions 4/CP.25, 4/CMP.15 and</w:t>
      </w:r>
      <w:r w:rsidRPr="00621979">
        <w:t xml:space="preserve"> </w:t>
      </w:r>
      <w:r>
        <w:t>4/CMA.2.</w:t>
      </w:r>
    </w:p>
  </w:footnote>
  <w:footnote w:id="67">
    <w:p w14:paraId="3EB34CB2" w14:textId="05BCCD3B" w:rsidR="00554B98" w:rsidRPr="00A631CA" w:rsidRDefault="00554B98" w:rsidP="00554B98">
      <w:pPr>
        <w:pStyle w:val="FootnoteText"/>
        <w:widowControl w:val="0"/>
        <w:rPr>
          <w:lang w:val="en-US"/>
        </w:rPr>
      </w:pPr>
      <w:r>
        <w:tab/>
      </w:r>
      <w:r>
        <w:rPr>
          <w:rStyle w:val="FootnoteReference"/>
        </w:rPr>
        <w:footnoteRef/>
      </w:r>
      <w:r>
        <w:tab/>
      </w:r>
      <w:r w:rsidR="006421BC">
        <w:t>D</w:t>
      </w:r>
      <w:r>
        <w:t xml:space="preserve">ecision 4/CMA.2, annex I. </w:t>
      </w:r>
    </w:p>
  </w:footnote>
  <w:footnote w:id="68">
    <w:p w14:paraId="7F923109" w14:textId="77777777" w:rsidR="00554B98" w:rsidRPr="00A631CA" w:rsidRDefault="00554B98" w:rsidP="00554B98">
      <w:pPr>
        <w:pStyle w:val="FootnoteText"/>
        <w:widowControl w:val="0"/>
        <w:rPr>
          <w:lang w:val="en-US"/>
        </w:rPr>
      </w:pPr>
      <w:r>
        <w:tab/>
      </w:r>
      <w:r>
        <w:rPr>
          <w:rStyle w:val="FootnoteReference"/>
        </w:rPr>
        <w:footnoteRef/>
      </w:r>
      <w:r>
        <w:tab/>
      </w:r>
      <w:hyperlink r:id="rId23" w:history="1">
        <w:r w:rsidRPr="00BD7DC6">
          <w:rPr>
            <w:rStyle w:val="Hyperlink"/>
          </w:rPr>
          <w:t>https://www4.unfccc.int/sites/submissionsstaging/Pages/Home.aspx</w:t>
        </w:r>
      </w:hyperlink>
      <w:r>
        <w:t>.</w:t>
      </w:r>
    </w:p>
  </w:footnote>
  <w:footnote w:id="69">
    <w:p w14:paraId="26702773" w14:textId="77777777" w:rsidR="00554B98" w:rsidRPr="00AD200B" w:rsidRDefault="00554B98" w:rsidP="00554B98">
      <w:pPr>
        <w:pStyle w:val="FootnoteText"/>
        <w:widowControl w:val="0"/>
        <w:rPr>
          <w:lang w:val="es-ES"/>
        </w:rPr>
      </w:pPr>
      <w:r>
        <w:tab/>
      </w:r>
      <w:r>
        <w:rPr>
          <w:rStyle w:val="FootnoteReference"/>
        </w:rPr>
        <w:footnoteRef/>
      </w:r>
      <w:r w:rsidRPr="00AD200B">
        <w:rPr>
          <w:lang w:val="es-ES"/>
        </w:rPr>
        <w:tab/>
        <w:t xml:space="preserve">As per </w:t>
      </w:r>
      <w:r w:rsidRPr="00A631CA">
        <w:rPr>
          <w:lang w:val="en-US"/>
        </w:rPr>
        <w:t>decision</w:t>
      </w:r>
      <w:r w:rsidRPr="00AD200B">
        <w:rPr>
          <w:lang w:val="es-ES"/>
        </w:rPr>
        <w:t xml:space="preserve"> 19/CMA.1, para. 24. </w:t>
      </w:r>
    </w:p>
  </w:footnote>
  <w:footnote w:id="70">
    <w:p w14:paraId="7B247774" w14:textId="77777777" w:rsidR="00554B98" w:rsidRPr="003837E9" w:rsidRDefault="00554B98" w:rsidP="00554B98">
      <w:pPr>
        <w:pStyle w:val="FootnoteText"/>
        <w:widowControl w:val="0"/>
        <w:rPr>
          <w:lang w:val="es-ES"/>
        </w:rPr>
      </w:pPr>
      <w:r w:rsidRPr="00947536">
        <w:rPr>
          <w:lang w:val="it-IT"/>
        </w:rPr>
        <w:tab/>
      </w:r>
      <w:r>
        <w:rPr>
          <w:rStyle w:val="FootnoteReference"/>
        </w:rPr>
        <w:footnoteRef/>
      </w:r>
      <w:r w:rsidRPr="003837E9">
        <w:rPr>
          <w:lang w:val="es-ES"/>
        </w:rPr>
        <w:tab/>
        <w:t>Decision 7/CMA.1, annex, para. 4(b).</w:t>
      </w:r>
    </w:p>
  </w:footnote>
  <w:footnote w:id="71">
    <w:p w14:paraId="4107969A" w14:textId="77777777" w:rsidR="00554B98" w:rsidRPr="009164DE" w:rsidRDefault="00554B98" w:rsidP="00554B98">
      <w:pPr>
        <w:pStyle w:val="FootnoteText"/>
        <w:widowControl w:val="0"/>
        <w:tabs>
          <w:tab w:val="clear" w:pos="1021"/>
          <w:tab w:val="right" w:pos="1020"/>
        </w:tabs>
        <w:rPr>
          <w:lang w:val="it-IT"/>
        </w:rPr>
      </w:pPr>
      <w:r w:rsidRPr="009164DE">
        <w:rPr>
          <w:lang w:val="it-IT"/>
        </w:rPr>
        <w:tab/>
      </w:r>
      <w:r>
        <w:rPr>
          <w:rStyle w:val="FootnoteReference"/>
        </w:rPr>
        <w:footnoteRef/>
      </w:r>
      <w:r w:rsidRPr="009164DE">
        <w:rPr>
          <w:lang w:val="it-IT"/>
        </w:rPr>
        <w:tab/>
      </w:r>
      <w:r w:rsidRPr="003837E9">
        <w:rPr>
          <w:lang w:val="es-ES"/>
        </w:rPr>
        <w:t>Decision 7/CMA.1, annex, para. 4(</w:t>
      </w:r>
      <w:r>
        <w:rPr>
          <w:lang w:val="es-ES"/>
        </w:rPr>
        <w:t>d).</w:t>
      </w:r>
      <w:r w:rsidRPr="009164DE">
        <w:rPr>
          <w:lang w:val="it-IT"/>
        </w:rPr>
        <w:t xml:space="preserve"> </w:t>
      </w:r>
    </w:p>
  </w:footnote>
  <w:footnote w:id="72">
    <w:p w14:paraId="5B29565A"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4(c). </w:t>
      </w:r>
    </w:p>
  </w:footnote>
  <w:footnote w:id="73">
    <w:p w14:paraId="5BE2B4AD"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4(e). </w:t>
      </w:r>
    </w:p>
  </w:footnote>
  <w:footnote w:id="74">
    <w:p w14:paraId="3A42A526" w14:textId="4A443F58" w:rsidR="008933AF" w:rsidRPr="008933AF" w:rsidRDefault="008933AF">
      <w:pPr>
        <w:pStyle w:val="FootnoteText"/>
      </w:pPr>
      <w:r>
        <w:tab/>
      </w:r>
      <w:r>
        <w:rPr>
          <w:rStyle w:val="FootnoteReference"/>
        </w:rPr>
        <w:footnoteRef/>
      </w:r>
      <w:r>
        <w:tab/>
      </w:r>
      <w:r w:rsidRPr="008933AF">
        <w:t>Third calendar year for members serving an initial term of three years in accordance with paragraph 7</w:t>
      </w:r>
      <w:r>
        <w:t>(</w:t>
      </w:r>
      <w:r w:rsidRPr="008933AF">
        <w:t>a</w:t>
      </w:r>
      <w:r>
        <w:t>)</w:t>
      </w:r>
      <w:r w:rsidRPr="008933AF">
        <w:t xml:space="preserve"> above</w:t>
      </w:r>
      <w:r>
        <w:t>.</w:t>
      </w:r>
    </w:p>
  </w:footnote>
  <w:footnote w:id="75">
    <w:p w14:paraId="233A45F6"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annex, para. 4(f). </w:t>
      </w:r>
    </w:p>
  </w:footnote>
  <w:footnote w:id="76">
    <w:p w14:paraId="0D9AC48A"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Decision 7/CMA.1, annex, para</w:t>
      </w:r>
      <w:r>
        <w:rPr>
          <w:lang w:val="es-ES"/>
        </w:rPr>
        <w:t>.</w:t>
      </w:r>
      <w:r w:rsidRPr="003837E9">
        <w:rPr>
          <w:lang w:val="es-ES"/>
        </w:rPr>
        <w:t xml:space="preserve"> 4(g). </w:t>
      </w:r>
    </w:p>
  </w:footnote>
  <w:footnote w:id="77">
    <w:p w14:paraId="05729144" w14:textId="77777777" w:rsidR="00554B98" w:rsidRPr="003837E9" w:rsidRDefault="00554B98" w:rsidP="00554B98">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t xml:space="preserve">Decision 7/CMA.1, para. 12, and annex, para. 4(j). </w:t>
      </w:r>
    </w:p>
  </w:footnote>
  <w:footnote w:id="78">
    <w:p w14:paraId="173B9AD9" w14:textId="77777777" w:rsidR="00554B98" w:rsidRPr="00173AAA" w:rsidRDefault="00554B98" w:rsidP="00554B98">
      <w:pPr>
        <w:pStyle w:val="FootnoteText"/>
        <w:widowControl w:val="0"/>
        <w:tabs>
          <w:tab w:val="clear" w:pos="1021"/>
          <w:tab w:val="right" w:pos="1020"/>
        </w:tabs>
        <w:rPr>
          <w:lang w:val="pt-BR"/>
        </w:rPr>
      </w:pPr>
      <w:r w:rsidRPr="003837E9">
        <w:rPr>
          <w:lang w:val="es-ES"/>
        </w:rPr>
        <w:tab/>
      </w:r>
      <w:r>
        <w:rPr>
          <w:rStyle w:val="FootnoteReference"/>
        </w:rPr>
        <w:footnoteRef/>
      </w:r>
      <w:r w:rsidRPr="00173AAA">
        <w:rPr>
          <w:lang w:val="es-ES"/>
        </w:rPr>
        <w:tab/>
        <w:t xml:space="preserve">Decision 7/CMA.1, annex, para. </w:t>
      </w:r>
      <w:r w:rsidRPr="00173AAA">
        <w:rPr>
          <w:lang w:val="pt-BR"/>
        </w:rPr>
        <w:t xml:space="preserve">4(i). </w:t>
      </w:r>
    </w:p>
  </w:footnote>
  <w:footnote w:id="79">
    <w:p w14:paraId="64B032B3" w14:textId="77777777" w:rsidR="00554B98" w:rsidRPr="00FC63F5" w:rsidRDefault="00554B98" w:rsidP="00554B98">
      <w:pPr>
        <w:pStyle w:val="FootnoteText"/>
        <w:widowControl w:val="0"/>
        <w:tabs>
          <w:tab w:val="clear" w:pos="1021"/>
          <w:tab w:val="right" w:pos="1020"/>
        </w:tabs>
        <w:rPr>
          <w:lang w:val="en-US"/>
        </w:rPr>
      </w:pPr>
      <w:r w:rsidRPr="00173AAA">
        <w:rPr>
          <w:lang w:val="pt-BR"/>
        </w:rPr>
        <w:tab/>
      </w:r>
      <w:r>
        <w:rPr>
          <w:rStyle w:val="FootnoteReference"/>
        </w:rPr>
        <w:footnoteRef/>
      </w:r>
      <w:r w:rsidRPr="00173AAA">
        <w:rPr>
          <w:lang w:val="pt-BR"/>
        </w:rPr>
        <w:tab/>
        <w:t xml:space="preserve">Decision 7/CMA.1, annex, para. </w:t>
      </w:r>
      <w:r>
        <w:rPr>
          <w:lang w:val="en-US"/>
        </w:rPr>
        <w:t>4(h).</w:t>
      </w:r>
      <w:r>
        <w:t xml:space="preserve"> </w:t>
      </w:r>
    </w:p>
  </w:footnote>
  <w:footnote w:id="80">
    <w:p w14:paraId="0171245B" w14:textId="77777777" w:rsidR="009522FE" w:rsidRPr="008B6EF2" w:rsidRDefault="009522FE" w:rsidP="009522FE">
      <w:pPr>
        <w:pStyle w:val="FootnoteText"/>
        <w:widowControl w:val="0"/>
      </w:pPr>
      <w:r>
        <w:tab/>
      </w:r>
      <w:r>
        <w:rPr>
          <w:rStyle w:val="FootnoteReference"/>
        </w:rPr>
        <w:footnoteRef/>
      </w:r>
      <w:r>
        <w:tab/>
        <w:t xml:space="preserve">FCCC/PA/CMA/2020/1 and FCCC/PA/CMA/2021/6. </w:t>
      </w:r>
    </w:p>
  </w:footnote>
  <w:footnote w:id="81">
    <w:p w14:paraId="6C8C7865" w14:textId="77777777" w:rsidR="009522FE" w:rsidRPr="008B6EF2" w:rsidRDefault="009522FE" w:rsidP="009522FE">
      <w:pPr>
        <w:pStyle w:val="FootnoteText"/>
        <w:widowControl w:val="0"/>
      </w:pPr>
      <w:r>
        <w:tab/>
      </w:r>
      <w:r>
        <w:rPr>
          <w:rStyle w:val="FootnoteReference"/>
        </w:rPr>
        <w:footnoteRef/>
      </w:r>
      <w:r>
        <w:tab/>
      </w:r>
      <w:r>
        <w:rPr>
          <w:lang w:val="en-US"/>
        </w:rPr>
        <w:t xml:space="preserve">Rule 3.3 of the rules of procedure is to be applied to members and alternate members of the Committee in a manner that respects their duties and conduct as civil servants, as applicable, and the </w:t>
      </w:r>
      <w:r>
        <w:t xml:space="preserve">Code of Ethics for elected and appointed officers (available at </w:t>
      </w:r>
      <w:hyperlink r:id="rId24" w:history="1">
        <w:r w:rsidRPr="00EC32EA">
          <w:rPr>
            <w:rStyle w:val="Hyperlink"/>
          </w:rPr>
          <w:t>https://unfccc.int/sites/default/files/resource/Code%20of%20Ethics%20for%</w:t>
        </w:r>
        <w:r w:rsidRPr="00EC32EA">
          <w:rPr>
            <w:rStyle w:val="Hyperlink"/>
          </w:rPr>
          <w:br/>
          <w:t>20elected%20and%20appointed%20officers.pdf</w:t>
        </w:r>
      </w:hyperlink>
      <w:r w:rsidRPr="00BB05F2">
        <w:rPr>
          <w:rStyle w:val="Hyperlink"/>
        </w:rPr>
        <w:t>)</w:t>
      </w:r>
      <w:r w:rsidRPr="00257A38">
        <w:rPr>
          <w:rStyle w:val="Hyperlink"/>
          <w:color w:val="auto"/>
          <w:u w:val="none"/>
        </w:rPr>
        <w:t>,</w:t>
      </w:r>
      <w:r>
        <w:t xml:space="preserve"> as endorsed by the Bureau of the Conference of the Parties on 30 November 2018, is subject to further consideration and adoption by the governing bodies. </w:t>
      </w:r>
    </w:p>
  </w:footnote>
  <w:footnote w:id="82">
    <w:p w14:paraId="63F3A384" w14:textId="3B89D903" w:rsidR="009522FE" w:rsidRPr="00B93780" w:rsidRDefault="009522FE" w:rsidP="009522FE">
      <w:pPr>
        <w:pStyle w:val="FootnoteText"/>
        <w:widowControl w:val="0"/>
        <w:tabs>
          <w:tab w:val="clear" w:pos="1021"/>
          <w:tab w:val="right" w:pos="1020"/>
        </w:tabs>
        <w:rPr>
          <w:lang w:val="en-US"/>
        </w:rPr>
      </w:pPr>
      <w:r>
        <w:tab/>
      </w:r>
      <w:r>
        <w:rPr>
          <w:rStyle w:val="FootnoteReference"/>
        </w:rPr>
        <w:footnoteRef/>
      </w:r>
      <w:r>
        <w:tab/>
        <w:t xml:space="preserve">Available at </w:t>
      </w:r>
      <w:hyperlink r:id="rId25" w:history="1">
        <w:r w:rsidRPr="003D283D">
          <w:rPr>
            <w:rStyle w:val="Hyperlink"/>
          </w:rPr>
          <w:t>https://unfccc.int/sites/default/files/resource/Code_of_Conduct_English.pdf</w:t>
        </w:r>
      </w:hyperlink>
      <w:r w:rsidRPr="006A0349">
        <w:rPr>
          <w:rStyle w:val="Hyperlink"/>
          <w:color w:val="auto"/>
          <w:u w:val="none"/>
        </w:rPr>
        <w:t>.</w:t>
      </w:r>
    </w:p>
  </w:footnote>
  <w:footnote w:id="83">
    <w:p w14:paraId="14D4E8D4" w14:textId="3F2A3191" w:rsidR="009522FE" w:rsidRPr="00B93780" w:rsidRDefault="009522FE" w:rsidP="009522FE">
      <w:pPr>
        <w:pStyle w:val="FootnoteText"/>
        <w:widowControl w:val="0"/>
        <w:tabs>
          <w:tab w:val="clear" w:pos="1021"/>
          <w:tab w:val="right" w:pos="1020"/>
        </w:tabs>
        <w:rPr>
          <w:lang w:val="en-US"/>
        </w:rPr>
      </w:pPr>
      <w:r>
        <w:tab/>
      </w:r>
      <w:r>
        <w:rPr>
          <w:rStyle w:val="FootnoteReference"/>
        </w:rPr>
        <w:footnoteRef/>
      </w:r>
      <w:r>
        <w:tab/>
        <w:t xml:space="preserve">Available at </w:t>
      </w:r>
      <w:hyperlink r:id="rId26" w:history="1">
        <w:r w:rsidR="003A0F00" w:rsidRPr="00A36CE7">
          <w:rPr>
            <w:rStyle w:val="Hyperlink"/>
          </w:rPr>
          <w:t>https://unfccc.int/sites/default/files/resource/Code%20of%20Ethics%20for%20elected%20and%20appoin</w:t>
        </w:r>
        <w:bookmarkStart w:id="87" w:name="_Hlt82095995"/>
        <w:r w:rsidR="003A0F00" w:rsidRPr="00A36CE7">
          <w:rPr>
            <w:rStyle w:val="Hyperlink"/>
          </w:rPr>
          <w:t>t</w:t>
        </w:r>
        <w:bookmarkEnd w:id="87"/>
        <w:r w:rsidR="003A0F00" w:rsidRPr="00A36CE7">
          <w:rPr>
            <w:rStyle w:val="Hyperlink"/>
          </w:rPr>
          <w:t>ed%20officers.pdf</w:t>
        </w:r>
      </w:hyperlink>
      <w:r>
        <w:t>.</w:t>
      </w:r>
      <w:r w:rsidRPr="00A11451">
        <w:t xml:space="preserve"> </w:t>
      </w:r>
    </w:p>
  </w:footnote>
  <w:footnote w:id="84">
    <w:p w14:paraId="46F4D9BE" w14:textId="77777777" w:rsidR="009522FE" w:rsidRPr="00AF44B1" w:rsidRDefault="009522FE" w:rsidP="009522FE">
      <w:pPr>
        <w:pStyle w:val="FootnoteText"/>
        <w:widowControl w:val="0"/>
        <w:tabs>
          <w:tab w:val="clear" w:pos="1021"/>
          <w:tab w:val="right" w:pos="1020"/>
        </w:tabs>
        <w:rPr>
          <w:lang w:val="en-US"/>
        </w:rPr>
      </w:pPr>
      <w:r>
        <w:tab/>
      </w:r>
      <w:r>
        <w:rPr>
          <w:rStyle w:val="FootnoteReference"/>
        </w:rPr>
        <w:footnoteRef/>
      </w:r>
      <w:r>
        <w:tab/>
      </w:r>
      <w:r w:rsidRPr="7405F258">
        <w:rPr>
          <w:lang w:val="en-US"/>
        </w:rPr>
        <w:t>For a Co-Chair elected in 2020 with a two-year seat on the Committee that term as Co-Chair shall be two years.</w:t>
      </w:r>
    </w:p>
  </w:footnote>
  <w:footnote w:id="85">
    <w:p w14:paraId="3A5227DD" w14:textId="77777777" w:rsidR="009522FE" w:rsidRPr="00F33855" w:rsidRDefault="009522FE" w:rsidP="009522FE">
      <w:pPr>
        <w:pStyle w:val="FootnoteText"/>
        <w:widowControl w:val="0"/>
        <w:tabs>
          <w:tab w:val="clear" w:pos="1021"/>
          <w:tab w:val="right" w:pos="1020"/>
        </w:tabs>
        <w:rPr>
          <w:lang w:val="en-US"/>
        </w:rPr>
      </w:pPr>
      <w:r>
        <w:tab/>
      </w:r>
      <w:r>
        <w:rPr>
          <w:rStyle w:val="FootnoteReference"/>
        </w:rPr>
        <w:footnoteRef/>
      </w:r>
      <w:r>
        <w:tab/>
        <w:t xml:space="preserve">Available at </w:t>
      </w:r>
      <w:hyperlink r:id="rId27" w:history="1">
        <w:r w:rsidRPr="00DC11F5">
          <w:rPr>
            <w:rStyle w:val="Hyperlink"/>
          </w:rPr>
          <w:t>https://unfccc.int/sites/default/files/guidelines_</w:t>
        </w:r>
        <w:r w:rsidRPr="000431FF">
          <w:rPr>
            <w:rStyle w:val="Hyperlink"/>
          </w:rPr>
          <w:t>for</w:t>
        </w:r>
        <w:r w:rsidRPr="00DC11F5">
          <w:rPr>
            <w:rStyle w:val="Hyperlink"/>
          </w:rPr>
          <w:t>_the_participation_of_ngos.pdf</w:t>
        </w:r>
      </w:hyperlink>
      <w:r w:rsidRPr="00B0495D">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D9917" w14:textId="77777777" w:rsidR="0015183D" w:rsidRPr="00265564" w:rsidRDefault="00265564" w:rsidP="00265564">
    <w:pPr>
      <w:pStyle w:val="Header"/>
    </w:pPr>
    <w:r>
      <w:t>FCCC/PA/CMA/2021/10/Add.3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0B5FA" w14:textId="3BD957C9" w:rsidR="003127A7" w:rsidRPr="00265564" w:rsidRDefault="00265564" w:rsidP="00265564">
    <w:pPr>
      <w:pStyle w:val="Header"/>
    </w:pPr>
    <w:r>
      <w:t>FCCC/PA/CMA/2021/10/Add.3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0C207" w14:textId="1152062B" w:rsidR="003127A7" w:rsidRPr="00265564" w:rsidRDefault="00265564" w:rsidP="00265564">
    <w:pPr>
      <w:pStyle w:val="Header"/>
      <w:jc w:val="right"/>
    </w:pPr>
    <w:r>
      <w:t>FCCC/PA/CMA/2021/10/Add.3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5BFCC" w14:textId="77777777" w:rsidR="00F32DCA" w:rsidRPr="001955D5" w:rsidRDefault="00F32DCA" w:rsidP="001955D5">
    <w:pPr>
      <w:pStyle w:val="Header"/>
    </w:pPr>
    <w:r>
      <w:t>FCCC/PA/CMA/2021/X/Add.3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C7CCC" w14:textId="240CC510" w:rsidR="00F32DCA" w:rsidRPr="00265564" w:rsidRDefault="00265564" w:rsidP="00265564">
    <w:pPr>
      <w:pStyle w:val="Header"/>
      <w:jc w:val="right"/>
    </w:pPr>
    <w:r>
      <w:t>FCCC/PA/CMA/2021/10/Add.3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B9C4" w14:textId="42155F33" w:rsidR="00C67FD4" w:rsidRPr="00265564" w:rsidRDefault="00265564" w:rsidP="00265564">
    <w:pPr>
      <w:pStyle w:val="Header"/>
    </w:pPr>
    <w:r>
      <w:t>FCCC/PA/CMA/2021/10/Add.3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A01F6" w14:textId="77777777" w:rsidR="00C67FD4" w:rsidRPr="00382975" w:rsidRDefault="00C67FD4" w:rsidP="00382975">
    <w:pPr>
      <w:pStyle w:val="Header"/>
      <w:jc w:val="right"/>
    </w:pPr>
    <w:r>
      <w:t>FCCC/PA/CMA/2021/X/Add.3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C6998" w14:textId="4B598118" w:rsidR="00FA0635" w:rsidRPr="00265564" w:rsidRDefault="00265564" w:rsidP="00265564">
    <w:pPr>
      <w:pStyle w:val="Header"/>
    </w:pPr>
    <w:r>
      <w:t>FCCC/PA/CMA/2021/10/Add.3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7A5A" w14:textId="290F177C" w:rsidR="00FA0635" w:rsidRPr="00265564" w:rsidRDefault="00265564" w:rsidP="00265564">
    <w:pPr>
      <w:pStyle w:val="Header"/>
      <w:jc w:val="right"/>
    </w:pPr>
    <w:r>
      <w:t>FCCC/PA/CMA/2021/10/Add.3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A0FF5" w14:textId="65971C1B" w:rsidR="00D65E5A" w:rsidRPr="00265564" w:rsidRDefault="00265564" w:rsidP="00265564">
    <w:pPr>
      <w:pStyle w:val="Header"/>
    </w:pPr>
    <w:r>
      <w:t>FCCC/PA/CMA/2021/10/Add.3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87BF7" w14:textId="7D0DB0D5" w:rsidR="00D65E5A" w:rsidRPr="00265564" w:rsidRDefault="00265564" w:rsidP="00265564">
    <w:pPr>
      <w:pStyle w:val="Header"/>
      <w:jc w:val="right"/>
    </w:pPr>
    <w:r>
      <w:t>FCCC/PA/CMA/2021/10/Add.3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361E" w14:textId="299574D2" w:rsidR="0015183D" w:rsidRPr="00265564" w:rsidRDefault="00265564" w:rsidP="00265564">
    <w:pPr>
      <w:pStyle w:val="Header"/>
      <w:jc w:val="right"/>
    </w:pPr>
    <w:r>
      <w:t>FCCC/PA/CMA/2021/10/Add.3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277E3" w14:textId="630565DE" w:rsidR="000A008B" w:rsidRPr="00265564" w:rsidRDefault="00265564" w:rsidP="00265564">
    <w:pPr>
      <w:pStyle w:val="Header"/>
    </w:pPr>
    <w:r>
      <w:t>FCCC/PA/CMA/2021/10/Add.3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BF3F" w14:textId="080B333D" w:rsidR="000A008B" w:rsidRPr="00265564" w:rsidRDefault="00265564" w:rsidP="00265564">
    <w:pPr>
      <w:pStyle w:val="Header"/>
      <w:jc w:val="right"/>
    </w:pPr>
    <w:r>
      <w:t>FCCC/PA/CMA/2021/10/Add.3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D29D4" w14:textId="31BD978B" w:rsidR="00632864" w:rsidRPr="00265564" w:rsidRDefault="00265564" w:rsidP="00265564">
    <w:pPr>
      <w:pStyle w:val="Header"/>
    </w:pPr>
    <w:r>
      <w:t>FCCC/PA/CMA/2021/10/Add.3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E458E" w14:textId="317509B9" w:rsidR="00632864" w:rsidRPr="00265564" w:rsidRDefault="00265564" w:rsidP="00265564">
    <w:pPr>
      <w:pStyle w:val="Header"/>
      <w:jc w:val="right"/>
    </w:pPr>
    <w:r>
      <w:t>FCCC/PA/CMA/2021/10/Add.3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EE5BB" w14:textId="77777777" w:rsidR="009C0DA2" w:rsidRPr="001955D5" w:rsidRDefault="009C0DA2" w:rsidP="001955D5">
    <w:pPr>
      <w:pStyle w:val="Header"/>
    </w:pPr>
    <w:r>
      <w:t>FCCC/PA/CMA/2021/X/Add.3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AF14" w14:textId="28C56FAF" w:rsidR="009C0DA2" w:rsidRPr="00265564" w:rsidRDefault="00265564" w:rsidP="00265564">
    <w:pPr>
      <w:pStyle w:val="Header"/>
      <w:jc w:val="right"/>
    </w:pPr>
    <w:r>
      <w:t>FCCC/PA/CMA/2021/10/Add.3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029BE" w14:textId="048AD7F4" w:rsidR="00FD1EFF" w:rsidRPr="00265564" w:rsidRDefault="00265564" w:rsidP="00265564">
    <w:pPr>
      <w:pStyle w:val="Header"/>
    </w:pPr>
    <w:r>
      <w:t>FCCC/PA/CMA/2021/10/Add.3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7B0DA" w14:textId="77777777" w:rsidR="00FD1EFF" w:rsidRPr="00382975" w:rsidRDefault="00FD1EFF" w:rsidP="00382975">
    <w:pPr>
      <w:pStyle w:val="Header"/>
      <w:jc w:val="right"/>
    </w:pPr>
    <w:r>
      <w:t>FCCC/PA/CMA/2021/X/Add.3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CB646" w14:textId="77777777" w:rsidR="001549E7" w:rsidRPr="001955D5" w:rsidRDefault="001549E7" w:rsidP="001955D5">
    <w:pPr>
      <w:pStyle w:val="Header"/>
    </w:pPr>
    <w:r>
      <w:t>FCCC/PA/CMA/2021/X/Add.3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89912" w14:textId="2149570D" w:rsidR="001549E7" w:rsidRPr="00265564" w:rsidRDefault="00265564" w:rsidP="00265564">
    <w:pPr>
      <w:pStyle w:val="Header"/>
      <w:jc w:val="right"/>
    </w:pPr>
    <w:r>
      <w:t>FCCC/PA/CMA/2021/10/Add.3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3BD58" w14:textId="77777777" w:rsidR="00265564" w:rsidRDefault="00265564" w:rsidP="00265564">
    <w:pPr>
      <w:pStyle w:val="Header"/>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012" w14:textId="16404C80" w:rsidR="00E33FA4" w:rsidRPr="00265564" w:rsidRDefault="00265564" w:rsidP="00265564">
    <w:pPr>
      <w:pStyle w:val="Header"/>
    </w:pPr>
    <w:r>
      <w:t>FCCC/PA/CMA/2021/10/Add.3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5ED23" w14:textId="50F002E3" w:rsidR="00E33FA4" w:rsidRPr="00265564" w:rsidRDefault="00265564" w:rsidP="00265564">
    <w:pPr>
      <w:pStyle w:val="Header"/>
      <w:jc w:val="right"/>
    </w:pPr>
    <w:r>
      <w:t>FCCC/PA/CMA/2021/10/Add.3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64DAE" w14:textId="5075C4CF" w:rsidR="0020326E" w:rsidRPr="00265564" w:rsidRDefault="00265564" w:rsidP="00265564">
    <w:pPr>
      <w:pStyle w:val="Header"/>
    </w:pPr>
    <w:r>
      <w:t>FCCC/PA/CMA/2021/10/Add.3</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CBE4B" w14:textId="77777777" w:rsidR="0020326E" w:rsidRPr="00382975" w:rsidRDefault="0020326E" w:rsidP="00382975">
    <w:pPr>
      <w:pStyle w:val="Header"/>
      <w:jc w:val="right"/>
    </w:pPr>
    <w:r>
      <w:t>FCCC/PA/CMA/2021/X/Add.3</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7ECF4" w14:textId="77777777" w:rsidR="009C2EB3" w:rsidRPr="001955D5" w:rsidRDefault="009C2EB3" w:rsidP="001955D5">
    <w:pPr>
      <w:pStyle w:val="Header"/>
    </w:pPr>
    <w:r>
      <w:t>FCCC/PA/CMA/2021/X/Add.3</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B37BE" w14:textId="5989B084" w:rsidR="009C2EB3" w:rsidRPr="00265564" w:rsidRDefault="00265564" w:rsidP="00265564">
    <w:pPr>
      <w:pStyle w:val="Header"/>
      <w:jc w:val="right"/>
    </w:pPr>
    <w:r>
      <w:t>FCCC/PA/CMA/2021/10/Add.3</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B903" w14:textId="58357AC3" w:rsidR="002B29A8" w:rsidRPr="00265564" w:rsidRDefault="00265564" w:rsidP="00265564">
    <w:pPr>
      <w:pStyle w:val="Header"/>
    </w:pPr>
    <w:r>
      <w:t>FCCC/PA/CMA/2021/10/Add.3</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72D79" w14:textId="345FD6C8" w:rsidR="00265564" w:rsidRPr="00265564" w:rsidRDefault="00265564" w:rsidP="00265564">
    <w:pPr>
      <w:pStyle w:val="Header"/>
      <w:jc w:val="right"/>
    </w:pPr>
    <w:r>
      <w:t>FCCC/PA/CMA/2021/10/Add.3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7F80B" w14:textId="70E3C0C9" w:rsidR="007235D9" w:rsidRPr="00265564" w:rsidRDefault="00265564" w:rsidP="00265564">
    <w:pPr>
      <w:pStyle w:val="Header"/>
    </w:pPr>
    <w:r>
      <w:t>FCCC/PA/CMA/2021/10/Add.3</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6338D" w14:textId="66A2B4D5" w:rsidR="007235D9" w:rsidRPr="00265564" w:rsidRDefault="00265564" w:rsidP="00265564">
    <w:pPr>
      <w:pStyle w:val="Header"/>
      <w:jc w:val="right"/>
    </w:pPr>
    <w:r>
      <w:t>FCCC/PA/CMA/2021/10/Add.3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3635" w14:textId="7D4017A1" w:rsidR="0015183D" w:rsidRPr="00265564" w:rsidRDefault="00265564" w:rsidP="00265564">
    <w:pPr>
      <w:pStyle w:val="Header"/>
    </w:pPr>
    <w:r>
      <w:t>FCCC/PA/CMA/2021/10/Add.3</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5DBE3" w14:textId="141C8552" w:rsidR="00554B98" w:rsidRPr="00265564" w:rsidRDefault="00265564" w:rsidP="00265564">
    <w:pPr>
      <w:pStyle w:val="Header"/>
    </w:pPr>
    <w:r>
      <w:t>FCCC/PA/CMA/2021/10/Add.3</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BDDDA" w14:textId="5DBC597A" w:rsidR="00554B98" w:rsidRPr="00265564" w:rsidRDefault="00265564" w:rsidP="00265564">
    <w:pPr>
      <w:pStyle w:val="Header"/>
      <w:jc w:val="right"/>
    </w:pPr>
    <w:r>
      <w:t>FCCC/PA/CMA/2021/10/Add.3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6CBD4" w14:textId="77777777" w:rsidR="00554B98" w:rsidRDefault="00554B98" w:rsidP="0042770E">
    <w:pPr>
      <w:pStyle w:val="Header"/>
      <w:pBdr>
        <w:bottom w:val="none" w:sz="0" w:space="0" w:color="auto"/>
      </w:pBd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59BEF" w14:textId="282BF76B" w:rsidR="00554B98" w:rsidRPr="00265564" w:rsidRDefault="00265564" w:rsidP="00265564">
    <w:pPr>
      <w:pStyle w:val="Header"/>
    </w:pPr>
    <w:r>
      <w:t>FCCC/PA/CMA/2021/10/Add.3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0A280" w14:textId="77777777" w:rsidR="00554B98" w:rsidRPr="00051748" w:rsidRDefault="00554B98" w:rsidP="0042770E">
    <w:pPr>
      <w:pStyle w:val="Header"/>
      <w:jc w:val="right"/>
    </w:pPr>
    <w:r>
      <w:t>FCCC/PA/CMA/2021/L.6/Rev.1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A470B" w14:textId="26E167B1" w:rsidR="006D6A64" w:rsidRPr="00265564" w:rsidRDefault="00265564" w:rsidP="00265564">
    <w:pPr>
      <w:pStyle w:val="Header"/>
    </w:pPr>
    <w:r>
      <w:t>FCCC/PA/CMA/2021/10/Add.3</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A355" w14:textId="3B4EE9CD" w:rsidR="006D6A64" w:rsidRPr="00265564" w:rsidRDefault="00265564" w:rsidP="00265564">
    <w:pPr>
      <w:pStyle w:val="Header"/>
      <w:jc w:val="right"/>
    </w:pPr>
    <w:r>
      <w:t>FCCC/PA/CMA/2021/10/Add.3</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AF4" w14:textId="4F21B461" w:rsidR="009522FE" w:rsidRPr="00265564" w:rsidRDefault="00265564" w:rsidP="00265564">
    <w:pPr>
      <w:pStyle w:val="Header"/>
    </w:pPr>
    <w:r>
      <w:t>FCCC/PA/CMA/2021/10/Add.3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E5CC6" w14:textId="77777777" w:rsidR="009522FE" w:rsidRDefault="009522FE" w:rsidP="0042770E">
    <w:pPr>
      <w:pStyle w:val="Header"/>
      <w:pBdr>
        <w:bottom w:val="none" w:sz="0" w:space="0"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7F9B" w14:textId="42980ADB" w:rsidR="005F7DEA" w:rsidRPr="00265564" w:rsidRDefault="00265564" w:rsidP="00265564">
    <w:pPr>
      <w:pStyle w:val="Header"/>
    </w:pPr>
    <w:r>
      <w:t>FCCC/PA/CMA/2021/10/Add.3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B39FA" w14:textId="223BB323" w:rsidR="00783190" w:rsidRPr="00783190" w:rsidRDefault="00783190" w:rsidP="00783190">
    <w:pPr>
      <w:pStyle w:val="Header"/>
      <w:jc w:val="right"/>
    </w:pPr>
    <w:r>
      <w:t>FCCC/PA/CMA/2021/10/Add.3</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9654" w14:textId="3856E94D" w:rsidR="005F7DEA" w:rsidRPr="00265564" w:rsidRDefault="00265564" w:rsidP="00265564">
    <w:pPr>
      <w:pStyle w:val="Header"/>
      <w:jc w:val="right"/>
    </w:pPr>
    <w:r>
      <w:t>FCCC/PA/CMA/2021/10/Add.3</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C1EEB" w14:textId="331D10CD" w:rsidR="00265564" w:rsidRPr="00265564" w:rsidRDefault="00265564" w:rsidP="00265564">
    <w:pPr>
      <w:pStyle w:val="Header"/>
    </w:pPr>
    <w:r>
      <w:t>FCCC/PA/CMA/2021/10/Add.3</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24986" w14:textId="10A0BA1E" w:rsidR="0069786B" w:rsidRPr="00265564" w:rsidRDefault="00265564" w:rsidP="00265564">
    <w:pPr>
      <w:pStyle w:val="Header"/>
      <w:jc w:val="right"/>
    </w:pPr>
    <w:r>
      <w:t>FCCC/PA/CMA/2021/10/Add.3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9A85D" w14:textId="221FF464" w:rsidR="00FD1D57" w:rsidRPr="00265564" w:rsidRDefault="00265564" w:rsidP="00265564">
    <w:pPr>
      <w:pStyle w:val="Header"/>
    </w:pPr>
    <w:r>
      <w:t>FCCC/PA/CMA/2021/10/Add.3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2DE0" w14:textId="42610F18" w:rsidR="00FD1D57" w:rsidRPr="00265564" w:rsidRDefault="00265564" w:rsidP="00265564">
    <w:pPr>
      <w:pStyle w:val="Header"/>
      <w:jc w:val="right"/>
    </w:pPr>
    <w:r>
      <w:t>FCCC/PA/CMA/2021/10/Add.3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F8522" w14:textId="77777777" w:rsidR="00B00A1C" w:rsidRPr="001955D5" w:rsidRDefault="00B00A1C" w:rsidP="001955D5">
    <w:pPr>
      <w:pStyle w:val="Header"/>
    </w:pPr>
    <w:r>
      <w:t>FCCC/PA/CMA/2021/X/Add.3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76797" w14:textId="7D4194A6" w:rsidR="00B00A1C" w:rsidRPr="00265564" w:rsidRDefault="00265564" w:rsidP="00265564">
    <w:pPr>
      <w:pStyle w:val="Header"/>
      <w:jc w:val="right"/>
    </w:pPr>
    <w:r>
      <w:t>FCCC/PA/CMA/2021/10/Add.3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034D9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4025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3A36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10B9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FE1C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64D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EA51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FA90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EA3A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0A12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496E583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19"/>
  </w:num>
  <w:num w:numId="4">
    <w:abstractNumId w:val="11"/>
  </w:num>
  <w:num w:numId="5">
    <w:abstractNumId w:val="10"/>
  </w:num>
  <w:num w:numId="6">
    <w:abstractNumId w:val="24"/>
  </w:num>
  <w:num w:numId="7">
    <w:abstractNumId w:val="18"/>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7"/>
  </w:num>
  <w:num w:numId="56">
    <w:abstractNumId w:val="6"/>
  </w:num>
  <w:num w:numId="57">
    <w:abstractNumId w:val="5"/>
  </w:num>
  <w:num w:numId="58">
    <w:abstractNumId w:val="4"/>
  </w:num>
  <w:num w:numId="59">
    <w:abstractNumId w:val="8"/>
  </w:num>
  <w:num w:numId="60">
    <w:abstractNumId w:val="3"/>
  </w:num>
  <w:num w:numId="61">
    <w:abstractNumId w:val="2"/>
  </w:num>
  <w:num w:numId="62">
    <w:abstractNumId w:val="1"/>
  </w:num>
  <w:num w:numId="6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558"/>
    <w:rsid w:val="00002768"/>
    <w:rsid w:val="00004A30"/>
    <w:rsid w:val="0000515F"/>
    <w:rsid w:val="0000565F"/>
    <w:rsid w:val="00007089"/>
    <w:rsid w:val="000075E7"/>
    <w:rsid w:val="0001020D"/>
    <w:rsid w:val="0001065A"/>
    <w:rsid w:val="0001208A"/>
    <w:rsid w:val="000152B9"/>
    <w:rsid w:val="000155AE"/>
    <w:rsid w:val="00015B9F"/>
    <w:rsid w:val="00016834"/>
    <w:rsid w:val="00017C45"/>
    <w:rsid w:val="00021BB6"/>
    <w:rsid w:val="00021E77"/>
    <w:rsid w:val="0002382B"/>
    <w:rsid w:val="00023E86"/>
    <w:rsid w:val="00027F7F"/>
    <w:rsid w:val="00030B55"/>
    <w:rsid w:val="00030FC2"/>
    <w:rsid w:val="000313E2"/>
    <w:rsid w:val="00031999"/>
    <w:rsid w:val="00032963"/>
    <w:rsid w:val="00032AF1"/>
    <w:rsid w:val="00032DDE"/>
    <w:rsid w:val="00035CCB"/>
    <w:rsid w:val="00037650"/>
    <w:rsid w:val="0003776D"/>
    <w:rsid w:val="00040428"/>
    <w:rsid w:val="000423A6"/>
    <w:rsid w:val="00042A1B"/>
    <w:rsid w:val="00044CD8"/>
    <w:rsid w:val="00044D53"/>
    <w:rsid w:val="00047BA7"/>
    <w:rsid w:val="000501FA"/>
    <w:rsid w:val="00050A36"/>
    <w:rsid w:val="00052010"/>
    <w:rsid w:val="00052463"/>
    <w:rsid w:val="00052CD0"/>
    <w:rsid w:val="0005313A"/>
    <w:rsid w:val="000555B3"/>
    <w:rsid w:val="000561BD"/>
    <w:rsid w:val="000566CD"/>
    <w:rsid w:val="000615E2"/>
    <w:rsid w:val="00061E44"/>
    <w:rsid w:val="00062505"/>
    <w:rsid w:val="00062FB2"/>
    <w:rsid w:val="000702EB"/>
    <w:rsid w:val="000728E2"/>
    <w:rsid w:val="000741B9"/>
    <w:rsid w:val="00074855"/>
    <w:rsid w:val="00074EC5"/>
    <w:rsid w:val="00074FC8"/>
    <w:rsid w:val="00076113"/>
    <w:rsid w:val="000773C8"/>
    <w:rsid w:val="00081C44"/>
    <w:rsid w:val="00081EB3"/>
    <w:rsid w:val="00083647"/>
    <w:rsid w:val="0008513A"/>
    <w:rsid w:val="00086368"/>
    <w:rsid w:val="000863F3"/>
    <w:rsid w:val="0008756E"/>
    <w:rsid w:val="00087BE9"/>
    <w:rsid w:val="00090016"/>
    <w:rsid w:val="000913E6"/>
    <w:rsid w:val="000922F2"/>
    <w:rsid w:val="00092A35"/>
    <w:rsid w:val="00092E29"/>
    <w:rsid w:val="00093044"/>
    <w:rsid w:val="00095B99"/>
    <w:rsid w:val="000970F7"/>
    <w:rsid w:val="00097B08"/>
    <w:rsid w:val="000A008B"/>
    <w:rsid w:val="000A04E9"/>
    <w:rsid w:val="000A399F"/>
    <w:rsid w:val="000A48AD"/>
    <w:rsid w:val="000A4C99"/>
    <w:rsid w:val="000A566F"/>
    <w:rsid w:val="000A63B3"/>
    <w:rsid w:val="000A7C2B"/>
    <w:rsid w:val="000B15CA"/>
    <w:rsid w:val="000B1895"/>
    <w:rsid w:val="000B1FD0"/>
    <w:rsid w:val="000B40C8"/>
    <w:rsid w:val="000B5538"/>
    <w:rsid w:val="000B6161"/>
    <w:rsid w:val="000B649B"/>
    <w:rsid w:val="000C0E05"/>
    <w:rsid w:val="000C118B"/>
    <w:rsid w:val="000C18A4"/>
    <w:rsid w:val="000C24E3"/>
    <w:rsid w:val="000C27F5"/>
    <w:rsid w:val="000C3EE2"/>
    <w:rsid w:val="000C5173"/>
    <w:rsid w:val="000C5783"/>
    <w:rsid w:val="000C6D98"/>
    <w:rsid w:val="000C7310"/>
    <w:rsid w:val="000C7FAF"/>
    <w:rsid w:val="000D0FB7"/>
    <w:rsid w:val="000D3500"/>
    <w:rsid w:val="000D3711"/>
    <w:rsid w:val="000D3950"/>
    <w:rsid w:val="000D53D2"/>
    <w:rsid w:val="000D5DED"/>
    <w:rsid w:val="000D6476"/>
    <w:rsid w:val="000D66A5"/>
    <w:rsid w:val="000D6922"/>
    <w:rsid w:val="000D6D4A"/>
    <w:rsid w:val="000D7B93"/>
    <w:rsid w:val="000E03E9"/>
    <w:rsid w:val="000E0C58"/>
    <w:rsid w:val="000E343D"/>
    <w:rsid w:val="000E4B8C"/>
    <w:rsid w:val="000E5A58"/>
    <w:rsid w:val="000E6E68"/>
    <w:rsid w:val="000F13AC"/>
    <w:rsid w:val="000F379C"/>
    <w:rsid w:val="000F387D"/>
    <w:rsid w:val="000F3A13"/>
    <w:rsid w:val="000F4222"/>
    <w:rsid w:val="000F4528"/>
    <w:rsid w:val="000F5020"/>
    <w:rsid w:val="000F5E52"/>
    <w:rsid w:val="000F6B91"/>
    <w:rsid w:val="000F7820"/>
    <w:rsid w:val="001007C9"/>
    <w:rsid w:val="00102FE9"/>
    <w:rsid w:val="00106384"/>
    <w:rsid w:val="001072BD"/>
    <w:rsid w:val="00107536"/>
    <w:rsid w:val="00107B0E"/>
    <w:rsid w:val="0011157B"/>
    <w:rsid w:val="00111CB4"/>
    <w:rsid w:val="00115D7E"/>
    <w:rsid w:val="00115DB7"/>
    <w:rsid w:val="001161E5"/>
    <w:rsid w:val="0011662A"/>
    <w:rsid w:val="00117289"/>
    <w:rsid w:val="0011781E"/>
    <w:rsid w:val="001207DE"/>
    <w:rsid w:val="00120826"/>
    <w:rsid w:val="00120901"/>
    <w:rsid w:val="001209A8"/>
    <w:rsid w:val="00120E84"/>
    <w:rsid w:val="001213EA"/>
    <w:rsid w:val="00121CC3"/>
    <w:rsid w:val="00122DA7"/>
    <w:rsid w:val="00123883"/>
    <w:rsid w:val="00123C52"/>
    <w:rsid w:val="00123FAC"/>
    <w:rsid w:val="00124496"/>
    <w:rsid w:val="00127311"/>
    <w:rsid w:val="0013089F"/>
    <w:rsid w:val="001328F9"/>
    <w:rsid w:val="001349EC"/>
    <w:rsid w:val="00134F15"/>
    <w:rsid w:val="0013556A"/>
    <w:rsid w:val="00135F63"/>
    <w:rsid w:val="00136D61"/>
    <w:rsid w:val="00137EDA"/>
    <w:rsid w:val="0014007C"/>
    <w:rsid w:val="00141710"/>
    <w:rsid w:val="00141B2C"/>
    <w:rsid w:val="00142A35"/>
    <w:rsid w:val="001479A0"/>
    <w:rsid w:val="0015183D"/>
    <w:rsid w:val="00152A6E"/>
    <w:rsid w:val="00154988"/>
    <w:rsid w:val="001549E7"/>
    <w:rsid w:val="00154BB6"/>
    <w:rsid w:val="0015619E"/>
    <w:rsid w:val="00157245"/>
    <w:rsid w:val="001600D9"/>
    <w:rsid w:val="00162CD4"/>
    <w:rsid w:val="001635D7"/>
    <w:rsid w:val="00163767"/>
    <w:rsid w:val="00166709"/>
    <w:rsid w:val="0017037D"/>
    <w:rsid w:val="00171371"/>
    <w:rsid w:val="0017287E"/>
    <w:rsid w:val="00172CF0"/>
    <w:rsid w:val="0017311C"/>
    <w:rsid w:val="0017371A"/>
    <w:rsid w:val="001738F1"/>
    <w:rsid w:val="001747E4"/>
    <w:rsid w:val="00174A05"/>
    <w:rsid w:val="00176D28"/>
    <w:rsid w:val="00177074"/>
    <w:rsid w:val="00177FB7"/>
    <w:rsid w:val="001818E2"/>
    <w:rsid w:val="001830B2"/>
    <w:rsid w:val="00184C03"/>
    <w:rsid w:val="00185C5F"/>
    <w:rsid w:val="00186A4F"/>
    <w:rsid w:val="00187C37"/>
    <w:rsid w:val="00187D79"/>
    <w:rsid w:val="001906D0"/>
    <w:rsid w:val="00191022"/>
    <w:rsid w:val="001915EF"/>
    <w:rsid w:val="00191830"/>
    <w:rsid w:val="0019430F"/>
    <w:rsid w:val="001945C7"/>
    <w:rsid w:val="00194BFA"/>
    <w:rsid w:val="00194E11"/>
    <w:rsid w:val="00195018"/>
    <w:rsid w:val="001955D5"/>
    <w:rsid w:val="00195FF4"/>
    <w:rsid w:val="00196E77"/>
    <w:rsid w:val="001A0A3A"/>
    <w:rsid w:val="001A0C6D"/>
    <w:rsid w:val="001A1FC1"/>
    <w:rsid w:val="001A2187"/>
    <w:rsid w:val="001A2797"/>
    <w:rsid w:val="001A3E9A"/>
    <w:rsid w:val="001A594B"/>
    <w:rsid w:val="001A5F7E"/>
    <w:rsid w:val="001A5FE8"/>
    <w:rsid w:val="001A6D0C"/>
    <w:rsid w:val="001A70E2"/>
    <w:rsid w:val="001B085A"/>
    <w:rsid w:val="001B1483"/>
    <w:rsid w:val="001B2BFE"/>
    <w:rsid w:val="001B3381"/>
    <w:rsid w:val="001B36C1"/>
    <w:rsid w:val="001C00A9"/>
    <w:rsid w:val="001C142A"/>
    <w:rsid w:val="001C2AD6"/>
    <w:rsid w:val="001C3DE7"/>
    <w:rsid w:val="001C40F0"/>
    <w:rsid w:val="001C4688"/>
    <w:rsid w:val="001C4912"/>
    <w:rsid w:val="001C6B5E"/>
    <w:rsid w:val="001C7B87"/>
    <w:rsid w:val="001D012A"/>
    <w:rsid w:val="001D0F0F"/>
    <w:rsid w:val="001D2FD8"/>
    <w:rsid w:val="001D4327"/>
    <w:rsid w:val="001D5E84"/>
    <w:rsid w:val="001D7FEA"/>
    <w:rsid w:val="001E38E4"/>
    <w:rsid w:val="001E4CCC"/>
    <w:rsid w:val="001E7171"/>
    <w:rsid w:val="001E7CC1"/>
    <w:rsid w:val="001E7D13"/>
    <w:rsid w:val="001F0512"/>
    <w:rsid w:val="001F0C87"/>
    <w:rsid w:val="001F196C"/>
    <w:rsid w:val="001F26D2"/>
    <w:rsid w:val="001F2BBF"/>
    <w:rsid w:val="001F2BDB"/>
    <w:rsid w:val="002008AA"/>
    <w:rsid w:val="00200C11"/>
    <w:rsid w:val="00201B92"/>
    <w:rsid w:val="002025E1"/>
    <w:rsid w:val="00202C1D"/>
    <w:rsid w:val="0020326E"/>
    <w:rsid w:val="00204215"/>
    <w:rsid w:val="00204997"/>
    <w:rsid w:val="00207452"/>
    <w:rsid w:val="00210B00"/>
    <w:rsid w:val="00211580"/>
    <w:rsid w:val="00214018"/>
    <w:rsid w:val="0021446A"/>
    <w:rsid w:val="00214F58"/>
    <w:rsid w:val="00216589"/>
    <w:rsid w:val="002208E2"/>
    <w:rsid w:val="00223453"/>
    <w:rsid w:val="00223ADD"/>
    <w:rsid w:val="00224111"/>
    <w:rsid w:val="00226C2C"/>
    <w:rsid w:val="00230D0F"/>
    <w:rsid w:val="00230FC4"/>
    <w:rsid w:val="00231FB5"/>
    <w:rsid w:val="00232479"/>
    <w:rsid w:val="00232A57"/>
    <w:rsid w:val="00232EAA"/>
    <w:rsid w:val="00233098"/>
    <w:rsid w:val="002334B0"/>
    <w:rsid w:val="00235B3B"/>
    <w:rsid w:val="00237801"/>
    <w:rsid w:val="0024447B"/>
    <w:rsid w:val="0024505C"/>
    <w:rsid w:val="00245689"/>
    <w:rsid w:val="00246888"/>
    <w:rsid w:val="0024751D"/>
    <w:rsid w:val="00247BF6"/>
    <w:rsid w:val="00250037"/>
    <w:rsid w:val="00250413"/>
    <w:rsid w:val="00251FF9"/>
    <w:rsid w:val="0025265B"/>
    <w:rsid w:val="002534E0"/>
    <w:rsid w:val="00253D17"/>
    <w:rsid w:val="00256CFB"/>
    <w:rsid w:val="00257231"/>
    <w:rsid w:val="00257A38"/>
    <w:rsid w:val="00257AA3"/>
    <w:rsid w:val="00260BFA"/>
    <w:rsid w:val="00260C3C"/>
    <w:rsid w:val="0026192F"/>
    <w:rsid w:val="00264F17"/>
    <w:rsid w:val="00265564"/>
    <w:rsid w:val="00266D68"/>
    <w:rsid w:val="002675AF"/>
    <w:rsid w:val="0026761A"/>
    <w:rsid w:val="00267B98"/>
    <w:rsid w:val="00272AEC"/>
    <w:rsid w:val="00273E8E"/>
    <w:rsid w:val="0027419E"/>
    <w:rsid w:val="00276A17"/>
    <w:rsid w:val="002776B4"/>
    <w:rsid w:val="002779EB"/>
    <w:rsid w:val="00277B71"/>
    <w:rsid w:val="002823A1"/>
    <w:rsid w:val="00283275"/>
    <w:rsid w:val="0028327F"/>
    <w:rsid w:val="0028519E"/>
    <w:rsid w:val="002859C9"/>
    <w:rsid w:val="002868FE"/>
    <w:rsid w:val="00287725"/>
    <w:rsid w:val="00287ABB"/>
    <w:rsid w:val="0029007C"/>
    <w:rsid w:val="00290409"/>
    <w:rsid w:val="00291D15"/>
    <w:rsid w:val="00292DC3"/>
    <w:rsid w:val="002933A4"/>
    <w:rsid w:val="00294134"/>
    <w:rsid w:val="0029503C"/>
    <w:rsid w:val="002954CD"/>
    <w:rsid w:val="00295866"/>
    <w:rsid w:val="00296C40"/>
    <w:rsid w:val="0029733B"/>
    <w:rsid w:val="00297C1E"/>
    <w:rsid w:val="002A1065"/>
    <w:rsid w:val="002A23DF"/>
    <w:rsid w:val="002A40DE"/>
    <w:rsid w:val="002A4B9A"/>
    <w:rsid w:val="002A7B52"/>
    <w:rsid w:val="002B00DA"/>
    <w:rsid w:val="002B0283"/>
    <w:rsid w:val="002B06C8"/>
    <w:rsid w:val="002B0A09"/>
    <w:rsid w:val="002B1532"/>
    <w:rsid w:val="002B29A8"/>
    <w:rsid w:val="002B3984"/>
    <w:rsid w:val="002B446B"/>
    <w:rsid w:val="002B5222"/>
    <w:rsid w:val="002B71EA"/>
    <w:rsid w:val="002B72CE"/>
    <w:rsid w:val="002B7532"/>
    <w:rsid w:val="002B7ACB"/>
    <w:rsid w:val="002C051E"/>
    <w:rsid w:val="002C11F7"/>
    <w:rsid w:val="002C3336"/>
    <w:rsid w:val="002C4AC4"/>
    <w:rsid w:val="002C52A6"/>
    <w:rsid w:val="002C5632"/>
    <w:rsid w:val="002C59D0"/>
    <w:rsid w:val="002C7A9F"/>
    <w:rsid w:val="002C7D97"/>
    <w:rsid w:val="002D154A"/>
    <w:rsid w:val="002D1AD9"/>
    <w:rsid w:val="002D1F6E"/>
    <w:rsid w:val="002D2B64"/>
    <w:rsid w:val="002D3BBD"/>
    <w:rsid w:val="002D66A2"/>
    <w:rsid w:val="002D737B"/>
    <w:rsid w:val="002D751D"/>
    <w:rsid w:val="002E0A6C"/>
    <w:rsid w:val="002E2364"/>
    <w:rsid w:val="002E3ED8"/>
    <w:rsid w:val="002E57DC"/>
    <w:rsid w:val="002E6328"/>
    <w:rsid w:val="002F304A"/>
    <w:rsid w:val="002F60E8"/>
    <w:rsid w:val="002F7B01"/>
    <w:rsid w:val="003012AF"/>
    <w:rsid w:val="00301E82"/>
    <w:rsid w:val="00304BA1"/>
    <w:rsid w:val="0030519D"/>
    <w:rsid w:val="00306423"/>
    <w:rsid w:val="00307674"/>
    <w:rsid w:val="00307FAB"/>
    <w:rsid w:val="003127A7"/>
    <w:rsid w:val="003132EC"/>
    <w:rsid w:val="00313A90"/>
    <w:rsid w:val="003147E4"/>
    <w:rsid w:val="00317B8C"/>
    <w:rsid w:val="00321A14"/>
    <w:rsid w:val="00323BBC"/>
    <w:rsid w:val="00324D47"/>
    <w:rsid w:val="003250E7"/>
    <w:rsid w:val="00325D1A"/>
    <w:rsid w:val="00327575"/>
    <w:rsid w:val="00327B89"/>
    <w:rsid w:val="00331669"/>
    <w:rsid w:val="00332592"/>
    <w:rsid w:val="00332CBE"/>
    <w:rsid w:val="00332FC8"/>
    <w:rsid w:val="003354A0"/>
    <w:rsid w:val="00336DC3"/>
    <w:rsid w:val="00337524"/>
    <w:rsid w:val="0034005C"/>
    <w:rsid w:val="00340554"/>
    <w:rsid w:val="00341289"/>
    <w:rsid w:val="003412A5"/>
    <w:rsid w:val="003415A2"/>
    <w:rsid w:val="0034390F"/>
    <w:rsid w:val="00344AD3"/>
    <w:rsid w:val="00347724"/>
    <w:rsid w:val="0034777C"/>
    <w:rsid w:val="003477E2"/>
    <w:rsid w:val="003505F9"/>
    <w:rsid w:val="00350710"/>
    <w:rsid w:val="00353346"/>
    <w:rsid w:val="00355B23"/>
    <w:rsid w:val="00356D00"/>
    <w:rsid w:val="00357684"/>
    <w:rsid w:val="0035790B"/>
    <w:rsid w:val="003604DF"/>
    <w:rsid w:val="0036087C"/>
    <w:rsid w:val="00361821"/>
    <w:rsid w:val="00361A9D"/>
    <w:rsid w:val="00363893"/>
    <w:rsid w:val="003643C9"/>
    <w:rsid w:val="00364B85"/>
    <w:rsid w:val="003669BB"/>
    <w:rsid w:val="00370353"/>
    <w:rsid w:val="00370A21"/>
    <w:rsid w:val="00370D42"/>
    <w:rsid w:val="00373C62"/>
    <w:rsid w:val="00375F53"/>
    <w:rsid w:val="003762C2"/>
    <w:rsid w:val="00377E8D"/>
    <w:rsid w:val="00381632"/>
    <w:rsid w:val="00382975"/>
    <w:rsid w:val="00383494"/>
    <w:rsid w:val="003847B9"/>
    <w:rsid w:val="00385E56"/>
    <w:rsid w:val="00390C4E"/>
    <w:rsid w:val="00391C7D"/>
    <w:rsid w:val="00394B94"/>
    <w:rsid w:val="00395252"/>
    <w:rsid w:val="003A04B4"/>
    <w:rsid w:val="003A0F00"/>
    <w:rsid w:val="003A2CB8"/>
    <w:rsid w:val="003A4936"/>
    <w:rsid w:val="003A5459"/>
    <w:rsid w:val="003A5546"/>
    <w:rsid w:val="003A5FBC"/>
    <w:rsid w:val="003A64DA"/>
    <w:rsid w:val="003A65C5"/>
    <w:rsid w:val="003A716B"/>
    <w:rsid w:val="003A7B0B"/>
    <w:rsid w:val="003B0560"/>
    <w:rsid w:val="003B1229"/>
    <w:rsid w:val="003B2C11"/>
    <w:rsid w:val="003B3C25"/>
    <w:rsid w:val="003B4C6A"/>
    <w:rsid w:val="003B4D23"/>
    <w:rsid w:val="003B5A25"/>
    <w:rsid w:val="003B714F"/>
    <w:rsid w:val="003B72C5"/>
    <w:rsid w:val="003B7380"/>
    <w:rsid w:val="003B7DF6"/>
    <w:rsid w:val="003C1782"/>
    <w:rsid w:val="003C3854"/>
    <w:rsid w:val="003C75B9"/>
    <w:rsid w:val="003C782D"/>
    <w:rsid w:val="003D0225"/>
    <w:rsid w:val="003D1A53"/>
    <w:rsid w:val="003D1A75"/>
    <w:rsid w:val="003D2544"/>
    <w:rsid w:val="003D36AD"/>
    <w:rsid w:val="003D6B47"/>
    <w:rsid w:val="003D7B4B"/>
    <w:rsid w:val="003D7B71"/>
    <w:rsid w:val="003E05CD"/>
    <w:rsid w:val="003E1998"/>
    <w:rsid w:val="003E35C5"/>
    <w:rsid w:val="003E3A52"/>
    <w:rsid w:val="003E3EC7"/>
    <w:rsid w:val="003E4839"/>
    <w:rsid w:val="003E6A0A"/>
    <w:rsid w:val="003E7CA8"/>
    <w:rsid w:val="003F0BC6"/>
    <w:rsid w:val="003F1E27"/>
    <w:rsid w:val="003F20C4"/>
    <w:rsid w:val="003F2431"/>
    <w:rsid w:val="003F3102"/>
    <w:rsid w:val="003F3389"/>
    <w:rsid w:val="003F3918"/>
    <w:rsid w:val="003F4109"/>
    <w:rsid w:val="003F5FEE"/>
    <w:rsid w:val="003F6860"/>
    <w:rsid w:val="003F7301"/>
    <w:rsid w:val="003F7F88"/>
    <w:rsid w:val="00400B35"/>
    <w:rsid w:val="004024EC"/>
    <w:rsid w:val="0040311B"/>
    <w:rsid w:val="00403E2E"/>
    <w:rsid w:val="0040546F"/>
    <w:rsid w:val="004061BF"/>
    <w:rsid w:val="004076AB"/>
    <w:rsid w:val="00410508"/>
    <w:rsid w:val="004114EE"/>
    <w:rsid w:val="004141F9"/>
    <w:rsid w:val="00415197"/>
    <w:rsid w:val="004158DF"/>
    <w:rsid w:val="00415EFB"/>
    <w:rsid w:val="0041669F"/>
    <w:rsid w:val="00417292"/>
    <w:rsid w:val="004215DD"/>
    <w:rsid w:val="00422A48"/>
    <w:rsid w:val="00422A55"/>
    <w:rsid w:val="00423C57"/>
    <w:rsid w:val="00425FD9"/>
    <w:rsid w:val="00426D0A"/>
    <w:rsid w:val="0042770E"/>
    <w:rsid w:val="00427DA2"/>
    <w:rsid w:val="0043055E"/>
    <w:rsid w:val="00430697"/>
    <w:rsid w:val="0043154B"/>
    <w:rsid w:val="00434790"/>
    <w:rsid w:val="004349B4"/>
    <w:rsid w:val="0043729E"/>
    <w:rsid w:val="00437435"/>
    <w:rsid w:val="0043757B"/>
    <w:rsid w:val="00440E48"/>
    <w:rsid w:val="00442AFD"/>
    <w:rsid w:val="00445627"/>
    <w:rsid w:val="00453BC0"/>
    <w:rsid w:val="00454BEB"/>
    <w:rsid w:val="00455017"/>
    <w:rsid w:val="00455747"/>
    <w:rsid w:val="00456080"/>
    <w:rsid w:val="004578AD"/>
    <w:rsid w:val="0046233C"/>
    <w:rsid w:val="00464BE9"/>
    <w:rsid w:val="004655D7"/>
    <w:rsid w:val="00466E42"/>
    <w:rsid w:val="00467EC8"/>
    <w:rsid w:val="004732FC"/>
    <w:rsid w:val="0047401C"/>
    <w:rsid w:val="0047630B"/>
    <w:rsid w:val="00476380"/>
    <w:rsid w:val="004812E6"/>
    <w:rsid w:val="0048196D"/>
    <w:rsid w:val="00481E7C"/>
    <w:rsid w:val="00483032"/>
    <w:rsid w:val="00484B74"/>
    <w:rsid w:val="0048523B"/>
    <w:rsid w:val="00485971"/>
    <w:rsid w:val="00487DED"/>
    <w:rsid w:val="0049014E"/>
    <w:rsid w:val="004903C5"/>
    <w:rsid w:val="00490900"/>
    <w:rsid w:val="00493E7D"/>
    <w:rsid w:val="00495402"/>
    <w:rsid w:val="00495D13"/>
    <w:rsid w:val="00496CBF"/>
    <w:rsid w:val="004977C3"/>
    <w:rsid w:val="004A2178"/>
    <w:rsid w:val="004A36EC"/>
    <w:rsid w:val="004A67DD"/>
    <w:rsid w:val="004B02E4"/>
    <w:rsid w:val="004B17CA"/>
    <w:rsid w:val="004B2317"/>
    <w:rsid w:val="004B25C7"/>
    <w:rsid w:val="004B2869"/>
    <w:rsid w:val="004B501A"/>
    <w:rsid w:val="004B6DE3"/>
    <w:rsid w:val="004B7714"/>
    <w:rsid w:val="004C022A"/>
    <w:rsid w:val="004C1052"/>
    <w:rsid w:val="004C5B8D"/>
    <w:rsid w:val="004C6532"/>
    <w:rsid w:val="004D1BD9"/>
    <w:rsid w:val="004D1CC3"/>
    <w:rsid w:val="004D26DD"/>
    <w:rsid w:val="004D72AF"/>
    <w:rsid w:val="004E1645"/>
    <w:rsid w:val="004E1E74"/>
    <w:rsid w:val="004E2287"/>
    <w:rsid w:val="004E2CAD"/>
    <w:rsid w:val="004E4B8F"/>
    <w:rsid w:val="004E4F16"/>
    <w:rsid w:val="004E5A04"/>
    <w:rsid w:val="004E5FE0"/>
    <w:rsid w:val="004E7437"/>
    <w:rsid w:val="004F0D45"/>
    <w:rsid w:val="004F0DCC"/>
    <w:rsid w:val="004F0F70"/>
    <w:rsid w:val="004F15DE"/>
    <w:rsid w:val="004F2093"/>
    <w:rsid w:val="004F49A3"/>
    <w:rsid w:val="004F4D5D"/>
    <w:rsid w:val="004F5017"/>
    <w:rsid w:val="004F615A"/>
    <w:rsid w:val="00502565"/>
    <w:rsid w:val="005030B1"/>
    <w:rsid w:val="00503373"/>
    <w:rsid w:val="005050DA"/>
    <w:rsid w:val="00506681"/>
    <w:rsid w:val="0050685E"/>
    <w:rsid w:val="005072C0"/>
    <w:rsid w:val="005120CF"/>
    <w:rsid w:val="00512471"/>
    <w:rsid w:val="0051452E"/>
    <w:rsid w:val="00514A43"/>
    <w:rsid w:val="00514DDA"/>
    <w:rsid w:val="00516D7E"/>
    <w:rsid w:val="005200D5"/>
    <w:rsid w:val="00521929"/>
    <w:rsid w:val="00522C83"/>
    <w:rsid w:val="005255F0"/>
    <w:rsid w:val="005260F6"/>
    <w:rsid w:val="00527573"/>
    <w:rsid w:val="005279BE"/>
    <w:rsid w:val="0053022F"/>
    <w:rsid w:val="00532259"/>
    <w:rsid w:val="005324FA"/>
    <w:rsid w:val="00533AB8"/>
    <w:rsid w:val="00537750"/>
    <w:rsid w:val="00540D09"/>
    <w:rsid w:val="005414AB"/>
    <w:rsid w:val="005416D2"/>
    <w:rsid w:val="005449B5"/>
    <w:rsid w:val="00544FC2"/>
    <w:rsid w:val="00545616"/>
    <w:rsid w:val="005464AA"/>
    <w:rsid w:val="00546735"/>
    <w:rsid w:val="005474C8"/>
    <w:rsid w:val="00550404"/>
    <w:rsid w:val="005523F5"/>
    <w:rsid w:val="00553ADD"/>
    <w:rsid w:val="005549B8"/>
    <w:rsid w:val="00554B98"/>
    <w:rsid w:val="00554CD2"/>
    <w:rsid w:val="00556333"/>
    <w:rsid w:val="00556F52"/>
    <w:rsid w:val="0055700C"/>
    <w:rsid w:val="00560D63"/>
    <w:rsid w:val="0056212D"/>
    <w:rsid w:val="0056250B"/>
    <w:rsid w:val="005627AB"/>
    <w:rsid w:val="00562EEB"/>
    <w:rsid w:val="005653A9"/>
    <w:rsid w:val="00565AF2"/>
    <w:rsid w:val="0056758F"/>
    <w:rsid w:val="00570206"/>
    <w:rsid w:val="0057038E"/>
    <w:rsid w:val="005709E8"/>
    <w:rsid w:val="00570F55"/>
    <w:rsid w:val="0057114D"/>
    <w:rsid w:val="00571B79"/>
    <w:rsid w:val="00572EB2"/>
    <w:rsid w:val="00573130"/>
    <w:rsid w:val="005743D2"/>
    <w:rsid w:val="00574B41"/>
    <w:rsid w:val="005755C7"/>
    <w:rsid w:val="00576132"/>
    <w:rsid w:val="00576DEA"/>
    <w:rsid w:val="00576F19"/>
    <w:rsid w:val="00577949"/>
    <w:rsid w:val="00581567"/>
    <w:rsid w:val="00582304"/>
    <w:rsid w:val="0058341F"/>
    <w:rsid w:val="00583E60"/>
    <w:rsid w:val="00584416"/>
    <w:rsid w:val="005857A1"/>
    <w:rsid w:val="0058731E"/>
    <w:rsid w:val="00591238"/>
    <w:rsid w:val="0059193B"/>
    <w:rsid w:val="00591A0D"/>
    <w:rsid w:val="00591F95"/>
    <w:rsid w:val="00592405"/>
    <w:rsid w:val="005934AE"/>
    <w:rsid w:val="005957C6"/>
    <w:rsid w:val="00596D09"/>
    <w:rsid w:val="00597517"/>
    <w:rsid w:val="005A0171"/>
    <w:rsid w:val="005A1844"/>
    <w:rsid w:val="005A2346"/>
    <w:rsid w:val="005A30EA"/>
    <w:rsid w:val="005A3292"/>
    <w:rsid w:val="005A368D"/>
    <w:rsid w:val="005A49A8"/>
    <w:rsid w:val="005A70DE"/>
    <w:rsid w:val="005B1D36"/>
    <w:rsid w:val="005B1FDE"/>
    <w:rsid w:val="005B2261"/>
    <w:rsid w:val="005B3BE7"/>
    <w:rsid w:val="005B46C2"/>
    <w:rsid w:val="005B47F8"/>
    <w:rsid w:val="005B50F5"/>
    <w:rsid w:val="005B7C1E"/>
    <w:rsid w:val="005C08EC"/>
    <w:rsid w:val="005C1858"/>
    <w:rsid w:val="005C415F"/>
    <w:rsid w:val="005C5520"/>
    <w:rsid w:val="005C60C7"/>
    <w:rsid w:val="005C683F"/>
    <w:rsid w:val="005C6895"/>
    <w:rsid w:val="005D1F6F"/>
    <w:rsid w:val="005D2417"/>
    <w:rsid w:val="005D2B6D"/>
    <w:rsid w:val="005D3BE1"/>
    <w:rsid w:val="005D52EC"/>
    <w:rsid w:val="005D6C7A"/>
    <w:rsid w:val="005E267C"/>
    <w:rsid w:val="005E432D"/>
    <w:rsid w:val="005E53C5"/>
    <w:rsid w:val="005E76DF"/>
    <w:rsid w:val="005F16C2"/>
    <w:rsid w:val="005F4132"/>
    <w:rsid w:val="005F7584"/>
    <w:rsid w:val="005F77D5"/>
    <w:rsid w:val="005F7DEA"/>
    <w:rsid w:val="006002E5"/>
    <w:rsid w:val="00600E80"/>
    <w:rsid w:val="00601526"/>
    <w:rsid w:val="00601E3C"/>
    <w:rsid w:val="006020AC"/>
    <w:rsid w:val="006028F5"/>
    <w:rsid w:val="00603D73"/>
    <w:rsid w:val="00603DA3"/>
    <w:rsid w:val="0060436D"/>
    <w:rsid w:val="00605F9F"/>
    <w:rsid w:val="00607F07"/>
    <w:rsid w:val="0061079B"/>
    <w:rsid w:val="00610A5C"/>
    <w:rsid w:val="00610D76"/>
    <w:rsid w:val="0061173F"/>
    <w:rsid w:val="00611E89"/>
    <w:rsid w:val="006138EC"/>
    <w:rsid w:val="0061390A"/>
    <w:rsid w:val="00617B57"/>
    <w:rsid w:val="00620CC4"/>
    <w:rsid w:val="00622643"/>
    <w:rsid w:val="00622B9F"/>
    <w:rsid w:val="00624D03"/>
    <w:rsid w:val="00625DB2"/>
    <w:rsid w:val="00626319"/>
    <w:rsid w:val="006276F3"/>
    <w:rsid w:val="0063068A"/>
    <w:rsid w:val="00630DB9"/>
    <w:rsid w:val="00631EE2"/>
    <w:rsid w:val="00632864"/>
    <w:rsid w:val="006329E2"/>
    <w:rsid w:val="00633BF3"/>
    <w:rsid w:val="00634DBB"/>
    <w:rsid w:val="006350D3"/>
    <w:rsid w:val="0063652F"/>
    <w:rsid w:val="0063667C"/>
    <w:rsid w:val="006379C7"/>
    <w:rsid w:val="00637EBF"/>
    <w:rsid w:val="00641250"/>
    <w:rsid w:val="00641446"/>
    <w:rsid w:val="00641EF5"/>
    <w:rsid w:val="00641F29"/>
    <w:rsid w:val="006421BC"/>
    <w:rsid w:val="00644DFB"/>
    <w:rsid w:val="0064579B"/>
    <w:rsid w:val="006512A9"/>
    <w:rsid w:val="00651BDB"/>
    <w:rsid w:val="00653032"/>
    <w:rsid w:val="00653686"/>
    <w:rsid w:val="00655479"/>
    <w:rsid w:val="00655F64"/>
    <w:rsid w:val="00655F79"/>
    <w:rsid w:val="00660B36"/>
    <w:rsid w:val="00660F32"/>
    <w:rsid w:val="0066159F"/>
    <w:rsid w:val="006621E8"/>
    <w:rsid w:val="006634DB"/>
    <w:rsid w:val="00663EC5"/>
    <w:rsid w:val="0066402D"/>
    <w:rsid w:val="0066490A"/>
    <w:rsid w:val="00664ABD"/>
    <w:rsid w:val="00664E65"/>
    <w:rsid w:val="0066779B"/>
    <w:rsid w:val="0067019F"/>
    <w:rsid w:val="006718EE"/>
    <w:rsid w:val="00671981"/>
    <w:rsid w:val="006722F1"/>
    <w:rsid w:val="006742FE"/>
    <w:rsid w:val="006753E6"/>
    <w:rsid w:val="006771A4"/>
    <w:rsid w:val="006810D8"/>
    <w:rsid w:val="00682863"/>
    <w:rsid w:val="0068552D"/>
    <w:rsid w:val="00687740"/>
    <w:rsid w:val="006904E0"/>
    <w:rsid w:val="00693901"/>
    <w:rsid w:val="00695495"/>
    <w:rsid w:val="00697035"/>
    <w:rsid w:val="006973FA"/>
    <w:rsid w:val="0069786B"/>
    <w:rsid w:val="006A0349"/>
    <w:rsid w:val="006A3385"/>
    <w:rsid w:val="006A56FD"/>
    <w:rsid w:val="006A63F7"/>
    <w:rsid w:val="006A720E"/>
    <w:rsid w:val="006B0309"/>
    <w:rsid w:val="006B0544"/>
    <w:rsid w:val="006B06DB"/>
    <w:rsid w:val="006B13CC"/>
    <w:rsid w:val="006B1647"/>
    <w:rsid w:val="006B1BCB"/>
    <w:rsid w:val="006B2FFC"/>
    <w:rsid w:val="006B5471"/>
    <w:rsid w:val="006B5DCE"/>
    <w:rsid w:val="006B62F2"/>
    <w:rsid w:val="006B6D3A"/>
    <w:rsid w:val="006B7E21"/>
    <w:rsid w:val="006C0BA4"/>
    <w:rsid w:val="006C156B"/>
    <w:rsid w:val="006C41A6"/>
    <w:rsid w:val="006C579D"/>
    <w:rsid w:val="006C590B"/>
    <w:rsid w:val="006C5B97"/>
    <w:rsid w:val="006C6896"/>
    <w:rsid w:val="006C6ACD"/>
    <w:rsid w:val="006C7D6D"/>
    <w:rsid w:val="006D020B"/>
    <w:rsid w:val="006D0BDC"/>
    <w:rsid w:val="006D12B6"/>
    <w:rsid w:val="006D2EE3"/>
    <w:rsid w:val="006D4298"/>
    <w:rsid w:val="006D59B8"/>
    <w:rsid w:val="006D6A64"/>
    <w:rsid w:val="006E2336"/>
    <w:rsid w:val="006E36DF"/>
    <w:rsid w:val="006E62D7"/>
    <w:rsid w:val="006E6852"/>
    <w:rsid w:val="006E7848"/>
    <w:rsid w:val="006F1BFA"/>
    <w:rsid w:val="006F2373"/>
    <w:rsid w:val="006F446D"/>
    <w:rsid w:val="006F4A87"/>
    <w:rsid w:val="006F7018"/>
    <w:rsid w:val="006F75E3"/>
    <w:rsid w:val="00700EEF"/>
    <w:rsid w:val="0070427D"/>
    <w:rsid w:val="00705166"/>
    <w:rsid w:val="00706ACC"/>
    <w:rsid w:val="007073F6"/>
    <w:rsid w:val="0071042A"/>
    <w:rsid w:val="00710E60"/>
    <w:rsid w:val="007112BE"/>
    <w:rsid w:val="00712FBB"/>
    <w:rsid w:val="00713CC7"/>
    <w:rsid w:val="0071428F"/>
    <w:rsid w:val="00717BC5"/>
    <w:rsid w:val="00720135"/>
    <w:rsid w:val="00721FF8"/>
    <w:rsid w:val="007235D9"/>
    <w:rsid w:val="00724235"/>
    <w:rsid w:val="007250C7"/>
    <w:rsid w:val="00726562"/>
    <w:rsid w:val="00730A99"/>
    <w:rsid w:val="007334B2"/>
    <w:rsid w:val="007334C8"/>
    <w:rsid w:val="00733560"/>
    <w:rsid w:val="00733B4C"/>
    <w:rsid w:val="00734015"/>
    <w:rsid w:val="0073470C"/>
    <w:rsid w:val="00735A24"/>
    <w:rsid w:val="007367AC"/>
    <w:rsid w:val="00740984"/>
    <w:rsid w:val="00741FEC"/>
    <w:rsid w:val="00742F78"/>
    <w:rsid w:val="00745A41"/>
    <w:rsid w:val="00745C90"/>
    <w:rsid w:val="00746018"/>
    <w:rsid w:val="00746BF8"/>
    <w:rsid w:val="00747999"/>
    <w:rsid w:val="00750AE3"/>
    <w:rsid w:val="00750CCE"/>
    <w:rsid w:val="00752275"/>
    <w:rsid w:val="00752FEF"/>
    <w:rsid w:val="00754145"/>
    <w:rsid w:val="00754A51"/>
    <w:rsid w:val="00756BC7"/>
    <w:rsid w:val="00756CAC"/>
    <w:rsid w:val="007607E5"/>
    <w:rsid w:val="007626E6"/>
    <w:rsid w:val="007658FD"/>
    <w:rsid w:val="007662FB"/>
    <w:rsid w:val="00766F06"/>
    <w:rsid w:val="007672E5"/>
    <w:rsid w:val="007712B0"/>
    <w:rsid w:val="007719B7"/>
    <w:rsid w:val="00772CB7"/>
    <w:rsid w:val="0077383D"/>
    <w:rsid w:val="00774D1B"/>
    <w:rsid w:val="007760E2"/>
    <w:rsid w:val="0077677F"/>
    <w:rsid w:val="007805DF"/>
    <w:rsid w:val="00780AEB"/>
    <w:rsid w:val="00781FFB"/>
    <w:rsid w:val="00782A72"/>
    <w:rsid w:val="00783190"/>
    <w:rsid w:val="00783616"/>
    <w:rsid w:val="00784575"/>
    <w:rsid w:val="00785017"/>
    <w:rsid w:val="0078549A"/>
    <w:rsid w:val="00787A6F"/>
    <w:rsid w:val="0079008A"/>
    <w:rsid w:val="00790899"/>
    <w:rsid w:val="00790FEC"/>
    <w:rsid w:val="0079342E"/>
    <w:rsid w:val="00793527"/>
    <w:rsid w:val="007938BB"/>
    <w:rsid w:val="0079463A"/>
    <w:rsid w:val="00795565"/>
    <w:rsid w:val="00795A59"/>
    <w:rsid w:val="00795D5E"/>
    <w:rsid w:val="007965C4"/>
    <w:rsid w:val="007A10A9"/>
    <w:rsid w:val="007A1CEA"/>
    <w:rsid w:val="007A2A68"/>
    <w:rsid w:val="007A2EB0"/>
    <w:rsid w:val="007A4388"/>
    <w:rsid w:val="007B07E9"/>
    <w:rsid w:val="007B0DFC"/>
    <w:rsid w:val="007B282F"/>
    <w:rsid w:val="007B2C20"/>
    <w:rsid w:val="007B2CE5"/>
    <w:rsid w:val="007B3F5C"/>
    <w:rsid w:val="007B5682"/>
    <w:rsid w:val="007B6172"/>
    <w:rsid w:val="007C006D"/>
    <w:rsid w:val="007C169C"/>
    <w:rsid w:val="007C16C1"/>
    <w:rsid w:val="007C186F"/>
    <w:rsid w:val="007C23B8"/>
    <w:rsid w:val="007C30E9"/>
    <w:rsid w:val="007C4046"/>
    <w:rsid w:val="007C4282"/>
    <w:rsid w:val="007C43B0"/>
    <w:rsid w:val="007C4737"/>
    <w:rsid w:val="007C60C6"/>
    <w:rsid w:val="007C6EB2"/>
    <w:rsid w:val="007D0D36"/>
    <w:rsid w:val="007D0DEF"/>
    <w:rsid w:val="007D16F3"/>
    <w:rsid w:val="007D3A77"/>
    <w:rsid w:val="007D44B9"/>
    <w:rsid w:val="007D46D9"/>
    <w:rsid w:val="007D6AF4"/>
    <w:rsid w:val="007E0051"/>
    <w:rsid w:val="007E2A04"/>
    <w:rsid w:val="007E4210"/>
    <w:rsid w:val="007E4E0C"/>
    <w:rsid w:val="007E5A0D"/>
    <w:rsid w:val="007E5C76"/>
    <w:rsid w:val="007E7434"/>
    <w:rsid w:val="007E7856"/>
    <w:rsid w:val="007E7F81"/>
    <w:rsid w:val="007F0C6B"/>
    <w:rsid w:val="007F11A7"/>
    <w:rsid w:val="007F3DC7"/>
    <w:rsid w:val="007F43BE"/>
    <w:rsid w:val="007F4E97"/>
    <w:rsid w:val="007F5855"/>
    <w:rsid w:val="007F6C8A"/>
    <w:rsid w:val="007F6F9E"/>
    <w:rsid w:val="007F77A5"/>
    <w:rsid w:val="007F79E8"/>
    <w:rsid w:val="00801940"/>
    <w:rsid w:val="00802646"/>
    <w:rsid w:val="00805529"/>
    <w:rsid w:val="00806434"/>
    <w:rsid w:val="008071D5"/>
    <w:rsid w:val="00810726"/>
    <w:rsid w:val="00812045"/>
    <w:rsid w:val="00813436"/>
    <w:rsid w:val="00816B8E"/>
    <w:rsid w:val="0081743A"/>
    <w:rsid w:val="0081748F"/>
    <w:rsid w:val="0081794C"/>
    <w:rsid w:val="00820826"/>
    <w:rsid w:val="00820954"/>
    <w:rsid w:val="00820E96"/>
    <w:rsid w:val="00821927"/>
    <w:rsid w:val="00822406"/>
    <w:rsid w:val="00823CFD"/>
    <w:rsid w:val="008242D0"/>
    <w:rsid w:val="00824785"/>
    <w:rsid w:val="00824D92"/>
    <w:rsid w:val="0082619B"/>
    <w:rsid w:val="008263F2"/>
    <w:rsid w:val="00826893"/>
    <w:rsid w:val="00827816"/>
    <w:rsid w:val="0083150B"/>
    <w:rsid w:val="0083172F"/>
    <w:rsid w:val="00834E23"/>
    <w:rsid w:val="00834E6B"/>
    <w:rsid w:val="008355D2"/>
    <w:rsid w:val="008370E0"/>
    <w:rsid w:val="0084026C"/>
    <w:rsid w:val="00840B77"/>
    <w:rsid w:val="00840B8E"/>
    <w:rsid w:val="00840E07"/>
    <w:rsid w:val="008419FD"/>
    <w:rsid w:val="00841F6A"/>
    <w:rsid w:val="008421F3"/>
    <w:rsid w:val="00842245"/>
    <w:rsid w:val="0084341D"/>
    <w:rsid w:val="00845317"/>
    <w:rsid w:val="00845661"/>
    <w:rsid w:val="00847A56"/>
    <w:rsid w:val="00850BA0"/>
    <w:rsid w:val="00851562"/>
    <w:rsid w:val="00854822"/>
    <w:rsid w:val="00854F81"/>
    <w:rsid w:val="0085562A"/>
    <w:rsid w:val="00855DA2"/>
    <w:rsid w:val="00857A55"/>
    <w:rsid w:val="0086015C"/>
    <w:rsid w:val="0086167C"/>
    <w:rsid w:val="008636D6"/>
    <w:rsid w:val="00863B98"/>
    <w:rsid w:val="00864635"/>
    <w:rsid w:val="008712D1"/>
    <w:rsid w:val="00871E36"/>
    <w:rsid w:val="0087217F"/>
    <w:rsid w:val="00872C32"/>
    <w:rsid w:val="00873FF2"/>
    <w:rsid w:val="0087517D"/>
    <w:rsid w:val="00875E81"/>
    <w:rsid w:val="00876FDD"/>
    <w:rsid w:val="00877791"/>
    <w:rsid w:val="00877FB5"/>
    <w:rsid w:val="0088126D"/>
    <w:rsid w:val="00882B4C"/>
    <w:rsid w:val="00885241"/>
    <w:rsid w:val="00885EE0"/>
    <w:rsid w:val="00886C88"/>
    <w:rsid w:val="00892684"/>
    <w:rsid w:val="00892EFA"/>
    <w:rsid w:val="008933AF"/>
    <w:rsid w:val="00893DC4"/>
    <w:rsid w:val="008947F8"/>
    <w:rsid w:val="008A003C"/>
    <w:rsid w:val="008A12A5"/>
    <w:rsid w:val="008A1A09"/>
    <w:rsid w:val="008A5249"/>
    <w:rsid w:val="008A5393"/>
    <w:rsid w:val="008A6268"/>
    <w:rsid w:val="008A6E5F"/>
    <w:rsid w:val="008A7864"/>
    <w:rsid w:val="008B0957"/>
    <w:rsid w:val="008B0BDE"/>
    <w:rsid w:val="008B17FB"/>
    <w:rsid w:val="008B1A2A"/>
    <w:rsid w:val="008B2230"/>
    <w:rsid w:val="008B227C"/>
    <w:rsid w:val="008B2610"/>
    <w:rsid w:val="008B33C9"/>
    <w:rsid w:val="008B38C5"/>
    <w:rsid w:val="008B4372"/>
    <w:rsid w:val="008B45C0"/>
    <w:rsid w:val="008B4EB4"/>
    <w:rsid w:val="008C05BD"/>
    <w:rsid w:val="008C1A24"/>
    <w:rsid w:val="008C3312"/>
    <w:rsid w:val="008C3DB3"/>
    <w:rsid w:val="008C42B4"/>
    <w:rsid w:val="008C46F1"/>
    <w:rsid w:val="008C485C"/>
    <w:rsid w:val="008C6D68"/>
    <w:rsid w:val="008D1621"/>
    <w:rsid w:val="008D1D78"/>
    <w:rsid w:val="008D2969"/>
    <w:rsid w:val="008D33D4"/>
    <w:rsid w:val="008D3EE8"/>
    <w:rsid w:val="008D4009"/>
    <w:rsid w:val="008D49EA"/>
    <w:rsid w:val="008D670D"/>
    <w:rsid w:val="008D7CC1"/>
    <w:rsid w:val="008E2B17"/>
    <w:rsid w:val="008E4889"/>
    <w:rsid w:val="008E4AAA"/>
    <w:rsid w:val="008E64F0"/>
    <w:rsid w:val="008F0747"/>
    <w:rsid w:val="008F0DA9"/>
    <w:rsid w:val="008F19E9"/>
    <w:rsid w:val="008F2081"/>
    <w:rsid w:val="008F4C57"/>
    <w:rsid w:val="008F578A"/>
    <w:rsid w:val="008F6651"/>
    <w:rsid w:val="008F6B8B"/>
    <w:rsid w:val="008F7B36"/>
    <w:rsid w:val="008F7F39"/>
    <w:rsid w:val="00901352"/>
    <w:rsid w:val="00902C28"/>
    <w:rsid w:val="009034BB"/>
    <w:rsid w:val="00906948"/>
    <w:rsid w:val="0091018C"/>
    <w:rsid w:val="0091113E"/>
    <w:rsid w:val="0091119B"/>
    <w:rsid w:val="00911D0A"/>
    <w:rsid w:val="00912166"/>
    <w:rsid w:val="00912632"/>
    <w:rsid w:val="0091281D"/>
    <w:rsid w:val="009137D2"/>
    <w:rsid w:val="00914B91"/>
    <w:rsid w:val="0091548D"/>
    <w:rsid w:val="00917177"/>
    <w:rsid w:val="00917213"/>
    <w:rsid w:val="009179D6"/>
    <w:rsid w:val="009200CD"/>
    <w:rsid w:val="00920AC6"/>
    <w:rsid w:val="00921AB2"/>
    <w:rsid w:val="00921DB5"/>
    <w:rsid w:val="0092263E"/>
    <w:rsid w:val="009229FB"/>
    <w:rsid w:val="009230A8"/>
    <w:rsid w:val="00923D3A"/>
    <w:rsid w:val="00925084"/>
    <w:rsid w:val="009252FD"/>
    <w:rsid w:val="00926A48"/>
    <w:rsid w:val="00933228"/>
    <w:rsid w:val="00940EF6"/>
    <w:rsid w:val="009428B6"/>
    <w:rsid w:val="0094334C"/>
    <w:rsid w:val="00943AFD"/>
    <w:rsid w:val="0094674B"/>
    <w:rsid w:val="00946FDF"/>
    <w:rsid w:val="009476D3"/>
    <w:rsid w:val="00950E25"/>
    <w:rsid w:val="00951E4A"/>
    <w:rsid w:val="009522FE"/>
    <w:rsid w:val="00957A10"/>
    <w:rsid w:val="00960298"/>
    <w:rsid w:val="009617EB"/>
    <w:rsid w:val="00961E93"/>
    <w:rsid w:val="0096262A"/>
    <w:rsid w:val="00963690"/>
    <w:rsid w:val="00965737"/>
    <w:rsid w:val="00966564"/>
    <w:rsid w:val="00970223"/>
    <w:rsid w:val="00970F53"/>
    <w:rsid w:val="0097121B"/>
    <w:rsid w:val="00971B44"/>
    <w:rsid w:val="00973BC5"/>
    <w:rsid w:val="009762CD"/>
    <w:rsid w:val="00980E44"/>
    <w:rsid w:val="00981F8C"/>
    <w:rsid w:val="009847CB"/>
    <w:rsid w:val="00990CBD"/>
    <w:rsid w:val="009929D4"/>
    <w:rsid w:val="00993EDA"/>
    <w:rsid w:val="00994D9D"/>
    <w:rsid w:val="00996312"/>
    <w:rsid w:val="00997369"/>
    <w:rsid w:val="009979A7"/>
    <w:rsid w:val="009A157E"/>
    <w:rsid w:val="009A180C"/>
    <w:rsid w:val="009A1EFD"/>
    <w:rsid w:val="009A2813"/>
    <w:rsid w:val="009A38FD"/>
    <w:rsid w:val="009A6216"/>
    <w:rsid w:val="009A70E8"/>
    <w:rsid w:val="009A71AA"/>
    <w:rsid w:val="009A7E4D"/>
    <w:rsid w:val="009B064C"/>
    <w:rsid w:val="009B0BD3"/>
    <w:rsid w:val="009B0DC4"/>
    <w:rsid w:val="009B1CB9"/>
    <w:rsid w:val="009B3BC2"/>
    <w:rsid w:val="009B6667"/>
    <w:rsid w:val="009B7238"/>
    <w:rsid w:val="009C0DA2"/>
    <w:rsid w:val="009C10FF"/>
    <w:rsid w:val="009C1520"/>
    <w:rsid w:val="009C2EB3"/>
    <w:rsid w:val="009C47E4"/>
    <w:rsid w:val="009D186B"/>
    <w:rsid w:val="009D3D38"/>
    <w:rsid w:val="009D7644"/>
    <w:rsid w:val="009D7985"/>
    <w:rsid w:val="009E3F82"/>
    <w:rsid w:val="009E43EE"/>
    <w:rsid w:val="009E5AC3"/>
    <w:rsid w:val="009E6239"/>
    <w:rsid w:val="009E67FE"/>
    <w:rsid w:val="009F29D4"/>
    <w:rsid w:val="009F3514"/>
    <w:rsid w:val="009F3A00"/>
    <w:rsid w:val="009F3CF7"/>
    <w:rsid w:val="009F4969"/>
    <w:rsid w:val="009F50D1"/>
    <w:rsid w:val="009F5DB7"/>
    <w:rsid w:val="009F61B7"/>
    <w:rsid w:val="009F63A1"/>
    <w:rsid w:val="009F65C0"/>
    <w:rsid w:val="009F7619"/>
    <w:rsid w:val="009F7990"/>
    <w:rsid w:val="009F7A41"/>
    <w:rsid w:val="00A0018C"/>
    <w:rsid w:val="00A00301"/>
    <w:rsid w:val="00A007D9"/>
    <w:rsid w:val="00A013E5"/>
    <w:rsid w:val="00A01C2D"/>
    <w:rsid w:val="00A022B7"/>
    <w:rsid w:val="00A02388"/>
    <w:rsid w:val="00A0261F"/>
    <w:rsid w:val="00A029EC"/>
    <w:rsid w:val="00A02E12"/>
    <w:rsid w:val="00A04534"/>
    <w:rsid w:val="00A04983"/>
    <w:rsid w:val="00A05C5E"/>
    <w:rsid w:val="00A060B4"/>
    <w:rsid w:val="00A06B66"/>
    <w:rsid w:val="00A0753F"/>
    <w:rsid w:val="00A078E1"/>
    <w:rsid w:val="00A10FFD"/>
    <w:rsid w:val="00A11347"/>
    <w:rsid w:val="00A11818"/>
    <w:rsid w:val="00A11CC7"/>
    <w:rsid w:val="00A15DFE"/>
    <w:rsid w:val="00A163C4"/>
    <w:rsid w:val="00A17124"/>
    <w:rsid w:val="00A20491"/>
    <w:rsid w:val="00A21D2D"/>
    <w:rsid w:val="00A22C6E"/>
    <w:rsid w:val="00A240A3"/>
    <w:rsid w:val="00A25878"/>
    <w:rsid w:val="00A30DE3"/>
    <w:rsid w:val="00A31402"/>
    <w:rsid w:val="00A31821"/>
    <w:rsid w:val="00A31B5D"/>
    <w:rsid w:val="00A31DAA"/>
    <w:rsid w:val="00A32408"/>
    <w:rsid w:val="00A35B69"/>
    <w:rsid w:val="00A35DA3"/>
    <w:rsid w:val="00A36552"/>
    <w:rsid w:val="00A40D84"/>
    <w:rsid w:val="00A41559"/>
    <w:rsid w:val="00A41DEF"/>
    <w:rsid w:val="00A42619"/>
    <w:rsid w:val="00A46476"/>
    <w:rsid w:val="00A47AB3"/>
    <w:rsid w:val="00A47DA0"/>
    <w:rsid w:val="00A51559"/>
    <w:rsid w:val="00A55157"/>
    <w:rsid w:val="00A55AAA"/>
    <w:rsid w:val="00A5610A"/>
    <w:rsid w:val="00A566F8"/>
    <w:rsid w:val="00A60427"/>
    <w:rsid w:val="00A61E81"/>
    <w:rsid w:val="00A63961"/>
    <w:rsid w:val="00A63C00"/>
    <w:rsid w:val="00A6486B"/>
    <w:rsid w:val="00A64947"/>
    <w:rsid w:val="00A66451"/>
    <w:rsid w:val="00A66C83"/>
    <w:rsid w:val="00A67A8C"/>
    <w:rsid w:val="00A71AF4"/>
    <w:rsid w:val="00A72AC2"/>
    <w:rsid w:val="00A72AC5"/>
    <w:rsid w:val="00A72B5C"/>
    <w:rsid w:val="00A730BB"/>
    <w:rsid w:val="00A73BA9"/>
    <w:rsid w:val="00A76791"/>
    <w:rsid w:val="00A770B3"/>
    <w:rsid w:val="00A77684"/>
    <w:rsid w:val="00A7768C"/>
    <w:rsid w:val="00A77BFF"/>
    <w:rsid w:val="00A80940"/>
    <w:rsid w:val="00A80BF4"/>
    <w:rsid w:val="00A83942"/>
    <w:rsid w:val="00A8399E"/>
    <w:rsid w:val="00A85038"/>
    <w:rsid w:val="00A8573D"/>
    <w:rsid w:val="00A866D7"/>
    <w:rsid w:val="00A86746"/>
    <w:rsid w:val="00A86B87"/>
    <w:rsid w:val="00A86EF7"/>
    <w:rsid w:val="00A87295"/>
    <w:rsid w:val="00A9001C"/>
    <w:rsid w:val="00A909C2"/>
    <w:rsid w:val="00A91D88"/>
    <w:rsid w:val="00A9402E"/>
    <w:rsid w:val="00AA0A12"/>
    <w:rsid w:val="00AA1209"/>
    <w:rsid w:val="00AA1630"/>
    <w:rsid w:val="00AA2ECF"/>
    <w:rsid w:val="00AA79D8"/>
    <w:rsid w:val="00AA7E3D"/>
    <w:rsid w:val="00AB075E"/>
    <w:rsid w:val="00AB09BB"/>
    <w:rsid w:val="00AB1658"/>
    <w:rsid w:val="00AB2E3D"/>
    <w:rsid w:val="00AB6D68"/>
    <w:rsid w:val="00AB77E5"/>
    <w:rsid w:val="00AB7BF5"/>
    <w:rsid w:val="00AC029B"/>
    <w:rsid w:val="00AC1F08"/>
    <w:rsid w:val="00AC3D75"/>
    <w:rsid w:val="00AD2412"/>
    <w:rsid w:val="00AD40C4"/>
    <w:rsid w:val="00AD46F1"/>
    <w:rsid w:val="00AD4D69"/>
    <w:rsid w:val="00AD5270"/>
    <w:rsid w:val="00AD5956"/>
    <w:rsid w:val="00AE03E0"/>
    <w:rsid w:val="00AE2044"/>
    <w:rsid w:val="00AE2A59"/>
    <w:rsid w:val="00AE444D"/>
    <w:rsid w:val="00AE4A4F"/>
    <w:rsid w:val="00AE550C"/>
    <w:rsid w:val="00AE73B8"/>
    <w:rsid w:val="00AF057C"/>
    <w:rsid w:val="00AF1E7E"/>
    <w:rsid w:val="00AF45B0"/>
    <w:rsid w:val="00AF4671"/>
    <w:rsid w:val="00AF4EDD"/>
    <w:rsid w:val="00AF553D"/>
    <w:rsid w:val="00B00A1C"/>
    <w:rsid w:val="00B02AD7"/>
    <w:rsid w:val="00B03244"/>
    <w:rsid w:val="00B0495D"/>
    <w:rsid w:val="00B059DA"/>
    <w:rsid w:val="00B05ABD"/>
    <w:rsid w:val="00B07F7C"/>
    <w:rsid w:val="00B10E58"/>
    <w:rsid w:val="00B1166F"/>
    <w:rsid w:val="00B13218"/>
    <w:rsid w:val="00B14DF1"/>
    <w:rsid w:val="00B20A76"/>
    <w:rsid w:val="00B210F0"/>
    <w:rsid w:val="00B217B4"/>
    <w:rsid w:val="00B24666"/>
    <w:rsid w:val="00B2550A"/>
    <w:rsid w:val="00B2560F"/>
    <w:rsid w:val="00B270C3"/>
    <w:rsid w:val="00B27F33"/>
    <w:rsid w:val="00B3030D"/>
    <w:rsid w:val="00B30781"/>
    <w:rsid w:val="00B30815"/>
    <w:rsid w:val="00B314CC"/>
    <w:rsid w:val="00B317ED"/>
    <w:rsid w:val="00B31B16"/>
    <w:rsid w:val="00B33E91"/>
    <w:rsid w:val="00B3411F"/>
    <w:rsid w:val="00B361F7"/>
    <w:rsid w:val="00B37C98"/>
    <w:rsid w:val="00B40093"/>
    <w:rsid w:val="00B43CCA"/>
    <w:rsid w:val="00B44597"/>
    <w:rsid w:val="00B44CB8"/>
    <w:rsid w:val="00B465AB"/>
    <w:rsid w:val="00B52C26"/>
    <w:rsid w:val="00B52E86"/>
    <w:rsid w:val="00B569F2"/>
    <w:rsid w:val="00B578AA"/>
    <w:rsid w:val="00B60FC3"/>
    <w:rsid w:val="00B62A21"/>
    <w:rsid w:val="00B64660"/>
    <w:rsid w:val="00B64FBF"/>
    <w:rsid w:val="00B67031"/>
    <w:rsid w:val="00B7185B"/>
    <w:rsid w:val="00B73ACE"/>
    <w:rsid w:val="00B771ED"/>
    <w:rsid w:val="00B82BB6"/>
    <w:rsid w:val="00B82F22"/>
    <w:rsid w:val="00B831B4"/>
    <w:rsid w:val="00B86282"/>
    <w:rsid w:val="00B867D5"/>
    <w:rsid w:val="00B86AD2"/>
    <w:rsid w:val="00B90BC9"/>
    <w:rsid w:val="00B91CC2"/>
    <w:rsid w:val="00B9398B"/>
    <w:rsid w:val="00B93C7D"/>
    <w:rsid w:val="00B944FB"/>
    <w:rsid w:val="00B946F3"/>
    <w:rsid w:val="00B94C92"/>
    <w:rsid w:val="00B955EC"/>
    <w:rsid w:val="00B961E8"/>
    <w:rsid w:val="00BA0582"/>
    <w:rsid w:val="00BA06AF"/>
    <w:rsid w:val="00BA0BF9"/>
    <w:rsid w:val="00BA151F"/>
    <w:rsid w:val="00BA5528"/>
    <w:rsid w:val="00BA5E62"/>
    <w:rsid w:val="00BA5F8A"/>
    <w:rsid w:val="00BA63E5"/>
    <w:rsid w:val="00BA707B"/>
    <w:rsid w:val="00BA7377"/>
    <w:rsid w:val="00BB0359"/>
    <w:rsid w:val="00BB0700"/>
    <w:rsid w:val="00BB163B"/>
    <w:rsid w:val="00BB31DD"/>
    <w:rsid w:val="00BB3E71"/>
    <w:rsid w:val="00BB4988"/>
    <w:rsid w:val="00BB7015"/>
    <w:rsid w:val="00BB7CEE"/>
    <w:rsid w:val="00BC1129"/>
    <w:rsid w:val="00BC36B3"/>
    <w:rsid w:val="00BC43C0"/>
    <w:rsid w:val="00BC4427"/>
    <w:rsid w:val="00BC4D65"/>
    <w:rsid w:val="00BC5A44"/>
    <w:rsid w:val="00BD1275"/>
    <w:rsid w:val="00BD3939"/>
    <w:rsid w:val="00BD4436"/>
    <w:rsid w:val="00BD735F"/>
    <w:rsid w:val="00BD76F1"/>
    <w:rsid w:val="00BD7715"/>
    <w:rsid w:val="00BD7B52"/>
    <w:rsid w:val="00BE0EAC"/>
    <w:rsid w:val="00BE1386"/>
    <w:rsid w:val="00BE17B1"/>
    <w:rsid w:val="00BE2DE5"/>
    <w:rsid w:val="00BE5121"/>
    <w:rsid w:val="00BE6757"/>
    <w:rsid w:val="00BE76DE"/>
    <w:rsid w:val="00BE7DD6"/>
    <w:rsid w:val="00BF0B54"/>
    <w:rsid w:val="00BF0EE6"/>
    <w:rsid w:val="00BF4767"/>
    <w:rsid w:val="00BF6C00"/>
    <w:rsid w:val="00C0105B"/>
    <w:rsid w:val="00C04DE9"/>
    <w:rsid w:val="00C073F7"/>
    <w:rsid w:val="00C120C7"/>
    <w:rsid w:val="00C12D57"/>
    <w:rsid w:val="00C15432"/>
    <w:rsid w:val="00C1597C"/>
    <w:rsid w:val="00C16295"/>
    <w:rsid w:val="00C168D6"/>
    <w:rsid w:val="00C200A6"/>
    <w:rsid w:val="00C20411"/>
    <w:rsid w:val="00C20DA0"/>
    <w:rsid w:val="00C22BDD"/>
    <w:rsid w:val="00C238D6"/>
    <w:rsid w:val="00C24427"/>
    <w:rsid w:val="00C248D8"/>
    <w:rsid w:val="00C251F3"/>
    <w:rsid w:val="00C26921"/>
    <w:rsid w:val="00C26FF3"/>
    <w:rsid w:val="00C277C5"/>
    <w:rsid w:val="00C27B1F"/>
    <w:rsid w:val="00C27BE5"/>
    <w:rsid w:val="00C3075C"/>
    <w:rsid w:val="00C325B6"/>
    <w:rsid w:val="00C3296E"/>
    <w:rsid w:val="00C32A13"/>
    <w:rsid w:val="00C33E96"/>
    <w:rsid w:val="00C34623"/>
    <w:rsid w:val="00C347E1"/>
    <w:rsid w:val="00C34D9C"/>
    <w:rsid w:val="00C3697F"/>
    <w:rsid w:val="00C373ED"/>
    <w:rsid w:val="00C40ECA"/>
    <w:rsid w:val="00C428C8"/>
    <w:rsid w:val="00C43A94"/>
    <w:rsid w:val="00C45173"/>
    <w:rsid w:val="00C50D64"/>
    <w:rsid w:val="00C51311"/>
    <w:rsid w:val="00C51985"/>
    <w:rsid w:val="00C523D4"/>
    <w:rsid w:val="00C54200"/>
    <w:rsid w:val="00C571AC"/>
    <w:rsid w:val="00C609B1"/>
    <w:rsid w:val="00C60F06"/>
    <w:rsid w:val="00C616C8"/>
    <w:rsid w:val="00C618CB"/>
    <w:rsid w:val="00C61ADB"/>
    <w:rsid w:val="00C631AC"/>
    <w:rsid w:val="00C631C0"/>
    <w:rsid w:val="00C638BC"/>
    <w:rsid w:val="00C6567C"/>
    <w:rsid w:val="00C67050"/>
    <w:rsid w:val="00C67C33"/>
    <w:rsid w:val="00C67FD4"/>
    <w:rsid w:val="00C712CA"/>
    <w:rsid w:val="00C72C22"/>
    <w:rsid w:val="00C72FF4"/>
    <w:rsid w:val="00C737CA"/>
    <w:rsid w:val="00C77A2E"/>
    <w:rsid w:val="00C80078"/>
    <w:rsid w:val="00C80A38"/>
    <w:rsid w:val="00C80E9D"/>
    <w:rsid w:val="00C83DFC"/>
    <w:rsid w:val="00C86590"/>
    <w:rsid w:val="00C8751B"/>
    <w:rsid w:val="00C87613"/>
    <w:rsid w:val="00C87683"/>
    <w:rsid w:val="00C92592"/>
    <w:rsid w:val="00C941A8"/>
    <w:rsid w:val="00C9509C"/>
    <w:rsid w:val="00C9553A"/>
    <w:rsid w:val="00C96C75"/>
    <w:rsid w:val="00C970D7"/>
    <w:rsid w:val="00CA2274"/>
    <w:rsid w:val="00CA22CB"/>
    <w:rsid w:val="00CA22E2"/>
    <w:rsid w:val="00CA30B1"/>
    <w:rsid w:val="00CA37C9"/>
    <w:rsid w:val="00CA39DD"/>
    <w:rsid w:val="00CA64BF"/>
    <w:rsid w:val="00CA7918"/>
    <w:rsid w:val="00CA7E68"/>
    <w:rsid w:val="00CA7E96"/>
    <w:rsid w:val="00CB02F9"/>
    <w:rsid w:val="00CB05EF"/>
    <w:rsid w:val="00CB0BC2"/>
    <w:rsid w:val="00CB0D2C"/>
    <w:rsid w:val="00CB0F75"/>
    <w:rsid w:val="00CB138E"/>
    <w:rsid w:val="00CB3B56"/>
    <w:rsid w:val="00CB3FFE"/>
    <w:rsid w:val="00CB4C88"/>
    <w:rsid w:val="00CB50A8"/>
    <w:rsid w:val="00CB5ECE"/>
    <w:rsid w:val="00CB655E"/>
    <w:rsid w:val="00CB6A6E"/>
    <w:rsid w:val="00CB7ED6"/>
    <w:rsid w:val="00CC05CB"/>
    <w:rsid w:val="00CC0FC8"/>
    <w:rsid w:val="00CC2221"/>
    <w:rsid w:val="00CC3CD9"/>
    <w:rsid w:val="00CC42FD"/>
    <w:rsid w:val="00CC5F03"/>
    <w:rsid w:val="00CC6DBE"/>
    <w:rsid w:val="00CC7225"/>
    <w:rsid w:val="00CC7923"/>
    <w:rsid w:val="00CD0B75"/>
    <w:rsid w:val="00CD2376"/>
    <w:rsid w:val="00CD310E"/>
    <w:rsid w:val="00CD41F3"/>
    <w:rsid w:val="00CD45BE"/>
    <w:rsid w:val="00CD5538"/>
    <w:rsid w:val="00CD7578"/>
    <w:rsid w:val="00CE3E5B"/>
    <w:rsid w:val="00CE535A"/>
    <w:rsid w:val="00CE6A9D"/>
    <w:rsid w:val="00CF07DD"/>
    <w:rsid w:val="00CF0A1D"/>
    <w:rsid w:val="00CF170E"/>
    <w:rsid w:val="00CF31BB"/>
    <w:rsid w:val="00CF3297"/>
    <w:rsid w:val="00CF3733"/>
    <w:rsid w:val="00CF5050"/>
    <w:rsid w:val="00CF586C"/>
    <w:rsid w:val="00CF5E23"/>
    <w:rsid w:val="00CF6260"/>
    <w:rsid w:val="00D01EC6"/>
    <w:rsid w:val="00D02C3A"/>
    <w:rsid w:val="00D02E98"/>
    <w:rsid w:val="00D0579F"/>
    <w:rsid w:val="00D05B71"/>
    <w:rsid w:val="00D06F54"/>
    <w:rsid w:val="00D0703C"/>
    <w:rsid w:val="00D07E3E"/>
    <w:rsid w:val="00D10569"/>
    <w:rsid w:val="00D1111C"/>
    <w:rsid w:val="00D11D6B"/>
    <w:rsid w:val="00D11FDC"/>
    <w:rsid w:val="00D136DA"/>
    <w:rsid w:val="00D1446B"/>
    <w:rsid w:val="00D14BA8"/>
    <w:rsid w:val="00D14C72"/>
    <w:rsid w:val="00D15C44"/>
    <w:rsid w:val="00D17093"/>
    <w:rsid w:val="00D2160F"/>
    <w:rsid w:val="00D21910"/>
    <w:rsid w:val="00D2292A"/>
    <w:rsid w:val="00D23322"/>
    <w:rsid w:val="00D27F8D"/>
    <w:rsid w:val="00D31131"/>
    <w:rsid w:val="00D33395"/>
    <w:rsid w:val="00D3426A"/>
    <w:rsid w:val="00D351E8"/>
    <w:rsid w:val="00D35384"/>
    <w:rsid w:val="00D36FEA"/>
    <w:rsid w:val="00D41489"/>
    <w:rsid w:val="00D44A37"/>
    <w:rsid w:val="00D463CF"/>
    <w:rsid w:val="00D46F4B"/>
    <w:rsid w:val="00D50E2F"/>
    <w:rsid w:val="00D51558"/>
    <w:rsid w:val="00D5316F"/>
    <w:rsid w:val="00D53503"/>
    <w:rsid w:val="00D54941"/>
    <w:rsid w:val="00D54D60"/>
    <w:rsid w:val="00D56153"/>
    <w:rsid w:val="00D56749"/>
    <w:rsid w:val="00D56AB6"/>
    <w:rsid w:val="00D574F2"/>
    <w:rsid w:val="00D61765"/>
    <w:rsid w:val="00D62AB7"/>
    <w:rsid w:val="00D62C85"/>
    <w:rsid w:val="00D6462F"/>
    <w:rsid w:val="00D6481D"/>
    <w:rsid w:val="00D64B72"/>
    <w:rsid w:val="00D65E5A"/>
    <w:rsid w:val="00D677D2"/>
    <w:rsid w:val="00D74206"/>
    <w:rsid w:val="00D74EF3"/>
    <w:rsid w:val="00D756F9"/>
    <w:rsid w:val="00D7598E"/>
    <w:rsid w:val="00D80C02"/>
    <w:rsid w:val="00D81AD0"/>
    <w:rsid w:val="00D832A3"/>
    <w:rsid w:val="00D85962"/>
    <w:rsid w:val="00D85EA8"/>
    <w:rsid w:val="00D85EFB"/>
    <w:rsid w:val="00D863DC"/>
    <w:rsid w:val="00D87844"/>
    <w:rsid w:val="00D87C8B"/>
    <w:rsid w:val="00D90EB2"/>
    <w:rsid w:val="00D90F47"/>
    <w:rsid w:val="00D91173"/>
    <w:rsid w:val="00D9313D"/>
    <w:rsid w:val="00D94CD8"/>
    <w:rsid w:val="00D94FDF"/>
    <w:rsid w:val="00D96472"/>
    <w:rsid w:val="00D965AC"/>
    <w:rsid w:val="00D97990"/>
    <w:rsid w:val="00D97FA6"/>
    <w:rsid w:val="00D97FBC"/>
    <w:rsid w:val="00DA0633"/>
    <w:rsid w:val="00DA1779"/>
    <w:rsid w:val="00DA25D8"/>
    <w:rsid w:val="00DA2C65"/>
    <w:rsid w:val="00DA31E9"/>
    <w:rsid w:val="00DA5A75"/>
    <w:rsid w:val="00DA5C7A"/>
    <w:rsid w:val="00DA6A25"/>
    <w:rsid w:val="00DA780B"/>
    <w:rsid w:val="00DB0D36"/>
    <w:rsid w:val="00DB2054"/>
    <w:rsid w:val="00DB3143"/>
    <w:rsid w:val="00DB32E3"/>
    <w:rsid w:val="00DB3B9A"/>
    <w:rsid w:val="00DB41D1"/>
    <w:rsid w:val="00DB47DC"/>
    <w:rsid w:val="00DB49D9"/>
    <w:rsid w:val="00DB6453"/>
    <w:rsid w:val="00DB6987"/>
    <w:rsid w:val="00DB7EA6"/>
    <w:rsid w:val="00DC0EE1"/>
    <w:rsid w:val="00DC554A"/>
    <w:rsid w:val="00DD23A9"/>
    <w:rsid w:val="00DD28EE"/>
    <w:rsid w:val="00DD2963"/>
    <w:rsid w:val="00DD296F"/>
    <w:rsid w:val="00DD2ACB"/>
    <w:rsid w:val="00DD3B30"/>
    <w:rsid w:val="00DD5C32"/>
    <w:rsid w:val="00DD5D5C"/>
    <w:rsid w:val="00DD6515"/>
    <w:rsid w:val="00DD716E"/>
    <w:rsid w:val="00DD75FC"/>
    <w:rsid w:val="00DE0F91"/>
    <w:rsid w:val="00DE1189"/>
    <w:rsid w:val="00DE2BF4"/>
    <w:rsid w:val="00DF102F"/>
    <w:rsid w:val="00DF4F45"/>
    <w:rsid w:val="00DF74BB"/>
    <w:rsid w:val="00DF77AC"/>
    <w:rsid w:val="00E01870"/>
    <w:rsid w:val="00E01FF2"/>
    <w:rsid w:val="00E027C3"/>
    <w:rsid w:val="00E03ED0"/>
    <w:rsid w:val="00E052DD"/>
    <w:rsid w:val="00E05816"/>
    <w:rsid w:val="00E10A1A"/>
    <w:rsid w:val="00E11916"/>
    <w:rsid w:val="00E14F66"/>
    <w:rsid w:val="00E1654A"/>
    <w:rsid w:val="00E17BB7"/>
    <w:rsid w:val="00E21A8F"/>
    <w:rsid w:val="00E21CB1"/>
    <w:rsid w:val="00E21DBF"/>
    <w:rsid w:val="00E26903"/>
    <w:rsid w:val="00E269EB"/>
    <w:rsid w:val="00E26BE6"/>
    <w:rsid w:val="00E26E0B"/>
    <w:rsid w:val="00E314BA"/>
    <w:rsid w:val="00E31770"/>
    <w:rsid w:val="00E3181D"/>
    <w:rsid w:val="00E3235F"/>
    <w:rsid w:val="00E33BDC"/>
    <w:rsid w:val="00E33FA4"/>
    <w:rsid w:val="00E3475D"/>
    <w:rsid w:val="00E34EE4"/>
    <w:rsid w:val="00E37CB8"/>
    <w:rsid w:val="00E4082B"/>
    <w:rsid w:val="00E41051"/>
    <w:rsid w:val="00E42000"/>
    <w:rsid w:val="00E42EA9"/>
    <w:rsid w:val="00E43076"/>
    <w:rsid w:val="00E43B70"/>
    <w:rsid w:val="00E4412A"/>
    <w:rsid w:val="00E442BE"/>
    <w:rsid w:val="00E4461C"/>
    <w:rsid w:val="00E466BB"/>
    <w:rsid w:val="00E47CC6"/>
    <w:rsid w:val="00E50AEE"/>
    <w:rsid w:val="00E514C2"/>
    <w:rsid w:val="00E51D30"/>
    <w:rsid w:val="00E51F63"/>
    <w:rsid w:val="00E52044"/>
    <w:rsid w:val="00E551D7"/>
    <w:rsid w:val="00E569BC"/>
    <w:rsid w:val="00E57A37"/>
    <w:rsid w:val="00E57B62"/>
    <w:rsid w:val="00E6145B"/>
    <w:rsid w:val="00E624B8"/>
    <w:rsid w:val="00E6392A"/>
    <w:rsid w:val="00E65A85"/>
    <w:rsid w:val="00E662B1"/>
    <w:rsid w:val="00E6745D"/>
    <w:rsid w:val="00E7000B"/>
    <w:rsid w:val="00E702C1"/>
    <w:rsid w:val="00E7088B"/>
    <w:rsid w:val="00E72CF4"/>
    <w:rsid w:val="00E73135"/>
    <w:rsid w:val="00E731A7"/>
    <w:rsid w:val="00E75337"/>
    <w:rsid w:val="00E75D67"/>
    <w:rsid w:val="00E82FDD"/>
    <w:rsid w:val="00E83219"/>
    <w:rsid w:val="00E83BD5"/>
    <w:rsid w:val="00E8410C"/>
    <w:rsid w:val="00E847EA"/>
    <w:rsid w:val="00E85D4E"/>
    <w:rsid w:val="00E86C47"/>
    <w:rsid w:val="00E874F9"/>
    <w:rsid w:val="00E87FC3"/>
    <w:rsid w:val="00E90DEA"/>
    <w:rsid w:val="00E91D48"/>
    <w:rsid w:val="00E92FA1"/>
    <w:rsid w:val="00E9346E"/>
    <w:rsid w:val="00E9525A"/>
    <w:rsid w:val="00E967CB"/>
    <w:rsid w:val="00EA01A7"/>
    <w:rsid w:val="00EA04F3"/>
    <w:rsid w:val="00EA1029"/>
    <w:rsid w:val="00EA1EC9"/>
    <w:rsid w:val="00EA2564"/>
    <w:rsid w:val="00EA2634"/>
    <w:rsid w:val="00EA3D09"/>
    <w:rsid w:val="00EA5F63"/>
    <w:rsid w:val="00EA795D"/>
    <w:rsid w:val="00EB0389"/>
    <w:rsid w:val="00EB0442"/>
    <w:rsid w:val="00EB1254"/>
    <w:rsid w:val="00EB2DD7"/>
    <w:rsid w:val="00EB3336"/>
    <w:rsid w:val="00EB3C6A"/>
    <w:rsid w:val="00EB4769"/>
    <w:rsid w:val="00EB5BB3"/>
    <w:rsid w:val="00EB5C41"/>
    <w:rsid w:val="00EB6CF8"/>
    <w:rsid w:val="00EB7A56"/>
    <w:rsid w:val="00EB7C80"/>
    <w:rsid w:val="00EC0C6E"/>
    <w:rsid w:val="00EC1E2B"/>
    <w:rsid w:val="00EC3A3D"/>
    <w:rsid w:val="00EC3BBD"/>
    <w:rsid w:val="00EC652E"/>
    <w:rsid w:val="00EC765C"/>
    <w:rsid w:val="00ED2F8E"/>
    <w:rsid w:val="00ED489D"/>
    <w:rsid w:val="00ED4EBE"/>
    <w:rsid w:val="00EE25C4"/>
    <w:rsid w:val="00EE2649"/>
    <w:rsid w:val="00EE2DC5"/>
    <w:rsid w:val="00EE347C"/>
    <w:rsid w:val="00EE379D"/>
    <w:rsid w:val="00EE4C98"/>
    <w:rsid w:val="00EE5B73"/>
    <w:rsid w:val="00EE7958"/>
    <w:rsid w:val="00EF05A6"/>
    <w:rsid w:val="00EF0669"/>
    <w:rsid w:val="00EF28C1"/>
    <w:rsid w:val="00EF3781"/>
    <w:rsid w:val="00EF3D5F"/>
    <w:rsid w:val="00EF4211"/>
    <w:rsid w:val="00EF4682"/>
    <w:rsid w:val="00EF4FA4"/>
    <w:rsid w:val="00EF5645"/>
    <w:rsid w:val="00EF6F93"/>
    <w:rsid w:val="00EF79D2"/>
    <w:rsid w:val="00F00579"/>
    <w:rsid w:val="00F02EB2"/>
    <w:rsid w:val="00F03595"/>
    <w:rsid w:val="00F12985"/>
    <w:rsid w:val="00F12D8F"/>
    <w:rsid w:val="00F1380E"/>
    <w:rsid w:val="00F1390B"/>
    <w:rsid w:val="00F1508B"/>
    <w:rsid w:val="00F1547F"/>
    <w:rsid w:val="00F16983"/>
    <w:rsid w:val="00F204B3"/>
    <w:rsid w:val="00F21C9C"/>
    <w:rsid w:val="00F223A6"/>
    <w:rsid w:val="00F2252F"/>
    <w:rsid w:val="00F22FC5"/>
    <w:rsid w:val="00F24327"/>
    <w:rsid w:val="00F24F44"/>
    <w:rsid w:val="00F25D3C"/>
    <w:rsid w:val="00F2610C"/>
    <w:rsid w:val="00F3124B"/>
    <w:rsid w:val="00F32DCA"/>
    <w:rsid w:val="00F33772"/>
    <w:rsid w:val="00F3393A"/>
    <w:rsid w:val="00F36846"/>
    <w:rsid w:val="00F40326"/>
    <w:rsid w:val="00F403B4"/>
    <w:rsid w:val="00F41D6D"/>
    <w:rsid w:val="00F43434"/>
    <w:rsid w:val="00F44C6A"/>
    <w:rsid w:val="00F47B04"/>
    <w:rsid w:val="00F516A8"/>
    <w:rsid w:val="00F51990"/>
    <w:rsid w:val="00F522FB"/>
    <w:rsid w:val="00F530B7"/>
    <w:rsid w:val="00F54973"/>
    <w:rsid w:val="00F5595C"/>
    <w:rsid w:val="00F55BA0"/>
    <w:rsid w:val="00F5612B"/>
    <w:rsid w:val="00F56F71"/>
    <w:rsid w:val="00F570BE"/>
    <w:rsid w:val="00F576A9"/>
    <w:rsid w:val="00F604E4"/>
    <w:rsid w:val="00F62419"/>
    <w:rsid w:val="00F626FF"/>
    <w:rsid w:val="00F650DD"/>
    <w:rsid w:val="00F6546F"/>
    <w:rsid w:val="00F6698A"/>
    <w:rsid w:val="00F71266"/>
    <w:rsid w:val="00F71D7E"/>
    <w:rsid w:val="00F71FB8"/>
    <w:rsid w:val="00F73B1E"/>
    <w:rsid w:val="00F7499A"/>
    <w:rsid w:val="00F74E04"/>
    <w:rsid w:val="00F75391"/>
    <w:rsid w:val="00F800A6"/>
    <w:rsid w:val="00F805CB"/>
    <w:rsid w:val="00F819FA"/>
    <w:rsid w:val="00F81BEE"/>
    <w:rsid w:val="00F82445"/>
    <w:rsid w:val="00F837AD"/>
    <w:rsid w:val="00F83980"/>
    <w:rsid w:val="00F843F9"/>
    <w:rsid w:val="00F8503A"/>
    <w:rsid w:val="00F8655A"/>
    <w:rsid w:val="00F87228"/>
    <w:rsid w:val="00F87B82"/>
    <w:rsid w:val="00F917D5"/>
    <w:rsid w:val="00F93930"/>
    <w:rsid w:val="00F93E30"/>
    <w:rsid w:val="00F94826"/>
    <w:rsid w:val="00F954FE"/>
    <w:rsid w:val="00F9629C"/>
    <w:rsid w:val="00F97C86"/>
    <w:rsid w:val="00FA0635"/>
    <w:rsid w:val="00FA0F27"/>
    <w:rsid w:val="00FA1A46"/>
    <w:rsid w:val="00FA1E9F"/>
    <w:rsid w:val="00FA3CE0"/>
    <w:rsid w:val="00FA4306"/>
    <w:rsid w:val="00FA4F1A"/>
    <w:rsid w:val="00FA5A46"/>
    <w:rsid w:val="00FB025A"/>
    <w:rsid w:val="00FB09BB"/>
    <w:rsid w:val="00FB3781"/>
    <w:rsid w:val="00FB3E47"/>
    <w:rsid w:val="00FB3FA3"/>
    <w:rsid w:val="00FB4605"/>
    <w:rsid w:val="00FB67A5"/>
    <w:rsid w:val="00FC024D"/>
    <w:rsid w:val="00FC233E"/>
    <w:rsid w:val="00FC386E"/>
    <w:rsid w:val="00FC3E05"/>
    <w:rsid w:val="00FC5DA9"/>
    <w:rsid w:val="00FC7B0B"/>
    <w:rsid w:val="00FD1D57"/>
    <w:rsid w:val="00FD1D7B"/>
    <w:rsid w:val="00FD1EFF"/>
    <w:rsid w:val="00FD2C47"/>
    <w:rsid w:val="00FD3B5A"/>
    <w:rsid w:val="00FD4BA4"/>
    <w:rsid w:val="00FD518A"/>
    <w:rsid w:val="00FE11D1"/>
    <w:rsid w:val="00FE190A"/>
    <w:rsid w:val="00FE2FF9"/>
    <w:rsid w:val="00FE447E"/>
    <w:rsid w:val="00FE59A0"/>
    <w:rsid w:val="00FE622D"/>
    <w:rsid w:val="00FE7456"/>
    <w:rsid w:val="00FE746E"/>
    <w:rsid w:val="00FE7FF5"/>
    <w:rsid w:val="00FF194A"/>
    <w:rsid w:val="00FF1F6D"/>
    <w:rsid w:val="00FF21B8"/>
    <w:rsid w:val="00FF2D2B"/>
    <w:rsid w:val="00FF4E0E"/>
    <w:rsid w:val="00FF5CF1"/>
    <w:rsid w:val="00FF5D33"/>
    <w:rsid w:val="00FF7196"/>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6220F"/>
  <w15:docId w15:val="{E5EEB4FD-EAC2-4781-B6C5-D1823110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qFormat/>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Id w:val="1"/>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Id w:val="1"/>
      </w:numPr>
      <w:tabs>
        <w:tab w:val="clear" w:pos="1702"/>
      </w:tabs>
    </w:pPr>
  </w:style>
  <w:style w:type="paragraph" w:customStyle="1" w:styleId="RegSingleTxtG3">
    <w:name w:val="Reg_Single Txt_G3"/>
    <w:basedOn w:val="RegSingleTxtG"/>
    <w:qFormat/>
    <w:rsid w:val="00FA1A46"/>
    <w:pPr>
      <w:numPr>
        <w:ilvl w:val="7"/>
        <w:numId w:val="1"/>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styleId="Hyperlink">
    <w:name w:val="Hyperlink"/>
    <w:basedOn w:val="DefaultParagraphFont"/>
    <w:uiPriority w:val="99"/>
    <w:unhideWhenUsed/>
    <w:rsid w:val="00237801"/>
    <w:rPr>
      <w:color w:val="0000FF" w:themeColor="hyperlink"/>
      <w:u w:val="single"/>
    </w:rPr>
  </w:style>
  <w:style w:type="character" w:customStyle="1" w:styleId="RegHChGChar">
    <w:name w:val="Reg_H__Ch_G Char"/>
    <w:link w:val="RegHChG"/>
    <w:rsid w:val="00237801"/>
    <w:rPr>
      <w:rFonts w:eastAsia="SimSun"/>
      <w:b/>
      <w:sz w:val="28"/>
      <w:lang w:val="en-GB" w:eastAsia="zh-CN"/>
    </w:rPr>
  </w:style>
  <w:style w:type="character" w:customStyle="1" w:styleId="RegSingleTxtGChar">
    <w:name w:val="Reg_Single Txt_G Char"/>
    <w:basedOn w:val="DefaultParagraphFont"/>
    <w:link w:val="RegSingleTxtG"/>
    <w:rsid w:val="00BE76DE"/>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locked/>
    <w:rsid w:val="00697035"/>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697035"/>
    <w:pPr>
      <w:suppressAutoHyphens w:val="0"/>
      <w:spacing w:after="160" w:line="240" w:lineRule="exact"/>
    </w:pPr>
    <w:rPr>
      <w:rFonts w:eastAsia="Times New Roman"/>
      <w:sz w:val="18"/>
      <w:vertAlign w:val="superscript"/>
      <w:lang w:val="en-US" w:eastAsia="en-US"/>
    </w:rPr>
  </w:style>
  <w:style w:type="character" w:customStyle="1" w:styleId="fontstyle31">
    <w:name w:val="fontstyle31"/>
    <w:basedOn w:val="DefaultParagraphFont"/>
    <w:rsid w:val="00F32DCA"/>
    <w:rPr>
      <w:rFonts w:ascii="Times New Roman" w:hAnsi="Times New Roman" w:cs="Times New Roman" w:hint="default"/>
      <w:b w:val="0"/>
      <w:bCs w:val="0"/>
      <w:i w:val="0"/>
      <w:iCs w:val="0"/>
      <w:color w:val="000000"/>
      <w:sz w:val="20"/>
      <w:szCs w:val="20"/>
    </w:rPr>
  </w:style>
  <w:style w:type="paragraph" w:customStyle="1" w:styleId="Default">
    <w:name w:val="Default"/>
    <w:rsid w:val="005E53C5"/>
    <w:pPr>
      <w:autoSpaceDE w:val="0"/>
      <w:autoSpaceDN w:val="0"/>
      <w:adjustRightInd w:val="0"/>
    </w:pPr>
    <w:rPr>
      <w:rFonts w:eastAsiaTheme="minorHAnsi"/>
      <w:color w:val="000000"/>
      <w:sz w:val="24"/>
      <w:szCs w:val="24"/>
    </w:rPr>
  </w:style>
  <w:style w:type="character" w:customStyle="1" w:styleId="HeaderChar">
    <w:name w:val="Header Char"/>
    <w:aliases w:val="6_G Char"/>
    <w:basedOn w:val="DefaultParagraphFont"/>
    <w:link w:val="Header"/>
    <w:rsid w:val="00554B98"/>
    <w:rPr>
      <w:rFonts w:eastAsia="SimSun"/>
      <w:b/>
      <w:sz w:val="18"/>
      <w:lang w:val="en-GB" w:eastAsia="zh-CN"/>
    </w:rPr>
  </w:style>
  <w:style w:type="character" w:customStyle="1" w:styleId="FooterChar">
    <w:name w:val="Footer Char"/>
    <w:aliases w:val="3_G Char"/>
    <w:link w:val="Footer"/>
    <w:rsid w:val="00554B98"/>
    <w:rPr>
      <w:rFonts w:eastAsia="SimSun"/>
      <w:sz w:val="16"/>
      <w:lang w:val="en-GB" w:eastAsia="zh-CN"/>
    </w:rPr>
  </w:style>
  <w:style w:type="paragraph" w:styleId="CommentSubject">
    <w:name w:val="annotation subject"/>
    <w:basedOn w:val="CommentText"/>
    <w:next w:val="CommentText"/>
    <w:link w:val="CommentSubjectChar"/>
    <w:semiHidden/>
    <w:unhideWhenUsed/>
    <w:rsid w:val="008B2610"/>
    <w:rPr>
      <w:b/>
      <w:bCs/>
    </w:rPr>
  </w:style>
  <w:style w:type="character" w:customStyle="1" w:styleId="CommentSubjectChar">
    <w:name w:val="Comment Subject Char"/>
    <w:basedOn w:val="CommentTextChar"/>
    <w:link w:val="CommentSubject"/>
    <w:semiHidden/>
    <w:rsid w:val="008B2610"/>
    <w:rPr>
      <w:rFonts w:eastAsia="SimSun"/>
      <w:b/>
      <w:bCs/>
      <w:lang w:val="en-GB" w:eastAsia="zh-CN"/>
    </w:rPr>
  </w:style>
  <w:style w:type="character" w:styleId="UnresolvedMention">
    <w:name w:val="Unresolved Mention"/>
    <w:basedOn w:val="DefaultParagraphFont"/>
    <w:uiPriority w:val="99"/>
    <w:semiHidden/>
    <w:unhideWhenUsed/>
    <w:rsid w:val="0047630B"/>
    <w:rPr>
      <w:color w:val="605E5C"/>
      <w:shd w:val="clear" w:color="auto" w:fill="E1DFDD"/>
    </w:rPr>
  </w:style>
  <w:style w:type="character" w:styleId="FollowedHyperlink">
    <w:name w:val="FollowedHyperlink"/>
    <w:basedOn w:val="DefaultParagraphFont"/>
    <w:semiHidden/>
    <w:unhideWhenUsed/>
    <w:rsid w:val="00E72CF4"/>
    <w:rPr>
      <w:color w:val="800080" w:themeColor="followedHyperlink"/>
      <w:u w:val="single"/>
    </w:rPr>
  </w:style>
  <w:style w:type="paragraph" w:styleId="Revision">
    <w:name w:val="Revision"/>
    <w:hidden/>
    <w:uiPriority w:val="99"/>
    <w:semiHidden/>
    <w:rsid w:val="00522C83"/>
    <w:rPr>
      <w:rFonts w:eastAsia="SimSun"/>
      <w:lang w:val="en-GB" w:eastAsia="zh-CN"/>
    </w:rPr>
  </w:style>
  <w:style w:type="character" w:styleId="Mention">
    <w:name w:val="Mention"/>
    <w:basedOn w:val="DefaultParagraphFont"/>
    <w:uiPriority w:val="99"/>
    <w:unhideWhenUsed/>
    <w:rsid w:val="00DB32E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9553">
      <w:bodyDiv w:val="1"/>
      <w:marLeft w:val="0"/>
      <w:marRight w:val="0"/>
      <w:marTop w:val="0"/>
      <w:marBottom w:val="0"/>
      <w:divBdr>
        <w:top w:val="none" w:sz="0" w:space="0" w:color="auto"/>
        <w:left w:val="none" w:sz="0" w:space="0" w:color="auto"/>
        <w:bottom w:val="none" w:sz="0" w:space="0" w:color="auto"/>
        <w:right w:val="none" w:sz="0" w:space="0" w:color="auto"/>
      </w:divBdr>
    </w:div>
    <w:div w:id="129054428">
      <w:bodyDiv w:val="1"/>
      <w:marLeft w:val="0"/>
      <w:marRight w:val="0"/>
      <w:marTop w:val="0"/>
      <w:marBottom w:val="0"/>
      <w:divBdr>
        <w:top w:val="none" w:sz="0" w:space="0" w:color="auto"/>
        <w:left w:val="none" w:sz="0" w:space="0" w:color="auto"/>
        <w:bottom w:val="none" w:sz="0" w:space="0" w:color="auto"/>
        <w:right w:val="none" w:sz="0" w:space="0" w:color="auto"/>
      </w:divBdr>
    </w:div>
    <w:div w:id="169879903">
      <w:bodyDiv w:val="1"/>
      <w:marLeft w:val="0"/>
      <w:marRight w:val="0"/>
      <w:marTop w:val="0"/>
      <w:marBottom w:val="0"/>
      <w:divBdr>
        <w:top w:val="none" w:sz="0" w:space="0" w:color="auto"/>
        <w:left w:val="none" w:sz="0" w:space="0" w:color="auto"/>
        <w:bottom w:val="none" w:sz="0" w:space="0" w:color="auto"/>
        <w:right w:val="none" w:sz="0" w:space="0" w:color="auto"/>
      </w:divBdr>
    </w:div>
    <w:div w:id="185291971">
      <w:bodyDiv w:val="1"/>
      <w:marLeft w:val="0"/>
      <w:marRight w:val="0"/>
      <w:marTop w:val="0"/>
      <w:marBottom w:val="0"/>
      <w:divBdr>
        <w:top w:val="none" w:sz="0" w:space="0" w:color="auto"/>
        <w:left w:val="none" w:sz="0" w:space="0" w:color="auto"/>
        <w:bottom w:val="none" w:sz="0" w:space="0" w:color="auto"/>
        <w:right w:val="none" w:sz="0" w:space="0" w:color="auto"/>
      </w:divBdr>
    </w:div>
    <w:div w:id="283971240">
      <w:bodyDiv w:val="1"/>
      <w:marLeft w:val="0"/>
      <w:marRight w:val="0"/>
      <w:marTop w:val="0"/>
      <w:marBottom w:val="0"/>
      <w:divBdr>
        <w:top w:val="none" w:sz="0" w:space="0" w:color="auto"/>
        <w:left w:val="none" w:sz="0" w:space="0" w:color="auto"/>
        <w:bottom w:val="none" w:sz="0" w:space="0" w:color="auto"/>
        <w:right w:val="none" w:sz="0" w:space="0" w:color="auto"/>
      </w:divBdr>
    </w:div>
    <w:div w:id="303194281">
      <w:bodyDiv w:val="1"/>
      <w:marLeft w:val="0"/>
      <w:marRight w:val="0"/>
      <w:marTop w:val="0"/>
      <w:marBottom w:val="0"/>
      <w:divBdr>
        <w:top w:val="none" w:sz="0" w:space="0" w:color="auto"/>
        <w:left w:val="none" w:sz="0" w:space="0" w:color="auto"/>
        <w:bottom w:val="none" w:sz="0" w:space="0" w:color="auto"/>
        <w:right w:val="none" w:sz="0" w:space="0" w:color="auto"/>
      </w:divBdr>
    </w:div>
    <w:div w:id="728501422">
      <w:bodyDiv w:val="1"/>
      <w:marLeft w:val="0"/>
      <w:marRight w:val="0"/>
      <w:marTop w:val="0"/>
      <w:marBottom w:val="0"/>
      <w:divBdr>
        <w:top w:val="none" w:sz="0" w:space="0" w:color="auto"/>
        <w:left w:val="none" w:sz="0" w:space="0" w:color="auto"/>
        <w:bottom w:val="none" w:sz="0" w:space="0" w:color="auto"/>
        <w:right w:val="none" w:sz="0" w:space="0" w:color="auto"/>
      </w:divBdr>
    </w:div>
    <w:div w:id="893858295">
      <w:bodyDiv w:val="1"/>
      <w:marLeft w:val="0"/>
      <w:marRight w:val="0"/>
      <w:marTop w:val="0"/>
      <w:marBottom w:val="0"/>
      <w:divBdr>
        <w:top w:val="none" w:sz="0" w:space="0" w:color="auto"/>
        <w:left w:val="none" w:sz="0" w:space="0" w:color="auto"/>
        <w:bottom w:val="none" w:sz="0" w:space="0" w:color="auto"/>
        <w:right w:val="none" w:sz="0" w:space="0" w:color="auto"/>
      </w:divBdr>
    </w:div>
    <w:div w:id="898710529">
      <w:bodyDiv w:val="1"/>
      <w:marLeft w:val="0"/>
      <w:marRight w:val="0"/>
      <w:marTop w:val="0"/>
      <w:marBottom w:val="0"/>
      <w:divBdr>
        <w:top w:val="none" w:sz="0" w:space="0" w:color="auto"/>
        <w:left w:val="none" w:sz="0" w:space="0" w:color="auto"/>
        <w:bottom w:val="none" w:sz="0" w:space="0" w:color="auto"/>
        <w:right w:val="none" w:sz="0" w:space="0" w:color="auto"/>
      </w:divBdr>
    </w:div>
    <w:div w:id="980185432">
      <w:bodyDiv w:val="1"/>
      <w:marLeft w:val="0"/>
      <w:marRight w:val="0"/>
      <w:marTop w:val="0"/>
      <w:marBottom w:val="0"/>
      <w:divBdr>
        <w:top w:val="none" w:sz="0" w:space="0" w:color="auto"/>
        <w:left w:val="none" w:sz="0" w:space="0" w:color="auto"/>
        <w:bottom w:val="none" w:sz="0" w:space="0" w:color="auto"/>
        <w:right w:val="none" w:sz="0" w:space="0" w:color="auto"/>
      </w:divBdr>
    </w:div>
    <w:div w:id="1036740490">
      <w:bodyDiv w:val="1"/>
      <w:marLeft w:val="0"/>
      <w:marRight w:val="0"/>
      <w:marTop w:val="0"/>
      <w:marBottom w:val="0"/>
      <w:divBdr>
        <w:top w:val="none" w:sz="0" w:space="0" w:color="auto"/>
        <w:left w:val="none" w:sz="0" w:space="0" w:color="auto"/>
        <w:bottom w:val="none" w:sz="0" w:space="0" w:color="auto"/>
        <w:right w:val="none" w:sz="0" w:space="0" w:color="auto"/>
      </w:divBdr>
    </w:div>
    <w:div w:id="1084375536">
      <w:bodyDiv w:val="1"/>
      <w:marLeft w:val="0"/>
      <w:marRight w:val="0"/>
      <w:marTop w:val="0"/>
      <w:marBottom w:val="0"/>
      <w:divBdr>
        <w:top w:val="none" w:sz="0" w:space="0" w:color="auto"/>
        <w:left w:val="none" w:sz="0" w:space="0" w:color="auto"/>
        <w:bottom w:val="none" w:sz="0" w:space="0" w:color="auto"/>
        <w:right w:val="none" w:sz="0" w:space="0" w:color="auto"/>
      </w:divBdr>
    </w:div>
    <w:div w:id="1094474862">
      <w:bodyDiv w:val="1"/>
      <w:marLeft w:val="0"/>
      <w:marRight w:val="0"/>
      <w:marTop w:val="0"/>
      <w:marBottom w:val="0"/>
      <w:divBdr>
        <w:top w:val="none" w:sz="0" w:space="0" w:color="auto"/>
        <w:left w:val="none" w:sz="0" w:space="0" w:color="auto"/>
        <w:bottom w:val="none" w:sz="0" w:space="0" w:color="auto"/>
        <w:right w:val="none" w:sz="0" w:space="0" w:color="auto"/>
      </w:divBdr>
    </w:div>
    <w:div w:id="1098598514">
      <w:bodyDiv w:val="1"/>
      <w:marLeft w:val="0"/>
      <w:marRight w:val="0"/>
      <w:marTop w:val="0"/>
      <w:marBottom w:val="0"/>
      <w:divBdr>
        <w:top w:val="none" w:sz="0" w:space="0" w:color="auto"/>
        <w:left w:val="none" w:sz="0" w:space="0" w:color="auto"/>
        <w:bottom w:val="none" w:sz="0" w:space="0" w:color="auto"/>
        <w:right w:val="none" w:sz="0" w:space="0" w:color="auto"/>
      </w:divBdr>
    </w:div>
    <w:div w:id="1166896645">
      <w:bodyDiv w:val="1"/>
      <w:marLeft w:val="0"/>
      <w:marRight w:val="0"/>
      <w:marTop w:val="0"/>
      <w:marBottom w:val="0"/>
      <w:divBdr>
        <w:top w:val="none" w:sz="0" w:space="0" w:color="auto"/>
        <w:left w:val="none" w:sz="0" w:space="0" w:color="auto"/>
        <w:bottom w:val="none" w:sz="0" w:space="0" w:color="auto"/>
        <w:right w:val="none" w:sz="0" w:space="0" w:color="auto"/>
      </w:divBdr>
    </w:div>
    <w:div w:id="1396468405">
      <w:bodyDiv w:val="1"/>
      <w:marLeft w:val="0"/>
      <w:marRight w:val="0"/>
      <w:marTop w:val="0"/>
      <w:marBottom w:val="0"/>
      <w:divBdr>
        <w:top w:val="none" w:sz="0" w:space="0" w:color="auto"/>
        <w:left w:val="none" w:sz="0" w:space="0" w:color="auto"/>
        <w:bottom w:val="none" w:sz="0" w:space="0" w:color="auto"/>
        <w:right w:val="none" w:sz="0" w:space="0" w:color="auto"/>
      </w:divBdr>
    </w:div>
    <w:div w:id="1478372641">
      <w:bodyDiv w:val="1"/>
      <w:marLeft w:val="0"/>
      <w:marRight w:val="0"/>
      <w:marTop w:val="0"/>
      <w:marBottom w:val="0"/>
      <w:divBdr>
        <w:top w:val="none" w:sz="0" w:space="0" w:color="auto"/>
        <w:left w:val="none" w:sz="0" w:space="0" w:color="auto"/>
        <w:bottom w:val="none" w:sz="0" w:space="0" w:color="auto"/>
        <w:right w:val="none" w:sz="0" w:space="0" w:color="auto"/>
      </w:divBdr>
    </w:div>
    <w:div w:id="1500777991">
      <w:bodyDiv w:val="1"/>
      <w:marLeft w:val="0"/>
      <w:marRight w:val="0"/>
      <w:marTop w:val="0"/>
      <w:marBottom w:val="0"/>
      <w:divBdr>
        <w:top w:val="none" w:sz="0" w:space="0" w:color="auto"/>
        <w:left w:val="none" w:sz="0" w:space="0" w:color="auto"/>
        <w:bottom w:val="none" w:sz="0" w:space="0" w:color="auto"/>
        <w:right w:val="none" w:sz="0" w:space="0" w:color="auto"/>
      </w:divBdr>
    </w:div>
    <w:div w:id="1617366061">
      <w:bodyDiv w:val="1"/>
      <w:marLeft w:val="0"/>
      <w:marRight w:val="0"/>
      <w:marTop w:val="0"/>
      <w:marBottom w:val="0"/>
      <w:divBdr>
        <w:top w:val="none" w:sz="0" w:space="0" w:color="auto"/>
        <w:left w:val="none" w:sz="0" w:space="0" w:color="auto"/>
        <w:bottom w:val="none" w:sz="0" w:space="0" w:color="auto"/>
        <w:right w:val="none" w:sz="0" w:space="0" w:color="auto"/>
      </w:divBdr>
    </w:div>
    <w:div w:id="1629167924">
      <w:bodyDiv w:val="1"/>
      <w:marLeft w:val="0"/>
      <w:marRight w:val="0"/>
      <w:marTop w:val="0"/>
      <w:marBottom w:val="0"/>
      <w:divBdr>
        <w:top w:val="none" w:sz="0" w:space="0" w:color="auto"/>
        <w:left w:val="none" w:sz="0" w:space="0" w:color="auto"/>
        <w:bottom w:val="none" w:sz="0" w:space="0" w:color="auto"/>
        <w:right w:val="none" w:sz="0" w:space="0" w:color="auto"/>
      </w:divBdr>
    </w:div>
    <w:div w:id="1790002888">
      <w:bodyDiv w:val="1"/>
      <w:marLeft w:val="0"/>
      <w:marRight w:val="0"/>
      <w:marTop w:val="0"/>
      <w:marBottom w:val="0"/>
      <w:divBdr>
        <w:top w:val="none" w:sz="0" w:space="0" w:color="auto"/>
        <w:left w:val="none" w:sz="0" w:space="0" w:color="auto"/>
        <w:bottom w:val="none" w:sz="0" w:space="0" w:color="auto"/>
        <w:right w:val="none" w:sz="0" w:space="0" w:color="auto"/>
      </w:divBdr>
    </w:div>
    <w:div w:id="2058699879">
      <w:bodyDiv w:val="1"/>
      <w:marLeft w:val="0"/>
      <w:marRight w:val="0"/>
      <w:marTop w:val="0"/>
      <w:marBottom w:val="0"/>
      <w:divBdr>
        <w:top w:val="none" w:sz="0" w:space="0" w:color="auto"/>
        <w:left w:val="none" w:sz="0" w:space="0" w:color="auto"/>
        <w:bottom w:val="none" w:sz="0" w:space="0" w:color="auto"/>
        <w:right w:val="none" w:sz="0" w:space="0" w:color="auto"/>
      </w:divBdr>
    </w:div>
    <w:div w:id="21253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eader" Target="header16.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footer" Target="footer36.xml"/><Relationship Id="rId112" Type="http://schemas.openxmlformats.org/officeDocument/2006/relationships/header" Target="header52.xml"/><Relationship Id="rId16" Type="http://schemas.openxmlformats.org/officeDocument/2006/relationships/header" Target="header2.xml"/><Relationship Id="rId107" Type="http://schemas.openxmlformats.org/officeDocument/2006/relationships/header" Target="header49.xml"/><Relationship Id="rId11" Type="http://schemas.openxmlformats.org/officeDocument/2006/relationships/footnotes" Target="footnotes.xml"/><Relationship Id="rId32" Type="http://schemas.openxmlformats.org/officeDocument/2006/relationships/footer" Target="footer7.xml"/><Relationship Id="rId37" Type="http://schemas.openxmlformats.org/officeDocument/2006/relationships/footer" Target="footer10.xml"/><Relationship Id="rId53" Type="http://schemas.openxmlformats.org/officeDocument/2006/relationships/footer" Target="footer18.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header" Target="header35.xml"/><Relationship Id="rId102" Type="http://schemas.openxmlformats.org/officeDocument/2006/relationships/footer" Target="footer42.xml"/><Relationship Id="rId5" Type="http://schemas.openxmlformats.org/officeDocument/2006/relationships/customXml" Target="../customXml/item5.xml"/><Relationship Id="rId90" Type="http://schemas.openxmlformats.org/officeDocument/2006/relationships/header" Target="header40.xml"/><Relationship Id="rId95" Type="http://schemas.openxmlformats.org/officeDocument/2006/relationships/header" Target="header43.xm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15.xml"/><Relationship Id="rId64" Type="http://schemas.openxmlformats.org/officeDocument/2006/relationships/footer" Target="footer23.xml"/><Relationship Id="rId69" Type="http://schemas.openxmlformats.org/officeDocument/2006/relationships/footer" Target="footer26.xml"/><Relationship Id="rId113" Type="http://schemas.openxmlformats.org/officeDocument/2006/relationships/footer" Target="footer47.xml"/><Relationship Id="rId80" Type="http://schemas.openxmlformats.org/officeDocument/2006/relationships/footer" Target="footer31.xml"/><Relationship Id="rId85" Type="http://schemas.openxmlformats.org/officeDocument/2006/relationships/footer" Target="footer34.xml"/><Relationship Id="rId12" Type="http://schemas.openxmlformats.org/officeDocument/2006/relationships/endnotes" Target="endnotes.xml"/><Relationship Id="rId17" Type="http://schemas.openxmlformats.org/officeDocument/2006/relationships/footer" Target="footer1.xml"/><Relationship Id="rId33" Type="http://schemas.openxmlformats.org/officeDocument/2006/relationships/footer" Target="footer8.xml"/><Relationship Id="rId38" Type="http://schemas.openxmlformats.org/officeDocument/2006/relationships/header" Target="header14.xml"/><Relationship Id="rId59" Type="http://schemas.openxmlformats.org/officeDocument/2006/relationships/header" Target="header25.xml"/><Relationship Id="rId103" Type="http://schemas.openxmlformats.org/officeDocument/2006/relationships/header" Target="header47.xml"/><Relationship Id="rId108" Type="http://schemas.openxmlformats.org/officeDocument/2006/relationships/header" Target="header50.xml"/><Relationship Id="rId54" Type="http://schemas.openxmlformats.org/officeDocument/2006/relationships/header" Target="header22.xml"/><Relationship Id="rId70" Type="http://schemas.openxmlformats.org/officeDocument/2006/relationships/header" Target="header30.xml"/><Relationship Id="rId75" Type="http://schemas.openxmlformats.org/officeDocument/2006/relationships/header" Target="header33.xml"/><Relationship Id="rId91" Type="http://schemas.openxmlformats.org/officeDocument/2006/relationships/header" Target="header41.xml"/><Relationship Id="rId96" Type="http://schemas.openxmlformats.org/officeDocument/2006/relationships/header" Target="header44.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header" Target="header7.xml"/><Relationship Id="rId28" Type="http://schemas.openxmlformats.org/officeDocument/2006/relationships/footer" Target="footer5.xml"/><Relationship Id="rId36" Type="http://schemas.openxmlformats.org/officeDocument/2006/relationships/footer" Target="footer9.xml"/><Relationship Id="rId49" Type="http://schemas.openxmlformats.org/officeDocument/2006/relationships/footer" Target="footer16.xml"/><Relationship Id="rId57" Type="http://schemas.openxmlformats.org/officeDocument/2006/relationships/footer" Target="footer20.xml"/><Relationship Id="rId106" Type="http://schemas.openxmlformats.org/officeDocument/2006/relationships/header" Target="header48.xml"/><Relationship Id="rId114" Type="http://schemas.openxmlformats.org/officeDocument/2006/relationships/footer" Target="footer48.xml"/><Relationship Id="rId10" Type="http://schemas.openxmlformats.org/officeDocument/2006/relationships/webSettings" Target="webSettings.xml"/><Relationship Id="rId31" Type="http://schemas.openxmlformats.org/officeDocument/2006/relationships/header" Target="header11.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footer" Target="footer21.xml"/><Relationship Id="rId65" Type="http://schemas.openxmlformats.org/officeDocument/2006/relationships/footer" Target="footer24.xml"/><Relationship Id="rId73" Type="http://schemas.openxmlformats.org/officeDocument/2006/relationships/footer" Target="footer28.xml"/><Relationship Id="rId78" Type="http://schemas.openxmlformats.org/officeDocument/2006/relationships/header" Target="header34.xml"/><Relationship Id="rId81" Type="http://schemas.openxmlformats.org/officeDocument/2006/relationships/footer" Target="footer32.xml"/><Relationship Id="rId86" Type="http://schemas.openxmlformats.org/officeDocument/2006/relationships/header" Target="header38.xml"/><Relationship Id="rId94" Type="http://schemas.openxmlformats.org/officeDocument/2006/relationships/header" Target="header42.xml"/><Relationship Id="rId99" Type="http://schemas.openxmlformats.org/officeDocument/2006/relationships/header" Target="header45.xml"/><Relationship Id="rId101" Type="http://schemas.openxmlformats.org/officeDocument/2006/relationships/footer" Target="footer41.xml"/><Relationship Id="rId9"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footer" Target="footer2.xml"/><Relationship Id="rId39" Type="http://schemas.openxmlformats.org/officeDocument/2006/relationships/header" Target="header15.xml"/><Relationship Id="rId109" Type="http://schemas.openxmlformats.org/officeDocument/2006/relationships/footer" Target="footer45.xml"/><Relationship Id="rId34" Type="http://schemas.openxmlformats.org/officeDocument/2006/relationships/header" Target="header12.xml"/><Relationship Id="rId50" Type="http://schemas.openxmlformats.org/officeDocument/2006/relationships/header" Target="header20.xml"/><Relationship Id="rId55" Type="http://schemas.openxmlformats.org/officeDocument/2006/relationships/header" Target="header23.xml"/><Relationship Id="rId76" Type="http://schemas.openxmlformats.org/officeDocument/2006/relationships/footer" Target="footer29.xml"/><Relationship Id="rId97" Type="http://schemas.openxmlformats.org/officeDocument/2006/relationships/footer" Target="footer39.xml"/><Relationship Id="rId104" Type="http://schemas.openxmlformats.org/officeDocument/2006/relationships/footer" Target="footer43.xml"/><Relationship Id="rId7" Type="http://schemas.openxmlformats.org/officeDocument/2006/relationships/numbering" Target="numbering.xml"/><Relationship Id="rId71" Type="http://schemas.openxmlformats.org/officeDocument/2006/relationships/header" Target="header31.xml"/><Relationship Id="rId92" Type="http://schemas.openxmlformats.org/officeDocument/2006/relationships/footer" Target="footer37.xml"/><Relationship Id="rId2" Type="http://schemas.openxmlformats.org/officeDocument/2006/relationships/customXml" Target="../customXml/item2.xml"/><Relationship Id="rId29" Type="http://schemas.openxmlformats.org/officeDocument/2006/relationships/footer" Target="footer6.xml"/><Relationship Id="rId24" Type="http://schemas.openxmlformats.org/officeDocument/2006/relationships/footer" Target="footer3.xml"/><Relationship Id="rId40" Type="http://schemas.openxmlformats.org/officeDocument/2006/relationships/footer" Target="footer11.xml"/><Relationship Id="rId45" Type="http://schemas.openxmlformats.org/officeDocument/2006/relationships/footer" Target="footer14.xml"/><Relationship Id="rId66" Type="http://schemas.openxmlformats.org/officeDocument/2006/relationships/header" Target="header28.xml"/><Relationship Id="rId87" Type="http://schemas.openxmlformats.org/officeDocument/2006/relationships/header" Target="header39.xml"/><Relationship Id="rId110" Type="http://schemas.openxmlformats.org/officeDocument/2006/relationships/footer" Target="footer46.xml"/><Relationship Id="rId115" Type="http://schemas.openxmlformats.org/officeDocument/2006/relationships/fontTable" Target="fontTable.xml"/><Relationship Id="rId61" Type="http://schemas.openxmlformats.org/officeDocument/2006/relationships/footer" Target="footer22.xml"/><Relationship Id="rId82" Type="http://schemas.openxmlformats.org/officeDocument/2006/relationships/header" Target="header36.xml"/><Relationship Id="rId19" Type="http://schemas.openxmlformats.org/officeDocument/2006/relationships/header" Target="header3.xml"/><Relationship Id="rId14" Type="http://schemas.openxmlformats.org/officeDocument/2006/relationships/image" Target="media/image2.png"/><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footer" Target="footer19.xml"/><Relationship Id="rId77" Type="http://schemas.openxmlformats.org/officeDocument/2006/relationships/footer" Target="footer30.xml"/><Relationship Id="rId100" Type="http://schemas.openxmlformats.org/officeDocument/2006/relationships/header" Target="header46.xml"/><Relationship Id="rId105" Type="http://schemas.openxmlformats.org/officeDocument/2006/relationships/footer" Target="footer44.xml"/><Relationship Id="rId8" Type="http://schemas.openxmlformats.org/officeDocument/2006/relationships/styles" Target="styles.xml"/><Relationship Id="rId51" Type="http://schemas.openxmlformats.org/officeDocument/2006/relationships/header" Target="header21.xml"/><Relationship Id="rId72" Type="http://schemas.openxmlformats.org/officeDocument/2006/relationships/footer" Target="footer27.xml"/><Relationship Id="rId93" Type="http://schemas.openxmlformats.org/officeDocument/2006/relationships/footer" Target="footer38.xml"/><Relationship Id="rId98" Type="http://schemas.openxmlformats.org/officeDocument/2006/relationships/footer" Target="footer40.xml"/><Relationship Id="rId25" Type="http://schemas.openxmlformats.org/officeDocument/2006/relationships/footer" Target="footer4.xml"/><Relationship Id="rId46" Type="http://schemas.openxmlformats.org/officeDocument/2006/relationships/header" Target="header18.xml"/><Relationship Id="rId67" Type="http://schemas.openxmlformats.org/officeDocument/2006/relationships/header" Target="header29.xml"/><Relationship Id="rId116" Type="http://schemas.openxmlformats.org/officeDocument/2006/relationships/theme" Target="theme/theme1.xml"/><Relationship Id="rId20" Type="http://schemas.openxmlformats.org/officeDocument/2006/relationships/header" Target="header4.xml"/><Relationship Id="rId41" Type="http://schemas.openxmlformats.org/officeDocument/2006/relationships/footer" Target="footer12.xml"/><Relationship Id="rId62" Type="http://schemas.openxmlformats.org/officeDocument/2006/relationships/header" Target="header26.xml"/><Relationship Id="rId83" Type="http://schemas.openxmlformats.org/officeDocument/2006/relationships/header" Target="header37.xml"/><Relationship Id="rId88" Type="http://schemas.openxmlformats.org/officeDocument/2006/relationships/footer" Target="footer35.xml"/><Relationship Id="rId111" Type="http://schemas.openxmlformats.org/officeDocument/2006/relationships/header" Target="header51.xml"/></Relationships>
</file>

<file path=word/_rels/footnotes.xml.rels><?xml version="1.0" encoding="UTF-8" standalone="yes"?>
<Relationships xmlns="http://schemas.openxmlformats.org/package/2006/relationships"><Relationship Id="rId8" Type="http://schemas.openxmlformats.org/officeDocument/2006/relationships/hyperlink" Target="https://www.thegef.org/documents/instrument-establishment-restructured-gef" TargetMode="External"/><Relationship Id="rId13" Type="http://schemas.openxmlformats.org/officeDocument/2006/relationships/hyperlink" Target="https://unfccc.int/ttclear/tec/techandndc.html" TargetMode="External"/><Relationship Id="rId18" Type="http://schemas.openxmlformats.org/officeDocument/2006/relationships/hyperlink" Target="https://www.ipcc.ch/report/ar6/wg1/" TargetMode="External"/><Relationship Id="rId26" Type="http://schemas.openxmlformats.org/officeDocument/2006/relationships/hyperlink" Target="https://unfccc.int/sites/default/files/resource/Code%20of%20Ethics%20for%20elected%20and%20appointed%20officers.pdf" TargetMode="External"/><Relationship Id="rId3" Type="http://schemas.openxmlformats.org/officeDocument/2006/relationships/hyperlink" Target="https://www4.unfccc.int/sites/submissionsstaging/Pages/Home.aspx" TargetMode="External"/><Relationship Id="rId21" Type="http://schemas.openxmlformats.org/officeDocument/2006/relationships/hyperlink" Target="https://unfccc.int/process-and-meetings/bodies/constituted-bodies/KCI" TargetMode="External"/><Relationship Id="rId7" Type="http://schemas.openxmlformats.org/officeDocument/2006/relationships/hyperlink" Target="https://www.greenclimate.fund/document/guiding-principles-and-factors-determining-terms-financial-instruments" TargetMode="External"/><Relationship Id="rId12" Type="http://schemas.openxmlformats.org/officeDocument/2006/relationships/hyperlink" Target="https://unfccc.int/Art.9.5-biennial-communications" TargetMode="External"/><Relationship Id="rId17" Type="http://schemas.openxmlformats.org/officeDocument/2006/relationships/hyperlink" Target="https://unfccc.int/documents/267207" TargetMode="External"/><Relationship Id="rId25" Type="http://schemas.openxmlformats.org/officeDocument/2006/relationships/hyperlink" Target="https://unfccc.int/sites/default/files/resource/Code_of_Conduct_English.pdf" TargetMode="External"/><Relationship Id="rId2" Type="http://schemas.openxmlformats.org/officeDocument/2006/relationships/hyperlink" Target="https://unfccc.int/event/AC-webinar-GGA" TargetMode="External"/><Relationship Id="rId16" Type="http://schemas.openxmlformats.org/officeDocument/2006/relationships/hyperlink" Target="https://unfccc.int/documents/209801" TargetMode="External"/><Relationship Id="rId20" Type="http://schemas.openxmlformats.org/officeDocument/2006/relationships/hyperlink" Target="https://www4.unfccc.int/sites/submissionsstaging/Pages/Home.aspx" TargetMode="External"/><Relationship Id="rId1" Type="http://schemas.openxmlformats.org/officeDocument/2006/relationships/hyperlink" Target="https://unfccc.int/process-and-meetings/bodies/constituted-bodies/adaptation-committee-ac/publications-bulletin-adaptation-committee" TargetMode="External"/><Relationship Id="rId6" Type="http://schemas.openxmlformats.org/officeDocument/2006/relationships/hyperlink" Target="https://www.greenclimate.fund/document/gcf-b27-21" TargetMode="External"/><Relationship Id="rId11" Type="http://schemas.openxmlformats.org/officeDocument/2006/relationships/hyperlink" Target="https://www.adaptation-fund.org/documents-publications/" TargetMode="External"/><Relationship Id="rId24" Type="http://schemas.openxmlformats.org/officeDocument/2006/relationships/hyperlink" Target="https://unfccc.int/sites/default/files/resource/Code%20of%20Ethics%20for%20elected%20and%20appointed%20officers.pdf" TargetMode="External"/><Relationship Id="rId5" Type="http://schemas.openxmlformats.org/officeDocument/2006/relationships/hyperlink" Target="https://www4.unfccc.int/sites/submissionsstaging/Pages/Home.aspx" TargetMode="External"/><Relationship Id="rId15" Type="http://schemas.openxmlformats.org/officeDocument/2006/relationships/hyperlink" Target="https://unfccc.int/ttclear/events/2020/2020_event07" TargetMode="External"/><Relationship Id="rId23" Type="http://schemas.openxmlformats.org/officeDocument/2006/relationships/hyperlink" Target="https://www4.unfccc.int/sites/submissionsstaging/Pages/Home.aspx" TargetMode="External"/><Relationship Id="rId10" Type="http://schemas.openxmlformats.org/officeDocument/2006/relationships/hyperlink" Target="https://www.adaptation-fund.org/document/mid-term-review-of-the-medium-term-strategy-of-the-adaptation-fund/" TargetMode="External"/><Relationship Id="rId19" Type="http://schemas.openxmlformats.org/officeDocument/2006/relationships/hyperlink" Target="https://www4.unfccc.int/sites/submissionsstaging/Pages/Home.aspx" TargetMode="External"/><Relationship Id="rId4" Type="http://schemas.openxmlformats.org/officeDocument/2006/relationships/hyperlink" Target="https://www4.unfccc.int/sites/submissionsstaging/Pages/Home.aspx" TargetMode="External"/><Relationship Id="rId9" Type="http://schemas.openxmlformats.org/officeDocument/2006/relationships/hyperlink" Target="https://www.adaptation-fund.org/document/medium-term-strategy-2018-2022/" TargetMode="External"/><Relationship Id="rId14" Type="http://schemas.openxmlformats.org/officeDocument/2006/relationships/hyperlink" Target="https://unfccc.int/ttclear/tec" TargetMode="External"/><Relationship Id="rId22" Type="http://schemas.openxmlformats.org/officeDocument/2006/relationships/hyperlink" Target="https://unfccc.int/topics/mitigation/workstreams/response-measures/workshops-and-events" TargetMode="External"/><Relationship Id="rId27" Type="http://schemas.openxmlformats.org/officeDocument/2006/relationships/hyperlink" Target="https://unfccc.int/sites/default/files/guidelines_for_the_participation_of_ng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9d8c265a-5436-43a7-80c1-713d2827ffde"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7BF924-6DF8-4A8B-A42A-5DEFAFB1D6CB}">
  <ds:schemaRefs>
    <ds:schemaRef ds:uri="http://schemas.microsoft.com/office/2006/metadata/properties"/>
    <ds:schemaRef ds:uri="http://schemas.microsoft.com/office/infopath/2007/PartnerControls"/>
    <ds:schemaRef ds:uri="eb4559c4-8463-4985-927f-f0d558bff8f0"/>
    <ds:schemaRef ds:uri="0d8f00d2-86fc-4eff-afef-8f73dd50878e"/>
  </ds:schemaRefs>
</ds:datastoreItem>
</file>

<file path=customXml/itemProps2.xml><?xml version="1.0" encoding="utf-8"?>
<ds:datastoreItem xmlns:ds="http://schemas.openxmlformats.org/officeDocument/2006/customXml" ds:itemID="{231FCA8D-F673-4C28-940D-6ACD4BF7E621}">
  <ds:schemaRefs>
    <ds:schemaRef ds:uri="http://schemas.openxmlformats.org/officeDocument/2006/bibliography"/>
  </ds:schemaRefs>
</ds:datastoreItem>
</file>

<file path=customXml/itemProps3.xml><?xml version="1.0" encoding="utf-8"?>
<ds:datastoreItem xmlns:ds="http://schemas.openxmlformats.org/officeDocument/2006/customXml" ds:itemID="{306A13FD-1A7A-4987-927F-DA9CD8E1B2BE}">
  <ds:schemaRefs>
    <ds:schemaRef ds:uri="http://schemas.microsoft.com/sharepoint/events"/>
  </ds:schemaRefs>
</ds:datastoreItem>
</file>

<file path=customXml/itemProps4.xml><?xml version="1.0" encoding="utf-8"?>
<ds:datastoreItem xmlns:ds="http://schemas.openxmlformats.org/officeDocument/2006/customXml" ds:itemID="{3269A489-A3CC-4452-8372-D028B5C470C7}"/>
</file>

<file path=customXml/itemProps5.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6.xml><?xml version="1.0" encoding="utf-8"?>
<ds:datastoreItem xmlns:ds="http://schemas.openxmlformats.org/officeDocument/2006/customXml" ds:itemID="{BEDC2239-4611-4068-AC0C-41CE70A4B2EF}"/>
</file>

<file path=docProps/app.xml><?xml version="1.0" encoding="utf-8"?>
<Properties xmlns="http://schemas.openxmlformats.org/officeDocument/2006/extended-properties" xmlns:vt="http://schemas.openxmlformats.org/officeDocument/2006/docPropsVTypes">
  <Template>FCCC.dotm</Template>
  <TotalTime>9</TotalTime>
  <Pages>61</Pages>
  <Words>23563</Words>
  <Characters>134312</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second session, held in Glasgow from 31 October to 12 November 2021. Addendum</vt:lpstr>
    </vt:vector>
  </TitlesOfParts>
  <Company>UNFCCC</Company>
  <LinksUpToDate>false</LinksUpToDate>
  <CharactersWithSpaces>157560</CharactersWithSpaces>
  <SharedDoc>false</SharedDoc>
  <HLinks>
    <vt:vector size="282" baseType="variant">
      <vt:variant>
        <vt:i4>7864438</vt:i4>
      </vt:variant>
      <vt:variant>
        <vt:i4>57</vt:i4>
      </vt:variant>
      <vt:variant>
        <vt:i4>0</vt:i4>
      </vt:variant>
      <vt:variant>
        <vt:i4>5</vt:i4>
      </vt:variant>
      <vt:variant>
        <vt:lpwstr/>
      </vt:variant>
      <vt:variant>
        <vt:lpwstr>Resolution1</vt:lpwstr>
      </vt:variant>
      <vt:variant>
        <vt:i4>4128809</vt:i4>
      </vt:variant>
      <vt:variant>
        <vt:i4>54</vt:i4>
      </vt:variant>
      <vt:variant>
        <vt:i4>0</vt:i4>
      </vt:variant>
      <vt:variant>
        <vt:i4>5</vt:i4>
      </vt:variant>
      <vt:variant>
        <vt:lpwstr/>
      </vt:variant>
      <vt:variant>
        <vt:lpwstr>Decision24</vt:lpwstr>
      </vt:variant>
      <vt:variant>
        <vt:i4>3670057</vt:i4>
      </vt:variant>
      <vt:variant>
        <vt:i4>51</vt:i4>
      </vt:variant>
      <vt:variant>
        <vt:i4>0</vt:i4>
      </vt:variant>
      <vt:variant>
        <vt:i4>5</vt:i4>
      </vt:variant>
      <vt:variant>
        <vt:lpwstr/>
      </vt:variant>
      <vt:variant>
        <vt:lpwstr>Decision23</vt:lpwstr>
      </vt:variant>
      <vt:variant>
        <vt:i4>3735593</vt:i4>
      </vt:variant>
      <vt:variant>
        <vt:i4>48</vt:i4>
      </vt:variant>
      <vt:variant>
        <vt:i4>0</vt:i4>
      </vt:variant>
      <vt:variant>
        <vt:i4>5</vt:i4>
      </vt:variant>
      <vt:variant>
        <vt:lpwstr/>
      </vt:variant>
      <vt:variant>
        <vt:lpwstr>Decision22</vt:lpwstr>
      </vt:variant>
      <vt:variant>
        <vt:i4>3801129</vt:i4>
      </vt:variant>
      <vt:variant>
        <vt:i4>45</vt:i4>
      </vt:variant>
      <vt:variant>
        <vt:i4>0</vt:i4>
      </vt:variant>
      <vt:variant>
        <vt:i4>5</vt:i4>
      </vt:variant>
      <vt:variant>
        <vt:lpwstr/>
      </vt:variant>
      <vt:variant>
        <vt:lpwstr>Decision21</vt:lpwstr>
      </vt:variant>
      <vt:variant>
        <vt:i4>3866665</vt:i4>
      </vt:variant>
      <vt:variant>
        <vt:i4>42</vt:i4>
      </vt:variant>
      <vt:variant>
        <vt:i4>0</vt:i4>
      </vt:variant>
      <vt:variant>
        <vt:i4>5</vt:i4>
      </vt:variant>
      <vt:variant>
        <vt:lpwstr/>
      </vt:variant>
      <vt:variant>
        <vt:lpwstr>Decision20</vt:lpwstr>
      </vt:variant>
      <vt:variant>
        <vt:i4>3276842</vt:i4>
      </vt:variant>
      <vt:variant>
        <vt:i4>39</vt:i4>
      </vt:variant>
      <vt:variant>
        <vt:i4>0</vt:i4>
      </vt:variant>
      <vt:variant>
        <vt:i4>5</vt:i4>
      </vt:variant>
      <vt:variant>
        <vt:lpwstr/>
      </vt:variant>
      <vt:variant>
        <vt:lpwstr>Decision19</vt:lpwstr>
      </vt:variant>
      <vt:variant>
        <vt:i4>3342378</vt:i4>
      </vt:variant>
      <vt:variant>
        <vt:i4>36</vt:i4>
      </vt:variant>
      <vt:variant>
        <vt:i4>0</vt:i4>
      </vt:variant>
      <vt:variant>
        <vt:i4>5</vt:i4>
      </vt:variant>
      <vt:variant>
        <vt:lpwstr/>
      </vt:variant>
      <vt:variant>
        <vt:lpwstr>Decision18</vt:lpwstr>
      </vt:variant>
      <vt:variant>
        <vt:i4>3932202</vt:i4>
      </vt:variant>
      <vt:variant>
        <vt:i4>33</vt:i4>
      </vt:variant>
      <vt:variant>
        <vt:i4>0</vt:i4>
      </vt:variant>
      <vt:variant>
        <vt:i4>5</vt:i4>
      </vt:variant>
      <vt:variant>
        <vt:lpwstr/>
      </vt:variant>
      <vt:variant>
        <vt:lpwstr>Decision17</vt:lpwstr>
      </vt:variant>
      <vt:variant>
        <vt:i4>3997738</vt:i4>
      </vt:variant>
      <vt:variant>
        <vt:i4>30</vt:i4>
      </vt:variant>
      <vt:variant>
        <vt:i4>0</vt:i4>
      </vt:variant>
      <vt:variant>
        <vt:i4>5</vt:i4>
      </vt:variant>
      <vt:variant>
        <vt:lpwstr/>
      </vt:variant>
      <vt:variant>
        <vt:lpwstr>Decision16</vt:lpwstr>
      </vt:variant>
      <vt:variant>
        <vt:i4>4063274</vt:i4>
      </vt:variant>
      <vt:variant>
        <vt:i4>27</vt:i4>
      </vt:variant>
      <vt:variant>
        <vt:i4>0</vt:i4>
      </vt:variant>
      <vt:variant>
        <vt:i4>5</vt:i4>
      </vt:variant>
      <vt:variant>
        <vt:lpwstr/>
      </vt:variant>
      <vt:variant>
        <vt:lpwstr>Decision15</vt:lpwstr>
      </vt:variant>
      <vt:variant>
        <vt:i4>4128810</vt:i4>
      </vt:variant>
      <vt:variant>
        <vt:i4>24</vt:i4>
      </vt:variant>
      <vt:variant>
        <vt:i4>0</vt:i4>
      </vt:variant>
      <vt:variant>
        <vt:i4>5</vt:i4>
      </vt:variant>
      <vt:variant>
        <vt:lpwstr/>
      </vt:variant>
      <vt:variant>
        <vt:lpwstr>Decision14</vt:lpwstr>
      </vt:variant>
      <vt:variant>
        <vt:i4>3670058</vt:i4>
      </vt:variant>
      <vt:variant>
        <vt:i4>21</vt:i4>
      </vt:variant>
      <vt:variant>
        <vt:i4>0</vt:i4>
      </vt:variant>
      <vt:variant>
        <vt:i4>5</vt:i4>
      </vt:variant>
      <vt:variant>
        <vt:lpwstr/>
      </vt:variant>
      <vt:variant>
        <vt:lpwstr>Decision13</vt:lpwstr>
      </vt:variant>
      <vt:variant>
        <vt:i4>3735594</vt:i4>
      </vt:variant>
      <vt:variant>
        <vt:i4>18</vt:i4>
      </vt:variant>
      <vt:variant>
        <vt:i4>0</vt:i4>
      </vt:variant>
      <vt:variant>
        <vt:i4>5</vt:i4>
      </vt:variant>
      <vt:variant>
        <vt:lpwstr/>
      </vt:variant>
      <vt:variant>
        <vt:lpwstr>Decision12</vt:lpwstr>
      </vt:variant>
      <vt:variant>
        <vt:i4>3801130</vt:i4>
      </vt:variant>
      <vt:variant>
        <vt:i4>15</vt:i4>
      </vt:variant>
      <vt:variant>
        <vt:i4>0</vt:i4>
      </vt:variant>
      <vt:variant>
        <vt:i4>5</vt:i4>
      </vt:variant>
      <vt:variant>
        <vt:lpwstr/>
      </vt:variant>
      <vt:variant>
        <vt:lpwstr>Decision11</vt:lpwstr>
      </vt:variant>
      <vt:variant>
        <vt:i4>3866666</vt:i4>
      </vt:variant>
      <vt:variant>
        <vt:i4>12</vt:i4>
      </vt:variant>
      <vt:variant>
        <vt:i4>0</vt:i4>
      </vt:variant>
      <vt:variant>
        <vt:i4>5</vt:i4>
      </vt:variant>
      <vt:variant>
        <vt:lpwstr/>
      </vt:variant>
      <vt:variant>
        <vt:lpwstr>Decision10</vt:lpwstr>
      </vt:variant>
      <vt:variant>
        <vt:i4>720923</vt:i4>
      </vt:variant>
      <vt:variant>
        <vt:i4>9</vt:i4>
      </vt:variant>
      <vt:variant>
        <vt:i4>0</vt:i4>
      </vt:variant>
      <vt:variant>
        <vt:i4>5</vt:i4>
      </vt:variant>
      <vt:variant>
        <vt:lpwstr/>
      </vt:variant>
      <vt:variant>
        <vt:lpwstr>Decision9</vt:lpwstr>
      </vt:variant>
      <vt:variant>
        <vt:i4>720923</vt:i4>
      </vt:variant>
      <vt:variant>
        <vt:i4>6</vt:i4>
      </vt:variant>
      <vt:variant>
        <vt:i4>0</vt:i4>
      </vt:variant>
      <vt:variant>
        <vt:i4>5</vt:i4>
      </vt:variant>
      <vt:variant>
        <vt:lpwstr/>
      </vt:variant>
      <vt:variant>
        <vt:lpwstr>Decision8</vt:lpwstr>
      </vt:variant>
      <vt:variant>
        <vt:i4>720923</vt:i4>
      </vt:variant>
      <vt:variant>
        <vt:i4>3</vt:i4>
      </vt:variant>
      <vt:variant>
        <vt:i4>0</vt:i4>
      </vt:variant>
      <vt:variant>
        <vt:i4>5</vt:i4>
      </vt:variant>
      <vt:variant>
        <vt:lpwstr/>
      </vt:variant>
      <vt:variant>
        <vt:lpwstr>Decision7</vt:lpwstr>
      </vt:variant>
      <vt:variant>
        <vt:i4>720923</vt:i4>
      </vt:variant>
      <vt:variant>
        <vt:i4>0</vt:i4>
      </vt:variant>
      <vt:variant>
        <vt:i4>0</vt:i4>
      </vt:variant>
      <vt:variant>
        <vt:i4>5</vt:i4>
      </vt:variant>
      <vt:variant>
        <vt:lpwstr/>
      </vt:variant>
      <vt:variant>
        <vt:lpwstr>Decision6</vt:lpwstr>
      </vt:variant>
      <vt:variant>
        <vt:i4>3932237</vt:i4>
      </vt:variant>
      <vt:variant>
        <vt:i4>78</vt:i4>
      </vt:variant>
      <vt:variant>
        <vt:i4>0</vt:i4>
      </vt:variant>
      <vt:variant>
        <vt:i4>5</vt:i4>
      </vt:variant>
      <vt:variant>
        <vt:lpwstr>https://unfccc.int/sites/default/files/guidelines_for_the_participation_of_ngos.pdf</vt:lpwstr>
      </vt:variant>
      <vt:variant>
        <vt:lpwstr/>
      </vt:variant>
      <vt:variant>
        <vt:i4>4456476</vt:i4>
      </vt:variant>
      <vt:variant>
        <vt:i4>75</vt:i4>
      </vt:variant>
      <vt:variant>
        <vt:i4>0</vt:i4>
      </vt:variant>
      <vt:variant>
        <vt:i4>5</vt:i4>
      </vt:variant>
      <vt:variant>
        <vt:lpwstr>https://unfccc.int/sites/default/files/resource/Code of Ethics for elected and appointed officers.pdf</vt:lpwstr>
      </vt:variant>
      <vt:variant>
        <vt:lpwstr/>
      </vt:variant>
      <vt:variant>
        <vt:i4>6422596</vt:i4>
      </vt:variant>
      <vt:variant>
        <vt:i4>72</vt:i4>
      </vt:variant>
      <vt:variant>
        <vt:i4>0</vt:i4>
      </vt:variant>
      <vt:variant>
        <vt:i4>5</vt:i4>
      </vt:variant>
      <vt:variant>
        <vt:lpwstr>https://unfccc.int/sites/default/files/resource/Code_of_Conduct_English.pdf</vt:lpwstr>
      </vt:variant>
      <vt:variant>
        <vt:lpwstr/>
      </vt:variant>
      <vt:variant>
        <vt:i4>4456476</vt:i4>
      </vt:variant>
      <vt:variant>
        <vt:i4>69</vt:i4>
      </vt:variant>
      <vt:variant>
        <vt:i4>0</vt:i4>
      </vt:variant>
      <vt:variant>
        <vt:i4>5</vt:i4>
      </vt:variant>
      <vt:variant>
        <vt:lpwstr>https://unfccc.int/sites/default/files/resource/Code of Ethics for elected and appointed officers.pdf</vt:lpwstr>
      </vt:variant>
      <vt:variant>
        <vt:lpwstr/>
      </vt:variant>
      <vt:variant>
        <vt:i4>5898268</vt:i4>
      </vt:variant>
      <vt:variant>
        <vt:i4>66</vt:i4>
      </vt:variant>
      <vt:variant>
        <vt:i4>0</vt:i4>
      </vt:variant>
      <vt:variant>
        <vt:i4>5</vt:i4>
      </vt:variant>
      <vt:variant>
        <vt:lpwstr>https://www4.unfccc.int/sites/submissionsstaging/Pages/Home.aspx</vt:lpwstr>
      </vt:variant>
      <vt:variant>
        <vt:lpwstr/>
      </vt:variant>
      <vt:variant>
        <vt:i4>6684784</vt:i4>
      </vt:variant>
      <vt:variant>
        <vt:i4>63</vt:i4>
      </vt:variant>
      <vt:variant>
        <vt:i4>0</vt:i4>
      </vt:variant>
      <vt:variant>
        <vt:i4>5</vt:i4>
      </vt:variant>
      <vt:variant>
        <vt:lpwstr>https://unfccc.int/topics/mitigation/workstreams/response-measures/workshops-and-events</vt:lpwstr>
      </vt:variant>
      <vt:variant>
        <vt:lpwstr/>
      </vt:variant>
      <vt:variant>
        <vt:i4>69</vt:i4>
      </vt:variant>
      <vt:variant>
        <vt:i4>60</vt:i4>
      </vt:variant>
      <vt:variant>
        <vt:i4>0</vt:i4>
      </vt:variant>
      <vt:variant>
        <vt:i4>5</vt:i4>
      </vt:variant>
      <vt:variant>
        <vt:lpwstr>https://unfccc.int/process-and-meetings/bodies/constituted-bodies/KCI</vt:lpwstr>
      </vt:variant>
      <vt:variant>
        <vt:lpwstr/>
      </vt:variant>
      <vt:variant>
        <vt:i4>5898268</vt:i4>
      </vt:variant>
      <vt:variant>
        <vt:i4>57</vt:i4>
      </vt:variant>
      <vt:variant>
        <vt:i4>0</vt:i4>
      </vt:variant>
      <vt:variant>
        <vt:i4>5</vt:i4>
      </vt:variant>
      <vt:variant>
        <vt:lpwstr>https://www4.unfccc.int/sites/submissionsstaging/Pages/Home.aspx</vt:lpwstr>
      </vt:variant>
      <vt:variant>
        <vt:lpwstr/>
      </vt:variant>
      <vt:variant>
        <vt:i4>5898268</vt:i4>
      </vt:variant>
      <vt:variant>
        <vt:i4>54</vt:i4>
      </vt:variant>
      <vt:variant>
        <vt:i4>0</vt:i4>
      </vt:variant>
      <vt:variant>
        <vt:i4>5</vt:i4>
      </vt:variant>
      <vt:variant>
        <vt:lpwstr>https://www4.unfccc.int/sites/submissionsstaging/Pages/Home.aspx</vt:lpwstr>
      </vt:variant>
      <vt:variant>
        <vt:lpwstr/>
      </vt:variant>
      <vt:variant>
        <vt:i4>7864425</vt:i4>
      </vt:variant>
      <vt:variant>
        <vt:i4>51</vt:i4>
      </vt:variant>
      <vt:variant>
        <vt:i4>0</vt:i4>
      </vt:variant>
      <vt:variant>
        <vt:i4>5</vt:i4>
      </vt:variant>
      <vt:variant>
        <vt:lpwstr>https://www.ipcc.ch/report/ar6/wg1/</vt:lpwstr>
      </vt:variant>
      <vt:variant>
        <vt:lpwstr/>
      </vt:variant>
      <vt:variant>
        <vt:i4>2097279</vt:i4>
      </vt:variant>
      <vt:variant>
        <vt:i4>48</vt:i4>
      </vt:variant>
      <vt:variant>
        <vt:i4>0</vt:i4>
      </vt:variant>
      <vt:variant>
        <vt:i4>5</vt:i4>
      </vt:variant>
      <vt:variant>
        <vt:lpwstr>https://unfccc.int/documents/267207</vt:lpwstr>
      </vt:variant>
      <vt:variant>
        <vt:lpwstr/>
      </vt:variant>
      <vt:variant>
        <vt:i4>3014771</vt:i4>
      </vt:variant>
      <vt:variant>
        <vt:i4>45</vt:i4>
      </vt:variant>
      <vt:variant>
        <vt:i4>0</vt:i4>
      </vt:variant>
      <vt:variant>
        <vt:i4>5</vt:i4>
      </vt:variant>
      <vt:variant>
        <vt:lpwstr>https://unfccc.int/documents/209801</vt:lpwstr>
      </vt:variant>
      <vt:variant>
        <vt:lpwstr/>
      </vt:variant>
      <vt:variant>
        <vt:i4>5111865</vt:i4>
      </vt:variant>
      <vt:variant>
        <vt:i4>42</vt:i4>
      </vt:variant>
      <vt:variant>
        <vt:i4>0</vt:i4>
      </vt:variant>
      <vt:variant>
        <vt:i4>5</vt:i4>
      </vt:variant>
      <vt:variant>
        <vt:lpwstr>https://unfccc.int/ttclear/events/2020/2020_event07</vt:lpwstr>
      </vt:variant>
      <vt:variant>
        <vt:lpwstr/>
      </vt:variant>
      <vt:variant>
        <vt:i4>7667820</vt:i4>
      </vt:variant>
      <vt:variant>
        <vt:i4>39</vt:i4>
      </vt:variant>
      <vt:variant>
        <vt:i4>0</vt:i4>
      </vt:variant>
      <vt:variant>
        <vt:i4>5</vt:i4>
      </vt:variant>
      <vt:variant>
        <vt:lpwstr>https://unfccc.int/ttclear/tec</vt:lpwstr>
      </vt:variant>
      <vt:variant>
        <vt:lpwstr/>
      </vt:variant>
      <vt:variant>
        <vt:i4>3473448</vt:i4>
      </vt:variant>
      <vt:variant>
        <vt:i4>36</vt:i4>
      </vt:variant>
      <vt:variant>
        <vt:i4>0</vt:i4>
      </vt:variant>
      <vt:variant>
        <vt:i4>5</vt:i4>
      </vt:variant>
      <vt:variant>
        <vt:lpwstr>https://unfccc.int/ttclear/tec/techandndc.html</vt:lpwstr>
      </vt:variant>
      <vt:variant>
        <vt:lpwstr/>
      </vt:variant>
      <vt:variant>
        <vt:i4>3735670</vt:i4>
      </vt:variant>
      <vt:variant>
        <vt:i4>33</vt:i4>
      </vt:variant>
      <vt:variant>
        <vt:i4>0</vt:i4>
      </vt:variant>
      <vt:variant>
        <vt:i4>5</vt:i4>
      </vt:variant>
      <vt:variant>
        <vt:lpwstr>https://unfccc.int/Art.9.5-biennial-communications</vt:lpwstr>
      </vt:variant>
      <vt:variant>
        <vt:lpwstr/>
      </vt:variant>
      <vt:variant>
        <vt:i4>7667825</vt:i4>
      </vt:variant>
      <vt:variant>
        <vt:i4>30</vt:i4>
      </vt:variant>
      <vt:variant>
        <vt:i4>0</vt:i4>
      </vt:variant>
      <vt:variant>
        <vt:i4>5</vt:i4>
      </vt:variant>
      <vt:variant>
        <vt:lpwstr>https://www.adaptation-fund.org/documents-publications/</vt:lpwstr>
      </vt:variant>
      <vt:variant>
        <vt:lpwstr/>
      </vt:variant>
      <vt:variant>
        <vt:i4>327685</vt:i4>
      </vt:variant>
      <vt:variant>
        <vt:i4>27</vt:i4>
      </vt:variant>
      <vt:variant>
        <vt:i4>0</vt:i4>
      </vt:variant>
      <vt:variant>
        <vt:i4>5</vt:i4>
      </vt:variant>
      <vt:variant>
        <vt:lpwstr>https://www.adaptation-fund.org/document/mid-term-review-of-the-medium-term-strategy-of-the-adaptation-fund/</vt:lpwstr>
      </vt:variant>
      <vt:variant>
        <vt:lpwstr/>
      </vt:variant>
      <vt:variant>
        <vt:i4>720991</vt:i4>
      </vt:variant>
      <vt:variant>
        <vt:i4>24</vt:i4>
      </vt:variant>
      <vt:variant>
        <vt:i4>0</vt:i4>
      </vt:variant>
      <vt:variant>
        <vt:i4>5</vt:i4>
      </vt:variant>
      <vt:variant>
        <vt:lpwstr>https://www.adaptation-fund.org/document/medium-term-strategy-2018-2022/</vt:lpwstr>
      </vt:variant>
      <vt:variant>
        <vt:lpwstr/>
      </vt:variant>
      <vt:variant>
        <vt:i4>3932214</vt:i4>
      </vt:variant>
      <vt:variant>
        <vt:i4>21</vt:i4>
      </vt:variant>
      <vt:variant>
        <vt:i4>0</vt:i4>
      </vt:variant>
      <vt:variant>
        <vt:i4>5</vt:i4>
      </vt:variant>
      <vt:variant>
        <vt:lpwstr>https://www.thegef.org/documents/instrument-establishment-restructured-gef</vt:lpwstr>
      </vt:variant>
      <vt:variant>
        <vt:lpwstr/>
      </vt:variant>
      <vt:variant>
        <vt:i4>655377</vt:i4>
      </vt:variant>
      <vt:variant>
        <vt:i4>18</vt:i4>
      </vt:variant>
      <vt:variant>
        <vt:i4>0</vt:i4>
      </vt:variant>
      <vt:variant>
        <vt:i4>5</vt:i4>
      </vt:variant>
      <vt:variant>
        <vt:lpwstr>https://www.greenclimate.fund/document/guiding-principles-and-factors-determining-terms-financial-instruments</vt:lpwstr>
      </vt:variant>
      <vt:variant>
        <vt:lpwstr/>
      </vt:variant>
      <vt:variant>
        <vt:i4>1769500</vt:i4>
      </vt:variant>
      <vt:variant>
        <vt:i4>15</vt:i4>
      </vt:variant>
      <vt:variant>
        <vt:i4>0</vt:i4>
      </vt:variant>
      <vt:variant>
        <vt:i4>5</vt:i4>
      </vt:variant>
      <vt:variant>
        <vt:lpwstr>https://www.greenclimate.fund/document/gcf-b27-21</vt:lpwstr>
      </vt:variant>
      <vt:variant>
        <vt:lpwstr/>
      </vt:variant>
      <vt:variant>
        <vt:i4>5898268</vt:i4>
      </vt:variant>
      <vt:variant>
        <vt:i4>12</vt:i4>
      </vt:variant>
      <vt:variant>
        <vt:i4>0</vt:i4>
      </vt:variant>
      <vt:variant>
        <vt:i4>5</vt:i4>
      </vt:variant>
      <vt:variant>
        <vt:lpwstr>https://www4.unfccc.int/sites/submissionsstaging/Pages/Home.aspx</vt:lpwstr>
      </vt:variant>
      <vt:variant>
        <vt:lpwstr/>
      </vt:variant>
      <vt:variant>
        <vt:i4>5898268</vt:i4>
      </vt:variant>
      <vt:variant>
        <vt:i4>9</vt:i4>
      </vt:variant>
      <vt:variant>
        <vt:i4>0</vt:i4>
      </vt:variant>
      <vt:variant>
        <vt:i4>5</vt:i4>
      </vt:variant>
      <vt:variant>
        <vt:lpwstr>https://www4.unfccc.int/sites/submissionsstaging/Pages/Home.aspx</vt:lpwstr>
      </vt:variant>
      <vt:variant>
        <vt:lpwstr/>
      </vt:variant>
      <vt:variant>
        <vt:i4>5898268</vt:i4>
      </vt:variant>
      <vt:variant>
        <vt:i4>6</vt:i4>
      </vt:variant>
      <vt:variant>
        <vt:i4>0</vt:i4>
      </vt:variant>
      <vt:variant>
        <vt:i4>5</vt:i4>
      </vt:variant>
      <vt:variant>
        <vt:lpwstr>https://www4.unfccc.int/sites/submissionsstaging/Pages/Home.aspx</vt:lpwstr>
      </vt:variant>
      <vt:variant>
        <vt:lpwstr/>
      </vt:variant>
      <vt:variant>
        <vt:i4>8192101</vt:i4>
      </vt:variant>
      <vt:variant>
        <vt:i4>3</vt:i4>
      </vt:variant>
      <vt:variant>
        <vt:i4>0</vt:i4>
      </vt:variant>
      <vt:variant>
        <vt:i4>5</vt:i4>
      </vt:variant>
      <vt:variant>
        <vt:lpwstr>https://unfccc.int/event/AC-webinar-GGA</vt:lpwstr>
      </vt:variant>
      <vt:variant>
        <vt:lpwstr/>
      </vt:variant>
      <vt:variant>
        <vt:i4>1048659</vt:i4>
      </vt:variant>
      <vt:variant>
        <vt:i4>0</vt:i4>
      </vt:variant>
      <vt:variant>
        <vt:i4>0</vt:i4>
      </vt:variant>
      <vt:variant>
        <vt:i4>5</vt:i4>
      </vt:variant>
      <vt:variant>
        <vt:lpwstr>https://unfccc.int/process-and-meetings/bodies/constituted-bodies/adaptation-committee-ac/publications-bulletin-adaptation-committee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second session, held in Glasgow from 31 October to 12 November 2021. Addendum</dc:title>
  <dc:subject/>
  <dc:creator>Aisulu Aldasheva</dc:creator>
  <cp:keywords/>
  <dc:description/>
  <cp:lastModifiedBy>Corinne Cornu</cp:lastModifiedBy>
  <cp:revision>3</cp:revision>
  <cp:lastPrinted>2022-03-08T08:42:00Z</cp:lastPrinted>
  <dcterms:created xsi:type="dcterms:W3CDTF">2022-03-08T08:44:00Z</dcterms:created>
  <dcterms:modified xsi:type="dcterms:W3CDTF">2022-03-09T14:33:00Z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14:40:05</vt:lpwstr>
  </property>
  <property fmtid="{D5CDD505-2E9C-101B-9397-08002B2CF9AE}" pid="4" name="ContentTypeId">
    <vt:lpwstr>0x0101002BEBFA4AD3D067488A4F8AE22F38BF68</vt:lpwstr>
  </property>
  <property fmtid="{D5CDD505-2E9C-101B-9397-08002B2CF9AE}" pid="5" name="_dlc_DocIdItemGuid">
    <vt:lpwstr>f68bfa39-1dc7-4f30-85fc-373d7923a067</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kb2e315405fe407aa7f85ff4a1d5bcda">
    <vt:lpwstr/>
  </property>
  <property fmtid="{D5CDD505-2E9C-101B-9397-08002B2CF9AE}" pid="8" name="Agenda Item">
    <vt:lpwstr/>
  </property>
  <property fmtid="{D5CDD505-2E9C-101B-9397-08002B2CF9AE}" pid="9" name="fccc_substantive_topic">
    <vt:lpwstr>46;#Sessional proceedings|ff7bdb8c-f4ee-4fbb-ab88-7747669b7746</vt:lpwstr>
  </property>
  <property fmtid="{D5CDD505-2E9C-101B-9397-08002B2CF9AE}" pid="10" name="fccc_Keywords">
    <vt:lpwstr>105;#conferences|b310ccc6-61a0-4f83-a3b7-1510e8eef4cb;#264;#High-level segments|e5b5f8cd-a8c3-46d5-adaf-daa2da506eb9;#119;#Paris Agreement|302fc1d2-399f-4041-b271-b05c288ac261;#175;#Paris Agreement work programme (PAWP)|8d295a3b-a1f9-4dc8-88d2-9a29b10afd1</vt:lpwstr>
  </property>
  <property fmtid="{D5CDD505-2E9C-101B-9397-08002B2CF9AE}" pid="11" name="fccc_session">
    <vt:lpwstr>312;#CMA 3|b8f12045-ca9d-45fb-873c-1b75a6e06054</vt:lpwstr>
  </property>
  <property fmtid="{D5CDD505-2E9C-101B-9397-08002B2CF9AE}" pid="12" name="LinkedUNFCCCDocumentTracker">
    <vt:lpwstr>3693</vt:lpwstr>
  </property>
  <property fmtid="{D5CDD505-2E9C-101B-9397-08002B2CF9AE}" pid="13" name="Web_x0020_doc_x0020_type">
    <vt:lpwstr/>
  </property>
  <property fmtid="{D5CDD505-2E9C-101B-9397-08002B2CF9AE}" pid="14" name="Web doc type">
    <vt:lpwstr/>
  </property>
  <property fmtid="{D5CDD505-2E9C-101B-9397-08002B2CF9AE}" pid="15" name="fccc_responsible_substantive_clearance">
    <vt:lpwstr>23;#Mensur Serifovic</vt:lpwstr>
  </property>
  <property fmtid="{D5CDD505-2E9C-101B-9397-08002B2CF9AE}" pid="16" name="docSymbol1">
    <vt:lpwstr>FCCC/PA/CMA/2021/10/Add.3</vt:lpwstr>
  </property>
  <property fmtid="{D5CDD505-2E9C-101B-9397-08002B2CF9AE}" pid="17" name="docSymbol2">
    <vt:lpwstr/>
  </property>
  <property fmtid="{D5CDD505-2E9C-101B-9397-08002B2CF9AE}" pid="18" name="MediaServiceImageTags">
    <vt:lpwstr/>
  </property>
</Properties>
</file>