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401726BD" w14:textId="77777777" w:rsidTr="00F37EA6">
        <w:trPr>
          <w:cantSplit/>
          <w:trHeight w:hRule="exact" w:val="1141"/>
        </w:trPr>
        <w:tc>
          <w:tcPr>
            <w:tcW w:w="1242" w:type="dxa"/>
            <w:vAlign w:val="bottom"/>
          </w:tcPr>
          <w:p w14:paraId="68DF5996" w14:textId="37B13BBC" w:rsidR="002D66A2" w:rsidRPr="003F5FEE" w:rsidRDefault="00F37EA6">
            <w:r w:rsidRPr="00885096">
              <w:rPr>
                <w:noProof/>
                <w:lang w:eastAsia="en-US"/>
              </w:rPr>
              <w:drawing>
                <wp:inline distT="0" distB="0" distL="0" distR="0" wp14:anchorId="254D5F09" wp14:editId="2443978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5B7CCAD3" w14:textId="77777777" w:rsidR="002D66A2" w:rsidRPr="00A86746" w:rsidRDefault="002D66A2">
            <w:pPr>
              <w:ind w:left="113"/>
              <w:rPr>
                <w:sz w:val="28"/>
                <w:szCs w:val="28"/>
              </w:rPr>
            </w:pPr>
            <w:r w:rsidRPr="00A86746">
              <w:rPr>
                <w:sz w:val="28"/>
                <w:szCs w:val="28"/>
              </w:rPr>
              <w:t>United Nations</w:t>
            </w:r>
          </w:p>
        </w:tc>
        <w:tc>
          <w:tcPr>
            <w:tcW w:w="5845" w:type="dxa"/>
            <w:gridSpan w:val="3"/>
            <w:vAlign w:val="bottom"/>
          </w:tcPr>
          <w:p w14:paraId="5D7DD9BE" w14:textId="24703FFD" w:rsidR="002D66A2" w:rsidRPr="00017F7D" w:rsidRDefault="00017F7D" w:rsidP="00017F7D">
            <w:pPr>
              <w:jc w:val="right"/>
            </w:pPr>
            <w:r w:rsidRPr="00017F7D">
              <w:rPr>
                <w:sz w:val="40"/>
              </w:rPr>
              <w:t>FCCC</w:t>
            </w:r>
            <w:r>
              <w:t>/PA/CMA/2023/16/Add.3</w:t>
            </w:r>
          </w:p>
        </w:tc>
      </w:tr>
      <w:tr w:rsidR="002D66A2" w14:paraId="2EB89AB1" w14:textId="77777777">
        <w:trPr>
          <w:cantSplit/>
          <w:trHeight w:hRule="exact" w:val="2552"/>
        </w:trPr>
        <w:tc>
          <w:tcPr>
            <w:tcW w:w="4511" w:type="dxa"/>
            <w:gridSpan w:val="3"/>
          </w:tcPr>
          <w:p w14:paraId="5335FCE5" w14:textId="10AC8148" w:rsidR="002D66A2" w:rsidRPr="003F5FEE" w:rsidRDefault="002D66A2">
            <w:r w:rsidRPr="0007030A">
              <w:rPr>
                <w:noProof/>
                <w:color w:val="2B579A"/>
                <w:lang w:val="en-US" w:eastAsia="en-US"/>
              </w:rPr>
              <w:drawing>
                <wp:inline distT="0" distB="0" distL="0" distR="0" wp14:anchorId="4FE1AF8E" wp14:editId="06D5A259">
                  <wp:extent cx="2401570" cy="5727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inline>
              </w:drawing>
            </w:r>
          </w:p>
          <w:p w14:paraId="02F92698" w14:textId="506A90D2" w:rsidR="002D66A2" w:rsidRPr="003F5FEE" w:rsidRDefault="002D66A2"/>
        </w:tc>
        <w:tc>
          <w:tcPr>
            <w:tcW w:w="2293" w:type="dxa"/>
          </w:tcPr>
          <w:p w14:paraId="2B4A3D02" w14:textId="77777777" w:rsidR="002D66A2" w:rsidRPr="003F5FEE" w:rsidRDefault="002D66A2"/>
        </w:tc>
        <w:tc>
          <w:tcPr>
            <w:tcW w:w="2835" w:type="dxa"/>
          </w:tcPr>
          <w:p w14:paraId="380681D1" w14:textId="77777777" w:rsidR="003674F7" w:rsidRDefault="00017F7D" w:rsidP="00017F7D">
            <w:pPr>
              <w:spacing w:before="240" w:line="240" w:lineRule="exact"/>
              <w:ind w:left="143"/>
            </w:pPr>
            <w:r>
              <w:t>Distr.: General</w:t>
            </w:r>
          </w:p>
          <w:p w14:paraId="0853EE8A" w14:textId="4E29865B" w:rsidR="00017F7D" w:rsidRDefault="00017F7D" w:rsidP="00017F7D">
            <w:pPr>
              <w:spacing w:line="240" w:lineRule="exact"/>
              <w:ind w:left="143"/>
            </w:pPr>
            <w:r>
              <w:t>1</w:t>
            </w:r>
            <w:r w:rsidR="009B4D9E">
              <w:t>5</w:t>
            </w:r>
            <w:r>
              <w:t xml:space="preserve"> March 2024</w:t>
            </w:r>
          </w:p>
          <w:p w14:paraId="7AE208E3" w14:textId="77777777" w:rsidR="00017F7D" w:rsidRDefault="00017F7D" w:rsidP="00017F7D">
            <w:pPr>
              <w:spacing w:line="240" w:lineRule="exact"/>
              <w:ind w:left="143"/>
            </w:pPr>
          </w:p>
          <w:p w14:paraId="5A133A83" w14:textId="4C7BE7A6" w:rsidR="00017F7D" w:rsidRPr="00E0470D" w:rsidRDefault="00017F7D" w:rsidP="00017F7D">
            <w:pPr>
              <w:spacing w:line="240" w:lineRule="exact"/>
              <w:ind w:left="143"/>
            </w:pPr>
            <w:r>
              <w:t>Original: English</w:t>
            </w:r>
          </w:p>
        </w:tc>
      </w:tr>
    </w:tbl>
    <w:p w14:paraId="56B41FE3" w14:textId="3C1BF7F5" w:rsidR="003E45B1" w:rsidRDefault="003E45B1" w:rsidP="003E45B1">
      <w:pPr>
        <w:spacing w:before="120"/>
        <w:rPr>
          <w:b/>
          <w:sz w:val="24"/>
          <w:szCs w:val="24"/>
        </w:rPr>
      </w:pPr>
      <w:r>
        <w:rPr>
          <w:b/>
          <w:sz w:val="24"/>
          <w:szCs w:val="24"/>
        </w:rPr>
        <w:t>Conference of the Parties</w:t>
      </w:r>
      <w:r w:rsidRPr="008B33C9">
        <w:rPr>
          <w:b/>
          <w:sz w:val="24"/>
          <w:szCs w:val="24"/>
        </w:rPr>
        <w:t xml:space="preserve"> </w:t>
      </w:r>
      <w:bookmarkStart w:id="0" w:name="_Hlk75869726"/>
      <w:r>
        <w:rPr>
          <w:b/>
          <w:sz w:val="24"/>
          <w:szCs w:val="24"/>
        </w:rPr>
        <w:t xml:space="preserve">serving as the meeting </w:t>
      </w:r>
      <w:r>
        <w:rPr>
          <w:b/>
          <w:sz w:val="24"/>
          <w:szCs w:val="24"/>
        </w:rPr>
        <w:br/>
        <w:t>of the Parties to the Paris Agreement</w:t>
      </w:r>
      <w:bookmarkEnd w:id="0"/>
    </w:p>
    <w:p w14:paraId="57383861" w14:textId="7310CAA7" w:rsidR="003E45B1" w:rsidRDefault="003E45B1" w:rsidP="00F31153">
      <w:pPr>
        <w:pStyle w:val="RegHChG"/>
        <w:ind w:left="1135" w:hanging="454"/>
      </w:pPr>
      <w:bookmarkStart w:id="1" w:name="_Toc161286205"/>
      <w:bookmarkStart w:id="2" w:name="_Toc161242624"/>
      <w:r>
        <w:t>R</w:t>
      </w:r>
      <w:r w:rsidRPr="00DE51A7">
        <w:t xml:space="preserve">eport of the </w:t>
      </w:r>
      <w:r>
        <w:t xml:space="preserve">Conference of the Parties </w:t>
      </w:r>
      <w:r w:rsidRPr="008B33C9">
        <w:t>serving as the meeting of the Parties to the Paris Agreement</w:t>
      </w:r>
      <w:r>
        <w:t xml:space="preserve"> on its </w:t>
      </w:r>
      <w:r>
        <w:br/>
      </w:r>
      <w:r w:rsidR="00565662">
        <w:t>fifth</w:t>
      </w:r>
      <w:r>
        <w:t xml:space="preserve"> session, held in </w:t>
      </w:r>
      <w:r w:rsidR="003E26AC">
        <w:t>the United Arab Emirates</w:t>
      </w:r>
      <w:r>
        <w:t xml:space="preserve"> from </w:t>
      </w:r>
      <w:r w:rsidR="00210119">
        <w:br/>
      </w:r>
      <w:r>
        <w:t>3</w:t>
      </w:r>
      <w:r w:rsidR="006921A3">
        <w:t>0</w:t>
      </w:r>
      <w:r>
        <w:t xml:space="preserve"> </w:t>
      </w:r>
      <w:r w:rsidR="006921A3">
        <w:t>November</w:t>
      </w:r>
      <w:r>
        <w:t xml:space="preserve"> to 1</w:t>
      </w:r>
      <w:r w:rsidR="00A2296A">
        <w:t>3</w:t>
      </w:r>
      <w:r>
        <w:t xml:space="preserve"> </w:t>
      </w:r>
      <w:r w:rsidR="006921A3">
        <w:t>December</w:t>
      </w:r>
      <w:r>
        <w:t xml:space="preserve"> 202</w:t>
      </w:r>
      <w:r w:rsidR="006921A3">
        <w:t>3</w:t>
      </w:r>
      <w:bookmarkEnd w:id="1"/>
      <w:bookmarkEnd w:id="2"/>
    </w:p>
    <w:p w14:paraId="58CBF7C7" w14:textId="77777777" w:rsidR="00B87721" w:rsidRDefault="00B87721" w:rsidP="00F31153">
      <w:pPr>
        <w:pStyle w:val="RegH1G"/>
        <w:ind w:left="1135" w:hanging="454"/>
      </w:pPr>
      <w:bookmarkStart w:id="3" w:name="_Toc161286206"/>
      <w:bookmarkStart w:id="4" w:name="_Toc161242625"/>
      <w:r>
        <w:t>Addendum</w:t>
      </w:r>
      <w:bookmarkEnd w:id="3"/>
      <w:bookmarkEnd w:id="4"/>
    </w:p>
    <w:p w14:paraId="23ED7D8A" w14:textId="77777777" w:rsidR="00B87721" w:rsidRDefault="00B87721" w:rsidP="00F31153">
      <w:pPr>
        <w:pStyle w:val="RegH1G"/>
        <w:ind w:left="1135" w:hanging="454"/>
      </w:pPr>
      <w:bookmarkStart w:id="5" w:name="_Toc161286207"/>
      <w:bookmarkStart w:id="6" w:name="_Toc161242626"/>
      <w:r>
        <w:t>Part two: Action taken by the Conference of the Parties serving as the meeting of the Parties to the Paris Agreement at its fifth session</w:t>
      </w:r>
      <w:bookmarkEnd w:id="5"/>
      <w:bookmarkEnd w:id="6"/>
    </w:p>
    <w:p w14:paraId="68F5CE5A" w14:textId="77777777" w:rsidR="00B87721" w:rsidRDefault="00B87721" w:rsidP="00275711">
      <w:pPr>
        <w:spacing w:after="120"/>
        <w:rPr>
          <w:b/>
          <w:bCs/>
          <w:sz w:val="24"/>
          <w:szCs w:val="24"/>
        </w:rPr>
      </w:pPr>
      <w:r w:rsidRPr="00275711">
        <w:rPr>
          <w:sz w:val="28"/>
        </w:rPr>
        <w:t>Contents</w:t>
      </w:r>
    </w:p>
    <w:p w14:paraId="38FA4DE1" w14:textId="77777777" w:rsidR="00B87721" w:rsidRPr="0065442D" w:rsidRDefault="00B87721" w:rsidP="00F31153">
      <w:pPr>
        <w:pStyle w:val="RegHChG"/>
        <w:ind w:left="1135" w:hanging="454"/>
      </w:pPr>
      <w:bookmarkStart w:id="7" w:name="_Toc161286208"/>
      <w:bookmarkStart w:id="8" w:name="_Toc161242627"/>
      <w:r>
        <w:t>Decisions adopted by the Conference of the Parties serving as the meeting of the Parties to the Paris Agreement</w:t>
      </w:r>
      <w:bookmarkEnd w:id="7"/>
      <w:bookmarkEnd w:id="8"/>
    </w:p>
    <w:p w14:paraId="1236681C" w14:textId="44A13477" w:rsidR="00B41CA8" w:rsidRPr="00816A48" w:rsidRDefault="00BE32FF" w:rsidP="000A0CBC">
      <w:pPr>
        <w:tabs>
          <w:tab w:val="left" w:pos="1134"/>
          <w:tab w:val="right" w:pos="9638"/>
        </w:tabs>
        <w:spacing w:after="120"/>
        <w:ind w:left="283"/>
        <w:rPr>
          <w:i/>
        </w:rPr>
      </w:pPr>
      <w:r w:rsidRPr="00816A48">
        <w:rPr>
          <w:i/>
        </w:rPr>
        <w:tab/>
      </w:r>
      <w:r w:rsidR="00B41CA8" w:rsidRPr="00816A48">
        <w:rPr>
          <w:i/>
        </w:rPr>
        <w:t xml:space="preserve">Decision </w:t>
      </w:r>
      <w:r w:rsidR="00B41CA8" w:rsidRPr="00816A48">
        <w:rPr>
          <w:i/>
        </w:rPr>
        <w:tab/>
        <w:t>Page</w:t>
      </w:r>
    </w:p>
    <w:p w14:paraId="18E3A6DD" w14:textId="424F2F77" w:rsidR="00553239" w:rsidRPr="005750DB" w:rsidRDefault="005B7804" w:rsidP="005750DB">
      <w:pPr>
        <w:pStyle w:val="TOC1"/>
      </w:pPr>
      <w:r>
        <w:tab/>
      </w:r>
      <w:r w:rsidR="00BE32FF">
        <w:tab/>
      </w:r>
      <w:hyperlink w:anchor="decision17" w:history="1">
        <w:r w:rsidR="00553239" w:rsidRPr="00756495">
          <w:rPr>
            <w:rStyle w:val="Hyperlink"/>
          </w:rPr>
          <w:t>17/CMA.5</w:t>
        </w:r>
      </w:hyperlink>
      <w:r w:rsidR="00553239" w:rsidRPr="005750DB">
        <w:tab/>
        <w:t>Work programme under the framework for non-market approaches referred to</w:t>
      </w:r>
      <w:r w:rsidR="00217E8F">
        <w:br/>
      </w:r>
      <w:r w:rsidR="00553239" w:rsidRPr="005750DB">
        <w:t>in Article 6,paragraph 8, of the Paris Agreement and in decision 4/CMA.3</w:t>
      </w:r>
      <w:r w:rsidR="00553239" w:rsidRPr="005750DB">
        <w:tab/>
      </w:r>
      <w:r w:rsidR="00553239" w:rsidRPr="005750DB">
        <w:tab/>
        <w:t>2</w:t>
      </w:r>
    </w:p>
    <w:p w14:paraId="62F6EF45" w14:textId="16F8BC8A" w:rsidR="00553239" w:rsidRPr="005750DB" w:rsidRDefault="00A07B56" w:rsidP="005750DB">
      <w:pPr>
        <w:pStyle w:val="TOC1"/>
      </w:pPr>
      <w:r w:rsidRPr="005750DB">
        <w:tab/>
      </w:r>
      <w:r w:rsidRPr="005750DB">
        <w:tab/>
      </w:r>
      <w:hyperlink w:anchor="decision18" w:history="1">
        <w:r w:rsidR="00553239" w:rsidRPr="00B64587">
          <w:rPr>
            <w:rStyle w:val="Hyperlink"/>
          </w:rPr>
          <w:t>18/CMA.5</w:t>
        </w:r>
      </w:hyperlink>
      <w:r w:rsidRPr="005750DB">
        <w:tab/>
      </w:r>
      <w:r w:rsidR="00553239" w:rsidRPr="005750DB">
        <w:t>Provision of financial and technical support to developing country Parties</w:t>
      </w:r>
      <w:r w:rsidR="00217E8F">
        <w:br/>
      </w:r>
      <w:r w:rsidR="00553239" w:rsidRPr="005750DB">
        <w:t>for reporting and</w:t>
      </w:r>
      <w:r w:rsidR="00217E8F">
        <w:t xml:space="preserve"> </w:t>
      </w:r>
      <w:r w:rsidR="00553239" w:rsidRPr="005750DB">
        <w:t>capacity-building</w:t>
      </w:r>
      <w:r w:rsidR="00553239" w:rsidRPr="005750DB">
        <w:tab/>
      </w:r>
      <w:r w:rsidR="00553239" w:rsidRPr="005750DB">
        <w:tab/>
        <w:t>5</w:t>
      </w:r>
    </w:p>
    <w:p w14:paraId="2C80F215" w14:textId="402260A8" w:rsidR="00B41CA8" w:rsidRPr="005750DB" w:rsidRDefault="00A07B56" w:rsidP="005750DB">
      <w:pPr>
        <w:pStyle w:val="TOC1"/>
      </w:pPr>
      <w:r w:rsidRPr="005750DB">
        <w:tab/>
      </w:r>
      <w:r w:rsidRPr="005750DB">
        <w:tab/>
      </w:r>
      <w:hyperlink w:anchor="decision19" w:history="1">
        <w:r w:rsidR="00B41CA8" w:rsidRPr="00B64587">
          <w:rPr>
            <w:rStyle w:val="Hyperlink"/>
          </w:rPr>
          <w:t>19/CMA.5</w:t>
        </w:r>
      </w:hyperlink>
      <w:r w:rsidR="00B41CA8" w:rsidRPr="005750DB">
        <w:tab/>
        <w:t>Review of the functions, work programme and modalities of the forum on</w:t>
      </w:r>
      <w:r w:rsidR="00217E8F">
        <w:br/>
      </w:r>
      <w:r w:rsidR="00B41CA8" w:rsidRPr="005750DB">
        <w:t>the impact</w:t>
      </w:r>
      <w:r w:rsidR="00217E8F">
        <w:t xml:space="preserve"> </w:t>
      </w:r>
      <w:r w:rsidR="00B41CA8" w:rsidRPr="005750DB">
        <w:t xml:space="preserve">of the implementation of response measures, midterm review </w:t>
      </w:r>
      <w:r w:rsidR="00217E8F">
        <w:br/>
      </w:r>
      <w:r w:rsidR="00B41CA8" w:rsidRPr="005750DB">
        <w:t>of the workplan</w:t>
      </w:r>
      <w:r w:rsidR="00217E8F">
        <w:t xml:space="preserve"> </w:t>
      </w:r>
      <w:r w:rsidR="00B41CA8" w:rsidRPr="005750DB">
        <w:t>and report of the forum</w:t>
      </w:r>
      <w:r w:rsidR="00A12555" w:rsidRPr="005750DB">
        <w:tab/>
      </w:r>
      <w:r w:rsidR="00756495">
        <w:tab/>
      </w:r>
      <w:r w:rsidR="004F5C62" w:rsidRPr="005750DB">
        <w:t>8</w:t>
      </w:r>
    </w:p>
    <w:p w14:paraId="348236B4" w14:textId="0DE2447D" w:rsidR="00B41CA8" w:rsidRPr="005750DB" w:rsidRDefault="00A07B56" w:rsidP="005750DB">
      <w:pPr>
        <w:pStyle w:val="TOC1"/>
      </w:pPr>
      <w:r w:rsidRPr="005750DB">
        <w:tab/>
      </w:r>
      <w:r w:rsidRPr="005750DB">
        <w:tab/>
      </w:r>
      <w:hyperlink w:anchor="decision20" w:history="1">
        <w:r w:rsidR="00B41CA8" w:rsidRPr="00B64587">
          <w:rPr>
            <w:rStyle w:val="Hyperlink"/>
          </w:rPr>
          <w:t>20/CMA.5</w:t>
        </w:r>
      </w:hyperlink>
      <w:r w:rsidR="00B41CA8" w:rsidRPr="005750DB">
        <w:tab/>
        <w:t>Sixth Assessment Report of the Intergovernmental Panel on Climate Change</w:t>
      </w:r>
      <w:r w:rsidR="00B41CA8" w:rsidRPr="005750DB">
        <w:tab/>
      </w:r>
      <w:r w:rsidR="00B41CA8" w:rsidRPr="005750DB">
        <w:tab/>
        <w:t>1</w:t>
      </w:r>
      <w:r w:rsidR="004F5C62" w:rsidRPr="005750DB">
        <w:t>6</w:t>
      </w:r>
    </w:p>
    <w:p w14:paraId="05DD4E6C" w14:textId="4C91A610" w:rsidR="00B41CA8" w:rsidRPr="005750DB" w:rsidRDefault="00A07B56" w:rsidP="005750DB">
      <w:pPr>
        <w:pStyle w:val="TOC1"/>
      </w:pPr>
      <w:r w:rsidRPr="005750DB">
        <w:tab/>
      </w:r>
      <w:r w:rsidRPr="005750DB">
        <w:tab/>
      </w:r>
      <w:bookmarkStart w:id="9" w:name="decision21"/>
      <w:r w:rsidR="00D9785D">
        <w:fldChar w:fldCharType="begin"/>
      </w:r>
      <w:r w:rsidR="00D9785D">
        <w:instrText xml:space="preserve"> HYPERLINK  \l "decision21" </w:instrText>
      </w:r>
      <w:r w:rsidR="00D9785D">
        <w:fldChar w:fldCharType="separate"/>
      </w:r>
      <w:r w:rsidR="00B41CA8" w:rsidRPr="00D9785D">
        <w:rPr>
          <w:rStyle w:val="Hyperlink"/>
        </w:rPr>
        <w:t>21/CMA.5</w:t>
      </w:r>
      <w:bookmarkEnd w:id="9"/>
      <w:r w:rsidR="00D9785D">
        <w:rPr>
          <w:rStyle w:val="Hyperlink"/>
        </w:rPr>
        <w:fldChar w:fldCharType="end"/>
      </w:r>
      <w:r w:rsidR="00B41CA8" w:rsidRPr="005750DB">
        <w:tab/>
        <w:t>Presidency youth climate champion</w:t>
      </w:r>
      <w:r w:rsidR="00B41CA8" w:rsidRPr="005750DB">
        <w:tab/>
      </w:r>
      <w:r w:rsidR="00B41CA8" w:rsidRPr="005750DB">
        <w:tab/>
        <w:t>1</w:t>
      </w:r>
      <w:r w:rsidR="004F5C62" w:rsidRPr="005750DB">
        <w:t>7</w:t>
      </w:r>
    </w:p>
    <w:p w14:paraId="6A599585" w14:textId="56C22EAA" w:rsidR="00E65B3C" w:rsidRPr="00816A48" w:rsidRDefault="00E65B3C" w:rsidP="00E65B3C">
      <w:pPr>
        <w:tabs>
          <w:tab w:val="left" w:pos="1134"/>
          <w:tab w:val="right" w:pos="9638"/>
        </w:tabs>
        <w:spacing w:after="120"/>
        <w:ind w:left="283"/>
        <w:rPr>
          <w:i/>
        </w:rPr>
      </w:pPr>
      <w:r w:rsidRPr="00816A48">
        <w:rPr>
          <w:i/>
        </w:rPr>
        <w:tab/>
      </w:r>
      <w:r>
        <w:rPr>
          <w:i/>
        </w:rPr>
        <w:t>Resolution</w:t>
      </w:r>
      <w:r w:rsidRPr="00816A48">
        <w:rPr>
          <w:i/>
        </w:rPr>
        <w:t xml:space="preserve"> </w:t>
      </w:r>
    </w:p>
    <w:p w14:paraId="4D66AF71" w14:textId="1B49A6FC" w:rsidR="003E45B1" w:rsidRPr="005750DB" w:rsidRDefault="009F032A" w:rsidP="005750DB">
      <w:pPr>
        <w:pStyle w:val="TOC1"/>
      </w:pPr>
      <w:r w:rsidRPr="005750DB">
        <w:tab/>
      </w:r>
      <w:r w:rsidRPr="005750DB">
        <w:tab/>
      </w:r>
      <w:hyperlink w:anchor="resolution1" w:history="1">
        <w:r w:rsidR="00B41CA8" w:rsidRPr="00D9785D">
          <w:rPr>
            <w:rStyle w:val="Hyperlink"/>
          </w:rPr>
          <w:t>1/CMA.5</w:t>
        </w:r>
      </w:hyperlink>
      <w:r w:rsidR="00B41CA8" w:rsidRPr="005750DB">
        <w:tab/>
        <w:t>Expression of gratitude to the Government of the United Arab Emirates</w:t>
      </w:r>
      <w:r w:rsidR="00B41CA8" w:rsidRPr="005750DB">
        <w:tab/>
      </w:r>
      <w:r w:rsidR="007C2338" w:rsidRPr="005750DB">
        <w:tab/>
      </w:r>
      <w:r w:rsidR="004F5C62" w:rsidRPr="005750DB">
        <w:t>19</w:t>
      </w:r>
    </w:p>
    <w:p w14:paraId="77655093" w14:textId="77777777" w:rsidR="003E45B1" w:rsidRDefault="003E45B1" w:rsidP="003E45B1">
      <w:pPr>
        <w:suppressAutoHyphens w:val="0"/>
        <w:spacing w:line="240" w:lineRule="auto"/>
      </w:pPr>
      <w:r>
        <w:br w:type="page"/>
      </w:r>
    </w:p>
    <w:p w14:paraId="6D962606" w14:textId="55181308" w:rsidR="009561E5" w:rsidRPr="00B558E9" w:rsidRDefault="009561E5" w:rsidP="00F31153">
      <w:pPr>
        <w:pStyle w:val="RegHChG"/>
        <w:ind w:left="1135" w:hanging="454"/>
      </w:pPr>
      <w:bookmarkStart w:id="10" w:name="_Toc161286209"/>
      <w:bookmarkStart w:id="11" w:name="_Toc161242628"/>
      <w:bookmarkStart w:id="12" w:name="decision17"/>
      <w:r w:rsidRPr="00B558E9">
        <w:lastRenderedPageBreak/>
        <w:t>Decision 17/CMA.5</w:t>
      </w:r>
      <w:bookmarkEnd w:id="10"/>
      <w:bookmarkEnd w:id="11"/>
    </w:p>
    <w:p w14:paraId="343DA240" w14:textId="4A41A682" w:rsidR="009561E5" w:rsidRPr="009B600A" w:rsidRDefault="009561E5" w:rsidP="0007030A">
      <w:pPr>
        <w:pStyle w:val="HChG"/>
      </w:pPr>
      <w:r>
        <w:tab/>
      </w:r>
      <w:r>
        <w:tab/>
      </w:r>
      <w:r w:rsidRPr="005A28BD">
        <w:t xml:space="preserve">Work programme under the framework for non-market approaches referred to in Article 6, paragraph 8, of the </w:t>
      </w:r>
      <w:r w:rsidR="00125E71">
        <w:br/>
      </w:r>
      <w:r w:rsidRPr="005A28BD">
        <w:t>Paris Agreement and in decision 4/CMA.</w:t>
      </w:r>
      <w:r w:rsidR="00FF7200">
        <w:t>3</w:t>
      </w:r>
    </w:p>
    <w:p w14:paraId="3B8644A5" w14:textId="56AD4D08" w:rsidR="003C6C45" w:rsidRPr="004158CC" w:rsidRDefault="006C1C99" w:rsidP="006C1C99">
      <w:pPr>
        <w:pStyle w:val="RegSingleTxtG"/>
        <w:ind w:left="1134"/>
        <w:rPr>
          <w:color w:val="000000" w:themeColor="text1"/>
        </w:rPr>
      </w:pPr>
      <w:r>
        <w:rPr>
          <w:i/>
          <w:color w:val="000000" w:themeColor="text1"/>
        </w:rPr>
        <w:tab/>
      </w:r>
      <w:r w:rsidR="003C6C45" w:rsidRPr="00E944B9">
        <w:rPr>
          <w:i/>
          <w:color w:val="000000" w:themeColor="text1"/>
        </w:rPr>
        <w:t>The Conference of the Parties serving as the meeting of the Parties to the Paris Agreement</w:t>
      </w:r>
      <w:r w:rsidR="003C6C45" w:rsidRPr="00E944B9">
        <w:rPr>
          <w:color w:val="000000" w:themeColor="text1"/>
        </w:rPr>
        <w:t>,</w:t>
      </w:r>
    </w:p>
    <w:p w14:paraId="29044E27" w14:textId="4A8EB582" w:rsidR="003C6C45" w:rsidRPr="00E944B9" w:rsidRDefault="006C1C99" w:rsidP="006C1C99">
      <w:pPr>
        <w:pStyle w:val="RegSingleTxtG"/>
        <w:ind w:left="1134"/>
        <w:rPr>
          <w:color w:val="000000" w:themeColor="text1"/>
        </w:rPr>
      </w:pPr>
      <w:r>
        <w:rPr>
          <w:i/>
          <w:color w:val="000000" w:themeColor="text1"/>
        </w:rPr>
        <w:tab/>
      </w:r>
      <w:r w:rsidR="003C6C45" w:rsidRPr="00AF7882">
        <w:rPr>
          <w:i/>
          <w:color w:val="000000" w:themeColor="text1"/>
        </w:rPr>
        <w:t>Recalling</w:t>
      </w:r>
      <w:r w:rsidR="003C6C45" w:rsidRPr="00AF7882">
        <w:rPr>
          <w:color w:val="000000" w:themeColor="text1"/>
        </w:rPr>
        <w:t xml:space="preserve"> </w:t>
      </w:r>
      <w:bookmarkStart w:id="13" w:name="_Hlk149217634"/>
      <w:r w:rsidR="003C6C45" w:rsidRPr="00AF7882">
        <w:rPr>
          <w:color w:val="000000" w:themeColor="text1"/>
        </w:rPr>
        <w:t>decision</w:t>
      </w:r>
      <w:r w:rsidR="003C6C45">
        <w:rPr>
          <w:color w:val="000000" w:themeColor="text1"/>
        </w:rPr>
        <w:t>s</w:t>
      </w:r>
      <w:r w:rsidR="003C6C45" w:rsidRPr="00AF7882">
        <w:rPr>
          <w:color w:val="000000" w:themeColor="text1"/>
        </w:rPr>
        <w:t xml:space="preserve"> 4/CMA.3</w:t>
      </w:r>
      <w:r w:rsidR="003C6C45">
        <w:rPr>
          <w:color w:val="000000" w:themeColor="text1"/>
        </w:rPr>
        <w:t xml:space="preserve"> and</w:t>
      </w:r>
      <w:r w:rsidR="003C6C45" w:rsidRPr="00AF7882">
        <w:rPr>
          <w:color w:val="000000" w:themeColor="text1"/>
        </w:rPr>
        <w:t xml:space="preserve"> 8/CMA.4</w:t>
      </w:r>
      <w:bookmarkEnd w:id="13"/>
      <w:r w:rsidR="003C6C45" w:rsidRPr="00AF7882">
        <w:rPr>
          <w:color w:val="000000" w:themeColor="text1"/>
        </w:rPr>
        <w:t xml:space="preserve"> and the Paris Agreement,</w:t>
      </w:r>
    </w:p>
    <w:p w14:paraId="2536EA56" w14:textId="705A4135" w:rsidR="003C6C45" w:rsidRPr="00E944B9" w:rsidRDefault="006C1C99" w:rsidP="006C1C99">
      <w:pPr>
        <w:pStyle w:val="RegSingleTxtG"/>
        <w:ind w:left="1134"/>
        <w:rPr>
          <w:color w:val="000000" w:themeColor="text1"/>
        </w:rPr>
      </w:pPr>
      <w:r>
        <w:rPr>
          <w:i/>
          <w:color w:val="000000" w:themeColor="text1"/>
        </w:rPr>
        <w:tab/>
      </w:r>
      <w:r w:rsidR="003C6C45" w:rsidRPr="00E944B9">
        <w:rPr>
          <w:i/>
          <w:color w:val="000000" w:themeColor="text1"/>
        </w:rPr>
        <w:t>Noting with appreciation</w:t>
      </w:r>
      <w:r w:rsidR="003C6C45" w:rsidRPr="00E944B9">
        <w:rPr>
          <w:color w:val="000000" w:themeColor="text1"/>
        </w:rPr>
        <w:t xml:space="preserve"> the contributions received from Parties and observers in support of implementing the framework for non-market approaches referred to in Article 6, paragraph 9, of the Paris Agreement,</w:t>
      </w:r>
    </w:p>
    <w:p w14:paraId="46C8B99D" w14:textId="5DF0CAC3" w:rsidR="003C6C45" w:rsidRPr="00B83EB3" w:rsidRDefault="00F31153" w:rsidP="00F31153">
      <w:pPr>
        <w:pStyle w:val="RegSingleTxtG"/>
        <w:ind w:left="1134"/>
      </w:pPr>
      <w:r w:rsidRPr="00B83EB3">
        <w:rPr>
          <w:iCs/>
        </w:rPr>
        <w:t>1.</w:t>
      </w:r>
      <w:r w:rsidRPr="00B83EB3">
        <w:rPr>
          <w:iCs/>
        </w:rPr>
        <w:tab/>
      </w:r>
      <w:r w:rsidR="003C6C45" w:rsidRPr="00B83EB3">
        <w:rPr>
          <w:i/>
        </w:rPr>
        <w:t>Welcomes</w:t>
      </w:r>
      <w:r w:rsidR="003C6C45" w:rsidRPr="00B83EB3">
        <w:t xml:space="preserve"> the report of the Glasgow Committee on Non-market Approaches,</w:t>
      </w:r>
      <w:r w:rsidR="003C6C45" w:rsidRPr="00F82679">
        <w:rPr>
          <w:rStyle w:val="FootnoteReference"/>
          <w:color w:val="000000" w:themeColor="text1"/>
        </w:rPr>
        <w:footnoteReference w:id="2"/>
      </w:r>
      <w:r w:rsidR="003C6C45" w:rsidRPr="00B83EB3">
        <w:t xml:space="preserve"> which includes information on progress in and recommendations for implementing the work programme under the framework for non-market approaches referred to in decision 4/CMA.3;</w:t>
      </w:r>
    </w:p>
    <w:p w14:paraId="1D8583BE" w14:textId="7212FFEB" w:rsidR="003C6C45" w:rsidRPr="00F82679" w:rsidRDefault="00F31153" w:rsidP="00F31153">
      <w:pPr>
        <w:pStyle w:val="RegSingleTxtG"/>
        <w:ind w:left="1134"/>
        <w:rPr>
          <w:color w:val="000000" w:themeColor="text1"/>
        </w:rPr>
      </w:pPr>
      <w:r w:rsidRPr="00F82679">
        <w:rPr>
          <w:iCs/>
          <w:color w:val="000000" w:themeColor="text1"/>
        </w:rPr>
        <w:t>2.</w:t>
      </w:r>
      <w:r w:rsidRPr="00F82679">
        <w:rPr>
          <w:iCs/>
          <w:color w:val="000000" w:themeColor="text1"/>
        </w:rPr>
        <w:tab/>
      </w:r>
      <w:r w:rsidR="003C6C45" w:rsidRPr="00F82679">
        <w:rPr>
          <w:i/>
          <w:iCs/>
          <w:color w:val="000000" w:themeColor="text1"/>
        </w:rPr>
        <w:t>Recalls</w:t>
      </w:r>
      <w:r w:rsidR="003C6C45" w:rsidRPr="00F82679">
        <w:rPr>
          <w:color w:val="000000" w:themeColor="text1"/>
        </w:rPr>
        <w:t xml:space="preserve"> that, pursuant to </w:t>
      </w:r>
      <w:r w:rsidR="003C6C45">
        <w:rPr>
          <w:color w:val="000000" w:themeColor="text1"/>
        </w:rPr>
        <w:t xml:space="preserve">paragraph 9 of the annex to </w:t>
      </w:r>
      <w:r w:rsidR="003C6C45" w:rsidRPr="00F82679">
        <w:rPr>
          <w:color w:val="000000" w:themeColor="text1"/>
        </w:rPr>
        <w:t xml:space="preserve">decision 4/CMA.3, the reports of the Glasgow Committee on Non-market Approaches </w:t>
      </w:r>
      <w:r w:rsidR="003C6C45" w:rsidRPr="00B23BA2">
        <w:rPr>
          <w:iCs/>
          <w:color w:val="000000" w:themeColor="text1"/>
        </w:rPr>
        <w:t>will</w:t>
      </w:r>
      <w:r w:rsidR="003C6C45" w:rsidRPr="00F82679">
        <w:rPr>
          <w:iCs/>
          <w:color w:val="000000" w:themeColor="text1"/>
        </w:rPr>
        <w:t xml:space="preserve"> serve as inputs to the review of the work programme </w:t>
      </w:r>
      <w:r w:rsidR="003C6C45">
        <w:rPr>
          <w:rFonts w:eastAsia="Times New Roman"/>
          <w:color w:val="000000" w:themeColor="text1"/>
        </w:rPr>
        <w:t>by the Conference of the Parties serving as the meeting of the Parties to the Paris Agreement</w:t>
      </w:r>
      <w:r w:rsidR="003C6C45" w:rsidRPr="00F82679">
        <w:rPr>
          <w:iCs/>
          <w:color w:val="000000" w:themeColor="text1"/>
        </w:rPr>
        <w:t xml:space="preserve"> </w:t>
      </w:r>
      <w:r w:rsidR="003C6C45" w:rsidRPr="00F82679">
        <w:t xml:space="preserve">at </w:t>
      </w:r>
      <w:r w:rsidR="003C6C45">
        <w:t>its seventh session</w:t>
      </w:r>
      <w:r w:rsidR="003C6C45" w:rsidRPr="00F82679">
        <w:t xml:space="preserve"> (</w:t>
      </w:r>
      <w:r w:rsidR="003C6C45" w:rsidRPr="00F82679" w:rsidDel="00B86A7D">
        <w:t xml:space="preserve">November </w:t>
      </w:r>
      <w:r w:rsidR="003C6C45" w:rsidRPr="00F82679">
        <w:t xml:space="preserve">2025); </w:t>
      </w:r>
    </w:p>
    <w:p w14:paraId="261BE358" w14:textId="5C8193E1" w:rsidR="003C6C45" w:rsidRPr="00E944B9" w:rsidRDefault="00F31153" w:rsidP="00F31153">
      <w:pPr>
        <w:pStyle w:val="RegSingleTxtG"/>
        <w:ind w:left="1134"/>
        <w:rPr>
          <w:color w:val="000000" w:themeColor="text1"/>
        </w:rPr>
      </w:pPr>
      <w:r w:rsidRPr="00E944B9">
        <w:rPr>
          <w:iCs/>
          <w:color w:val="000000" w:themeColor="text1"/>
        </w:rPr>
        <w:t>3.</w:t>
      </w:r>
      <w:r w:rsidRPr="00E944B9">
        <w:rPr>
          <w:iCs/>
          <w:color w:val="000000" w:themeColor="text1"/>
        </w:rPr>
        <w:tab/>
      </w:r>
      <w:r w:rsidR="003C6C45">
        <w:rPr>
          <w:i/>
          <w:iCs/>
          <w:color w:val="000000" w:themeColor="text1"/>
        </w:rPr>
        <w:t>Also r</w:t>
      </w:r>
      <w:r w:rsidR="003C6C45" w:rsidRPr="00E944B9">
        <w:rPr>
          <w:i/>
          <w:iCs/>
          <w:color w:val="000000" w:themeColor="text1"/>
        </w:rPr>
        <w:t>ecalls</w:t>
      </w:r>
      <w:r w:rsidR="003C6C45" w:rsidRPr="0065281A">
        <w:rPr>
          <w:color w:val="000000" w:themeColor="text1"/>
        </w:rPr>
        <w:t xml:space="preserve"> </w:t>
      </w:r>
      <w:r w:rsidR="003C6C45" w:rsidRPr="00E944B9">
        <w:rPr>
          <w:color w:val="000000" w:themeColor="text1"/>
        </w:rPr>
        <w:t xml:space="preserve">decision 8/CMA.4, paragraph 3(a), and </w:t>
      </w:r>
      <w:r w:rsidR="003C6C45" w:rsidRPr="00E944B9">
        <w:rPr>
          <w:i/>
          <w:iCs/>
          <w:color w:val="000000" w:themeColor="text1"/>
        </w:rPr>
        <w:t>requests</w:t>
      </w:r>
      <w:r w:rsidR="003C6C45" w:rsidRPr="00E944B9">
        <w:rPr>
          <w:color w:val="000000" w:themeColor="text1"/>
        </w:rPr>
        <w:t xml:space="preserve"> the Committee to continue implementing the first phase (2023–2024) of work programme activities referred to in decision 4/CMA.3, annex, chapter V, which</w:t>
      </w:r>
      <w:r w:rsidR="003C6C45" w:rsidRPr="00E944B9">
        <w:t xml:space="preserve"> focuses on identifying and framing all relevant elements of the work programme activities and operationalizing the UNFCCC web-based platform</w:t>
      </w:r>
      <w:r w:rsidR="003C6C45">
        <w:t xml:space="preserve"> </w:t>
      </w:r>
      <w:r w:rsidR="003C6C45" w:rsidRPr="00F82679">
        <w:rPr>
          <w:iCs/>
          <w:color w:val="000000" w:themeColor="text1"/>
        </w:rPr>
        <w:t>for recording and exchanging information on non-market approaches</w:t>
      </w:r>
      <w:r w:rsidR="003C6C45">
        <w:rPr>
          <w:iCs/>
          <w:color w:val="000000" w:themeColor="text1"/>
        </w:rPr>
        <w:t>,</w:t>
      </w:r>
      <w:r w:rsidR="003C6C45">
        <w:t xml:space="preserve"> referred to in paragraph 8(b)(i) of the annex to decision 4/CMA.3</w:t>
      </w:r>
      <w:r w:rsidR="003C6C45" w:rsidRPr="00E944B9">
        <w:rPr>
          <w:color w:val="000000" w:themeColor="text1"/>
        </w:rPr>
        <w:t>;</w:t>
      </w:r>
    </w:p>
    <w:p w14:paraId="16ED8036" w14:textId="19047ECF" w:rsidR="003C6C45" w:rsidRPr="00F82679" w:rsidRDefault="00F31153" w:rsidP="00F31153">
      <w:pPr>
        <w:pStyle w:val="RegHChG"/>
        <w:tabs>
          <w:tab w:val="left" w:pos="1135"/>
        </w:tabs>
        <w:ind w:left="1135" w:hanging="454"/>
      </w:pPr>
      <w:bookmarkStart w:id="14" w:name="_Toc161286210"/>
      <w:bookmarkStart w:id="15" w:name="_Toc161242629"/>
      <w:r w:rsidRPr="00F82679">
        <w:t>I.</w:t>
      </w:r>
      <w:r w:rsidRPr="00F82679">
        <w:tab/>
      </w:r>
      <w:r w:rsidR="003C6C45" w:rsidRPr="00E944B9">
        <w:t xml:space="preserve">UNFCCC </w:t>
      </w:r>
      <w:r w:rsidR="003C6C45">
        <w:t>w</w:t>
      </w:r>
      <w:r w:rsidR="003C6C45" w:rsidRPr="00E944B9">
        <w:t xml:space="preserve">eb-based </w:t>
      </w:r>
      <w:r w:rsidR="003C6C45" w:rsidRPr="00F82679">
        <w:t>platform for non-market approaches</w:t>
      </w:r>
      <w:bookmarkEnd w:id="14"/>
      <w:bookmarkEnd w:id="15"/>
    </w:p>
    <w:p w14:paraId="305C57E8" w14:textId="41BA0953" w:rsidR="003C6C45" w:rsidRPr="00F82679" w:rsidRDefault="00F31153" w:rsidP="00F31153">
      <w:pPr>
        <w:pStyle w:val="RegSingleTxtG"/>
        <w:ind w:left="1134"/>
        <w:rPr>
          <w:color w:val="000000" w:themeColor="text1"/>
        </w:rPr>
      </w:pPr>
      <w:r w:rsidRPr="00F82679">
        <w:rPr>
          <w:iCs/>
          <w:color w:val="000000" w:themeColor="text1"/>
        </w:rPr>
        <w:t>4.</w:t>
      </w:r>
      <w:r w:rsidRPr="00F82679">
        <w:rPr>
          <w:iCs/>
          <w:color w:val="000000" w:themeColor="text1"/>
        </w:rPr>
        <w:tab/>
      </w:r>
      <w:r w:rsidR="003C6C45" w:rsidRPr="00F82679">
        <w:rPr>
          <w:i/>
          <w:color w:val="000000" w:themeColor="text1"/>
        </w:rPr>
        <w:t>Takes note</w:t>
      </w:r>
      <w:r w:rsidR="003C6C45" w:rsidRPr="0065281A">
        <w:rPr>
          <w:iCs/>
          <w:color w:val="000000" w:themeColor="text1"/>
        </w:rPr>
        <w:t xml:space="preserve"> </w:t>
      </w:r>
      <w:r w:rsidR="003C6C45" w:rsidRPr="00F82679">
        <w:rPr>
          <w:iCs/>
          <w:color w:val="000000" w:themeColor="text1"/>
        </w:rPr>
        <w:t>of the progress made by the secretariat in developing</w:t>
      </w:r>
      <w:r w:rsidR="003C6C45" w:rsidRPr="00F82679" w:rsidDel="007A2075">
        <w:rPr>
          <w:iCs/>
          <w:color w:val="000000" w:themeColor="text1"/>
        </w:rPr>
        <w:t xml:space="preserve"> and </w:t>
      </w:r>
      <w:r w:rsidR="003C6C45" w:rsidRPr="00F82679">
        <w:rPr>
          <w:iCs/>
          <w:color w:val="000000" w:themeColor="text1"/>
        </w:rPr>
        <w:t>operationalizing the UNFCCC web-based platform</w:t>
      </w:r>
      <w:r w:rsidR="003C6C45">
        <w:rPr>
          <w:iCs/>
          <w:color w:val="000000" w:themeColor="text1"/>
        </w:rPr>
        <w:t xml:space="preserve"> for non-market approaches</w:t>
      </w:r>
      <w:r w:rsidR="003C6C45" w:rsidRPr="00F82679">
        <w:rPr>
          <w:iCs/>
          <w:color w:val="000000" w:themeColor="text1"/>
        </w:rPr>
        <w:t>, recognizing that the timeline</w:t>
      </w:r>
      <w:r w:rsidR="003C6C45" w:rsidRPr="00F82679" w:rsidDel="00DB1898">
        <w:rPr>
          <w:iCs/>
          <w:color w:val="000000" w:themeColor="text1"/>
        </w:rPr>
        <w:t xml:space="preserve"> </w:t>
      </w:r>
      <w:r w:rsidR="003C6C45">
        <w:rPr>
          <w:iCs/>
          <w:color w:val="000000" w:themeColor="text1"/>
        </w:rPr>
        <w:t>for its completion</w:t>
      </w:r>
      <w:r w:rsidR="003C6C45" w:rsidRPr="00F82679" w:rsidDel="00DB1898">
        <w:rPr>
          <w:iCs/>
          <w:color w:val="000000" w:themeColor="text1"/>
        </w:rPr>
        <w:t xml:space="preserve"> </w:t>
      </w:r>
      <w:r w:rsidR="003C6C45" w:rsidRPr="00F82679">
        <w:rPr>
          <w:iCs/>
          <w:color w:val="000000" w:themeColor="text1"/>
        </w:rPr>
        <w:t>was not met;</w:t>
      </w:r>
      <w:r w:rsidR="003C6C45" w:rsidRPr="00F82679">
        <w:rPr>
          <w:rStyle w:val="FootnoteReference"/>
          <w:iCs/>
          <w:color w:val="000000" w:themeColor="text1"/>
        </w:rPr>
        <w:footnoteReference w:id="3"/>
      </w:r>
      <w:r w:rsidR="003C6C45" w:rsidRPr="00F82679">
        <w:rPr>
          <w:iCs/>
          <w:color w:val="000000" w:themeColor="text1"/>
        </w:rPr>
        <w:t xml:space="preserve"> </w:t>
      </w:r>
    </w:p>
    <w:p w14:paraId="61A53346" w14:textId="4330C9C9" w:rsidR="003C6C45" w:rsidRPr="00F82679" w:rsidRDefault="00F31153" w:rsidP="00F31153">
      <w:pPr>
        <w:pStyle w:val="RegSingleTxtG"/>
        <w:ind w:left="1134"/>
        <w:rPr>
          <w:color w:val="000000" w:themeColor="text1"/>
        </w:rPr>
      </w:pPr>
      <w:bookmarkStart w:id="16" w:name="_Ref156206781"/>
      <w:r w:rsidRPr="00F82679">
        <w:rPr>
          <w:iCs/>
          <w:color w:val="000000" w:themeColor="text1"/>
        </w:rPr>
        <w:t>5.</w:t>
      </w:r>
      <w:r w:rsidRPr="00F82679">
        <w:rPr>
          <w:iCs/>
          <w:color w:val="000000" w:themeColor="text1"/>
        </w:rPr>
        <w:tab/>
      </w:r>
      <w:r w:rsidR="003C6C45" w:rsidRPr="00F82679">
        <w:rPr>
          <w:i/>
          <w:iCs/>
          <w:color w:val="000000" w:themeColor="text1"/>
        </w:rPr>
        <w:t>Invites</w:t>
      </w:r>
      <w:r w:rsidR="003C6C45" w:rsidRPr="0065281A">
        <w:rPr>
          <w:color w:val="000000" w:themeColor="text1"/>
        </w:rPr>
        <w:t xml:space="preserve"> </w:t>
      </w:r>
      <w:r w:rsidR="003C6C45">
        <w:rPr>
          <w:color w:val="000000" w:themeColor="text1"/>
        </w:rPr>
        <w:t xml:space="preserve">interested </w:t>
      </w:r>
      <w:r w:rsidR="003C6C45" w:rsidRPr="00F82679">
        <w:rPr>
          <w:color w:val="000000" w:themeColor="text1"/>
        </w:rPr>
        <w:t xml:space="preserve">Parties to notify the secretariat of their national focal points </w:t>
      </w:r>
      <w:r w:rsidR="003C6C45" w:rsidRPr="00F82679">
        <w:t xml:space="preserve">for Article 6, paragraph 8, of the Paris Agreement </w:t>
      </w:r>
      <w:r w:rsidR="003C6C45" w:rsidDel="005E4892">
        <w:t>to</w:t>
      </w:r>
      <w:r w:rsidR="003C6C45">
        <w:t xml:space="preserve"> enable them</w:t>
      </w:r>
      <w:r w:rsidR="003C6C45">
        <w:rPr>
          <w:color w:val="000000" w:themeColor="text1"/>
        </w:rPr>
        <w:t xml:space="preserve"> to </w:t>
      </w:r>
      <w:r w:rsidR="003C6C45" w:rsidRPr="00F82679">
        <w:rPr>
          <w:color w:val="000000" w:themeColor="text1"/>
        </w:rPr>
        <w:t xml:space="preserve">access the </w:t>
      </w:r>
      <w:r w:rsidR="003C6C45" w:rsidRPr="00F82679">
        <w:t>UNFCCC web</w:t>
      </w:r>
      <w:r w:rsidR="003C6C45">
        <w:noBreakHyphen/>
      </w:r>
      <w:r w:rsidR="003C6C45" w:rsidRPr="00F82679">
        <w:t>based platform;</w:t>
      </w:r>
      <w:bookmarkEnd w:id="16"/>
    </w:p>
    <w:p w14:paraId="19ACF606" w14:textId="4727212E" w:rsidR="003C6C45" w:rsidRPr="00E944B9" w:rsidRDefault="00F31153" w:rsidP="00F31153">
      <w:pPr>
        <w:pStyle w:val="RegSingleTxtG"/>
        <w:ind w:left="1134"/>
        <w:rPr>
          <w:color w:val="000000" w:themeColor="text1"/>
        </w:rPr>
      </w:pPr>
      <w:r w:rsidRPr="00E944B9">
        <w:rPr>
          <w:iCs/>
          <w:color w:val="000000" w:themeColor="text1"/>
        </w:rPr>
        <w:t>6.</w:t>
      </w:r>
      <w:r w:rsidRPr="00E944B9">
        <w:rPr>
          <w:iCs/>
          <w:color w:val="000000" w:themeColor="text1"/>
        </w:rPr>
        <w:tab/>
      </w:r>
      <w:r w:rsidR="003C6C45" w:rsidRPr="00E944B9">
        <w:rPr>
          <w:i/>
          <w:iCs/>
          <w:color w:val="000000" w:themeColor="text1"/>
        </w:rPr>
        <w:t>Requests</w:t>
      </w:r>
      <w:r w:rsidR="003C6C45" w:rsidRPr="00E944B9">
        <w:rPr>
          <w:color w:val="000000" w:themeColor="text1"/>
        </w:rPr>
        <w:t xml:space="preserve"> the secretariat to </w:t>
      </w:r>
      <w:r w:rsidR="003C6C45" w:rsidRPr="00E944B9">
        <w:t>complete the development of the UNFCCC web-based platform</w:t>
      </w:r>
      <w:r w:rsidR="003C6C45" w:rsidRPr="00E944B9">
        <w:rPr>
          <w:rStyle w:val="FootnoteReference"/>
        </w:rPr>
        <w:footnoteReference w:id="4"/>
      </w:r>
      <w:r w:rsidR="003C6C45" w:rsidRPr="00E944B9">
        <w:t xml:space="preserve"> and fully operationalize </w:t>
      </w:r>
      <w:r w:rsidR="003C6C45">
        <w:t>it as soon as possible</w:t>
      </w:r>
      <w:r w:rsidR="003C6C45" w:rsidDel="008008FF">
        <w:t>,</w:t>
      </w:r>
      <w:r w:rsidR="003C6C45">
        <w:t xml:space="preserve"> and no later than</w:t>
      </w:r>
      <w:r w:rsidR="003C6C45" w:rsidRPr="00E944B9">
        <w:t xml:space="preserve"> </w:t>
      </w:r>
      <w:r w:rsidR="003C6C45">
        <w:t>the</w:t>
      </w:r>
      <w:r w:rsidR="003C6C45" w:rsidRPr="00E944B9">
        <w:t xml:space="preserve"> 5</w:t>
      </w:r>
      <w:r w:rsidR="003C6C45" w:rsidRPr="00DB7A4D">
        <w:rPr>
          <w:vertAlign w:val="superscript"/>
        </w:rPr>
        <w:t>th</w:t>
      </w:r>
      <w:r w:rsidR="003C6C45">
        <w:t xml:space="preserve"> meeting of the Glasgow Committee on Non-market Approaches (June 2024),</w:t>
      </w:r>
      <w:r w:rsidR="003C6C45" w:rsidRPr="00E944B9">
        <w:t xml:space="preserve"> and </w:t>
      </w:r>
      <w:r w:rsidR="003C6C45">
        <w:t xml:space="preserve">to </w:t>
      </w:r>
      <w:r w:rsidR="003C6C45" w:rsidRPr="00E944B9">
        <w:t xml:space="preserve">notify the </w:t>
      </w:r>
      <w:r w:rsidR="003C6C45">
        <w:t xml:space="preserve">UNFCCC </w:t>
      </w:r>
      <w:r w:rsidR="003C6C45" w:rsidRPr="00E944B9">
        <w:t>national focal points for Article 6, paragraph 8, of the Paris Agreement,</w:t>
      </w:r>
      <w:r w:rsidR="003C6C45" w:rsidRPr="00E944B9">
        <w:rPr>
          <w:color w:val="4F81BD" w:themeColor="accent1"/>
        </w:rPr>
        <w:t xml:space="preserve"> </w:t>
      </w:r>
      <w:r w:rsidR="003C6C45" w:rsidRPr="00E944B9">
        <w:t>whe</w:t>
      </w:r>
      <w:r w:rsidR="003C6C45">
        <w:t>re</w:t>
      </w:r>
      <w:r w:rsidR="003C6C45" w:rsidRPr="00E944B9">
        <w:t xml:space="preserve"> identified, as referred to in paragraph</w:t>
      </w:r>
      <w:r w:rsidR="00825408">
        <w:t xml:space="preserve"> </w:t>
      </w:r>
      <w:r w:rsidR="00825408">
        <w:rPr>
          <w:cs/>
        </w:rPr>
        <w:t>‎</w:t>
      </w:r>
      <w:r w:rsidR="00825408">
        <w:t>5 above</w:t>
      </w:r>
      <w:r w:rsidR="003C6C45" w:rsidRPr="00E944B9">
        <w:t>, of the deployment of the fully operationa</w:t>
      </w:r>
      <w:r w:rsidR="003C6C45">
        <w:t xml:space="preserve">l </w:t>
      </w:r>
      <w:r w:rsidR="003C6C45" w:rsidRPr="00E944B9" w:rsidDel="004F0186">
        <w:t>UNFCCC web</w:t>
      </w:r>
      <w:r w:rsidR="003C6C45">
        <w:noBreakHyphen/>
      </w:r>
      <w:r w:rsidR="003C6C45" w:rsidRPr="00E944B9" w:rsidDel="004F0186">
        <w:t xml:space="preserve">based </w:t>
      </w:r>
      <w:r w:rsidR="003C6C45" w:rsidRPr="00E944B9">
        <w:t>platform;</w:t>
      </w:r>
    </w:p>
    <w:p w14:paraId="1B6705BF" w14:textId="5F2FC861" w:rsidR="003C6C45" w:rsidRPr="00E944B9" w:rsidRDefault="00F31153" w:rsidP="00F31153">
      <w:pPr>
        <w:pStyle w:val="RegSingleTxtG"/>
        <w:ind w:left="1134"/>
        <w:rPr>
          <w:color w:val="000000" w:themeColor="text1"/>
        </w:rPr>
      </w:pPr>
      <w:r w:rsidRPr="00E944B9">
        <w:rPr>
          <w:iCs/>
          <w:color w:val="000000" w:themeColor="text1"/>
        </w:rPr>
        <w:t>7.</w:t>
      </w:r>
      <w:r w:rsidRPr="00E944B9">
        <w:rPr>
          <w:iCs/>
          <w:color w:val="000000" w:themeColor="text1"/>
        </w:rPr>
        <w:tab/>
      </w:r>
      <w:r w:rsidR="003C6C45" w:rsidRPr="00E944B9">
        <w:rPr>
          <w:i/>
          <w:iCs/>
          <w:color w:val="000000" w:themeColor="text1"/>
        </w:rPr>
        <w:t>Encourages</w:t>
      </w:r>
      <w:r w:rsidR="003C6C45" w:rsidRPr="0065281A">
        <w:rPr>
          <w:color w:val="000000" w:themeColor="text1"/>
        </w:rPr>
        <w:t xml:space="preserve"> </w:t>
      </w:r>
      <w:r w:rsidR="003C6C45">
        <w:rPr>
          <w:color w:val="000000" w:themeColor="text1"/>
        </w:rPr>
        <w:t xml:space="preserve">interested </w:t>
      </w:r>
      <w:r w:rsidR="003C6C45" w:rsidRPr="00E944B9">
        <w:rPr>
          <w:color w:val="000000" w:themeColor="text1"/>
        </w:rPr>
        <w:t>Parties to submit information on non-market approaches, including existing approaches, in the initial focus areas for the work programme activities</w:t>
      </w:r>
      <w:r w:rsidR="003C6C45" w:rsidRPr="00E944B9">
        <w:rPr>
          <w:rStyle w:val="FootnoteReference"/>
          <w:color w:val="000000" w:themeColor="text1"/>
        </w:rPr>
        <w:footnoteReference w:id="5"/>
      </w:r>
      <w:r w:rsidR="003C6C45" w:rsidRPr="00E944B9">
        <w:rPr>
          <w:color w:val="000000" w:themeColor="text1"/>
        </w:rPr>
        <w:t xml:space="preserve"> for recording on the UNFCCC web-based platform once it becomes fully operational;</w:t>
      </w:r>
    </w:p>
    <w:p w14:paraId="7FE5B806" w14:textId="40D5A535" w:rsidR="003310AD" w:rsidRPr="003310AD" w:rsidRDefault="00F31153" w:rsidP="00F31153">
      <w:pPr>
        <w:pStyle w:val="RegSingleTxtG"/>
        <w:ind w:left="1134"/>
      </w:pPr>
      <w:r w:rsidRPr="003310AD">
        <w:rPr>
          <w:iCs/>
        </w:rPr>
        <w:t>8.</w:t>
      </w:r>
      <w:r w:rsidRPr="003310AD">
        <w:rPr>
          <w:iCs/>
        </w:rPr>
        <w:tab/>
      </w:r>
      <w:r w:rsidR="003C6C45" w:rsidRPr="003310AD" w:rsidDel="00321AE5">
        <w:rPr>
          <w:i/>
          <w:iCs/>
          <w:color w:val="000000" w:themeColor="text1"/>
        </w:rPr>
        <w:t>Recalls</w:t>
      </w:r>
      <w:r w:rsidR="003C6C45">
        <w:t xml:space="preserve"> decision 8/CMA.4, paragraph 8, which invites</w:t>
      </w:r>
      <w:r w:rsidR="003C6C45" w:rsidRPr="00321AE5">
        <w:t xml:space="preserve"> </w:t>
      </w:r>
      <w:r w:rsidR="003C6C45" w:rsidRPr="00387ACA">
        <w:t>interested</w:t>
      </w:r>
      <w:r w:rsidR="003C6C45" w:rsidRPr="00321AE5">
        <w:t xml:space="preserve"> </w:t>
      </w:r>
      <w:r w:rsidR="003C6C45" w:rsidRPr="00387ACA">
        <w:t xml:space="preserve">Parties, </w:t>
      </w:r>
      <w:r w:rsidR="003C6C45" w:rsidRPr="00321AE5" w:rsidDel="00321AE5">
        <w:t>relevant</w:t>
      </w:r>
      <w:r w:rsidR="003C6C45">
        <w:t xml:space="preserve"> </w:t>
      </w:r>
      <w:r w:rsidR="003C6C45" w:rsidRPr="00387ACA">
        <w:t xml:space="preserve">bodies, institutional arrangements and processes under the Convention and the Paris Agreement related to, inter alia, mitigation, adaptation, finance, technology development and transfer, and capacity-building, </w:t>
      </w:r>
      <w:r w:rsidR="003C6C45" w:rsidRPr="00321AE5" w:rsidDel="00321AE5">
        <w:t xml:space="preserve">including </w:t>
      </w:r>
      <w:r w:rsidR="003C6C45" w:rsidRPr="00387ACA">
        <w:t xml:space="preserve">United Nations bodies, multilateral, bilateral and </w:t>
      </w:r>
      <w:r w:rsidR="003310AD">
        <w:lastRenderedPageBreak/>
        <w:t>other public donors</w:t>
      </w:r>
      <w:r w:rsidR="00872F3C">
        <w:t>, and private and non-governmental organizations to provide information on financial</w:t>
      </w:r>
      <w:r w:rsidR="00181488">
        <w:t>,</w:t>
      </w:r>
      <w:r w:rsidR="00F10BCB">
        <w:t xml:space="preserve"> </w:t>
      </w:r>
      <w:r w:rsidR="00181488">
        <w:t>technology and capacity-building support available</w:t>
      </w:r>
      <w:r w:rsidR="00A81959">
        <w:t xml:space="preserve"> or provided for identifying</w:t>
      </w:r>
      <w:r w:rsidR="00D35290">
        <w:t>,</w:t>
      </w:r>
      <w:r w:rsidR="00F10BCB">
        <w:t xml:space="preserve"> </w:t>
      </w:r>
      <w:r w:rsidR="00D35290">
        <w:t>developing or implementing non-market approaches for recor</w:t>
      </w:r>
      <w:r w:rsidR="00F10BCB">
        <w:t>ding on the UNFCCC web</w:t>
      </w:r>
      <w:r w:rsidR="006C0D6E">
        <w:noBreakHyphen/>
      </w:r>
      <w:r w:rsidR="00F10BCB">
        <w:t>based platform;</w:t>
      </w:r>
    </w:p>
    <w:p w14:paraId="6891CB39" w14:textId="71BED3F0" w:rsidR="003C6C45" w:rsidRPr="007B030C" w:rsidRDefault="00F31153" w:rsidP="00F31153">
      <w:pPr>
        <w:pStyle w:val="RegSingleTxtG"/>
        <w:ind w:left="1134"/>
      </w:pPr>
      <w:r w:rsidRPr="007B030C">
        <w:rPr>
          <w:iCs/>
        </w:rPr>
        <w:t>9.</w:t>
      </w:r>
      <w:r w:rsidRPr="007B030C">
        <w:rPr>
          <w:iCs/>
        </w:rPr>
        <w:tab/>
      </w:r>
      <w:r w:rsidR="003C6C45" w:rsidRPr="007B030C">
        <w:rPr>
          <w:i/>
          <w:iCs/>
        </w:rPr>
        <w:t>Reiterates</w:t>
      </w:r>
      <w:r w:rsidR="003C6C45" w:rsidRPr="007B030C">
        <w:t xml:space="preserve"> its invitation in</w:t>
      </w:r>
      <w:r w:rsidR="003C6C45">
        <w:t xml:space="preserve"> </w:t>
      </w:r>
      <w:r w:rsidR="003C6C45" w:rsidRPr="007B030C">
        <w:t>decision 8/CMA.4, paragraph 8;</w:t>
      </w:r>
    </w:p>
    <w:p w14:paraId="3C2E3801" w14:textId="54DB0795" w:rsidR="003C6C45" w:rsidRPr="00F82679" w:rsidRDefault="00F31153" w:rsidP="00F31153">
      <w:pPr>
        <w:pStyle w:val="RegSingleTxtG"/>
        <w:ind w:left="1134"/>
        <w:rPr>
          <w:color w:val="000000" w:themeColor="text1"/>
        </w:rPr>
      </w:pPr>
      <w:r w:rsidRPr="00F82679">
        <w:rPr>
          <w:iCs/>
          <w:color w:val="000000" w:themeColor="text1"/>
        </w:rPr>
        <w:t>10.</w:t>
      </w:r>
      <w:r w:rsidRPr="00F82679">
        <w:rPr>
          <w:iCs/>
          <w:color w:val="000000" w:themeColor="text1"/>
        </w:rPr>
        <w:tab/>
      </w:r>
      <w:r w:rsidR="003C6C45" w:rsidRPr="00E944B9">
        <w:rPr>
          <w:i/>
          <w:iCs/>
          <w:color w:val="000000" w:themeColor="text1"/>
        </w:rPr>
        <w:t>Encourages</w:t>
      </w:r>
      <w:r w:rsidR="003C6C45" w:rsidRPr="0065281A">
        <w:rPr>
          <w:color w:val="000000" w:themeColor="text1"/>
        </w:rPr>
        <w:t xml:space="preserve"> </w:t>
      </w:r>
      <w:r w:rsidR="003C6C45" w:rsidRPr="00E944B9">
        <w:rPr>
          <w:color w:val="000000" w:themeColor="text1"/>
        </w:rPr>
        <w:t>Parties to</w:t>
      </w:r>
      <w:r w:rsidR="003C6C45" w:rsidRPr="0065281A">
        <w:rPr>
          <w:color w:val="000000" w:themeColor="text1"/>
        </w:rPr>
        <w:t xml:space="preserve"> </w:t>
      </w:r>
      <w:r w:rsidR="003C6C45" w:rsidRPr="00E944B9" w:rsidDel="00FB50BD">
        <w:rPr>
          <w:color w:val="000000" w:themeColor="text1"/>
        </w:rPr>
        <w:t xml:space="preserve">undertake </w:t>
      </w:r>
      <w:r w:rsidR="003C6C45">
        <w:rPr>
          <w:color w:val="000000" w:themeColor="text1"/>
        </w:rPr>
        <w:t>the</w:t>
      </w:r>
      <w:r w:rsidR="003C6C45" w:rsidRPr="00E944B9" w:rsidDel="00FB50BD">
        <w:rPr>
          <w:color w:val="000000" w:themeColor="text1"/>
        </w:rPr>
        <w:t xml:space="preserve"> </w:t>
      </w:r>
      <w:r w:rsidR="003C6C45" w:rsidRPr="00E944B9">
        <w:rPr>
          <w:color w:val="000000" w:themeColor="text1"/>
        </w:rPr>
        <w:t>identification, development and implementation</w:t>
      </w:r>
      <w:r w:rsidR="003C6C45" w:rsidRPr="00E944B9" w:rsidDel="0064319C">
        <w:rPr>
          <w:color w:val="000000" w:themeColor="text1"/>
        </w:rPr>
        <w:t xml:space="preserve"> of</w:t>
      </w:r>
      <w:r w:rsidR="003C6C45" w:rsidRPr="00E944B9">
        <w:rPr>
          <w:color w:val="000000" w:themeColor="text1"/>
        </w:rPr>
        <w:t xml:space="preserve"> non-market approaches once the UNFCCC web-</w:t>
      </w:r>
      <w:r w:rsidR="003C6C45" w:rsidRPr="00F82679">
        <w:rPr>
          <w:color w:val="000000" w:themeColor="text1"/>
        </w:rPr>
        <w:t xml:space="preserve">based platform becomes fully operational; </w:t>
      </w:r>
    </w:p>
    <w:p w14:paraId="54274039" w14:textId="09A332A8" w:rsidR="003C6C45" w:rsidRPr="00E944B9" w:rsidRDefault="00F31153" w:rsidP="00F31153">
      <w:pPr>
        <w:pStyle w:val="RegSingleTxtG"/>
        <w:ind w:left="1134"/>
        <w:rPr>
          <w:color w:val="000000" w:themeColor="text1"/>
        </w:rPr>
      </w:pPr>
      <w:r w:rsidRPr="00E944B9">
        <w:rPr>
          <w:iCs/>
          <w:color w:val="000000" w:themeColor="text1"/>
        </w:rPr>
        <w:t>11.</w:t>
      </w:r>
      <w:r w:rsidRPr="00E944B9">
        <w:rPr>
          <w:iCs/>
          <w:color w:val="000000" w:themeColor="text1"/>
        </w:rPr>
        <w:tab/>
      </w:r>
      <w:r w:rsidR="003C6C45" w:rsidRPr="00F82679">
        <w:rPr>
          <w:i/>
          <w:iCs/>
        </w:rPr>
        <w:t>Requests</w:t>
      </w:r>
      <w:r w:rsidR="003C6C45" w:rsidRPr="00F82679">
        <w:t xml:space="preserve"> the secretariat to develop and update, as necessary,</w:t>
      </w:r>
      <w:r w:rsidR="003C6C45">
        <w:t xml:space="preserve"> a manual </w:t>
      </w:r>
      <w:r w:rsidR="003C6C45" w:rsidRPr="00284355">
        <w:t>on the process</w:t>
      </w:r>
      <w:r w:rsidR="003C6C45" w:rsidRPr="00284355">
        <w:rPr>
          <w:spacing w:val="-46"/>
        </w:rPr>
        <w:t xml:space="preserve"> </w:t>
      </w:r>
      <w:r w:rsidR="003C6C45" w:rsidRPr="00284355">
        <w:t xml:space="preserve">for submitting and recording information on non-market approaches </w:t>
      </w:r>
      <w:r w:rsidR="003C6C45">
        <w:t>o</w:t>
      </w:r>
      <w:r w:rsidR="003C6C45" w:rsidRPr="00284355">
        <w:t>n the UNFCCC web</w:t>
      </w:r>
      <w:r w:rsidR="003C6C45">
        <w:rPr>
          <w:spacing w:val="1"/>
        </w:rPr>
        <w:noBreakHyphen/>
      </w:r>
      <w:r w:rsidR="003C6C45" w:rsidRPr="00284355">
        <w:rPr>
          <w:spacing w:val="1"/>
        </w:rPr>
        <w:t>based</w:t>
      </w:r>
      <w:r w:rsidR="003C6C45" w:rsidRPr="00284355">
        <w:t xml:space="preserve"> platform;</w:t>
      </w:r>
      <w:r w:rsidR="003C6C45" w:rsidRPr="004256A6">
        <w:t xml:space="preserve"> </w:t>
      </w:r>
    </w:p>
    <w:p w14:paraId="00D7BDF3" w14:textId="3CD67069" w:rsidR="003C6C45" w:rsidRPr="00E944B9" w:rsidRDefault="00F31153" w:rsidP="00F31153">
      <w:pPr>
        <w:pStyle w:val="RegHChG"/>
        <w:tabs>
          <w:tab w:val="left" w:pos="1135"/>
        </w:tabs>
        <w:ind w:left="1135" w:hanging="454"/>
      </w:pPr>
      <w:bookmarkStart w:id="17" w:name="_Toc161286211"/>
      <w:bookmarkStart w:id="18" w:name="_Toc161242630"/>
      <w:r w:rsidRPr="00E944B9">
        <w:t>II.</w:t>
      </w:r>
      <w:r w:rsidRPr="00E944B9">
        <w:tab/>
      </w:r>
      <w:r w:rsidR="003C6C45" w:rsidRPr="00E944B9">
        <w:t>Non-market approaches</w:t>
      </w:r>
      <w:bookmarkEnd w:id="17"/>
      <w:bookmarkEnd w:id="18"/>
    </w:p>
    <w:p w14:paraId="6F9ED4B0" w14:textId="6EA7F7B3" w:rsidR="003C6C45" w:rsidRPr="00C87C91" w:rsidRDefault="00F31153" w:rsidP="00F31153">
      <w:pPr>
        <w:pStyle w:val="RegSingleTxtG"/>
        <w:ind w:left="1134"/>
        <w:rPr>
          <w:color w:val="000000" w:themeColor="text1"/>
        </w:rPr>
      </w:pPr>
      <w:r w:rsidRPr="00C87C91">
        <w:rPr>
          <w:iCs/>
          <w:color w:val="000000" w:themeColor="text1"/>
        </w:rPr>
        <w:t>12.</w:t>
      </w:r>
      <w:r w:rsidRPr="00C87C91">
        <w:rPr>
          <w:iCs/>
          <w:color w:val="000000" w:themeColor="text1"/>
        </w:rPr>
        <w:tab/>
      </w:r>
      <w:r w:rsidR="003C6C45">
        <w:rPr>
          <w:i/>
          <w:iCs/>
        </w:rPr>
        <w:t>Recalls</w:t>
      </w:r>
      <w:r w:rsidR="003C6C45" w:rsidRPr="0065281A">
        <w:t xml:space="preserve"> </w:t>
      </w:r>
      <w:r w:rsidR="003C6C45" w:rsidRPr="00A93BDD">
        <w:t>the thirteenth preambular</w:t>
      </w:r>
      <w:r w:rsidR="003C6C45">
        <w:t xml:space="preserve"> paragraph of the Paris Agreement, </w:t>
      </w:r>
      <w:r w:rsidR="003C6C45" w:rsidRPr="00375E61">
        <w:t>which notes</w:t>
      </w:r>
      <w:r w:rsidR="003C6C45">
        <w:t xml:space="preserve"> the importance of ensuring the integrity of all ecosystems, including oceans, and the protection of biodiversity, recognized by some cultures as</w:t>
      </w:r>
      <w:r w:rsidR="003C6C45" w:rsidRPr="004256A6">
        <w:rPr>
          <w:rFonts w:eastAsia="Times New Roman"/>
          <w:color w:val="000000"/>
          <w:sz w:val="19"/>
          <w:szCs w:val="19"/>
          <w:lang w:val="en-US"/>
        </w:rPr>
        <w:t xml:space="preserve"> </w:t>
      </w:r>
      <w:r w:rsidR="003C6C45">
        <w:t>Mother Earth, and notes the importance for some of the concept of “climate justice”</w:t>
      </w:r>
      <w:r w:rsidR="003C6C45" w:rsidRPr="00375E61">
        <w:t>,</w:t>
      </w:r>
      <w:r w:rsidR="003C6C45">
        <w:t xml:space="preserve"> when taking action to address climate change;</w:t>
      </w:r>
    </w:p>
    <w:p w14:paraId="3B5253BB" w14:textId="201F5FB9" w:rsidR="003C6C45" w:rsidRPr="00C74B8E" w:rsidRDefault="00F31153" w:rsidP="00F31153">
      <w:pPr>
        <w:pStyle w:val="RegSingleTxtG"/>
        <w:ind w:left="1134"/>
        <w:rPr>
          <w:color w:val="000000" w:themeColor="text1"/>
        </w:rPr>
      </w:pPr>
      <w:r w:rsidRPr="00C74B8E">
        <w:rPr>
          <w:iCs/>
          <w:color w:val="000000" w:themeColor="text1"/>
        </w:rPr>
        <w:t>13.</w:t>
      </w:r>
      <w:r w:rsidRPr="00C74B8E">
        <w:rPr>
          <w:iCs/>
          <w:color w:val="000000" w:themeColor="text1"/>
        </w:rPr>
        <w:tab/>
      </w:r>
      <w:r w:rsidR="003C6C45" w:rsidRPr="008D7C33">
        <w:rPr>
          <w:i/>
          <w:iCs/>
          <w:color w:val="000000" w:themeColor="text1"/>
        </w:rPr>
        <w:t>Encourages</w:t>
      </w:r>
      <w:r w:rsidR="003C6C45" w:rsidRPr="008D7C33">
        <w:rPr>
          <w:color w:val="000000" w:themeColor="text1"/>
        </w:rPr>
        <w:t xml:space="preserve"> Parties to continue identifying opportunities to develop and implement non-market approaches</w:t>
      </w:r>
      <w:r w:rsidR="003C6C45" w:rsidRPr="008D7C33">
        <w:rPr>
          <w:rStyle w:val="FootnoteReference"/>
          <w:color w:val="000000" w:themeColor="text1"/>
        </w:rPr>
        <w:footnoteReference w:id="6"/>
      </w:r>
      <w:r w:rsidR="003C6C45" w:rsidRPr="008D7C33">
        <w:rPr>
          <w:color w:val="000000" w:themeColor="text1"/>
        </w:rPr>
        <w:t xml:space="preserve"> </w:t>
      </w:r>
      <w:r w:rsidR="003C6C45" w:rsidRPr="003C5C22">
        <w:rPr>
          <w:rFonts w:eastAsia="Times New Roman"/>
          <w:color w:val="000000" w:themeColor="text1"/>
          <w:lang w:val="en-US"/>
        </w:rPr>
        <w:t xml:space="preserve">in line with </w:t>
      </w:r>
      <w:r w:rsidR="003C6C45">
        <w:rPr>
          <w:rFonts w:eastAsia="Times New Roman"/>
          <w:color w:val="000000" w:themeColor="text1"/>
          <w:lang w:val="en-US"/>
        </w:rPr>
        <w:t>the principles of non-market approaches referred to in d</w:t>
      </w:r>
      <w:r w:rsidR="003C6C45" w:rsidRPr="003C5C22">
        <w:rPr>
          <w:rFonts w:eastAsia="Times New Roman"/>
          <w:color w:val="000000" w:themeColor="text1"/>
          <w:lang w:val="en-US"/>
        </w:rPr>
        <w:t>ecision 4/CMA</w:t>
      </w:r>
      <w:r w:rsidR="003C6C45">
        <w:rPr>
          <w:rFonts w:eastAsia="Times New Roman"/>
          <w:color w:val="000000" w:themeColor="text1"/>
          <w:lang w:val="en-US"/>
        </w:rPr>
        <w:t>.</w:t>
      </w:r>
      <w:r w:rsidR="003C6C45" w:rsidRPr="003C5C22">
        <w:rPr>
          <w:rFonts w:eastAsia="Times New Roman"/>
          <w:color w:val="000000" w:themeColor="text1"/>
          <w:lang w:val="en-US"/>
        </w:rPr>
        <w:t>3</w:t>
      </w:r>
      <w:r w:rsidR="003C6C45">
        <w:rPr>
          <w:rFonts w:eastAsia="Times New Roman"/>
          <w:color w:val="000000" w:themeColor="text1"/>
          <w:lang w:val="en-US"/>
        </w:rPr>
        <w:t>, annex, chapters I–II</w:t>
      </w:r>
      <w:r w:rsidR="003C6C45" w:rsidRPr="003C5C22">
        <w:rPr>
          <w:rFonts w:eastAsia="Times New Roman"/>
          <w:color w:val="000000" w:themeColor="text1"/>
          <w:lang w:val="en-US"/>
        </w:rPr>
        <w:t>;</w:t>
      </w:r>
    </w:p>
    <w:p w14:paraId="6063129C" w14:textId="2171A6F9" w:rsidR="003C6C45" w:rsidRDefault="00F31153" w:rsidP="00F31153">
      <w:pPr>
        <w:pStyle w:val="RegHChG"/>
        <w:tabs>
          <w:tab w:val="left" w:pos="1135"/>
        </w:tabs>
        <w:ind w:left="1135" w:hanging="454"/>
      </w:pPr>
      <w:bookmarkStart w:id="19" w:name="_Toc161286212"/>
      <w:bookmarkStart w:id="20" w:name="_Toc161242631"/>
      <w:r>
        <w:t>III.</w:t>
      </w:r>
      <w:r>
        <w:tab/>
      </w:r>
      <w:r w:rsidR="003C6C45" w:rsidRPr="00670940">
        <w:t>Schedule</w:t>
      </w:r>
      <w:r w:rsidR="003C6C45" w:rsidRPr="00AB7A3B">
        <w:t xml:space="preserve"> for</w:t>
      </w:r>
      <w:r w:rsidR="003C6C45">
        <w:t xml:space="preserve"> the work programme prior to and at the 5</w:t>
      </w:r>
      <w:r w:rsidR="003C6C45" w:rsidRPr="00391E77">
        <w:rPr>
          <w:vertAlign w:val="superscript"/>
        </w:rPr>
        <w:t>th</w:t>
      </w:r>
      <w:r w:rsidR="003C6C45">
        <w:t xml:space="preserve"> meeting of the Glasgow Committee on Non-market Approaches</w:t>
      </w:r>
      <w:bookmarkEnd w:id="19"/>
      <w:bookmarkEnd w:id="20"/>
    </w:p>
    <w:p w14:paraId="53CDD72B" w14:textId="5F8F8F19" w:rsidR="003C6C45" w:rsidRPr="00E944B9" w:rsidRDefault="00F31153" w:rsidP="00F31153">
      <w:pPr>
        <w:pStyle w:val="RegSingleTxtG"/>
        <w:ind w:left="1134"/>
        <w:rPr>
          <w:color w:val="000000" w:themeColor="text1"/>
        </w:rPr>
      </w:pPr>
      <w:bookmarkStart w:id="21" w:name="_Ref156207428"/>
      <w:r w:rsidRPr="00E944B9">
        <w:rPr>
          <w:iCs/>
          <w:color w:val="000000" w:themeColor="text1"/>
        </w:rPr>
        <w:t>14.</w:t>
      </w:r>
      <w:r w:rsidRPr="00E944B9">
        <w:rPr>
          <w:iCs/>
          <w:color w:val="000000" w:themeColor="text1"/>
        </w:rPr>
        <w:tab/>
      </w:r>
      <w:r w:rsidR="003C6C45" w:rsidRPr="00E944B9">
        <w:rPr>
          <w:i/>
          <w:iCs/>
          <w:color w:val="000000" w:themeColor="text1"/>
        </w:rPr>
        <w:t>Invites</w:t>
      </w:r>
      <w:r w:rsidR="003C6C45" w:rsidRPr="00E944B9">
        <w:rPr>
          <w:color w:val="000000" w:themeColor="text1"/>
        </w:rPr>
        <w:t xml:space="preserve"> Parties and observers to submit via the submission portal</w:t>
      </w:r>
      <w:r w:rsidR="003C6C45" w:rsidRPr="00E944B9">
        <w:rPr>
          <w:rStyle w:val="FootnoteReference"/>
          <w:color w:val="000000" w:themeColor="text1"/>
        </w:rPr>
        <w:footnoteReference w:id="7"/>
      </w:r>
      <w:r w:rsidR="003C6C45" w:rsidRPr="00E944B9">
        <w:rPr>
          <w:color w:val="000000" w:themeColor="text1"/>
        </w:rPr>
        <w:t xml:space="preserve"> by 31 March 2024 their views and information on:</w:t>
      </w:r>
      <w:bookmarkEnd w:id="21"/>
    </w:p>
    <w:p w14:paraId="1AC46710" w14:textId="2B93C8EA" w:rsidR="003C6C45" w:rsidRPr="00887A18" w:rsidRDefault="00F31153" w:rsidP="00F31153">
      <w:pPr>
        <w:pStyle w:val="RegSingleTxtG2"/>
        <w:ind w:left="1134" w:firstLine="567"/>
      </w:pPr>
      <w:r w:rsidRPr="00887A18">
        <w:rPr>
          <w:szCs w:val="28"/>
        </w:rPr>
        <w:t>(a)</w:t>
      </w:r>
      <w:r w:rsidRPr="00887A18">
        <w:rPr>
          <w:szCs w:val="28"/>
        </w:rPr>
        <w:tab/>
      </w:r>
      <w:r w:rsidR="003C6C45" w:rsidRPr="00887A18">
        <w:t>Themes for spin-off groups;</w:t>
      </w:r>
      <w:r w:rsidR="003C6C45">
        <w:t xml:space="preserve"> </w:t>
      </w:r>
    </w:p>
    <w:p w14:paraId="7BB28D80" w14:textId="30E3BB43" w:rsidR="003C6C45" w:rsidRPr="00F56B7B" w:rsidRDefault="00F31153" w:rsidP="00F31153">
      <w:pPr>
        <w:pStyle w:val="RegSingleTxtG2"/>
        <w:ind w:left="1134" w:firstLine="567"/>
        <w:rPr>
          <w:color w:val="4F81BD" w:themeColor="accent1"/>
        </w:rPr>
      </w:pPr>
      <w:bookmarkStart w:id="22" w:name="_Ref156207478"/>
      <w:r w:rsidRPr="00F56B7B">
        <w:rPr>
          <w:szCs w:val="28"/>
        </w:rPr>
        <w:t>(b)</w:t>
      </w:r>
      <w:r w:rsidRPr="00F56B7B">
        <w:rPr>
          <w:szCs w:val="28"/>
        </w:rPr>
        <w:tab/>
      </w:r>
      <w:r w:rsidR="003C6C45" w:rsidRPr="009406FC">
        <w:t xml:space="preserve">Existing </w:t>
      </w:r>
      <w:r w:rsidR="003C6C45">
        <w:t>non-market approache</w:t>
      </w:r>
      <w:r w:rsidR="003C6C45" w:rsidRPr="009406FC">
        <w:t>s under the initial focus areas of the work program</w:t>
      </w:r>
      <w:r w:rsidR="003C6C45">
        <w:t>me</w:t>
      </w:r>
      <w:r w:rsidR="003C6C45" w:rsidRPr="009406FC">
        <w:t xml:space="preserve"> activities</w:t>
      </w:r>
      <w:r w:rsidR="003C6C45">
        <w:t>;</w:t>
      </w:r>
      <w:bookmarkEnd w:id="22"/>
    </w:p>
    <w:p w14:paraId="0BEB6CA7" w14:textId="32959E39" w:rsidR="003C6C45" w:rsidRPr="00E944B9" w:rsidRDefault="00F31153" w:rsidP="00F31153">
      <w:pPr>
        <w:pStyle w:val="RegSingleTxtG"/>
        <w:ind w:left="1134"/>
      </w:pPr>
      <w:r w:rsidRPr="00E944B9">
        <w:t>15.</w:t>
      </w:r>
      <w:r w:rsidRPr="00E944B9">
        <w:tab/>
      </w:r>
      <w:r w:rsidR="003C6C45" w:rsidRPr="00E944B9">
        <w:rPr>
          <w:i/>
          <w:iCs/>
        </w:rPr>
        <w:t>Requests</w:t>
      </w:r>
      <w:r w:rsidR="003C6C45" w:rsidRPr="00E944B9">
        <w:t xml:space="preserve"> the secretariat to:</w:t>
      </w:r>
    </w:p>
    <w:p w14:paraId="61B3ED9A" w14:textId="6AFE231A" w:rsidR="003C6C45" w:rsidRPr="00E944B9" w:rsidRDefault="00F31153" w:rsidP="00F31153">
      <w:pPr>
        <w:pStyle w:val="RegSingleTxtG2"/>
        <w:ind w:left="1134" w:firstLine="567"/>
      </w:pPr>
      <w:r w:rsidRPr="00E944B9">
        <w:rPr>
          <w:szCs w:val="28"/>
        </w:rPr>
        <w:t>(a)</w:t>
      </w:r>
      <w:r w:rsidRPr="00E944B9">
        <w:rPr>
          <w:szCs w:val="28"/>
        </w:rPr>
        <w:tab/>
      </w:r>
      <w:r w:rsidR="003C6C45" w:rsidRPr="00E944B9">
        <w:t xml:space="preserve">Prepare a synthesis report on the submissions referred to in paragraph </w:t>
      </w:r>
      <w:r w:rsidR="00825408">
        <w:rPr>
          <w:cs/>
        </w:rPr>
        <w:t>‎</w:t>
      </w:r>
      <w:r w:rsidR="00825408">
        <w:t>14 above</w:t>
      </w:r>
      <w:r w:rsidR="003D5216">
        <w:t xml:space="preserve"> </w:t>
      </w:r>
      <w:r w:rsidR="003C6C45" w:rsidRPr="00E944B9">
        <w:t xml:space="preserve">for consideration by the </w:t>
      </w:r>
      <w:r w:rsidR="003C6C45">
        <w:t>Glasgow</w:t>
      </w:r>
      <w:r w:rsidR="003C6C45" w:rsidRPr="00E944B9">
        <w:t xml:space="preserve"> </w:t>
      </w:r>
      <w:r w:rsidR="003C6C45">
        <w:t>Committee on Non-market Approaches</w:t>
      </w:r>
      <w:r w:rsidR="003C6C45" w:rsidRPr="00E944B9">
        <w:t xml:space="preserve"> at its 5</w:t>
      </w:r>
      <w:r w:rsidR="003C6C45" w:rsidRPr="00E944B9">
        <w:rPr>
          <w:vertAlign w:val="superscript"/>
        </w:rPr>
        <w:t>th</w:t>
      </w:r>
      <w:r w:rsidR="003C6C45" w:rsidRPr="00E944B9">
        <w:t xml:space="preserve"> meeting;</w:t>
      </w:r>
    </w:p>
    <w:p w14:paraId="4EAF09DB" w14:textId="1A3B2B70" w:rsidR="003C6C45" w:rsidRPr="002174D8" w:rsidDel="002174D8" w:rsidRDefault="00F31153" w:rsidP="00F31153">
      <w:pPr>
        <w:pStyle w:val="RegSingleTxtG2"/>
        <w:ind w:left="1134" w:firstLine="567"/>
      </w:pPr>
      <w:r w:rsidRPr="002174D8" w:rsidDel="002174D8">
        <w:rPr>
          <w:szCs w:val="28"/>
        </w:rPr>
        <w:t>(b)</w:t>
      </w:r>
      <w:r w:rsidRPr="002174D8" w:rsidDel="002174D8">
        <w:rPr>
          <w:szCs w:val="28"/>
        </w:rPr>
        <w:tab/>
      </w:r>
      <w:r w:rsidR="003C6C45" w:rsidDel="002174D8">
        <w:t>Prepare a report on the workshop</w:t>
      </w:r>
      <w:r w:rsidR="003C6C45">
        <w:t xml:space="preserve"> in line with decision 8/CMA.4, paragraph 10,</w:t>
      </w:r>
      <w:r w:rsidR="003C6C45" w:rsidDel="002174D8">
        <w:t xml:space="preserve"> </w:t>
      </w:r>
      <w:r w:rsidR="003C6C45">
        <w:t xml:space="preserve">including </w:t>
      </w:r>
      <w:r w:rsidR="003C6C45" w:rsidDel="002174D8">
        <w:t>on the</w:t>
      </w:r>
      <w:r w:rsidR="003C6C45">
        <w:t xml:space="preserve"> </w:t>
      </w:r>
      <w:r w:rsidR="003C6C45" w:rsidDel="002174D8">
        <w:t xml:space="preserve">joint mitigation and adaptation approaches </w:t>
      </w:r>
      <w:r w:rsidR="003C6C45">
        <w:t>referred to</w:t>
      </w:r>
      <w:r w:rsidR="003C6C45" w:rsidDel="002174D8">
        <w:t xml:space="preserve"> in</w:t>
      </w:r>
      <w:r w:rsidR="003C6C45">
        <w:t xml:space="preserve"> Article 5, paragraph 2, of the Paris Agreement, and other activities and approaches;</w:t>
      </w:r>
    </w:p>
    <w:p w14:paraId="2C19F964" w14:textId="3A95A72D" w:rsidR="003C6C45" w:rsidRPr="00E944B9" w:rsidRDefault="00F31153" w:rsidP="00F31153">
      <w:pPr>
        <w:pStyle w:val="RegSingleTxtG2"/>
        <w:ind w:left="1134" w:firstLine="567"/>
      </w:pPr>
      <w:bookmarkStart w:id="23" w:name="_Ref153326401"/>
      <w:r w:rsidRPr="00E944B9">
        <w:rPr>
          <w:szCs w:val="28"/>
        </w:rPr>
        <w:t>(c)</w:t>
      </w:r>
      <w:r w:rsidRPr="00E944B9">
        <w:rPr>
          <w:szCs w:val="28"/>
        </w:rPr>
        <w:tab/>
      </w:r>
      <w:r w:rsidR="003C6C45" w:rsidRPr="00E944B9">
        <w:rPr>
          <w:color w:val="000000" w:themeColor="text1"/>
        </w:rPr>
        <w:t>Organize an in-session workshop, including round-table discussions,</w:t>
      </w:r>
      <w:r w:rsidR="003C6C45" w:rsidRPr="00E944B9">
        <w:rPr>
          <w:rStyle w:val="FootnoteReference"/>
          <w:color w:val="000000" w:themeColor="text1"/>
        </w:rPr>
        <w:footnoteReference w:id="8"/>
      </w:r>
      <w:r w:rsidR="003C6C45" w:rsidRPr="00E944B9">
        <w:rPr>
          <w:color w:val="000000" w:themeColor="text1"/>
        </w:rPr>
        <w:t xml:space="preserve"> to be held in conjunction with the </w:t>
      </w:r>
      <w:r w:rsidR="003C6C45">
        <w:rPr>
          <w:color w:val="000000" w:themeColor="text1"/>
        </w:rPr>
        <w:t>5</w:t>
      </w:r>
      <w:r w:rsidR="003C6C45" w:rsidRPr="000F0446">
        <w:rPr>
          <w:color w:val="000000" w:themeColor="text1"/>
          <w:vertAlign w:val="superscript"/>
        </w:rPr>
        <w:t>th</w:t>
      </w:r>
      <w:r w:rsidR="003C6C45" w:rsidDel="00E14155">
        <w:rPr>
          <w:color w:val="000000" w:themeColor="text1"/>
        </w:rPr>
        <w:t xml:space="preserve"> </w:t>
      </w:r>
      <w:r w:rsidR="003C6C45" w:rsidRPr="00E944B9">
        <w:rPr>
          <w:color w:val="000000" w:themeColor="text1"/>
        </w:rPr>
        <w:t>meeting of the</w:t>
      </w:r>
      <w:r w:rsidR="003C6C45">
        <w:rPr>
          <w:color w:val="000000" w:themeColor="text1"/>
        </w:rPr>
        <w:t xml:space="preserve"> Glasgow Committee on Non-market Approaches, focusing on:</w:t>
      </w:r>
      <w:bookmarkEnd w:id="23"/>
    </w:p>
    <w:p w14:paraId="7B813B34" w14:textId="0FB1FF23" w:rsidR="003C6C45" w:rsidRDefault="00F31153" w:rsidP="00F31153">
      <w:pPr>
        <w:pStyle w:val="RegSingleTxtG3"/>
        <w:ind w:left="1701"/>
      </w:pPr>
      <w:r>
        <w:t>(i)</w:t>
      </w:r>
      <w:r>
        <w:tab/>
      </w:r>
      <w:r w:rsidR="003C6C45">
        <w:t>The submissions on the topic referred to in paragraph</w:t>
      </w:r>
      <w:r w:rsidR="003E7900">
        <w:t xml:space="preserve"> </w:t>
      </w:r>
      <w:r w:rsidR="00825408">
        <w:rPr>
          <w:cs/>
        </w:rPr>
        <w:t>‎</w:t>
      </w:r>
      <w:r w:rsidR="00825408">
        <w:t>14(b) above</w:t>
      </w:r>
      <w:r w:rsidR="003C6C45" w:rsidRPr="00C66715">
        <w:t>;</w:t>
      </w:r>
    </w:p>
    <w:p w14:paraId="27C93DD7" w14:textId="750303B4" w:rsidR="003C6C45" w:rsidRDefault="00F31153" w:rsidP="00F31153">
      <w:pPr>
        <w:pStyle w:val="RegSingleTxtG3"/>
        <w:ind w:left="1701"/>
      </w:pPr>
      <w:r>
        <w:t>(ii)</w:t>
      </w:r>
      <w:r>
        <w:tab/>
      </w:r>
      <w:r w:rsidR="003C6C45">
        <w:t>The engagement of relevant stakeholders referred to in decision 4/CMA.3</w:t>
      </w:r>
      <w:r w:rsidR="00084F25">
        <w:t>, annex, paragraph 8,</w:t>
      </w:r>
      <w:r w:rsidR="003C6C45">
        <w:t xml:space="preserve"> as well as Indigenous Peoples and local communities, including representatives of the Facilitative Working Group of the Local Communities and Indigenous Peoples Platform, for fostering the open exchange of information and articulating cooperation opportunities on specific non-market approaches proposed by interested Parties;</w:t>
      </w:r>
    </w:p>
    <w:p w14:paraId="6E5635FF" w14:textId="588803B4" w:rsidR="003C6C45" w:rsidRDefault="00F31153" w:rsidP="00F31153">
      <w:pPr>
        <w:pStyle w:val="RegSingleTxtG3"/>
        <w:ind w:left="1701"/>
      </w:pPr>
      <w:r>
        <w:lastRenderedPageBreak/>
        <w:t>(iii)</w:t>
      </w:r>
      <w:r>
        <w:tab/>
      </w:r>
      <w:r w:rsidR="003C6C45">
        <w:t>Reflecting on previously presented non-market approaches with a view to strengthening collaboration and support needed;</w:t>
      </w:r>
    </w:p>
    <w:p w14:paraId="7C62701E" w14:textId="48CF6CA6" w:rsidR="003C6C45" w:rsidRDefault="00F31153" w:rsidP="00F31153">
      <w:pPr>
        <w:pStyle w:val="RegSingleTxtG"/>
        <w:ind w:left="1134"/>
      </w:pPr>
      <w:r>
        <w:t>16.</w:t>
      </w:r>
      <w:r>
        <w:tab/>
      </w:r>
      <w:r w:rsidR="003C6C45">
        <w:rPr>
          <w:i/>
          <w:iCs/>
        </w:rPr>
        <w:t>Also r</w:t>
      </w:r>
      <w:r w:rsidR="003C6C45" w:rsidRPr="00EA112D">
        <w:rPr>
          <w:i/>
          <w:iCs/>
        </w:rPr>
        <w:t>equests</w:t>
      </w:r>
      <w:r w:rsidR="003C6C45" w:rsidRPr="00861CC1">
        <w:t xml:space="preserve"> the Chair of the Subsidiary Body for Scientific and Technological Advice, as the convenor of the Glasgow Committee on Non-market Approaches</w:t>
      </w:r>
      <w:r w:rsidR="003C6C45">
        <w:t>,</w:t>
      </w:r>
      <w:r w:rsidR="003C6C45" w:rsidRPr="00861CC1">
        <w:t xml:space="preserve"> to invite interested Parties, relevant bodies, institutional arrangements and processes under the Convention and the Paris Agreement related to, inter alia, mitigation, adaptation, finance, technology development and transfer, and capacity</w:t>
      </w:r>
      <w:r w:rsidR="003C6C45">
        <w:t>-</w:t>
      </w:r>
      <w:r w:rsidR="003C6C45" w:rsidRPr="00861CC1">
        <w:t>building, including United Nations bodies, multilateral, bilateral and other public donors, and private and non-governmental organizations</w:t>
      </w:r>
      <w:r w:rsidR="003C6C45">
        <w:t>,</w:t>
      </w:r>
      <w:r w:rsidR="003C6C45" w:rsidRPr="00861CC1">
        <w:t xml:space="preserve"> to have a focused exchange of views on financial, technology and capacity-building support available or provided for identifying and developing non-market approaches, including </w:t>
      </w:r>
      <w:r w:rsidR="003C6C45">
        <w:t xml:space="preserve">on </w:t>
      </w:r>
      <w:r w:rsidR="003C6C45" w:rsidRPr="00861CC1">
        <w:t>enhanc</w:t>
      </w:r>
      <w:r w:rsidR="003C6C45">
        <w:t>ing</w:t>
      </w:r>
      <w:r w:rsidR="003C6C45" w:rsidRPr="00861CC1">
        <w:t xml:space="preserve"> access to various types of support and identifying investment opportunities and actionable solutions that support the achievement of nationally determined contributions, as part of the in-session workshop</w:t>
      </w:r>
      <w:r w:rsidR="003C6C45">
        <w:t xml:space="preserve"> referred to in paragraph </w:t>
      </w:r>
      <w:r w:rsidR="003C6C45">
        <w:rPr>
          <w:cs/>
        </w:rPr>
        <w:t>‎</w:t>
      </w:r>
      <w:r w:rsidR="00825408">
        <w:rPr>
          <w:cs/>
        </w:rPr>
        <w:t>‎</w:t>
      </w:r>
      <w:r w:rsidR="00825408">
        <w:t>15(c) above</w:t>
      </w:r>
      <w:r w:rsidR="003C6C45">
        <w:t>;</w:t>
      </w:r>
    </w:p>
    <w:p w14:paraId="67743219" w14:textId="3E6521D3" w:rsidR="003C6C45" w:rsidRPr="00E944B9" w:rsidRDefault="00F31153" w:rsidP="00F31153">
      <w:pPr>
        <w:pStyle w:val="RegHChG"/>
        <w:tabs>
          <w:tab w:val="left" w:pos="1135"/>
        </w:tabs>
        <w:ind w:left="1135" w:hanging="454"/>
      </w:pPr>
      <w:bookmarkStart w:id="24" w:name="_Toc161286213"/>
      <w:bookmarkStart w:id="25" w:name="_Toc161242632"/>
      <w:r w:rsidRPr="00E944B9">
        <w:t>IV.</w:t>
      </w:r>
      <w:r w:rsidRPr="00E944B9">
        <w:tab/>
      </w:r>
      <w:r w:rsidR="003C6C45">
        <w:t>Capacity-building</w:t>
      </w:r>
      <w:bookmarkEnd w:id="24"/>
      <w:bookmarkEnd w:id="25"/>
    </w:p>
    <w:p w14:paraId="6FB2C504" w14:textId="45A3F7C5" w:rsidR="003C6C45" w:rsidRDefault="00F31153" w:rsidP="00F31153">
      <w:pPr>
        <w:pStyle w:val="RegSingleTxtG"/>
        <w:ind w:left="1134"/>
        <w:rPr>
          <w:color w:val="000000" w:themeColor="text1"/>
        </w:rPr>
      </w:pPr>
      <w:r>
        <w:rPr>
          <w:iCs/>
          <w:color w:val="000000" w:themeColor="text1"/>
        </w:rPr>
        <w:t>17.</w:t>
      </w:r>
      <w:r>
        <w:rPr>
          <w:iCs/>
          <w:color w:val="000000" w:themeColor="text1"/>
        </w:rPr>
        <w:tab/>
      </w:r>
      <w:r w:rsidR="003C6C45">
        <w:rPr>
          <w:i/>
          <w:iCs/>
          <w:color w:val="000000" w:themeColor="text1"/>
        </w:rPr>
        <w:t xml:space="preserve">Reiterates </w:t>
      </w:r>
      <w:r w:rsidR="003C6C45" w:rsidRPr="00A35125">
        <w:rPr>
          <w:color w:val="000000" w:themeColor="text1"/>
        </w:rPr>
        <w:t>its request</w:t>
      </w:r>
      <w:r w:rsidR="00BD1B18">
        <w:rPr>
          <w:rStyle w:val="FootnoteReference"/>
          <w:color w:val="000000" w:themeColor="text1"/>
        </w:rPr>
        <w:footnoteReference w:id="9"/>
      </w:r>
      <w:r w:rsidR="003C6C45" w:rsidRPr="00A35125">
        <w:rPr>
          <w:color w:val="000000" w:themeColor="text1"/>
        </w:rPr>
        <w:t xml:space="preserve"> to</w:t>
      </w:r>
      <w:r w:rsidR="003C6C45" w:rsidRPr="007916EE">
        <w:rPr>
          <w:color w:val="000000" w:themeColor="text1"/>
        </w:rPr>
        <w:t xml:space="preserve"> </w:t>
      </w:r>
      <w:r w:rsidR="003C6C45">
        <w:rPr>
          <w:color w:val="000000" w:themeColor="text1"/>
        </w:rPr>
        <w:t>the secretariat to include as part of the broader capacity-building programme related to Article 6 of the Paris Agreement activities related to the work programme under the framework for non-market approaches, including activities to build:</w:t>
      </w:r>
    </w:p>
    <w:p w14:paraId="383D25C9" w14:textId="41B7DCF2" w:rsidR="003C6C45" w:rsidRPr="00E944B9" w:rsidRDefault="00F31153" w:rsidP="00F31153">
      <w:pPr>
        <w:pStyle w:val="RegSingleTxtG2"/>
        <w:ind w:left="1134" w:firstLine="567"/>
      </w:pPr>
      <w:r w:rsidRPr="00E944B9">
        <w:rPr>
          <w:szCs w:val="28"/>
        </w:rPr>
        <w:t>(a)</w:t>
      </w:r>
      <w:r w:rsidRPr="00E944B9">
        <w:rPr>
          <w:szCs w:val="28"/>
        </w:rPr>
        <w:tab/>
      </w:r>
      <w:r w:rsidR="003C6C45">
        <w:t xml:space="preserve">The capacity for the identification, </w:t>
      </w:r>
      <w:r w:rsidR="003C6C45" w:rsidDel="00CB256F">
        <w:t xml:space="preserve">development and </w:t>
      </w:r>
      <w:r w:rsidR="003C6C45" w:rsidRPr="00E944B9">
        <w:t>scaling</w:t>
      </w:r>
      <w:r w:rsidR="003C6C45" w:rsidRPr="00E944B9" w:rsidDel="00CB47B8">
        <w:t>-</w:t>
      </w:r>
      <w:r w:rsidR="003C6C45" w:rsidRPr="00E944B9">
        <w:t xml:space="preserve">up </w:t>
      </w:r>
      <w:r w:rsidR="003C6C45">
        <w:t>of non-market approaches, including by encouraging the participation of</w:t>
      </w:r>
      <w:r w:rsidR="003C6C45" w:rsidRPr="00E944B9">
        <w:t xml:space="preserve"> relevant stakeholders, including Indigenous Peoples and </w:t>
      </w:r>
      <w:r w:rsidR="003C6C45">
        <w:t>l</w:t>
      </w:r>
      <w:r w:rsidR="003C6C45" w:rsidRPr="00E944B9">
        <w:t xml:space="preserve">ocal </w:t>
      </w:r>
      <w:r w:rsidR="003C6C45">
        <w:t>c</w:t>
      </w:r>
      <w:r w:rsidR="003C6C45" w:rsidRPr="00E944B9">
        <w:t>ommunities</w:t>
      </w:r>
      <w:r w:rsidR="003C6C45">
        <w:t>;</w:t>
      </w:r>
    </w:p>
    <w:p w14:paraId="1CDF6943" w14:textId="7D730C9D" w:rsidR="003C6C45" w:rsidRDefault="00F31153" w:rsidP="00F31153">
      <w:pPr>
        <w:pStyle w:val="RegSingleTxtG2"/>
        <w:ind w:left="1134" w:firstLine="567"/>
      </w:pPr>
      <w:r>
        <w:rPr>
          <w:szCs w:val="28"/>
        </w:rPr>
        <w:t>(b)</w:t>
      </w:r>
      <w:r>
        <w:rPr>
          <w:szCs w:val="28"/>
        </w:rPr>
        <w:tab/>
      </w:r>
      <w:r w:rsidR="003C6C45">
        <w:t>Opportunities for interested Parties that are participating in non-market approaches to communicate with relevant stakeholders for enhancing cooperation and support</w:t>
      </w:r>
      <w:r w:rsidR="003C6C45" w:rsidRPr="00AA0CE9">
        <w:t xml:space="preserve"> </w:t>
      </w:r>
      <w:r w:rsidR="003C6C45">
        <w:t xml:space="preserve">in non-market approaches; </w:t>
      </w:r>
    </w:p>
    <w:p w14:paraId="41D5EFA1" w14:textId="7AA3EAC9" w:rsidR="003C6C45" w:rsidRDefault="00F31153" w:rsidP="00F31153">
      <w:pPr>
        <w:pStyle w:val="RegSingleTxtG2"/>
        <w:ind w:left="1134" w:firstLine="567"/>
      </w:pPr>
      <w:r>
        <w:rPr>
          <w:szCs w:val="28"/>
        </w:rPr>
        <w:t>(c)</w:t>
      </w:r>
      <w:r>
        <w:rPr>
          <w:szCs w:val="28"/>
        </w:rPr>
        <w:tab/>
      </w:r>
      <w:r w:rsidR="003C6C45">
        <w:t>The capacity for the effective participation of Indigenous Peoples, local communities and other relevant stakeholders in the relevant work programme activities;</w:t>
      </w:r>
    </w:p>
    <w:p w14:paraId="4756C77C" w14:textId="4695C499" w:rsidR="003C6C45" w:rsidRDefault="00F31153" w:rsidP="00F31153">
      <w:pPr>
        <w:pStyle w:val="RegSingleTxtG2"/>
        <w:ind w:left="1134" w:firstLine="567"/>
      </w:pPr>
      <w:r>
        <w:rPr>
          <w:szCs w:val="28"/>
        </w:rPr>
        <w:t>(d)</w:t>
      </w:r>
      <w:r>
        <w:rPr>
          <w:szCs w:val="28"/>
        </w:rPr>
        <w:tab/>
      </w:r>
      <w:r w:rsidR="003C6C45">
        <w:t>The capacity of Parties to record and exchange information on non-market approaches on the UNFCCC web-based platform;</w:t>
      </w:r>
    </w:p>
    <w:p w14:paraId="672FAB46" w14:textId="6E86DB3E" w:rsidR="003C6C45" w:rsidRPr="00E944B9" w:rsidRDefault="00F31153" w:rsidP="00F31153">
      <w:pPr>
        <w:pStyle w:val="RegHChG"/>
        <w:tabs>
          <w:tab w:val="left" w:pos="1135"/>
        </w:tabs>
        <w:ind w:left="1135" w:hanging="454"/>
      </w:pPr>
      <w:bookmarkStart w:id="26" w:name="_Toc161286214"/>
      <w:bookmarkStart w:id="27" w:name="_Toc161242633"/>
      <w:r w:rsidRPr="00E944B9">
        <w:t>V.</w:t>
      </w:r>
      <w:r w:rsidRPr="00E944B9">
        <w:tab/>
      </w:r>
      <w:r w:rsidR="003C6C45" w:rsidRPr="00E944B9">
        <w:t>Other matters</w:t>
      </w:r>
      <w:bookmarkEnd w:id="26"/>
      <w:bookmarkEnd w:id="27"/>
    </w:p>
    <w:p w14:paraId="2ACA845B" w14:textId="680A4F08" w:rsidR="003C6C45" w:rsidRPr="00241ACC" w:rsidRDefault="00F31153" w:rsidP="00F31153">
      <w:pPr>
        <w:pStyle w:val="RegSingleTxtG"/>
        <w:ind w:left="1134"/>
        <w:rPr>
          <w:color w:val="000000" w:themeColor="text1"/>
        </w:rPr>
      </w:pPr>
      <w:r w:rsidRPr="00241ACC">
        <w:rPr>
          <w:iCs/>
          <w:color w:val="000000" w:themeColor="text1"/>
        </w:rPr>
        <w:t>18.</w:t>
      </w:r>
      <w:r w:rsidRPr="00241ACC">
        <w:rPr>
          <w:iCs/>
          <w:color w:val="000000" w:themeColor="text1"/>
        </w:rPr>
        <w:tab/>
      </w:r>
      <w:r w:rsidR="003C6C45" w:rsidRPr="00241ACC">
        <w:rPr>
          <w:i/>
          <w:iCs/>
          <w:color w:val="000000" w:themeColor="text1"/>
        </w:rPr>
        <w:t>Recognizes</w:t>
      </w:r>
      <w:r w:rsidR="003C6C45" w:rsidRPr="00241ACC">
        <w:rPr>
          <w:color w:val="000000" w:themeColor="text1"/>
        </w:rPr>
        <w:t xml:space="preserve"> the importance of support for </w:t>
      </w:r>
      <w:r w:rsidR="003C6C45" w:rsidDel="00337C34">
        <w:rPr>
          <w:color w:val="000000" w:themeColor="text1"/>
        </w:rPr>
        <w:t xml:space="preserve">the </w:t>
      </w:r>
      <w:r w:rsidR="003C6C45" w:rsidDel="00102493">
        <w:rPr>
          <w:color w:val="000000" w:themeColor="text1"/>
        </w:rPr>
        <w:t xml:space="preserve">functions and activities mandated in </w:t>
      </w:r>
      <w:r w:rsidR="003C6C45" w:rsidRPr="00241ACC">
        <w:rPr>
          <w:color w:val="000000" w:themeColor="text1"/>
        </w:rPr>
        <w:t xml:space="preserve">the work programme </w:t>
      </w:r>
      <w:r w:rsidR="003C6C45" w:rsidDel="00337C34">
        <w:rPr>
          <w:color w:val="000000" w:themeColor="text1"/>
        </w:rPr>
        <w:t>under the framework for non-market approaches</w:t>
      </w:r>
      <w:r w:rsidR="003C6C45">
        <w:rPr>
          <w:color w:val="000000" w:themeColor="text1"/>
        </w:rPr>
        <w:t xml:space="preserve"> referred to in decision 4/CMA.3</w:t>
      </w:r>
      <w:r w:rsidR="003C6C45" w:rsidRPr="00241ACC">
        <w:rPr>
          <w:color w:val="000000" w:themeColor="text1"/>
        </w:rPr>
        <w:t>;</w:t>
      </w:r>
    </w:p>
    <w:p w14:paraId="36446E6D" w14:textId="41C9713F" w:rsidR="003C6C45" w:rsidRPr="0078108F" w:rsidRDefault="00F31153" w:rsidP="00F31153">
      <w:pPr>
        <w:pStyle w:val="RegSingleTxtG"/>
        <w:ind w:left="1134"/>
      </w:pPr>
      <w:r w:rsidRPr="0078108F">
        <w:rPr>
          <w:iCs/>
        </w:rPr>
        <w:t>19.</w:t>
      </w:r>
      <w:r w:rsidRPr="0078108F">
        <w:rPr>
          <w:iCs/>
        </w:rPr>
        <w:tab/>
      </w:r>
      <w:r w:rsidR="003C6C45" w:rsidRPr="0078108F">
        <w:rPr>
          <w:i/>
          <w:iCs/>
        </w:rPr>
        <w:t>Takes note</w:t>
      </w:r>
      <w:r w:rsidR="003C6C45" w:rsidRPr="0078108F">
        <w:t xml:space="preserve"> of the estimated budgetary implications of the activities to be undertaken by the secretariat referred to in this decision;</w:t>
      </w:r>
    </w:p>
    <w:p w14:paraId="7A4D1D7E" w14:textId="357417FF" w:rsidR="003C6C45" w:rsidRPr="0078108F" w:rsidRDefault="00F31153" w:rsidP="00F31153">
      <w:pPr>
        <w:pStyle w:val="RegSingleTxtG"/>
        <w:ind w:left="1134"/>
      </w:pPr>
      <w:r w:rsidRPr="0078108F">
        <w:rPr>
          <w:iCs/>
        </w:rPr>
        <w:t>20.</w:t>
      </w:r>
      <w:r w:rsidRPr="0078108F">
        <w:rPr>
          <w:iCs/>
        </w:rPr>
        <w:tab/>
      </w:r>
      <w:r w:rsidR="003C6C45" w:rsidRPr="00CE291F">
        <w:rPr>
          <w:i/>
          <w:iCs/>
        </w:rPr>
        <w:t xml:space="preserve">Expresses </w:t>
      </w:r>
      <w:r w:rsidR="003C6C45" w:rsidRPr="00CD5807">
        <w:rPr>
          <w:i/>
          <w:iCs/>
        </w:rPr>
        <w:t>concern</w:t>
      </w:r>
      <w:r w:rsidR="003C6C45" w:rsidRPr="00260AD9">
        <w:t xml:space="preserve"> </w:t>
      </w:r>
      <w:r w:rsidR="003C6C45" w:rsidRPr="0078108F">
        <w:t xml:space="preserve">about the current </w:t>
      </w:r>
      <w:r w:rsidR="003C6C45">
        <w:t xml:space="preserve">level of </w:t>
      </w:r>
      <w:r w:rsidR="003C6C45" w:rsidRPr="0078108F">
        <w:t>resources for work relating to mandated tasks relating to Article 6</w:t>
      </w:r>
      <w:r w:rsidR="003C6C45">
        <w:t>,</w:t>
      </w:r>
      <w:r w:rsidR="003C6C45" w:rsidRPr="0078108F">
        <w:t xml:space="preserve"> paragraph 8</w:t>
      </w:r>
      <w:r w:rsidR="003C6C45">
        <w:t>,</w:t>
      </w:r>
      <w:r w:rsidR="003C6C45" w:rsidRPr="0078108F">
        <w:t xml:space="preserve"> of the Paris Agreement</w:t>
      </w:r>
      <w:r w:rsidR="003C6C45">
        <w:t>;</w:t>
      </w:r>
    </w:p>
    <w:p w14:paraId="7B715911" w14:textId="0B1811EB" w:rsidR="003C6C45" w:rsidRDefault="00F31153" w:rsidP="00F31153">
      <w:pPr>
        <w:pStyle w:val="RegSingleTxtG"/>
        <w:ind w:left="1134"/>
      </w:pPr>
      <w:r>
        <w:t>21.</w:t>
      </w:r>
      <w:r>
        <w:tab/>
      </w:r>
      <w:r w:rsidR="003C6C45" w:rsidRPr="00260AD9">
        <w:rPr>
          <w:i/>
          <w:iCs/>
        </w:rPr>
        <w:t>Invites</w:t>
      </w:r>
      <w:r w:rsidR="003C6C45" w:rsidRPr="00550F8D">
        <w:t xml:space="preserve"> Parties to make voluntary contributions to the Trust Fund for Supplementary Activities </w:t>
      </w:r>
      <w:r w:rsidR="003C6C45">
        <w:t>for implementing</w:t>
      </w:r>
      <w:r w:rsidR="003C6C45" w:rsidRPr="00550F8D">
        <w:t xml:space="preserve"> the work </w:t>
      </w:r>
      <w:r w:rsidR="003C6C45">
        <w:t>programme under the framework for non-market approaches;</w:t>
      </w:r>
    </w:p>
    <w:p w14:paraId="4672C967" w14:textId="77DD97DE" w:rsidR="009561E5" w:rsidRDefault="00F31153" w:rsidP="00F31153">
      <w:pPr>
        <w:pStyle w:val="RegSingleTxtG"/>
        <w:tabs>
          <w:tab w:val="left" w:pos="568"/>
        </w:tabs>
        <w:ind w:left="1134"/>
      </w:pPr>
      <w:r>
        <w:t>22.</w:t>
      </w:r>
      <w:r>
        <w:tab/>
      </w:r>
      <w:r w:rsidR="003C6C45">
        <w:rPr>
          <w:i/>
          <w:iCs/>
          <w:color w:val="000000" w:themeColor="text1"/>
        </w:rPr>
        <w:t>R</w:t>
      </w:r>
      <w:r w:rsidR="003C6C45" w:rsidRPr="00AF7882">
        <w:rPr>
          <w:i/>
          <w:color w:val="000000" w:themeColor="text1"/>
        </w:rPr>
        <w:t>equests</w:t>
      </w:r>
      <w:r w:rsidR="003C6C45" w:rsidRPr="00E944B9">
        <w:rPr>
          <w:color w:val="000000" w:themeColor="text1"/>
        </w:rPr>
        <w:t xml:space="preserve"> that the actions called for in this decision be undertaken subject to the availability of financial resources</w:t>
      </w:r>
      <w:r w:rsidR="003C6C45" w:rsidRPr="00B53527">
        <w:t>.</w:t>
      </w:r>
      <w:bookmarkStart w:id="28" w:name="_Toc117495283"/>
      <w:bookmarkStart w:id="29" w:name="_Toc117496063"/>
      <w:bookmarkStart w:id="30" w:name="_Toc485284858"/>
      <w:bookmarkStart w:id="31" w:name="_Toc485284941"/>
      <w:bookmarkEnd w:id="28"/>
      <w:bookmarkEnd w:id="29"/>
      <w:bookmarkEnd w:id="30"/>
      <w:bookmarkEnd w:id="31"/>
    </w:p>
    <w:p w14:paraId="5E4D852A" w14:textId="429AC906" w:rsidR="00EF7714" w:rsidRPr="000F6262" w:rsidRDefault="00D6112F" w:rsidP="0007030A">
      <w:pPr>
        <w:tabs>
          <w:tab w:val="left" w:pos="1701"/>
        </w:tabs>
        <w:spacing w:line="20" w:lineRule="atLeast"/>
        <w:ind w:left="1134" w:right="1134"/>
        <w:jc w:val="right"/>
        <w:rPr>
          <w:i/>
          <w:iCs/>
        </w:rPr>
      </w:pPr>
      <w:r>
        <w:rPr>
          <w:i/>
          <w:iCs/>
        </w:rPr>
        <w:t>6</w:t>
      </w:r>
      <w:r w:rsidRPr="00D6112F">
        <w:rPr>
          <w:i/>
          <w:iCs/>
          <w:vertAlign w:val="superscript"/>
        </w:rPr>
        <w:t>th</w:t>
      </w:r>
      <w:r>
        <w:rPr>
          <w:i/>
          <w:iCs/>
        </w:rPr>
        <w:t xml:space="preserve"> </w:t>
      </w:r>
      <w:r w:rsidR="00EF7714" w:rsidRPr="000F6262">
        <w:rPr>
          <w:i/>
          <w:iCs/>
        </w:rPr>
        <w:t>plenary meeting</w:t>
      </w:r>
    </w:p>
    <w:p w14:paraId="5EFA8468" w14:textId="77777777" w:rsidR="00EF7714" w:rsidRPr="000F6262" w:rsidRDefault="00EF7714" w:rsidP="0007030A">
      <w:pPr>
        <w:tabs>
          <w:tab w:val="left" w:pos="1701"/>
        </w:tabs>
        <w:spacing w:line="20" w:lineRule="atLeast"/>
        <w:ind w:left="1134" w:right="1134"/>
        <w:jc w:val="right"/>
        <w:rPr>
          <w:i/>
          <w:iCs/>
        </w:rPr>
      </w:pPr>
      <w:r w:rsidRPr="000F6262">
        <w:rPr>
          <w:i/>
          <w:iCs/>
        </w:rPr>
        <w:t>13 December 2023</w:t>
      </w:r>
    </w:p>
    <w:bookmarkEnd w:id="12"/>
    <w:p w14:paraId="40422C56" w14:textId="4305D981" w:rsidR="000A08D1" w:rsidRDefault="000A08D1" w:rsidP="00535F63">
      <w:pPr>
        <w:pStyle w:val="RegSingleTxtG"/>
        <w:tabs>
          <w:tab w:val="clear" w:pos="1701"/>
        </w:tabs>
        <w:ind w:left="1134"/>
        <w:sectPr w:rsidR="000A08D1" w:rsidSect="00017F7D">
          <w:headerReference w:type="even" r:id="rId15"/>
          <w:headerReference w:type="default" r:id="rId16"/>
          <w:footerReference w:type="even" r:id="rId17"/>
          <w:footerReference w:type="default" r:id="rId18"/>
          <w:pgSz w:w="11906" w:h="16838" w:code="9"/>
          <w:pgMar w:top="1417" w:right="1134" w:bottom="1134" w:left="1134" w:header="850" w:footer="567" w:gutter="0"/>
          <w:cols w:space="708"/>
          <w:titlePg/>
          <w:docGrid w:linePitch="360"/>
        </w:sectPr>
      </w:pPr>
    </w:p>
    <w:p w14:paraId="5588041D" w14:textId="1FECFF44" w:rsidR="0087553F" w:rsidRDefault="0087553F" w:rsidP="00F31153">
      <w:pPr>
        <w:pStyle w:val="RegHChG"/>
        <w:tabs>
          <w:tab w:val="left" w:pos="6749"/>
        </w:tabs>
        <w:ind w:left="1135" w:hanging="454"/>
      </w:pPr>
      <w:bookmarkStart w:id="32" w:name="_Toc161286215"/>
      <w:bookmarkStart w:id="33" w:name="_Toc161242634"/>
      <w:bookmarkStart w:id="34" w:name="decision18"/>
      <w:r w:rsidRPr="001C24F9">
        <w:lastRenderedPageBreak/>
        <w:t xml:space="preserve">Decision </w:t>
      </w:r>
      <w:r>
        <w:t>18</w:t>
      </w:r>
      <w:r w:rsidRPr="001C24F9">
        <w:t>/CMA.5</w:t>
      </w:r>
      <w:bookmarkEnd w:id="32"/>
      <w:bookmarkEnd w:id="33"/>
    </w:p>
    <w:p w14:paraId="5E12BC40" w14:textId="77777777" w:rsidR="0011105D" w:rsidRDefault="0011105D" w:rsidP="0087553F">
      <w:pPr>
        <w:pStyle w:val="HChG"/>
        <w:jc w:val="both"/>
      </w:pPr>
      <w:r>
        <w:tab/>
      </w:r>
      <w:r>
        <w:tab/>
      </w:r>
      <w:bookmarkStart w:id="35" w:name="_Hlk161242872"/>
      <w:r w:rsidRPr="00166DC6">
        <w:t>Provision of financial and technical support to developing country Parties for reporting and capacity-building</w:t>
      </w:r>
      <w:bookmarkEnd w:id="35"/>
    </w:p>
    <w:p w14:paraId="0FCCDCC9" w14:textId="23E00BF3" w:rsidR="0011105D" w:rsidRPr="00480B35" w:rsidDel="00480B35" w:rsidRDefault="006C1C99" w:rsidP="006C1C99">
      <w:pPr>
        <w:pStyle w:val="RegSingleTxtG"/>
        <w:ind w:left="1134"/>
      </w:pPr>
      <w:r>
        <w:rPr>
          <w:i/>
          <w:iCs/>
        </w:rPr>
        <w:tab/>
      </w:r>
      <w:r w:rsidR="0011105D" w:rsidRPr="006877C0">
        <w:rPr>
          <w:i/>
          <w:iCs/>
        </w:rPr>
        <w:t xml:space="preserve">The Conference of the Parties serving as the </w:t>
      </w:r>
      <w:r w:rsidR="0011105D" w:rsidRPr="00BA5FB7">
        <w:rPr>
          <w:rFonts w:eastAsia="DengXian"/>
          <w:i/>
          <w:iCs/>
          <w:color w:val="000000"/>
        </w:rPr>
        <w:t>meeting</w:t>
      </w:r>
      <w:r w:rsidR="0011105D" w:rsidRPr="006877C0">
        <w:rPr>
          <w:i/>
          <w:iCs/>
        </w:rPr>
        <w:t xml:space="preserve"> of the Parties to the Paris</w:t>
      </w:r>
      <w:r w:rsidR="0011105D">
        <w:rPr>
          <w:i/>
          <w:iCs/>
        </w:rPr>
        <w:t xml:space="preserve"> </w:t>
      </w:r>
      <w:r w:rsidR="0011105D" w:rsidRPr="006877C0">
        <w:rPr>
          <w:i/>
          <w:iCs/>
        </w:rPr>
        <w:t>Agreement</w:t>
      </w:r>
      <w:r w:rsidR="0011105D" w:rsidRPr="00062936">
        <w:t>,</w:t>
      </w:r>
    </w:p>
    <w:p w14:paraId="413ED653" w14:textId="10A49AF3" w:rsidR="0011105D" w:rsidRPr="00AE6842" w:rsidRDefault="0011105D" w:rsidP="00DB601E">
      <w:pPr>
        <w:pStyle w:val="RegSingleTxtG"/>
        <w:ind w:left="1134"/>
      </w:pPr>
      <w:r>
        <w:rPr>
          <w:i/>
          <w:iCs/>
        </w:rPr>
        <w:tab/>
        <w:t xml:space="preserve">Recalling </w:t>
      </w:r>
      <w:r>
        <w:t>decisions 18/CMA.1, 5/CMA.3 and 17/CMA.4,</w:t>
      </w:r>
    </w:p>
    <w:p w14:paraId="22B0F6AF" w14:textId="3AE5DFF9" w:rsidR="0011105D" w:rsidRDefault="0011105D" w:rsidP="0011105D">
      <w:pPr>
        <w:pStyle w:val="RegSingleTxtG"/>
        <w:numPr>
          <w:ilvl w:val="5"/>
          <w:numId w:val="0"/>
        </w:numPr>
        <w:ind w:left="1134"/>
      </w:pPr>
      <w:r>
        <w:rPr>
          <w:i/>
          <w:iCs/>
        </w:rPr>
        <w:tab/>
      </w:r>
      <w:r>
        <w:rPr>
          <w:i/>
          <w:iCs/>
        </w:rPr>
        <w:tab/>
      </w:r>
      <w:r w:rsidRPr="7AB6A0F8">
        <w:rPr>
          <w:i/>
          <w:iCs/>
        </w:rPr>
        <w:t xml:space="preserve">Also recalling </w:t>
      </w:r>
      <w:r>
        <w:t>Article 13, in particular paragraph 14, of the Paris Agreement, which states that support shall be provided to developing countries for the implementation of that Article,</w:t>
      </w:r>
    </w:p>
    <w:p w14:paraId="79F46AD1" w14:textId="20595E80" w:rsidR="0011105D" w:rsidRPr="005A211E" w:rsidRDefault="0011105D" w:rsidP="0011105D">
      <w:pPr>
        <w:pStyle w:val="RegSingleTxtG"/>
        <w:numPr>
          <w:ilvl w:val="5"/>
          <w:numId w:val="0"/>
        </w:numPr>
        <w:ind w:left="1134"/>
        <w:rPr>
          <w:b/>
          <w:bCs/>
        </w:rPr>
      </w:pPr>
      <w:r>
        <w:rPr>
          <w:i/>
          <w:iCs/>
        </w:rPr>
        <w:tab/>
        <w:t>Further</w:t>
      </w:r>
      <w:r w:rsidRPr="7AB6A0F8">
        <w:rPr>
          <w:i/>
          <w:iCs/>
        </w:rPr>
        <w:t xml:space="preserve"> recalling </w:t>
      </w:r>
      <w:r>
        <w:t>Article 13, in particular paragraph 15, of the Paris Agreement, which states that support shall also be provided for the building of transparency-related capacity of developing country Parties on a continuous basis,</w:t>
      </w:r>
    </w:p>
    <w:p w14:paraId="30B2CC90" w14:textId="196F1050" w:rsidR="0011105D" w:rsidRDefault="0011105D" w:rsidP="0011105D">
      <w:pPr>
        <w:pStyle w:val="RegSingleTxtG"/>
        <w:numPr>
          <w:ilvl w:val="5"/>
          <w:numId w:val="0"/>
        </w:numPr>
        <w:ind w:left="1134"/>
      </w:pPr>
      <w:r>
        <w:rPr>
          <w:i/>
          <w:iCs/>
        </w:rPr>
        <w:tab/>
      </w:r>
      <w:r w:rsidRPr="7AB6A0F8">
        <w:rPr>
          <w:i/>
          <w:iCs/>
        </w:rPr>
        <w:t xml:space="preserve">Recognizing </w:t>
      </w:r>
      <w:r w:rsidRPr="00954573">
        <w:t xml:space="preserve">the special circumstances of </w:t>
      </w:r>
      <w:r>
        <w:t>the least developed countries</w:t>
      </w:r>
      <w:r w:rsidRPr="00954573">
        <w:t xml:space="preserve"> and </w:t>
      </w:r>
      <w:r>
        <w:t>small island developing State</w:t>
      </w:r>
      <w:r w:rsidR="006172E8">
        <w:t>s</w:t>
      </w:r>
      <w:r>
        <w:t>, as stated in Article 13, paragraph 3, of the Paris Agreement,</w:t>
      </w:r>
    </w:p>
    <w:p w14:paraId="565E74DF" w14:textId="13310018" w:rsidR="0011105D" w:rsidRPr="005056C7" w:rsidRDefault="0011105D" w:rsidP="0011105D">
      <w:pPr>
        <w:pStyle w:val="RegSingleTxtG"/>
        <w:numPr>
          <w:ilvl w:val="5"/>
          <w:numId w:val="0"/>
        </w:numPr>
        <w:ind w:left="1134"/>
      </w:pPr>
      <w:r>
        <w:rPr>
          <w:i/>
          <w:iCs/>
        </w:rPr>
        <w:tab/>
      </w:r>
      <w:r w:rsidRPr="7AB6A0F8">
        <w:rPr>
          <w:i/>
          <w:iCs/>
        </w:rPr>
        <w:t xml:space="preserve">Emphasizing </w:t>
      </w:r>
      <w:r w:rsidRPr="00C61958">
        <w:t>that</w:t>
      </w:r>
      <w:r w:rsidRPr="005056C7">
        <w:t xml:space="preserve"> </w:t>
      </w:r>
      <w:r>
        <w:t xml:space="preserve">the development and improvement of </w:t>
      </w:r>
      <w:r w:rsidRPr="006D49BD">
        <w:t>sustainable institutional capacity</w:t>
      </w:r>
      <w:r>
        <w:t xml:space="preserve">, including </w:t>
      </w:r>
      <w:r w:rsidRPr="006D49BD">
        <w:t>enhanc</w:t>
      </w:r>
      <w:r>
        <w:t>ed</w:t>
      </w:r>
      <w:r w:rsidRPr="006D49BD">
        <w:t xml:space="preserve"> reporting systems of developing </w:t>
      </w:r>
      <w:r>
        <w:t>country Parties</w:t>
      </w:r>
      <w:r w:rsidR="009964D2">
        <w:t>,</w:t>
      </w:r>
      <w:r>
        <w:t xml:space="preserve"> are crucial to </w:t>
      </w:r>
      <w:r w:rsidRPr="006D49BD">
        <w:t>the full implementation of the enhanced transparency framework</w:t>
      </w:r>
      <w:r>
        <w:t xml:space="preserve"> under the Paris Agreement,</w:t>
      </w:r>
    </w:p>
    <w:p w14:paraId="00B67093" w14:textId="113D4DC7" w:rsidR="0011105D" w:rsidRPr="00CD56DB" w:rsidRDefault="00F31153" w:rsidP="00F31153">
      <w:pPr>
        <w:pStyle w:val="RegSingleTxtG"/>
        <w:tabs>
          <w:tab w:val="left" w:pos="568"/>
        </w:tabs>
        <w:ind w:left="1135"/>
      </w:pPr>
      <w:r w:rsidRPr="00CD56DB">
        <w:t>1.</w:t>
      </w:r>
      <w:r w:rsidRPr="00CD56DB">
        <w:tab/>
      </w:r>
      <w:r w:rsidR="0011105D" w:rsidRPr="009C4322">
        <w:rPr>
          <w:i/>
          <w:iCs/>
        </w:rPr>
        <w:t>Welcom</w:t>
      </w:r>
      <w:r w:rsidR="0011105D">
        <w:rPr>
          <w:i/>
          <w:iCs/>
        </w:rPr>
        <w:t>es</w:t>
      </w:r>
      <w:r w:rsidR="0011105D" w:rsidRPr="00CD56DB">
        <w:t xml:space="preserve"> the action taken by the Global Environment Facility to provide support to developing country Parties for preparing their biennial transparency reports and building their institutional and technical capacity for implementing the enhanced transparency framework under the Paris Agreement</w:t>
      </w:r>
      <w:r w:rsidR="0011105D">
        <w:t>;</w:t>
      </w:r>
    </w:p>
    <w:p w14:paraId="7209578B" w14:textId="4F412535" w:rsidR="0011105D" w:rsidRDefault="00F31153" w:rsidP="00F31153">
      <w:pPr>
        <w:pStyle w:val="RegSingleTxtG"/>
        <w:tabs>
          <w:tab w:val="left" w:pos="568"/>
        </w:tabs>
        <w:ind w:left="1135"/>
      </w:pPr>
      <w:r>
        <w:t>2.</w:t>
      </w:r>
      <w:r>
        <w:tab/>
      </w:r>
      <w:r w:rsidR="0011105D" w:rsidRPr="00651A11">
        <w:rPr>
          <w:i/>
          <w:iCs/>
        </w:rPr>
        <w:t>Also welcomes</w:t>
      </w:r>
      <w:r w:rsidR="0011105D" w:rsidRPr="00651A11">
        <w:t xml:space="preserve"> that </w:t>
      </w:r>
      <w:r w:rsidR="0011105D">
        <w:t>developing country Parties are to continue to be supported, upon their request, under</w:t>
      </w:r>
      <w:r w:rsidR="0011105D" w:rsidRPr="00651A11">
        <w:t xml:space="preserve"> the Capacity-building Initiative for Transparency</w:t>
      </w:r>
      <w:r w:rsidR="0011105D">
        <w:rPr>
          <w:rStyle w:val="FootnoteReference"/>
        </w:rPr>
        <w:footnoteReference w:id="10"/>
      </w:r>
      <w:r w:rsidR="0011105D">
        <w:t xml:space="preserve"> </w:t>
      </w:r>
      <w:r w:rsidR="0011105D" w:rsidRPr="00651A11">
        <w:t>in building their institutional and technical capacity for implementing the enhanced transparency framework</w:t>
      </w:r>
      <w:r w:rsidR="0011105D">
        <w:t>;</w:t>
      </w:r>
    </w:p>
    <w:p w14:paraId="6B706CC6" w14:textId="6FEC1727" w:rsidR="0011105D" w:rsidRPr="00651A11" w:rsidRDefault="00F31153" w:rsidP="00F31153">
      <w:pPr>
        <w:pStyle w:val="RegSingleTxtG"/>
        <w:tabs>
          <w:tab w:val="left" w:pos="568"/>
        </w:tabs>
        <w:ind w:left="1135"/>
      </w:pPr>
      <w:r w:rsidRPr="00651A11">
        <w:t>3.</w:t>
      </w:r>
      <w:r w:rsidRPr="00651A11">
        <w:tab/>
      </w:r>
      <w:r w:rsidR="0011105D" w:rsidRPr="008431CB">
        <w:rPr>
          <w:i/>
          <w:iCs/>
        </w:rPr>
        <w:t xml:space="preserve">Appreciates </w:t>
      </w:r>
      <w:r w:rsidR="0011105D" w:rsidRPr="008431CB">
        <w:t xml:space="preserve">the efforts of the </w:t>
      </w:r>
      <w:r w:rsidR="0011105D">
        <w:t>Global Environment Facility</w:t>
      </w:r>
      <w:r w:rsidR="0011105D" w:rsidRPr="008431CB">
        <w:t xml:space="preserve"> in developing an expedited process for projects combining multiple </w:t>
      </w:r>
      <w:r w:rsidR="0011105D">
        <w:t xml:space="preserve">reports, including </w:t>
      </w:r>
      <w:r w:rsidR="0011105D" w:rsidRPr="008431CB">
        <w:t>biennial transparency reports</w:t>
      </w:r>
      <w:r w:rsidR="0011105D">
        <w:t xml:space="preserve"> and national communications</w:t>
      </w:r>
      <w:r w:rsidR="0011105D" w:rsidRPr="008431CB">
        <w:t>;</w:t>
      </w:r>
      <w:r w:rsidR="0011105D">
        <w:t xml:space="preserve"> </w:t>
      </w:r>
    </w:p>
    <w:p w14:paraId="5309E848" w14:textId="1BAA50D7" w:rsidR="0011105D" w:rsidRDefault="00F31153" w:rsidP="00F31153">
      <w:pPr>
        <w:pStyle w:val="RegSingleTxtG"/>
        <w:tabs>
          <w:tab w:val="left" w:pos="568"/>
        </w:tabs>
        <w:ind w:left="1135"/>
      </w:pPr>
      <w:r>
        <w:t>4.</w:t>
      </w:r>
      <w:r>
        <w:tab/>
      </w:r>
      <w:r w:rsidR="0011105D" w:rsidRPr="00B942DB">
        <w:rPr>
          <w:i/>
          <w:iCs/>
        </w:rPr>
        <w:t>Acknowledges</w:t>
      </w:r>
      <w:r w:rsidR="0011105D" w:rsidRPr="003C5B60">
        <w:t xml:space="preserve"> the increase in the allocation to the climate change focal area set</w:t>
      </w:r>
      <w:r w:rsidR="0011105D">
        <w:t xml:space="preserve"> </w:t>
      </w:r>
      <w:r w:rsidR="0011105D" w:rsidRPr="003C5B60">
        <w:t xml:space="preserve">aside for enabling activities, including the </w:t>
      </w:r>
      <w:r w:rsidR="0011105D">
        <w:t>Capacity-building Initiative for Transparency</w:t>
      </w:r>
      <w:r w:rsidR="0011105D" w:rsidRPr="003C5B60">
        <w:t xml:space="preserve">, from USD 165 million in the seventh replenishment cycle </w:t>
      </w:r>
      <w:r w:rsidR="0011105D">
        <w:t xml:space="preserve">of the Global Environment Facility </w:t>
      </w:r>
      <w:r w:rsidR="0011105D" w:rsidRPr="003C5B60">
        <w:t>to USD 220 million in the eighth cycle</w:t>
      </w:r>
      <w:r w:rsidR="0011105D">
        <w:t>, and</w:t>
      </w:r>
      <w:r w:rsidR="0011105D" w:rsidRPr="00926DF5">
        <w:t xml:space="preserve"> </w:t>
      </w:r>
      <w:r w:rsidR="0011105D" w:rsidRPr="00570D2B">
        <w:rPr>
          <w:i/>
          <w:iCs/>
        </w:rPr>
        <w:t>welcomes</w:t>
      </w:r>
      <w:r w:rsidR="0011105D" w:rsidRPr="00926DF5">
        <w:t xml:space="preserve"> that, </w:t>
      </w:r>
      <w:r w:rsidR="0011105D">
        <w:t>within</w:t>
      </w:r>
      <w:r w:rsidR="0011105D" w:rsidRPr="00926DF5">
        <w:t xml:space="preserve"> the agreed </w:t>
      </w:r>
      <w:r w:rsidR="0011105D">
        <w:t>r</w:t>
      </w:r>
      <w:r w:rsidR="0011105D" w:rsidRPr="00926DF5">
        <w:t xml:space="preserve">esource </w:t>
      </w:r>
      <w:r w:rsidR="0011105D">
        <w:t>a</w:t>
      </w:r>
      <w:r w:rsidR="0011105D" w:rsidRPr="00926DF5">
        <w:t xml:space="preserve">llocation </w:t>
      </w:r>
      <w:r w:rsidR="0011105D">
        <w:t>f</w:t>
      </w:r>
      <w:r w:rsidR="0011105D" w:rsidRPr="00926DF5">
        <w:t>ramework</w:t>
      </w:r>
      <w:r w:rsidR="0011105D">
        <w:t xml:space="preserve"> for the eighth cycle</w:t>
      </w:r>
      <w:r w:rsidR="0011105D" w:rsidRPr="00926DF5">
        <w:t xml:space="preserve">, </w:t>
      </w:r>
      <w:r w:rsidR="0011105D">
        <w:t>USD</w:t>
      </w:r>
      <w:r w:rsidR="0011105D" w:rsidRPr="00926DF5">
        <w:t xml:space="preserve"> 75 million has been allocated to the </w:t>
      </w:r>
      <w:r w:rsidR="0011105D">
        <w:t>Capacity-building Initiative for Transparency</w:t>
      </w:r>
      <w:r w:rsidR="0011105D" w:rsidRPr="00926DF5">
        <w:t xml:space="preserve">, </w:t>
      </w:r>
      <w:r w:rsidR="0011105D">
        <w:t xml:space="preserve">a </w:t>
      </w:r>
      <w:r w:rsidR="0011105D" w:rsidRPr="00926DF5">
        <w:t>36</w:t>
      </w:r>
      <w:r w:rsidR="0011105D">
        <w:t xml:space="preserve"> per cent</w:t>
      </w:r>
      <w:r w:rsidR="0011105D" w:rsidRPr="00926DF5">
        <w:t xml:space="preserve"> </w:t>
      </w:r>
      <w:r w:rsidR="0011105D">
        <w:t>increase on</w:t>
      </w:r>
      <w:r w:rsidR="0011105D" w:rsidRPr="00926DF5">
        <w:t xml:space="preserve"> </w:t>
      </w:r>
      <w:r w:rsidR="0011105D">
        <w:t>the</w:t>
      </w:r>
      <w:r w:rsidR="0011105D" w:rsidRPr="00926DF5">
        <w:t xml:space="preserve"> allocat</w:t>
      </w:r>
      <w:r w:rsidR="0011105D">
        <w:t>ion</w:t>
      </w:r>
      <w:r w:rsidR="0011105D" w:rsidRPr="00926DF5">
        <w:t xml:space="preserve"> </w:t>
      </w:r>
      <w:r w:rsidR="0011105D">
        <w:t>i</w:t>
      </w:r>
      <w:r w:rsidR="0011105D" w:rsidRPr="00926DF5">
        <w:t xml:space="preserve">n </w:t>
      </w:r>
      <w:r w:rsidR="0011105D">
        <w:t>the seventh cycle;</w:t>
      </w:r>
    </w:p>
    <w:p w14:paraId="3E20F1D7" w14:textId="4EB1F254" w:rsidR="0011105D" w:rsidRDefault="00F31153" w:rsidP="00F31153">
      <w:pPr>
        <w:pStyle w:val="RegSingleTxtG"/>
        <w:tabs>
          <w:tab w:val="left" w:pos="568"/>
        </w:tabs>
        <w:ind w:left="1135"/>
      </w:pPr>
      <w:r>
        <w:t>5.</w:t>
      </w:r>
      <w:r>
        <w:tab/>
      </w:r>
      <w:r w:rsidR="00864145">
        <w:rPr>
          <w:i/>
          <w:iCs/>
        </w:rPr>
        <w:t>Also w</w:t>
      </w:r>
      <w:r w:rsidR="0011105D" w:rsidRPr="00A01202">
        <w:rPr>
          <w:i/>
          <w:iCs/>
        </w:rPr>
        <w:t>elcomes</w:t>
      </w:r>
      <w:r w:rsidR="0011105D" w:rsidRPr="0037094B">
        <w:t xml:space="preserve"> the reports</w:t>
      </w:r>
      <w:r w:rsidR="0011105D">
        <w:t xml:space="preserve"> by the Global Environment Facility</w:t>
      </w:r>
      <w:r w:rsidR="0011105D" w:rsidRPr="0037094B">
        <w:t xml:space="preserve"> </w:t>
      </w:r>
      <w:r w:rsidR="0011105D">
        <w:t>on its progress in supporting</w:t>
      </w:r>
      <w:r w:rsidR="0011105D" w:rsidRPr="0037094B">
        <w:t xml:space="preserve"> implementation of the </w:t>
      </w:r>
      <w:r w:rsidR="0011105D">
        <w:t>Capacity-building Initiative for Transparency;</w:t>
      </w:r>
    </w:p>
    <w:p w14:paraId="10EA9D39" w14:textId="070E67D4" w:rsidR="0011105D" w:rsidRDefault="00F31153" w:rsidP="00F31153">
      <w:pPr>
        <w:pStyle w:val="RegSingleTxtG"/>
        <w:tabs>
          <w:tab w:val="left" w:pos="568"/>
        </w:tabs>
        <w:ind w:left="1135"/>
      </w:pPr>
      <w:r>
        <w:t>6.</w:t>
      </w:r>
      <w:r>
        <w:tab/>
      </w:r>
      <w:r w:rsidR="0011105D" w:rsidRPr="00A01202">
        <w:rPr>
          <w:i/>
          <w:iCs/>
        </w:rPr>
        <w:t xml:space="preserve">Appreciates </w:t>
      </w:r>
      <w:r w:rsidR="0011105D" w:rsidRPr="0037094B">
        <w:t xml:space="preserve">the oral </w:t>
      </w:r>
      <w:r w:rsidR="0011105D">
        <w:t>report</w:t>
      </w:r>
      <w:r w:rsidR="0011105D" w:rsidRPr="0037094B">
        <w:t xml:space="preserve"> </w:t>
      </w:r>
      <w:r w:rsidR="0011105D">
        <w:t>made by the Global Environment Facility</w:t>
      </w:r>
      <w:r w:rsidR="0011105D">
        <w:rPr>
          <w:rStyle w:val="FootnoteReference"/>
        </w:rPr>
        <w:footnoteReference w:id="11"/>
      </w:r>
      <w:r w:rsidR="0011105D">
        <w:t xml:space="preserve"> at the fifty-ninth session of the Subsidiary Body for Implementation</w:t>
      </w:r>
      <w:r w:rsidR="0011105D" w:rsidRPr="0037094B">
        <w:t xml:space="preserve"> </w:t>
      </w:r>
      <w:r w:rsidR="0011105D">
        <w:t>under the agenda items on</w:t>
      </w:r>
      <w:r w:rsidR="0011105D" w:rsidRPr="0037094B">
        <w:t xml:space="preserve"> </w:t>
      </w:r>
      <w:r w:rsidR="0011105D">
        <w:t>the provision of f</w:t>
      </w:r>
      <w:r w:rsidR="0011105D" w:rsidRPr="0037094B">
        <w:t xml:space="preserve">inancial and technical support for developing country Parties for reporting under the Convention and </w:t>
      </w:r>
      <w:r w:rsidR="0011105D">
        <w:t xml:space="preserve">the </w:t>
      </w:r>
      <w:r w:rsidR="0011105D" w:rsidRPr="0037094B">
        <w:t>Paris Agreement</w:t>
      </w:r>
      <w:r w:rsidR="0011105D">
        <w:t>;</w:t>
      </w:r>
    </w:p>
    <w:p w14:paraId="139E5E90" w14:textId="5ED75CC2" w:rsidR="0011105D" w:rsidRDefault="00F31153" w:rsidP="00F31153">
      <w:pPr>
        <w:pStyle w:val="RegSingleTxtG"/>
        <w:tabs>
          <w:tab w:val="left" w:pos="568"/>
        </w:tabs>
        <w:ind w:left="1135"/>
      </w:pPr>
      <w:r>
        <w:t>7.</w:t>
      </w:r>
      <w:r>
        <w:tab/>
      </w:r>
      <w:r w:rsidR="0011105D">
        <w:rPr>
          <w:i/>
          <w:iCs/>
        </w:rPr>
        <w:t>Also a</w:t>
      </w:r>
      <w:r w:rsidR="0011105D" w:rsidRPr="00A01202">
        <w:rPr>
          <w:i/>
          <w:iCs/>
        </w:rPr>
        <w:t>ppreciat</w:t>
      </w:r>
      <w:r w:rsidR="0011105D">
        <w:rPr>
          <w:i/>
          <w:iCs/>
        </w:rPr>
        <w:t>es</w:t>
      </w:r>
      <w:r w:rsidR="0011105D" w:rsidRPr="00A01202">
        <w:rPr>
          <w:i/>
          <w:iCs/>
        </w:rPr>
        <w:t xml:space="preserve"> </w:t>
      </w:r>
      <w:r w:rsidR="0011105D" w:rsidRPr="0037094B">
        <w:t xml:space="preserve">the </w:t>
      </w:r>
      <w:r w:rsidR="0011105D">
        <w:t xml:space="preserve">launch of the </w:t>
      </w:r>
      <w:r w:rsidR="0011105D" w:rsidRPr="0037094B">
        <w:t>Climate Transparency Platform</w:t>
      </w:r>
      <w:r w:rsidR="0011105D">
        <w:t>,</w:t>
      </w:r>
      <w:r w:rsidR="0011105D">
        <w:rPr>
          <w:rStyle w:val="FootnoteReference"/>
        </w:rPr>
        <w:footnoteReference w:id="12"/>
      </w:r>
      <w:r w:rsidR="0011105D" w:rsidRPr="0037094B">
        <w:t xml:space="preserve"> </w:t>
      </w:r>
      <w:r w:rsidR="0011105D">
        <w:t xml:space="preserve">an </w:t>
      </w:r>
      <w:r w:rsidR="0011105D" w:rsidRPr="0037094B">
        <w:t xml:space="preserve">online tool </w:t>
      </w:r>
      <w:r w:rsidR="0011105D">
        <w:t>for facilitating reporting by developing country Parties under the enhanced transparency framework;</w:t>
      </w:r>
    </w:p>
    <w:p w14:paraId="3D9E7F66" w14:textId="5D2490E4" w:rsidR="0011105D" w:rsidRPr="00E676B6" w:rsidRDefault="00F31153" w:rsidP="00F31153">
      <w:pPr>
        <w:pStyle w:val="RegSingleTxtG"/>
        <w:tabs>
          <w:tab w:val="left" w:pos="568"/>
        </w:tabs>
        <w:ind w:left="1135"/>
      </w:pPr>
      <w:r w:rsidRPr="00E676B6">
        <w:lastRenderedPageBreak/>
        <w:t>8.</w:t>
      </w:r>
      <w:r w:rsidRPr="00E676B6">
        <w:tab/>
      </w:r>
      <w:r w:rsidR="0011105D" w:rsidRPr="00021ABB">
        <w:rPr>
          <w:i/>
          <w:iCs/>
        </w:rPr>
        <w:t>Acknowledges</w:t>
      </w:r>
      <w:r w:rsidR="0011105D">
        <w:t xml:space="preserve"> the </w:t>
      </w:r>
      <w:r w:rsidR="0011105D" w:rsidRPr="00E676B6">
        <w:t xml:space="preserve">existing financial, technical and capacity-building support </w:t>
      </w:r>
      <w:r w:rsidR="0011105D">
        <w:t>for</w:t>
      </w:r>
      <w:r w:rsidR="0011105D" w:rsidRPr="00E676B6">
        <w:t xml:space="preserve"> </w:t>
      </w:r>
      <w:r w:rsidR="0011105D">
        <w:t xml:space="preserve">developing </w:t>
      </w:r>
      <w:r w:rsidR="0011105D" w:rsidRPr="00E676B6">
        <w:t>countr</w:t>
      </w:r>
      <w:r w:rsidR="0011105D">
        <w:t>y Parties</w:t>
      </w:r>
      <w:r w:rsidR="0011105D" w:rsidRPr="00E676B6">
        <w:t xml:space="preserve"> to address challenges </w:t>
      </w:r>
      <w:r w:rsidR="0011105D">
        <w:t>in</w:t>
      </w:r>
      <w:r w:rsidR="0011105D" w:rsidRPr="00E676B6">
        <w:t xml:space="preserve"> implement</w:t>
      </w:r>
      <w:r w:rsidR="0011105D">
        <w:t>ing</w:t>
      </w:r>
      <w:r w:rsidR="0011105D" w:rsidRPr="00E676B6">
        <w:t xml:space="preserve"> the </w:t>
      </w:r>
      <w:r w:rsidR="0011105D">
        <w:t>enhanced transparency framework that is available through</w:t>
      </w:r>
      <w:r w:rsidR="0011105D" w:rsidRPr="00E676B6">
        <w:t xml:space="preserve"> bilateral, multilateral and other channels</w:t>
      </w:r>
      <w:r w:rsidR="0011105D">
        <w:t>;</w:t>
      </w:r>
    </w:p>
    <w:p w14:paraId="048A31AB" w14:textId="7E88B213" w:rsidR="0011105D" w:rsidRPr="00A82D98" w:rsidRDefault="00F31153" w:rsidP="00F31153">
      <w:pPr>
        <w:pStyle w:val="RegSingleTxtG"/>
        <w:tabs>
          <w:tab w:val="left" w:pos="568"/>
        </w:tabs>
        <w:ind w:left="1135"/>
        <w:rPr>
          <w:bCs/>
        </w:rPr>
      </w:pPr>
      <w:bookmarkStart w:id="36" w:name="_Ref152496086"/>
      <w:r w:rsidRPr="00A82D98">
        <w:rPr>
          <w:bCs/>
        </w:rPr>
        <w:t>9.</w:t>
      </w:r>
      <w:r w:rsidRPr="00A82D98">
        <w:rPr>
          <w:bCs/>
        </w:rPr>
        <w:tab/>
      </w:r>
      <w:r w:rsidR="0011105D">
        <w:rPr>
          <w:bCs/>
          <w:i/>
          <w:iCs/>
        </w:rPr>
        <w:t>Recognizes</w:t>
      </w:r>
      <w:r w:rsidR="0011105D" w:rsidRPr="00A82D98">
        <w:rPr>
          <w:bCs/>
        </w:rPr>
        <w:t xml:space="preserve"> the challenges that developing country Parties</w:t>
      </w:r>
      <w:r w:rsidR="0011105D">
        <w:rPr>
          <w:bCs/>
        </w:rPr>
        <w:t>, in particular the least developed countries</w:t>
      </w:r>
      <w:r w:rsidR="0011105D">
        <w:t xml:space="preserve"> and small island developing States,</w:t>
      </w:r>
      <w:r w:rsidR="0011105D">
        <w:rPr>
          <w:bCs/>
        </w:rPr>
        <w:t xml:space="preserve"> </w:t>
      </w:r>
      <w:r w:rsidR="0011105D" w:rsidRPr="00A82D98">
        <w:rPr>
          <w:bCs/>
        </w:rPr>
        <w:t>face in</w:t>
      </w:r>
      <w:r w:rsidR="0011105D" w:rsidRPr="00813D0E">
        <w:t xml:space="preserve"> </w:t>
      </w:r>
      <w:r w:rsidR="0011105D" w:rsidRPr="00813D0E">
        <w:rPr>
          <w:bCs/>
        </w:rPr>
        <w:t xml:space="preserve">implementing the </w:t>
      </w:r>
      <w:r w:rsidR="0011105D">
        <w:rPr>
          <w:bCs/>
        </w:rPr>
        <w:t>enhanced transparency framework</w:t>
      </w:r>
      <w:r w:rsidR="0011105D" w:rsidRPr="00813D0E">
        <w:rPr>
          <w:bCs/>
        </w:rPr>
        <w:t xml:space="preserve"> in a </w:t>
      </w:r>
      <w:r w:rsidR="0011105D" w:rsidRPr="000A7B59">
        <w:t>sustainable</w:t>
      </w:r>
      <w:r w:rsidR="0011105D" w:rsidRPr="00813D0E">
        <w:rPr>
          <w:bCs/>
        </w:rPr>
        <w:t xml:space="preserve"> manner, including </w:t>
      </w:r>
      <w:r w:rsidR="009D4221">
        <w:rPr>
          <w:bCs/>
        </w:rPr>
        <w:t xml:space="preserve">in relation to the </w:t>
      </w:r>
      <w:r w:rsidR="0011105D" w:rsidRPr="00813D0E">
        <w:rPr>
          <w:bCs/>
        </w:rPr>
        <w:t>establish</w:t>
      </w:r>
      <w:r w:rsidR="0011105D">
        <w:rPr>
          <w:bCs/>
        </w:rPr>
        <w:t>ment</w:t>
      </w:r>
      <w:r w:rsidR="0011105D" w:rsidRPr="00813D0E">
        <w:rPr>
          <w:bCs/>
        </w:rPr>
        <w:t xml:space="preserve"> and</w:t>
      </w:r>
      <w:r w:rsidR="0011105D">
        <w:rPr>
          <w:bCs/>
        </w:rPr>
        <w:t xml:space="preserve"> enhancement of their</w:t>
      </w:r>
      <w:r w:rsidR="0011105D" w:rsidRPr="00813D0E">
        <w:rPr>
          <w:bCs/>
        </w:rPr>
        <w:t xml:space="preserve"> national reporting systems</w:t>
      </w:r>
      <w:r w:rsidR="0011105D">
        <w:rPr>
          <w:bCs/>
        </w:rPr>
        <w:t xml:space="preserve"> </w:t>
      </w:r>
      <w:r w:rsidR="0011105D" w:rsidRPr="00813D0E">
        <w:rPr>
          <w:bCs/>
        </w:rPr>
        <w:t xml:space="preserve">within their respective national </w:t>
      </w:r>
      <w:r w:rsidR="0011105D">
        <w:rPr>
          <w:bCs/>
        </w:rPr>
        <w:t>G</w:t>
      </w:r>
      <w:r w:rsidR="0011105D" w:rsidRPr="00813D0E">
        <w:rPr>
          <w:bCs/>
        </w:rPr>
        <w:t>overnments</w:t>
      </w:r>
      <w:r w:rsidR="0011105D">
        <w:rPr>
          <w:bCs/>
        </w:rPr>
        <w:t>;</w:t>
      </w:r>
      <w:bookmarkEnd w:id="36"/>
    </w:p>
    <w:p w14:paraId="44A016C8" w14:textId="32D05CE6" w:rsidR="0011105D" w:rsidRPr="00BE6F5C" w:rsidRDefault="00F31153" w:rsidP="00F31153">
      <w:pPr>
        <w:pStyle w:val="RegSingleTxtG"/>
        <w:tabs>
          <w:tab w:val="left" w:pos="568"/>
        </w:tabs>
        <w:ind w:left="1135"/>
      </w:pPr>
      <w:r w:rsidRPr="00BE6F5C">
        <w:t>10.</w:t>
      </w:r>
      <w:r w:rsidRPr="00BE6F5C">
        <w:tab/>
      </w:r>
      <w:r w:rsidR="0011105D" w:rsidRPr="000B29A2">
        <w:rPr>
          <w:i/>
          <w:iCs/>
        </w:rPr>
        <w:t>Underscores</w:t>
      </w:r>
      <w:r w:rsidR="0011105D" w:rsidRPr="00C833E0">
        <w:t xml:space="preserve"> the importance of the adequacy, predictability and timeliness of the support provided to developing country Parties, </w:t>
      </w:r>
      <w:r w:rsidR="0011105D">
        <w:t>recognizing the special circumstances of the least developed countries and small island developing States,</w:t>
      </w:r>
      <w:r w:rsidR="0011105D" w:rsidRPr="00C833E0">
        <w:t xml:space="preserve"> for building </w:t>
      </w:r>
      <w:r w:rsidR="0011105D">
        <w:t xml:space="preserve">and enhancing </w:t>
      </w:r>
      <w:r w:rsidR="0011105D" w:rsidRPr="00C833E0">
        <w:t>their institutional and technical capacity for implementing the</w:t>
      </w:r>
      <w:r w:rsidR="0011105D">
        <w:t xml:space="preserve"> enhanced transparency framework;</w:t>
      </w:r>
    </w:p>
    <w:p w14:paraId="4C96D032" w14:textId="6022D19D" w:rsidR="0011105D" w:rsidRDefault="00F31153" w:rsidP="00F31153">
      <w:pPr>
        <w:pStyle w:val="RegSingleTxtG"/>
        <w:tabs>
          <w:tab w:val="left" w:pos="568"/>
        </w:tabs>
        <w:ind w:left="1135"/>
      </w:pPr>
      <w:r>
        <w:t>11.</w:t>
      </w:r>
      <w:r>
        <w:tab/>
      </w:r>
      <w:r w:rsidR="0011105D" w:rsidRPr="00F87BF9">
        <w:rPr>
          <w:i/>
          <w:iCs/>
        </w:rPr>
        <w:t>Also underscores</w:t>
      </w:r>
      <w:r w:rsidR="0011105D" w:rsidRPr="00F87BF9">
        <w:rPr>
          <w:b/>
          <w:bCs/>
        </w:rPr>
        <w:t xml:space="preserve"> </w:t>
      </w:r>
      <w:r w:rsidR="0011105D" w:rsidRPr="00B2091A">
        <w:t xml:space="preserve">the </w:t>
      </w:r>
      <w:r w:rsidR="0011105D">
        <w:t>importance of</w:t>
      </w:r>
      <w:r w:rsidR="0011105D" w:rsidRPr="00B2091A">
        <w:t xml:space="preserve"> </w:t>
      </w:r>
      <w:r w:rsidR="0011105D">
        <w:t xml:space="preserve">the Global Environment Facility </w:t>
      </w:r>
      <w:r w:rsidR="0011105D" w:rsidRPr="00B2091A">
        <w:t>continui</w:t>
      </w:r>
      <w:r w:rsidR="0011105D">
        <w:t>ng</w:t>
      </w:r>
      <w:r w:rsidR="0011105D" w:rsidRPr="00B2091A">
        <w:t xml:space="preserve"> its efforts to provide adequate and timely </w:t>
      </w:r>
      <w:r w:rsidR="0011105D">
        <w:t>support to developing country Parties</w:t>
      </w:r>
      <w:r w:rsidR="0011105D" w:rsidRPr="00B2091A">
        <w:t xml:space="preserve"> for </w:t>
      </w:r>
      <w:r w:rsidR="0011105D">
        <w:t>implementing the enhanced transparency framework</w:t>
      </w:r>
      <w:r w:rsidR="0011105D" w:rsidRPr="00B2091A">
        <w:t>,</w:t>
      </w:r>
      <w:r w:rsidR="0011105D">
        <w:t xml:space="preserve"> to further </w:t>
      </w:r>
      <w:r w:rsidR="0011105D" w:rsidRPr="00E51DAD">
        <w:t>simplify the existing processes</w:t>
      </w:r>
      <w:r w:rsidR="0011105D">
        <w:t xml:space="preserve"> for approving projects</w:t>
      </w:r>
      <w:r w:rsidR="0011105D" w:rsidRPr="00E51DAD">
        <w:t xml:space="preserve"> under the </w:t>
      </w:r>
      <w:r w:rsidR="0011105D">
        <w:t>Global Environment Facility</w:t>
      </w:r>
      <w:r w:rsidR="0011105D" w:rsidRPr="00E51DAD">
        <w:t xml:space="preserve"> and its implementing agencies, </w:t>
      </w:r>
      <w:r w:rsidR="0011105D">
        <w:t xml:space="preserve">and </w:t>
      </w:r>
      <w:r w:rsidR="0011105D" w:rsidRPr="00E51DAD">
        <w:t>explor</w:t>
      </w:r>
      <w:r w:rsidR="0011105D">
        <w:t>ing</w:t>
      </w:r>
      <w:r w:rsidR="0011105D" w:rsidRPr="00E51DAD">
        <w:t xml:space="preserve"> alternative programming modalities, procedures and processes for facilitating and expediting access to financial resources for enabling activities </w:t>
      </w:r>
      <w:r w:rsidR="0011105D">
        <w:t xml:space="preserve">for supporting </w:t>
      </w:r>
      <w:r w:rsidR="0011105D" w:rsidRPr="00E51DAD">
        <w:t xml:space="preserve">developing country </w:t>
      </w:r>
      <w:r w:rsidR="0011105D">
        <w:t>P</w:t>
      </w:r>
      <w:r w:rsidR="0011105D" w:rsidRPr="00E51DAD">
        <w:t xml:space="preserve">arties </w:t>
      </w:r>
      <w:r w:rsidR="0011105D">
        <w:t>in</w:t>
      </w:r>
      <w:r w:rsidR="0011105D" w:rsidRPr="00E51DAD">
        <w:t xml:space="preserve"> meet</w:t>
      </w:r>
      <w:r w:rsidR="0011105D">
        <w:t>ing</w:t>
      </w:r>
      <w:r w:rsidR="0011105D" w:rsidRPr="00E51DAD">
        <w:t xml:space="preserve"> the</w:t>
      </w:r>
      <w:r w:rsidR="0011105D">
        <w:t>ir</w:t>
      </w:r>
      <w:r w:rsidR="0011105D" w:rsidRPr="00E51DAD">
        <w:t xml:space="preserve"> requirements under the </w:t>
      </w:r>
      <w:r w:rsidR="0011105D">
        <w:t>enhanced transparency framework</w:t>
      </w:r>
      <w:r w:rsidR="0011105D" w:rsidRPr="00E51DAD">
        <w:t xml:space="preserve"> and </w:t>
      </w:r>
      <w:r w:rsidR="0011105D">
        <w:t xml:space="preserve">for </w:t>
      </w:r>
      <w:r w:rsidR="0011105D" w:rsidRPr="00E51DAD">
        <w:t>build</w:t>
      </w:r>
      <w:r w:rsidR="0011105D">
        <w:t>ing</w:t>
      </w:r>
      <w:r w:rsidR="0011105D" w:rsidRPr="00E51DAD">
        <w:t xml:space="preserve"> and enhanc</w:t>
      </w:r>
      <w:r w:rsidR="0011105D">
        <w:t>ing</w:t>
      </w:r>
      <w:r w:rsidR="0011105D" w:rsidRPr="00E51DAD">
        <w:t xml:space="preserve"> their institutional and technical capacity</w:t>
      </w:r>
      <w:r w:rsidR="0011105D">
        <w:t xml:space="preserve"> for reporting </w:t>
      </w:r>
      <w:r w:rsidR="0011105D" w:rsidRPr="003C0023">
        <w:t xml:space="preserve">under the Paris Agreement </w:t>
      </w:r>
      <w:r w:rsidR="0011105D" w:rsidRPr="00E51DAD">
        <w:t>on a continuous basis</w:t>
      </w:r>
      <w:r w:rsidR="0011105D">
        <w:t>;</w:t>
      </w:r>
    </w:p>
    <w:p w14:paraId="50BDEA53" w14:textId="0F26D76B" w:rsidR="0011105D" w:rsidRDefault="00F31153" w:rsidP="00F31153">
      <w:pPr>
        <w:pStyle w:val="RegSingleTxtG"/>
        <w:tabs>
          <w:tab w:val="left" w:pos="568"/>
        </w:tabs>
        <w:ind w:left="1135"/>
      </w:pPr>
      <w:r>
        <w:t>12.</w:t>
      </w:r>
      <w:r>
        <w:tab/>
      </w:r>
      <w:r w:rsidR="0011105D" w:rsidRPr="00D52494">
        <w:rPr>
          <w:i/>
          <w:iCs/>
        </w:rPr>
        <w:t>Notes</w:t>
      </w:r>
      <w:r w:rsidR="0011105D">
        <w:t xml:space="preserve"> the importance of allocating </w:t>
      </w:r>
      <w:r w:rsidR="0011105D" w:rsidRPr="00D85B33">
        <w:t xml:space="preserve">financial </w:t>
      </w:r>
      <w:r w:rsidR="0011105D">
        <w:t xml:space="preserve">resources to </w:t>
      </w:r>
      <w:r w:rsidR="0011105D" w:rsidRPr="00D85B33">
        <w:t xml:space="preserve">the Consultative Group of Experts </w:t>
      </w:r>
      <w:r w:rsidR="0011105D">
        <w:t xml:space="preserve">for providing </w:t>
      </w:r>
      <w:r w:rsidR="0011105D" w:rsidRPr="00D85B33">
        <w:t>technical support to developing country Parties</w:t>
      </w:r>
      <w:r w:rsidR="0011105D">
        <w:t>;</w:t>
      </w:r>
    </w:p>
    <w:p w14:paraId="20D35C07" w14:textId="0ACDAB07" w:rsidR="0011105D" w:rsidRDefault="00F31153" w:rsidP="00F31153">
      <w:pPr>
        <w:pStyle w:val="RegSingleTxtG"/>
        <w:tabs>
          <w:tab w:val="left" w:pos="568"/>
        </w:tabs>
        <w:ind w:left="1135"/>
      </w:pPr>
      <w:r>
        <w:t>13.</w:t>
      </w:r>
      <w:r>
        <w:tab/>
      </w:r>
      <w:r w:rsidR="0011105D" w:rsidRPr="00021ABB">
        <w:rPr>
          <w:i/>
          <w:iCs/>
        </w:rPr>
        <w:t>Requests</w:t>
      </w:r>
      <w:r w:rsidR="0011105D">
        <w:t xml:space="preserve"> the secretariat to strive to:</w:t>
      </w:r>
    </w:p>
    <w:p w14:paraId="677E4544" w14:textId="072753FC" w:rsidR="0011105D" w:rsidRDefault="00F31153" w:rsidP="00F31153">
      <w:pPr>
        <w:pStyle w:val="RegSingleTxtG2"/>
        <w:ind w:left="1134" w:firstLine="567"/>
      </w:pPr>
      <w:r>
        <w:t>(a)</w:t>
      </w:r>
      <w:r>
        <w:tab/>
      </w:r>
      <w:r w:rsidR="0011105D">
        <w:t>Raise awareness of opportunities for support</w:t>
      </w:r>
      <w:r w:rsidR="0011105D" w:rsidRPr="00334A1A">
        <w:t xml:space="preserve"> </w:t>
      </w:r>
      <w:r w:rsidR="0011105D">
        <w:t xml:space="preserve">for </w:t>
      </w:r>
      <w:r w:rsidR="0011105D" w:rsidRPr="00334A1A">
        <w:t>reporting under the Paris Agreemen</w:t>
      </w:r>
      <w:r w:rsidR="0011105D">
        <w:t>t;</w:t>
      </w:r>
    </w:p>
    <w:p w14:paraId="723441E7" w14:textId="0E8E60E1" w:rsidR="0011105D" w:rsidRDefault="00F31153" w:rsidP="00F31153">
      <w:pPr>
        <w:pStyle w:val="RegSingleTxtG2"/>
        <w:ind w:left="1134" w:firstLine="567"/>
      </w:pPr>
      <w:r>
        <w:t>(b)</w:t>
      </w:r>
      <w:r>
        <w:tab/>
      </w:r>
      <w:r w:rsidR="0011105D">
        <w:t xml:space="preserve">Ensure </w:t>
      </w:r>
      <w:r w:rsidR="0011105D" w:rsidRPr="00052F0E">
        <w:t xml:space="preserve">that technical support and training </w:t>
      </w:r>
      <w:r w:rsidR="008C1461">
        <w:t>are</w:t>
      </w:r>
      <w:r w:rsidR="008C1461" w:rsidRPr="00052F0E">
        <w:t xml:space="preserve"> </w:t>
      </w:r>
      <w:r w:rsidR="0011105D" w:rsidRPr="00052F0E">
        <w:t>made available to developing country Parties for reporting under the Paris Agreement;</w:t>
      </w:r>
    </w:p>
    <w:p w14:paraId="59D132F4" w14:textId="0178B397" w:rsidR="0011105D" w:rsidRDefault="00F31153" w:rsidP="00F31153">
      <w:pPr>
        <w:pStyle w:val="RegSingleTxtG2"/>
        <w:ind w:left="1134" w:firstLine="567"/>
      </w:pPr>
      <w:r>
        <w:t>(c)</w:t>
      </w:r>
      <w:r>
        <w:tab/>
      </w:r>
      <w:r w:rsidR="0011105D">
        <w:t>Facilitate</w:t>
      </w:r>
      <w:r w:rsidR="0011105D" w:rsidRPr="00A557C5">
        <w:t xml:space="preserve"> regional cooperation for promoting exchange of experience, lessons learned and best practices and networking among Parties;</w:t>
      </w:r>
    </w:p>
    <w:p w14:paraId="499C942E" w14:textId="6DE190B0" w:rsidR="0011105D" w:rsidRDefault="00F31153" w:rsidP="00F31153">
      <w:pPr>
        <w:pStyle w:val="RegSingleTxtG2"/>
        <w:ind w:left="1134" w:firstLine="567"/>
      </w:pPr>
      <w:r>
        <w:t>(d)</w:t>
      </w:r>
      <w:r>
        <w:tab/>
      </w:r>
      <w:r w:rsidR="0011105D" w:rsidRPr="00A557C5">
        <w:t>Promot</w:t>
      </w:r>
      <w:r w:rsidR="0011105D">
        <w:t>e</w:t>
      </w:r>
      <w:r w:rsidR="0011105D" w:rsidRPr="00A557C5">
        <w:t xml:space="preserve"> better coordination </w:t>
      </w:r>
      <w:r w:rsidR="0011105D">
        <w:t>of information on channels of support for implementation of the enhanced transparency framework;</w:t>
      </w:r>
    </w:p>
    <w:p w14:paraId="16ED84E0" w14:textId="156C1154" w:rsidR="0011105D" w:rsidRPr="00C21A8B" w:rsidRDefault="00F31153" w:rsidP="00F31153">
      <w:pPr>
        <w:pStyle w:val="RegSingleTxtG"/>
        <w:tabs>
          <w:tab w:val="left" w:pos="568"/>
        </w:tabs>
        <w:ind w:left="1134"/>
        <w:rPr>
          <w:rFonts w:eastAsia="Arial"/>
        </w:rPr>
      </w:pPr>
      <w:bookmarkStart w:id="37" w:name="_Ref156209737"/>
      <w:r w:rsidRPr="00C21A8B">
        <w:rPr>
          <w:rFonts w:eastAsia="Arial"/>
        </w:rPr>
        <w:t>14.</w:t>
      </w:r>
      <w:r w:rsidRPr="00C21A8B">
        <w:rPr>
          <w:rFonts w:eastAsia="Arial"/>
        </w:rPr>
        <w:tab/>
      </w:r>
      <w:r w:rsidR="0011105D">
        <w:rPr>
          <w:i/>
          <w:iCs/>
        </w:rPr>
        <w:t>Also r</w:t>
      </w:r>
      <w:r w:rsidR="0011105D" w:rsidRPr="00954573">
        <w:rPr>
          <w:i/>
          <w:iCs/>
        </w:rPr>
        <w:t>equests</w:t>
      </w:r>
      <w:r w:rsidR="0011105D" w:rsidRPr="00C21A8B">
        <w:rPr>
          <w:rFonts w:eastAsia="Roboto"/>
        </w:rPr>
        <w:t xml:space="preserve"> the </w:t>
      </w:r>
      <w:r w:rsidR="0011105D">
        <w:rPr>
          <w:rFonts w:eastAsia="Roboto"/>
        </w:rPr>
        <w:t>s</w:t>
      </w:r>
      <w:r w:rsidR="0011105D" w:rsidRPr="00C21A8B">
        <w:rPr>
          <w:rFonts w:eastAsia="Roboto"/>
        </w:rPr>
        <w:t xml:space="preserve">ecretariat to organize </w:t>
      </w:r>
      <w:r w:rsidR="0011105D">
        <w:rPr>
          <w:rFonts w:eastAsia="Roboto"/>
        </w:rPr>
        <w:t>an</w:t>
      </w:r>
      <w:r w:rsidR="0011105D" w:rsidRPr="00C21A8B">
        <w:rPr>
          <w:rFonts w:eastAsia="Roboto"/>
        </w:rPr>
        <w:t xml:space="preserve"> in-person workshop</w:t>
      </w:r>
      <w:r w:rsidR="0011105D">
        <w:rPr>
          <w:rFonts w:eastAsia="Roboto"/>
        </w:rPr>
        <w:t>, to be held</w:t>
      </w:r>
      <w:r w:rsidR="0011105D" w:rsidRPr="00C21A8B">
        <w:rPr>
          <w:rFonts w:eastAsia="Roboto"/>
        </w:rPr>
        <w:t xml:space="preserve"> at </w:t>
      </w:r>
      <w:r w:rsidR="0011105D">
        <w:rPr>
          <w:rFonts w:eastAsia="Roboto"/>
        </w:rPr>
        <w:t xml:space="preserve">the sixtieth session of the Subsidiary Body for </w:t>
      </w:r>
      <w:r w:rsidR="0011105D" w:rsidRPr="000A7B59">
        <w:t>Implementation</w:t>
      </w:r>
      <w:r w:rsidR="0011105D">
        <w:rPr>
          <w:rFonts w:eastAsia="Roboto"/>
        </w:rPr>
        <w:t xml:space="preserve"> (June 2024), as well as regional online workshops to be held prior to that </w:t>
      </w:r>
      <w:r w:rsidR="0011105D" w:rsidRPr="000A7B59">
        <w:t>session</w:t>
      </w:r>
      <w:r w:rsidR="0011105D">
        <w:rPr>
          <w:rFonts w:eastAsia="Roboto"/>
        </w:rPr>
        <w:t>,</w:t>
      </w:r>
      <w:r w:rsidR="0011105D" w:rsidRPr="00C21A8B">
        <w:rPr>
          <w:rFonts w:eastAsia="Roboto"/>
        </w:rPr>
        <w:t xml:space="preserve"> with the relevant stakeholders, such as the </w:t>
      </w:r>
      <w:r w:rsidR="0011105D">
        <w:rPr>
          <w:rFonts w:eastAsia="Roboto"/>
        </w:rPr>
        <w:t>Global Environment Facility</w:t>
      </w:r>
      <w:r w:rsidR="0011105D" w:rsidRPr="00C21A8B">
        <w:rPr>
          <w:rFonts w:eastAsia="Roboto"/>
        </w:rPr>
        <w:t xml:space="preserve"> </w:t>
      </w:r>
      <w:r w:rsidR="0011105D">
        <w:rPr>
          <w:rFonts w:eastAsia="Roboto"/>
        </w:rPr>
        <w:t xml:space="preserve">and </w:t>
      </w:r>
      <w:r w:rsidR="0011105D" w:rsidRPr="00C21A8B">
        <w:rPr>
          <w:rFonts w:eastAsia="Roboto"/>
        </w:rPr>
        <w:t>its implementing agencies</w:t>
      </w:r>
      <w:r w:rsidR="0011105D">
        <w:rPr>
          <w:rFonts w:eastAsia="Roboto"/>
        </w:rPr>
        <w:t>,</w:t>
      </w:r>
      <w:r w:rsidR="0011105D" w:rsidRPr="00C21A8B">
        <w:rPr>
          <w:rFonts w:eastAsia="Roboto"/>
        </w:rPr>
        <w:t xml:space="preserve"> as appropriate, on support available to developing country Parties for preparing </w:t>
      </w:r>
      <w:r w:rsidR="0011105D">
        <w:rPr>
          <w:rFonts w:eastAsia="Roboto"/>
        </w:rPr>
        <w:t xml:space="preserve">their </w:t>
      </w:r>
      <w:r w:rsidR="0011105D" w:rsidRPr="00C21A8B">
        <w:rPr>
          <w:rFonts w:eastAsia="Roboto"/>
        </w:rPr>
        <w:t>biennial transparency reports</w:t>
      </w:r>
      <w:r w:rsidR="0011105D">
        <w:rPr>
          <w:rFonts w:eastAsia="Roboto"/>
        </w:rPr>
        <w:t xml:space="preserve"> and</w:t>
      </w:r>
      <w:r w:rsidR="0011105D" w:rsidRPr="00C21A8B">
        <w:rPr>
          <w:rFonts w:eastAsia="Roboto"/>
        </w:rPr>
        <w:t xml:space="preserve"> enhanc</w:t>
      </w:r>
      <w:r w:rsidR="0011105D">
        <w:rPr>
          <w:rFonts w:eastAsia="Roboto"/>
        </w:rPr>
        <w:t xml:space="preserve">ing </w:t>
      </w:r>
      <w:r w:rsidR="0011105D" w:rsidRPr="00C21A8B">
        <w:rPr>
          <w:rFonts w:eastAsia="Roboto"/>
        </w:rPr>
        <w:t>sustainable institutional capacity and national reporting systems</w:t>
      </w:r>
      <w:r w:rsidR="0011105D">
        <w:rPr>
          <w:rFonts w:eastAsia="Roboto"/>
        </w:rPr>
        <w:t xml:space="preserve"> </w:t>
      </w:r>
      <w:r w:rsidR="0011105D" w:rsidRPr="00C21A8B">
        <w:rPr>
          <w:rFonts w:eastAsia="Roboto"/>
        </w:rPr>
        <w:t xml:space="preserve">within </w:t>
      </w:r>
      <w:r w:rsidR="0011105D">
        <w:rPr>
          <w:rFonts w:eastAsia="Roboto"/>
        </w:rPr>
        <w:t>their</w:t>
      </w:r>
      <w:r w:rsidR="0011105D" w:rsidRPr="00C21A8B">
        <w:rPr>
          <w:rFonts w:eastAsia="Roboto"/>
        </w:rPr>
        <w:t xml:space="preserve"> </w:t>
      </w:r>
      <w:r w:rsidR="0011105D">
        <w:rPr>
          <w:rFonts w:eastAsia="Roboto"/>
        </w:rPr>
        <w:t>G</w:t>
      </w:r>
      <w:r w:rsidR="0011105D" w:rsidRPr="00C21A8B">
        <w:rPr>
          <w:rFonts w:eastAsia="Roboto"/>
        </w:rPr>
        <w:t xml:space="preserve">overnments </w:t>
      </w:r>
      <w:r w:rsidR="0011105D">
        <w:rPr>
          <w:rFonts w:eastAsia="Roboto"/>
        </w:rPr>
        <w:t>for implementing the enhanced transparency framework</w:t>
      </w:r>
      <w:r w:rsidR="0011105D" w:rsidRPr="00C21A8B">
        <w:rPr>
          <w:rFonts w:eastAsia="Roboto"/>
        </w:rPr>
        <w:t xml:space="preserve">, and in </w:t>
      </w:r>
      <w:r w:rsidR="00CF1797">
        <w:rPr>
          <w:rFonts w:eastAsia="Roboto"/>
        </w:rPr>
        <w:t xml:space="preserve">the context of </w:t>
      </w:r>
      <w:r w:rsidR="0011105D" w:rsidRPr="00C21A8B">
        <w:rPr>
          <w:rFonts w:eastAsia="Roboto"/>
        </w:rPr>
        <w:t>providing guidance on the application process for transparency</w:t>
      </w:r>
      <w:r w:rsidR="0011105D">
        <w:rPr>
          <w:rFonts w:eastAsia="Roboto"/>
        </w:rPr>
        <w:t>-</w:t>
      </w:r>
      <w:r w:rsidR="0011105D" w:rsidRPr="00C21A8B">
        <w:rPr>
          <w:rFonts w:eastAsia="Roboto"/>
        </w:rPr>
        <w:t>related projects</w:t>
      </w:r>
      <w:r w:rsidR="0011105D">
        <w:rPr>
          <w:rFonts w:eastAsia="Roboto"/>
        </w:rPr>
        <w:t>;</w:t>
      </w:r>
      <w:r w:rsidR="0011105D" w:rsidRPr="00C21A8B">
        <w:rPr>
          <w:rFonts w:eastAsia="Roboto"/>
        </w:rPr>
        <w:t xml:space="preserve"> </w:t>
      </w:r>
    </w:p>
    <w:p w14:paraId="310F48E3" w14:textId="5E0F8B9E" w:rsidR="0011105D" w:rsidRPr="001376CF" w:rsidRDefault="00F31153" w:rsidP="00F31153">
      <w:pPr>
        <w:pStyle w:val="RegSingleTxtG"/>
        <w:tabs>
          <w:tab w:val="left" w:pos="568"/>
        </w:tabs>
        <w:ind w:left="1134"/>
        <w:rPr>
          <w:rFonts w:eastAsia="Roboto"/>
        </w:rPr>
      </w:pPr>
      <w:bookmarkStart w:id="38" w:name="_Ref156209407"/>
      <w:bookmarkEnd w:id="37"/>
      <w:r w:rsidRPr="001376CF">
        <w:rPr>
          <w:rFonts w:eastAsia="Roboto"/>
        </w:rPr>
        <w:t>15.</w:t>
      </w:r>
      <w:r w:rsidRPr="001376CF">
        <w:rPr>
          <w:rFonts w:eastAsia="Roboto"/>
        </w:rPr>
        <w:tab/>
      </w:r>
      <w:r w:rsidR="0011105D">
        <w:rPr>
          <w:rFonts w:eastAsia="Roboto"/>
          <w:i/>
          <w:iCs/>
        </w:rPr>
        <w:t>Further r</w:t>
      </w:r>
      <w:r w:rsidR="0011105D" w:rsidRPr="00A01202">
        <w:rPr>
          <w:rFonts w:eastAsia="Roboto"/>
          <w:i/>
          <w:iCs/>
        </w:rPr>
        <w:t>equests</w:t>
      </w:r>
      <w:r w:rsidR="0011105D" w:rsidRPr="00C21A8B">
        <w:rPr>
          <w:rFonts w:eastAsia="Roboto"/>
        </w:rPr>
        <w:t xml:space="preserve"> the secretariat to organize an in-session facilitative dialogue</w:t>
      </w:r>
      <w:r w:rsidR="0011105D">
        <w:rPr>
          <w:rFonts w:eastAsia="Roboto"/>
        </w:rPr>
        <w:t>, to be held</w:t>
      </w:r>
      <w:r w:rsidR="0011105D" w:rsidRPr="00C21A8B">
        <w:rPr>
          <w:rFonts w:eastAsia="Roboto"/>
        </w:rPr>
        <w:t xml:space="preserve"> at </w:t>
      </w:r>
      <w:r w:rsidR="0011105D">
        <w:rPr>
          <w:rFonts w:eastAsia="Roboto"/>
        </w:rPr>
        <w:t xml:space="preserve">the sixtieth session of the Subsidiary </w:t>
      </w:r>
      <w:r w:rsidR="0011105D" w:rsidRPr="000A7B59">
        <w:t>Body</w:t>
      </w:r>
      <w:r w:rsidR="0011105D">
        <w:rPr>
          <w:rFonts w:eastAsia="Roboto"/>
        </w:rPr>
        <w:t xml:space="preserve"> for Implementation,</w:t>
      </w:r>
      <w:r w:rsidR="0011105D" w:rsidRPr="00C21A8B">
        <w:rPr>
          <w:rFonts w:eastAsia="Roboto"/>
        </w:rPr>
        <w:t xml:space="preserve"> to </w:t>
      </w:r>
      <w:r w:rsidR="0011105D">
        <w:rPr>
          <w:rFonts w:eastAsia="Roboto"/>
        </w:rPr>
        <w:t xml:space="preserve">facilitate the </w:t>
      </w:r>
      <w:r w:rsidR="0011105D" w:rsidRPr="00C21A8B">
        <w:rPr>
          <w:rFonts w:eastAsia="Roboto"/>
        </w:rPr>
        <w:t>shar</w:t>
      </w:r>
      <w:r w:rsidR="0011105D">
        <w:rPr>
          <w:rFonts w:eastAsia="Roboto"/>
        </w:rPr>
        <w:t>ing of</w:t>
      </w:r>
      <w:r w:rsidR="0011105D" w:rsidRPr="00C21A8B">
        <w:rPr>
          <w:rFonts w:eastAsia="Roboto"/>
        </w:rPr>
        <w:t xml:space="preserve"> experience </w:t>
      </w:r>
      <w:r w:rsidR="0011105D">
        <w:rPr>
          <w:rFonts w:eastAsia="Roboto"/>
        </w:rPr>
        <w:t>in</w:t>
      </w:r>
      <w:r w:rsidR="0011105D" w:rsidRPr="00C21A8B">
        <w:rPr>
          <w:rFonts w:eastAsia="Roboto"/>
        </w:rPr>
        <w:t xml:space="preserve"> gathering, analysi</w:t>
      </w:r>
      <w:r w:rsidR="0011105D">
        <w:rPr>
          <w:rFonts w:eastAsia="Roboto"/>
        </w:rPr>
        <w:t>ng</w:t>
      </w:r>
      <w:r w:rsidR="0011105D" w:rsidRPr="00C21A8B">
        <w:rPr>
          <w:rFonts w:eastAsia="Roboto"/>
        </w:rPr>
        <w:t xml:space="preserve"> and manag</w:t>
      </w:r>
      <w:r w:rsidR="0011105D">
        <w:rPr>
          <w:rFonts w:eastAsia="Roboto"/>
        </w:rPr>
        <w:t>ing</w:t>
      </w:r>
      <w:r w:rsidR="0011105D" w:rsidRPr="00C21A8B">
        <w:rPr>
          <w:rFonts w:eastAsia="Roboto"/>
        </w:rPr>
        <w:t xml:space="preserve"> </w:t>
      </w:r>
      <w:r w:rsidR="0011105D">
        <w:rPr>
          <w:rFonts w:eastAsia="Roboto"/>
        </w:rPr>
        <w:t>data,</w:t>
      </w:r>
      <w:r w:rsidR="0011105D" w:rsidRPr="00C21A8B" w:rsidDel="009C4F7F">
        <w:rPr>
          <w:rFonts w:eastAsia="Roboto"/>
        </w:rPr>
        <w:t xml:space="preserve"> </w:t>
      </w:r>
      <w:r w:rsidR="0011105D">
        <w:rPr>
          <w:rFonts w:eastAsia="Roboto"/>
        </w:rPr>
        <w:t>in particular</w:t>
      </w:r>
      <w:r w:rsidR="0011105D" w:rsidRPr="00C21A8B" w:rsidDel="009C4F7F">
        <w:rPr>
          <w:rFonts w:eastAsia="Roboto"/>
        </w:rPr>
        <w:t xml:space="preserve"> </w:t>
      </w:r>
      <w:r w:rsidR="0011105D">
        <w:rPr>
          <w:rFonts w:eastAsia="Roboto"/>
        </w:rPr>
        <w:t>by</w:t>
      </w:r>
      <w:r w:rsidR="0011105D" w:rsidRPr="00C21A8B">
        <w:rPr>
          <w:rFonts w:eastAsia="Roboto"/>
        </w:rPr>
        <w:t xml:space="preserve"> developed country Parties</w:t>
      </w:r>
      <w:r w:rsidR="0011105D">
        <w:rPr>
          <w:rFonts w:eastAsia="Roboto"/>
        </w:rPr>
        <w:t>,</w:t>
      </w:r>
      <w:r w:rsidR="0011105D" w:rsidRPr="00C21A8B">
        <w:rPr>
          <w:rFonts w:eastAsia="Roboto"/>
        </w:rPr>
        <w:t xml:space="preserve"> that may be helpful for developing country Parties in enhancing their institutional capacity and national </w:t>
      </w:r>
      <w:r w:rsidR="0011105D" w:rsidRPr="001376CF">
        <w:rPr>
          <w:rFonts w:eastAsia="Roboto"/>
        </w:rPr>
        <w:t>reporting systems for implementing the enhanced transparency framework;</w:t>
      </w:r>
      <w:bookmarkEnd w:id="38"/>
    </w:p>
    <w:p w14:paraId="326BF931" w14:textId="070ECE5D" w:rsidR="0011105D" w:rsidRPr="001376CF" w:rsidRDefault="00F31153" w:rsidP="00F31153">
      <w:pPr>
        <w:pStyle w:val="RegSingleTxtG"/>
        <w:tabs>
          <w:tab w:val="left" w:pos="568"/>
        </w:tabs>
        <w:ind w:left="1135"/>
        <w:rPr>
          <w:spacing w:val="-2"/>
        </w:rPr>
      </w:pPr>
      <w:bookmarkStart w:id="39" w:name="_Ref156209740"/>
      <w:r w:rsidRPr="001376CF">
        <w:rPr>
          <w:spacing w:val="-2"/>
        </w:rPr>
        <w:t>16.</w:t>
      </w:r>
      <w:r w:rsidRPr="001376CF">
        <w:rPr>
          <w:spacing w:val="-2"/>
        </w:rPr>
        <w:tab/>
      </w:r>
      <w:r w:rsidR="0011105D" w:rsidRPr="001376CF">
        <w:rPr>
          <w:rFonts w:eastAsia="Roboto"/>
          <w:i/>
          <w:iCs/>
        </w:rPr>
        <w:t xml:space="preserve">Requests </w:t>
      </w:r>
      <w:r w:rsidR="0011105D" w:rsidRPr="001376CF">
        <w:rPr>
          <w:rFonts w:eastAsia="Roboto"/>
        </w:rPr>
        <w:t xml:space="preserve">the secretariat to prepare a summary report on the lessons learned and best practices shared at the facilitative dialogue </w:t>
      </w:r>
      <w:r w:rsidR="0011105D" w:rsidRPr="000A7B59">
        <w:t>referred</w:t>
      </w:r>
      <w:r w:rsidR="0011105D" w:rsidRPr="001376CF">
        <w:rPr>
          <w:rFonts w:eastAsia="Roboto"/>
        </w:rPr>
        <w:t xml:space="preserve"> to in paragraph </w:t>
      </w:r>
      <w:r w:rsidR="00825408">
        <w:rPr>
          <w:rFonts w:eastAsia="Roboto"/>
          <w:cs/>
        </w:rPr>
        <w:t>‎</w:t>
      </w:r>
      <w:r w:rsidR="00825408">
        <w:rPr>
          <w:rFonts w:eastAsia="Roboto"/>
        </w:rPr>
        <w:t>15 above</w:t>
      </w:r>
      <w:r w:rsidR="00E64266">
        <w:rPr>
          <w:rFonts w:eastAsia="Roboto"/>
        </w:rPr>
        <w:t xml:space="preserve"> </w:t>
      </w:r>
      <w:r w:rsidR="0011105D" w:rsidRPr="001376CF">
        <w:rPr>
          <w:rFonts w:eastAsia="Roboto"/>
        </w:rPr>
        <w:t>by no later than 31 October 2024;</w:t>
      </w:r>
      <w:bookmarkEnd w:id="39"/>
    </w:p>
    <w:p w14:paraId="7343A6A3" w14:textId="35D9FEC0" w:rsidR="0011105D" w:rsidRPr="00C21A8B" w:rsidRDefault="00F31153" w:rsidP="00F31153">
      <w:pPr>
        <w:pStyle w:val="RegSingleTxtG"/>
        <w:tabs>
          <w:tab w:val="left" w:pos="568"/>
        </w:tabs>
        <w:ind w:left="1135"/>
        <w:rPr>
          <w:rFonts w:eastAsia="Arial"/>
        </w:rPr>
      </w:pPr>
      <w:bookmarkStart w:id="40" w:name="_Ref156209626"/>
      <w:r w:rsidRPr="00C21A8B">
        <w:rPr>
          <w:rFonts w:eastAsia="Arial"/>
        </w:rPr>
        <w:t>17.</w:t>
      </w:r>
      <w:r w:rsidRPr="00C21A8B">
        <w:rPr>
          <w:rFonts w:eastAsia="Arial"/>
        </w:rPr>
        <w:tab/>
      </w:r>
      <w:r w:rsidR="0011105D" w:rsidRPr="001376CF">
        <w:rPr>
          <w:rFonts w:eastAsia="Arial"/>
          <w:i/>
          <w:iCs/>
        </w:rPr>
        <w:t xml:space="preserve">Invites </w:t>
      </w:r>
      <w:r w:rsidR="0011105D" w:rsidRPr="001376CF">
        <w:rPr>
          <w:rFonts w:eastAsia="Roboto"/>
        </w:rPr>
        <w:t>Parties</w:t>
      </w:r>
      <w:r w:rsidR="0011105D" w:rsidRPr="001376CF">
        <w:rPr>
          <w:rFonts w:eastAsia="Arial"/>
        </w:rPr>
        <w:t xml:space="preserve"> to submit via the submission portal</w:t>
      </w:r>
      <w:r w:rsidR="0011105D" w:rsidRPr="001376CF">
        <w:rPr>
          <w:rStyle w:val="FootnoteReference"/>
          <w:rFonts w:eastAsia="Arial"/>
        </w:rPr>
        <w:footnoteReference w:id="13"/>
      </w:r>
      <w:r w:rsidR="0011105D" w:rsidRPr="001376CF">
        <w:rPr>
          <w:rFonts w:eastAsia="Arial"/>
        </w:rPr>
        <w:t xml:space="preserve"> by 31 March 2025 information on their experience and challenges related to </w:t>
      </w:r>
      <w:r w:rsidR="0011105D" w:rsidRPr="000A7B59">
        <w:t>implementing</w:t>
      </w:r>
      <w:r w:rsidR="0011105D" w:rsidRPr="001376CF">
        <w:rPr>
          <w:rFonts w:eastAsia="Arial"/>
        </w:rPr>
        <w:t xml:space="preserve"> Article 13 of the Paris Agreement, </w:t>
      </w:r>
      <w:r w:rsidR="0011105D" w:rsidRPr="001376CF">
        <w:rPr>
          <w:rFonts w:eastAsia="Arial"/>
        </w:rPr>
        <w:lastRenderedPageBreak/>
        <w:t>including in relation to establishing</w:t>
      </w:r>
      <w:r w:rsidR="0011105D" w:rsidRPr="00C21A8B">
        <w:rPr>
          <w:rFonts w:eastAsia="Arial"/>
        </w:rPr>
        <w:t xml:space="preserve"> or enhancing </w:t>
      </w:r>
      <w:r w:rsidR="0011105D">
        <w:rPr>
          <w:rFonts w:eastAsia="Arial"/>
        </w:rPr>
        <w:t xml:space="preserve">their </w:t>
      </w:r>
      <w:r w:rsidR="0011105D" w:rsidRPr="00C21A8B">
        <w:rPr>
          <w:rFonts w:eastAsia="Arial"/>
        </w:rPr>
        <w:t>institutional capacity and national reporting systems</w:t>
      </w:r>
      <w:r w:rsidR="0011105D">
        <w:rPr>
          <w:rFonts w:eastAsia="Arial"/>
        </w:rPr>
        <w:t>;</w:t>
      </w:r>
      <w:bookmarkEnd w:id="40"/>
    </w:p>
    <w:p w14:paraId="055CB341" w14:textId="1F0C4C5B" w:rsidR="0011105D" w:rsidRPr="00C21A8B" w:rsidRDefault="00F31153" w:rsidP="00F31153">
      <w:pPr>
        <w:pStyle w:val="RegSingleTxtG"/>
        <w:tabs>
          <w:tab w:val="left" w:pos="568"/>
        </w:tabs>
        <w:ind w:left="1135"/>
        <w:rPr>
          <w:rFonts w:eastAsia="Arial"/>
        </w:rPr>
      </w:pPr>
      <w:bookmarkStart w:id="41" w:name="_Ref156209659"/>
      <w:r w:rsidRPr="00C21A8B">
        <w:rPr>
          <w:rFonts w:eastAsia="Arial"/>
        </w:rPr>
        <w:t>18.</w:t>
      </w:r>
      <w:r w:rsidRPr="00C21A8B">
        <w:rPr>
          <w:rFonts w:eastAsia="Arial"/>
        </w:rPr>
        <w:tab/>
      </w:r>
      <w:r w:rsidR="0011105D" w:rsidRPr="00A01202">
        <w:rPr>
          <w:rFonts w:eastAsia="Arial"/>
          <w:i/>
          <w:iCs/>
        </w:rPr>
        <w:t>Requests</w:t>
      </w:r>
      <w:r w:rsidR="0011105D" w:rsidRPr="00C21A8B">
        <w:rPr>
          <w:rFonts w:eastAsia="Arial"/>
        </w:rPr>
        <w:t xml:space="preserve"> the secretariat to </w:t>
      </w:r>
      <w:r w:rsidR="0011105D">
        <w:rPr>
          <w:rFonts w:eastAsia="Arial"/>
        </w:rPr>
        <w:t>prepare</w:t>
      </w:r>
      <w:r w:rsidR="0011105D" w:rsidRPr="00C21A8B">
        <w:rPr>
          <w:rFonts w:eastAsia="Arial"/>
        </w:rPr>
        <w:t xml:space="preserve"> a synthesis report</w:t>
      </w:r>
      <w:r w:rsidR="0011105D">
        <w:rPr>
          <w:rFonts w:eastAsia="Arial"/>
        </w:rPr>
        <w:t>,</w:t>
      </w:r>
      <w:r w:rsidR="0011105D" w:rsidRPr="007D2A96">
        <w:rPr>
          <w:rFonts w:eastAsia="Arial"/>
        </w:rPr>
        <w:t xml:space="preserve"> </w:t>
      </w:r>
      <w:r w:rsidR="009D3AE0">
        <w:rPr>
          <w:rFonts w:eastAsia="Arial"/>
        </w:rPr>
        <w:t xml:space="preserve">by </w:t>
      </w:r>
      <w:r w:rsidR="0011105D">
        <w:rPr>
          <w:rFonts w:eastAsia="Arial"/>
        </w:rPr>
        <w:t>no later than</w:t>
      </w:r>
      <w:r w:rsidR="0011105D" w:rsidRPr="00C21A8B">
        <w:rPr>
          <w:rFonts w:eastAsia="Arial"/>
        </w:rPr>
        <w:t xml:space="preserve"> three weeks prior to </w:t>
      </w:r>
      <w:r w:rsidR="0011105D">
        <w:rPr>
          <w:rFonts w:eastAsia="Arial"/>
        </w:rPr>
        <w:t xml:space="preserve">the sixty-second session of </w:t>
      </w:r>
      <w:r w:rsidR="0011105D" w:rsidRPr="000A7B59">
        <w:t>the</w:t>
      </w:r>
      <w:r w:rsidR="0011105D">
        <w:rPr>
          <w:rFonts w:eastAsia="Arial"/>
        </w:rPr>
        <w:t xml:space="preserve"> Subsidiary Body for Implementation (June 2025),</w:t>
      </w:r>
      <w:r w:rsidR="0011105D" w:rsidRPr="00C21A8B">
        <w:rPr>
          <w:rFonts w:eastAsia="Arial"/>
        </w:rPr>
        <w:t xml:space="preserve"> </w:t>
      </w:r>
      <w:r w:rsidR="0011105D">
        <w:rPr>
          <w:rFonts w:eastAsia="Arial"/>
        </w:rPr>
        <w:t>reflecting information on progress, best practices and remaining challenges contained in the submissions referred to in paragraph</w:t>
      </w:r>
      <w:r w:rsidR="007A7855">
        <w:rPr>
          <w:rFonts w:eastAsia="Arial"/>
        </w:rPr>
        <w:t xml:space="preserve"> </w:t>
      </w:r>
      <w:r w:rsidR="00825408">
        <w:rPr>
          <w:rFonts w:eastAsia="Arial"/>
          <w:cs/>
        </w:rPr>
        <w:t>‎</w:t>
      </w:r>
      <w:r w:rsidR="00825408">
        <w:rPr>
          <w:rFonts w:eastAsia="Arial"/>
        </w:rPr>
        <w:t>17 above</w:t>
      </w:r>
      <w:r w:rsidR="0011105D">
        <w:rPr>
          <w:rFonts w:eastAsia="Arial"/>
        </w:rPr>
        <w:t>, as well as information reported in developing country Parties’ first biennial transparency reports, as applicable;</w:t>
      </w:r>
      <w:bookmarkEnd w:id="41"/>
      <w:r w:rsidR="0011105D" w:rsidRPr="00C21A8B">
        <w:rPr>
          <w:rFonts w:eastAsia="Arial"/>
        </w:rPr>
        <w:t xml:space="preserve"> </w:t>
      </w:r>
    </w:p>
    <w:p w14:paraId="505577CA" w14:textId="4FF5AD75" w:rsidR="0011105D" w:rsidRPr="00C21A8B" w:rsidRDefault="00F31153" w:rsidP="00F31153">
      <w:pPr>
        <w:pStyle w:val="RegSingleTxtG"/>
        <w:tabs>
          <w:tab w:val="left" w:pos="568"/>
        </w:tabs>
        <w:ind w:left="1135"/>
        <w:rPr>
          <w:lang w:val="en-US"/>
        </w:rPr>
      </w:pPr>
      <w:bookmarkStart w:id="42" w:name="_Ref156209679"/>
      <w:r w:rsidRPr="00C21A8B">
        <w:rPr>
          <w:lang w:val="en-US"/>
        </w:rPr>
        <w:t>19.</w:t>
      </w:r>
      <w:r w:rsidRPr="00C21A8B">
        <w:rPr>
          <w:lang w:val="en-US"/>
        </w:rPr>
        <w:tab/>
      </w:r>
      <w:r w:rsidR="0011105D">
        <w:rPr>
          <w:rFonts w:eastAsia="Arial"/>
          <w:i/>
          <w:iCs/>
        </w:rPr>
        <w:t>Also r</w:t>
      </w:r>
      <w:r w:rsidR="0011105D" w:rsidRPr="00A01202">
        <w:rPr>
          <w:rFonts w:eastAsia="Roboto"/>
          <w:i/>
          <w:iCs/>
        </w:rPr>
        <w:t>equests</w:t>
      </w:r>
      <w:r w:rsidR="0011105D" w:rsidRPr="00C21A8B">
        <w:rPr>
          <w:rFonts w:eastAsia="Roboto"/>
        </w:rPr>
        <w:t xml:space="preserve"> the </w:t>
      </w:r>
      <w:r w:rsidR="0011105D" w:rsidRPr="000A7B59">
        <w:t>secretariat</w:t>
      </w:r>
      <w:r w:rsidR="0011105D" w:rsidRPr="00C21A8B">
        <w:rPr>
          <w:rFonts w:eastAsia="Roboto"/>
        </w:rPr>
        <w:t xml:space="preserve"> to organize a facilitative dialogue</w:t>
      </w:r>
      <w:r w:rsidR="0011105D">
        <w:rPr>
          <w:rFonts w:eastAsia="Roboto"/>
        </w:rPr>
        <w:t>, to be held</w:t>
      </w:r>
      <w:r w:rsidR="0011105D" w:rsidRPr="00C21A8B">
        <w:rPr>
          <w:rFonts w:eastAsia="Roboto"/>
        </w:rPr>
        <w:t xml:space="preserve"> at </w:t>
      </w:r>
      <w:r w:rsidR="0011105D">
        <w:rPr>
          <w:rFonts w:eastAsia="Roboto"/>
        </w:rPr>
        <w:t xml:space="preserve">the </w:t>
      </w:r>
      <w:r w:rsidR="0011105D">
        <w:rPr>
          <w:rFonts w:eastAsia="Arial"/>
        </w:rPr>
        <w:t>sixty-second session</w:t>
      </w:r>
      <w:r w:rsidR="0011105D">
        <w:rPr>
          <w:rFonts w:eastAsia="Roboto"/>
        </w:rPr>
        <w:t xml:space="preserve"> of the Subsidiary Body for Implementation,</w:t>
      </w:r>
      <w:r w:rsidR="0011105D" w:rsidRPr="00C21A8B">
        <w:rPr>
          <w:rFonts w:eastAsia="Roboto"/>
        </w:rPr>
        <w:t xml:space="preserve"> to discuss the synthesis report </w:t>
      </w:r>
      <w:r w:rsidR="0011105D">
        <w:rPr>
          <w:rFonts w:eastAsia="Roboto"/>
        </w:rPr>
        <w:t>referred to</w:t>
      </w:r>
      <w:r w:rsidR="0011105D" w:rsidRPr="00C21A8B">
        <w:rPr>
          <w:rFonts w:eastAsia="Roboto"/>
        </w:rPr>
        <w:t xml:space="preserve"> in paragraph</w:t>
      </w:r>
      <w:r w:rsidR="001A5DAA">
        <w:rPr>
          <w:rFonts w:eastAsia="Roboto"/>
        </w:rPr>
        <w:t xml:space="preserve"> </w:t>
      </w:r>
      <w:bookmarkEnd w:id="42"/>
      <w:r w:rsidR="00825408">
        <w:rPr>
          <w:rFonts w:eastAsia="Roboto"/>
          <w:cs/>
        </w:rPr>
        <w:t>‎</w:t>
      </w:r>
      <w:r w:rsidR="00825408">
        <w:rPr>
          <w:rFonts w:eastAsia="Roboto"/>
        </w:rPr>
        <w:t>18 above</w:t>
      </w:r>
      <w:r w:rsidR="0011105D">
        <w:rPr>
          <w:rFonts w:eastAsia="Roboto"/>
        </w:rPr>
        <w:t>;</w:t>
      </w:r>
    </w:p>
    <w:p w14:paraId="79E15C8B" w14:textId="006C25E0" w:rsidR="0011105D" w:rsidRDefault="00F31153" w:rsidP="00F31153">
      <w:pPr>
        <w:pStyle w:val="RegSingleTxtG"/>
        <w:tabs>
          <w:tab w:val="left" w:pos="568"/>
        </w:tabs>
        <w:ind w:left="1135"/>
      </w:pPr>
      <w:r>
        <w:t>20.</w:t>
      </w:r>
      <w:r>
        <w:tab/>
      </w:r>
      <w:r w:rsidR="0011105D">
        <w:rPr>
          <w:i/>
          <w:iCs/>
        </w:rPr>
        <w:t>Further requests</w:t>
      </w:r>
      <w:r w:rsidR="0011105D" w:rsidRPr="00954573">
        <w:t xml:space="preserve"> </w:t>
      </w:r>
      <w:r w:rsidR="0011105D">
        <w:t>the Subsidiary Body for Implementation,</w:t>
      </w:r>
      <w:r w:rsidR="0011105D" w:rsidRPr="00954573">
        <w:t xml:space="preserve"> </w:t>
      </w:r>
      <w:r w:rsidR="0011105D">
        <w:t>at its sixty-second session,</w:t>
      </w:r>
      <w:r w:rsidR="0011105D" w:rsidRPr="00954573">
        <w:t xml:space="preserve"> </w:t>
      </w:r>
      <w:r w:rsidR="0011105D">
        <w:t xml:space="preserve">to </w:t>
      </w:r>
      <w:r w:rsidR="0011105D" w:rsidRPr="00954573">
        <w:t>consider the outcomes of the facilitative dialogue</w:t>
      </w:r>
      <w:r w:rsidR="0011105D">
        <w:t xml:space="preserve"> referred to in paragraph </w:t>
      </w:r>
      <w:r w:rsidR="00825408">
        <w:rPr>
          <w:cs/>
        </w:rPr>
        <w:t>‎</w:t>
      </w:r>
      <w:r w:rsidR="00825408">
        <w:t>19 above</w:t>
      </w:r>
      <w:r w:rsidR="0065231F">
        <w:t xml:space="preserve"> </w:t>
      </w:r>
      <w:r w:rsidR="0011105D" w:rsidRPr="00954573">
        <w:t xml:space="preserve">and the synthesis report </w:t>
      </w:r>
      <w:r w:rsidR="0011105D" w:rsidRPr="000A7B59">
        <w:t>referred</w:t>
      </w:r>
      <w:r w:rsidR="0011105D">
        <w:rPr>
          <w:rFonts w:eastAsia="Roboto"/>
        </w:rPr>
        <w:t xml:space="preserve"> to</w:t>
      </w:r>
      <w:r w:rsidR="0011105D" w:rsidRPr="00954573">
        <w:t xml:space="preserve"> in paragraph </w:t>
      </w:r>
      <w:r w:rsidR="00825408">
        <w:rPr>
          <w:cs/>
        </w:rPr>
        <w:t>‎</w:t>
      </w:r>
      <w:r w:rsidR="00825408">
        <w:t>18 above</w:t>
      </w:r>
      <w:r w:rsidR="0065231F">
        <w:t xml:space="preserve"> </w:t>
      </w:r>
      <w:r w:rsidR="0011105D" w:rsidRPr="00954573">
        <w:t>with a view to recommending</w:t>
      </w:r>
      <w:r w:rsidR="0011105D">
        <w:t xml:space="preserve"> a draft decision</w:t>
      </w:r>
      <w:r w:rsidR="0011105D" w:rsidRPr="00954573">
        <w:t xml:space="preserve"> </w:t>
      </w:r>
      <w:r w:rsidR="0011105D">
        <w:t>on this matter,</w:t>
      </w:r>
      <w:r w:rsidR="0011105D" w:rsidRPr="00D10822">
        <w:t xml:space="preserve"> </w:t>
      </w:r>
      <w:r w:rsidR="0011105D">
        <w:t>including future activities, as appropriate, for consideration and adoption by the</w:t>
      </w:r>
      <w:r w:rsidR="0011105D" w:rsidRPr="00954573">
        <w:t xml:space="preserve"> </w:t>
      </w:r>
      <w:r w:rsidR="0011105D">
        <w:t xml:space="preserve">Conference of the Parties serving as the meeting of the Parties to the Paris Agreement </w:t>
      </w:r>
      <w:r w:rsidR="0011105D" w:rsidRPr="00954573" w:rsidDel="001C211D">
        <w:t xml:space="preserve">at </w:t>
      </w:r>
      <w:r w:rsidR="0011105D">
        <w:t>its seventh session (November 2025);</w:t>
      </w:r>
    </w:p>
    <w:p w14:paraId="55A82A5E" w14:textId="4A60D8DB" w:rsidR="0011105D" w:rsidRDefault="00F31153" w:rsidP="00F31153">
      <w:pPr>
        <w:pStyle w:val="RegSingleTxtG"/>
        <w:tabs>
          <w:tab w:val="left" w:pos="568"/>
        </w:tabs>
        <w:ind w:left="1135"/>
      </w:pPr>
      <w:r>
        <w:t>21.</w:t>
      </w:r>
      <w:r>
        <w:tab/>
      </w:r>
      <w:r w:rsidR="0011105D" w:rsidRPr="00A01202">
        <w:rPr>
          <w:i/>
          <w:iCs/>
        </w:rPr>
        <w:t>Takes note</w:t>
      </w:r>
      <w:r w:rsidR="0011105D" w:rsidRPr="00191500">
        <w:t xml:space="preserve"> of the estimated budgetary </w:t>
      </w:r>
      <w:r w:rsidR="0011105D" w:rsidRPr="00954573">
        <w:rPr>
          <w:rFonts w:eastAsia="Roboto"/>
        </w:rPr>
        <w:t>implications</w:t>
      </w:r>
      <w:r w:rsidR="0011105D" w:rsidRPr="00191500">
        <w:t xml:space="preserve"> of the activit</w:t>
      </w:r>
      <w:r w:rsidR="0011105D">
        <w:t>ies</w:t>
      </w:r>
      <w:r w:rsidR="0011105D" w:rsidRPr="00191500">
        <w:t xml:space="preserve"> to be undertaken by the secretariat referred to in paragraph</w:t>
      </w:r>
      <w:r w:rsidR="0011105D">
        <w:t>s</w:t>
      </w:r>
      <w:r w:rsidR="0011105D" w:rsidRPr="00191500">
        <w:t> </w:t>
      </w:r>
      <w:r w:rsidR="00825408">
        <w:rPr>
          <w:cs/>
        </w:rPr>
        <w:t>‎</w:t>
      </w:r>
      <w:r w:rsidR="00825408">
        <w:t>14</w:t>
      </w:r>
      <w:r w:rsidR="0065231F">
        <w:t xml:space="preserve">, </w:t>
      </w:r>
      <w:r w:rsidR="00825408">
        <w:rPr>
          <w:cs/>
        </w:rPr>
        <w:t>‎</w:t>
      </w:r>
      <w:r w:rsidR="00825408">
        <w:t>15</w:t>
      </w:r>
      <w:r w:rsidR="0065231F">
        <w:t xml:space="preserve">, </w:t>
      </w:r>
      <w:r w:rsidR="00825408">
        <w:rPr>
          <w:cs/>
        </w:rPr>
        <w:t>‎</w:t>
      </w:r>
      <w:r w:rsidR="00825408">
        <w:t>16</w:t>
      </w:r>
      <w:r w:rsidR="0065231F">
        <w:t xml:space="preserve">, </w:t>
      </w:r>
      <w:r w:rsidR="00825408">
        <w:rPr>
          <w:cs/>
        </w:rPr>
        <w:t>‎</w:t>
      </w:r>
      <w:r w:rsidR="00825408">
        <w:t>18</w:t>
      </w:r>
      <w:r w:rsidR="0065231F">
        <w:t xml:space="preserve"> and </w:t>
      </w:r>
      <w:r w:rsidR="00825408">
        <w:rPr>
          <w:cs/>
        </w:rPr>
        <w:t>‎</w:t>
      </w:r>
      <w:r w:rsidR="00825408">
        <w:t>19 above</w:t>
      </w:r>
      <w:r w:rsidR="0011105D">
        <w:t>;</w:t>
      </w:r>
    </w:p>
    <w:p w14:paraId="2F6E4B51" w14:textId="3E512763" w:rsidR="0087553F" w:rsidRDefault="00F31153" w:rsidP="00F31153">
      <w:pPr>
        <w:pStyle w:val="RegSingleTxtG"/>
        <w:tabs>
          <w:tab w:val="left" w:pos="568"/>
        </w:tabs>
        <w:ind w:left="1135"/>
      </w:pPr>
      <w:r>
        <w:t>22.</w:t>
      </w:r>
      <w:r>
        <w:tab/>
      </w:r>
      <w:r w:rsidR="0011105D" w:rsidRPr="00592AB0">
        <w:rPr>
          <w:i/>
          <w:iCs/>
        </w:rPr>
        <w:t xml:space="preserve">Requests </w:t>
      </w:r>
      <w:r w:rsidR="0011105D" w:rsidRPr="00191500">
        <w:t xml:space="preserve">that the actions of </w:t>
      </w:r>
      <w:r w:rsidR="0011105D" w:rsidRPr="00954573">
        <w:rPr>
          <w:rFonts w:eastAsia="Roboto"/>
        </w:rPr>
        <w:t>the</w:t>
      </w:r>
      <w:r w:rsidR="0011105D" w:rsidRPr="00191500">
        <w:t xml:space="preserve"> secretariat called for in th</w:t>
      </w:r>
      <w:r w:rsidR="0011105D">
        <w:t>i</w:t>
      </w:r>
      <w:r w:rsidR="0011105D" w:rsidRPr="00191500">
        <w:t xml:space="preserve">s </w:t>
      </w:r>
      <w:r w:rsidR="0011105D">
        <w:t>decision</w:t>
      </w:r>
      <w:r w:rsidR="0011105D" w:rsidRPr="00191500">
        <w:t xml:space="preserve"> be undertaken subject to the availability of financial resources.</w:t>
      </w:r>
    </w:p>
    <w:p w14:paraId="288A4462" w14:textId="05C75E8A" w:rsidR="00DF7652" w:rsidRPr="000F6262" w:rsidRDefault="00C81861" w:rsidP="00B673A7">
      <w:pPr>
        <w:tabs>
          <w:tab w:val="left" w:pos="1701"/>
        </w:tabs>
        <w:spacing w:line="20" w:lineRule="atLeast"/>
        <w:ind w:left="1134" w:right="1134"/>
        <w:jc w:val="right"/>
        <w:rPr>
          <w:i/>
          <w:iCs/>
        </w:rPr>
      </w:pPr>
      <w:r>
        <w:rPr>
          <w:i/>
          <w:iCs/>
        </w:rPr>
        <w:t>5</w:t>
      </w:r>
      <w:r w:rsidRPr="00C81861">
        <w:rPr>
          <w:i/>
          <w:iCs/>
          <w:vertAlign w:val="superscript"/>
        </w:rPr>
        <w:t>th</w:t>
      </w:r>
      <w:r>
        <w:rPr>
          <w:i/>
          <w:iCs/>
        </w:rPr>
        <w:t xml:space="preserve"> </w:t>
      </w:r>
      <w:r w:rsidR="00DF7652" w:rsidRPr="000F6262">
        <w:rPr>
          <w:i/>
          <w:iCs/>
        </w:rPr>
        <w:t>plenary meeting</w:t>
      </w:r>
    </w:p>
    <w:p w14:paraId="5B6E2709" w14:textId="447A0CC8" w:rsidR="00DF7652" w:rsidRPr="000F6262" w:rsidRDefault="00DF7652" w:rsidP="00B673A7">
      <w:pPr>
        <w:tabs>
          <w:tab w:val="left" w:pos="1701"/>
        </w:tabs>
        <w:spacing w:line="20" w:lineRule="atLeast"/>
        <w:ind w:left="1134" w:right="1134"/>
        <w:jc w:val="right"/>
        <w:rPr>
          <w:i/>
          <w:iCs/>
        </w:rPr>
      </w:pPr>
      <w:r w:rsidRPr="000F6262">
        <w:rPr>
          <w:i/>
          <w:iCs/>
        </w:rPr>
        <w:t>1</w:t>
      </w:r>
      <w:r w:rsidR="00C81861">
        <w:rPr>
          <w:i/>
          <w:iCs/>
        </w:rPr>
        <w:t>1</w:t>
      </w:r>
      <w:r w:rsidRPr="000F6262">
        <w:rPr>
          <w:i/>
          <w:iCs/>
        </w:rPr>
        <w:t xml:space="preserve"> December 2023</w:t>
      </w:r>
    </w:p>
    <w:bookmarkEnd w:id="34"/>
    <w:p w14:paraId="1D9A3B73" w14:textId="77777777" w:rsidR="00117315" w:rsidRDefault="00117315" w:rsidP="00F31153">
      <w:pPr>
        <w:pStyle w:val="RegHChG"/>
        <w:ind w:left="1135" w:hanging="454"/>
        <w:sectPr w:rsidR="00117315" w:rsidSect="00017F7D">
          <w:headerReference w:type="even" r:id="rId19"/>
          <w:headerReference w:type="default" r:id="rId20"/>
          <w:footerReference w:type="even" r:id="rId21"/>
          <w:footerReference w:type="default" r:id="rId22"/>
          <w:footnotePr>
            <w:numRestart w:val="eachSect"/>
          </w:footnotePr>
          <w:type w:val="continuous"/>
          <w:pgSz w:w="11906" w:h="16838" w:code="9"/>
          <w:pgMar w:top="1417" w:right="1134" w:bottom="1134" w:left="1134" w:header="850" w:footer="567" w:gutter="0"/>
          <w:cols w:space="708"/>
          <w:docGrid w:linePitch="360"/>
        </w:sectPr>
      </w:pPr>
    </w:p>
    <w:p w14:paraId="0838AEEC" w14:textId="1CDBB57C" w:rsidR="007316CB" w:rsidRDefault="007316CB" w:rsidP="00F31153">
      <w:pPr>
        <w:pStyle w:val="RegHChG"/>
        <w:ind w:left="1135" w:hanging="454"/>
      </w:pPr>
      <w:bookmarkStart w:id="43" w:name="_Toc161286216"/>
      <w:bookmarkStart w:id="44" w:name="_Toc161242635"/>
      <w:bookmarkStart w:id="45" w:name="decision19"/>
      <w:r>
        <w:lastRenderedPageBreak/>
        <w:t>Decision 19/CMA.5</w:t>
      </w:r>
      <w:bookmarkEnd w:id="43"/>
      <w:bookmarkEnd w:id="44"/>
    </w:p>
    <w:p w14:paraId="019B4CAF" w14:textId="3C4B0DBB" w:rsidR="00026319" w:rsidRDefault="00026319" w:rsidP="00F31153">
      <w:pPr>
        <w:pStyle w:val="RegHChG"/>
        <w:ind w:left="1135" w:hanging="454"/>
      </w:pPr>
      <w:bookmarkStart w:id="46" w:name="_Toc161286217"/>
      <w:bookmarkStart w:id="47" w:name="_Toc161242636"/>
      <w:r w:rsidRPr="00DF0B72">
        <w:t>Review of the functions, work programme and modalities of the forum on the impact of the implementation of response measures, midterm review of the workplan and report of the forum</w:t>
      </w:r>
      <w:bookmarkEnd w:id="46"/>
      <w:bookmarkEnd w:id="47"/>
    </w:p>
    <w:p w14:paraId="3DD98AD9" w14:textId="77777777" w:rsidR="00026319" w:rsidRDefault="00026319" w:rsidP="00026319">
      <w:pPr>
        <w:pStyle w:val="RegSingleTxtG"/>
        <w:ind w:left="1134"/>
      </w:pPr>
      <w:r w:rsidRPr="00CB3921">
        <w:tab/>
      </w:r>
      <w:r>
        <w:rPr>
          <w:i/>
          <w:iCs/>
        </w:rPr>
        <w:tab/>
      </w:r>
      <w:r w:rsidRPr="000B4617">
        <w:rPr>
          <w:i/>
          <w:iCs/>
        </w:rPr>
        <w:t>The Conference of the Parties</w:t>
      </w:r>
      <w:r w:rsidRPr="00883302">
        <w:rPr>
          <w:i/>
          <w:iCs/>
        </w:rPr>
        <w:t>,</w:t>
      </w:r>
      <w:r w:rsidRPr="0007030A">
        <w:rPr>
          <w:i/>
        </w:rPr>
        <w:t xml:space="preserve"> </w:t>
      </w:r>
      <w:r w:rsidRPr="00883302">
        <w:rPr>
          <w:i/>
          <w:iCs/>
        </w:rPr>
        <w:t>t</w:t>
      </w:r>
      <w:r w:rsidRPr="000B4617">
        <w:rPr>
          <w:i/>
          <w:iCs/>
        </w:rPr>
        <w:t>he Conference of the Parties serving as the meeting of the Parties to the Kyoto Protocol</w:t>
      </w:r>
      <w:r>
        <w:rPr>
          <w:i/>
          <w:iCs/>
        </w:rPr>
        <w:t xml:space="preserve"> and t</w:t>
      </w:r>
      <w:r w:rsidRPr="000B4617">
        <w:rPr>
          <w:i/>
          <w:iCs/>
        </w:rPr>
        <w:t>he Conference of the Parties serving as the meeting of the Parties to the Paris Agreement</w:t>
      </w:r>
      <w:r>
        <w:t>,</w:t>
      </w:r>
    </w:p>
    <w:p w14:paraId="5DB0864A" w14:textId="0A24D669" w:rsidR="00026319" w:rsidRPr="0007030A" w:rsidRDefault="00026319" w:rsidP="00D34979">
      <w:pPr>
        <w:pStyle w:val="RegSingleTxtG"/>
        <w:tabs>
          <w:tab w:val="right" w:pos="8504"/>
        </w:tabs>
        <w:ind w:left="1134"/>
      </w:pPr>
      <w:r>
        <w:rPr>
          <w:i/>
          <w:iCs/>
        </w:rPr>
        <w:tab/>
      </w:r>
      <w:r w:rsidRPr="000A3486">
        <w:rPr>
          <w:i/>
          <w:iCs/>
        </w:rPr>
        <w:t xml:space="preserve">Recalling </w:t>
      </w:r>
      <w:r w:rsidRPr="00CF7DDC">
        <w:t>Article 4 of the Convention,</w:t>
      </w:r>
    </w:p>
    <w:p w14:paraId="581CB9EB" w14:textId="77777777" w:rsidR="00026319" w:rsidRPr="0007030A" w:rsidRDefault="00026319" w:rsidP="00026319">
      <w:pPr>
        <w:pStyle w:val="RegSingleTxtG"/>
        <w:ind w:left="1134"/>
      </w:pPr>
      <w:r>
        <w:rPr>
          <w:i/>
          <w:iCs/>
        </w:rPr>
        <w:tab/>
      </w:r>
      <w:r w:rsidRPr="000A3486">
        <w:rPr>
          <w:i/>
          <w:iCs/>
        </w:rPr>
        <w:t xml:space="preserve">Also recalling </w:t>
      </w:r>
      <w:r w:rsidRPr="00CF7DDC">
        <w:t>Article 2 and Article 3, paragraph 14, of the Kyoto Protocol,</w:t>
      </w:r>
    </w:p>
    <w:p w14:paraId="611561EF" w14:textId="77777777" w:rsidR="00026319" w:rsidRDefault="00026319" w:rsidP="00026319">
      <w:pPr>
        <w:pStyle w:val="RegSingleTxtG"/>
        <w:ind w:left="1134"/>
      </w:pPr>
      <w:r>
        <w:rPr>
          <w:i/>
          <w:iCs/>
        </w:rPr>
        <w:tab/>
      </w:r>
      <w:r w:rsidRPr="000A3486">
        <w:rPr>
          <w:i/>
          <w:iCs/>
        </w:rPr>
        <w:t xml:space="preserve">Reaffirming </w:t>
      </w:r>
      <w:r w:rsidRPr="00CF7DDC">
        <w:t>Article 4, paragraph 15, of the Paris Agreement,</w:t>
      </w:r>
    </w:p>
    <w:p w14:paraId="0C5AE771" w14:textId="77777777" w:rsidR="00026319" w:rsidRDefault="00026319" w:rsidP="00026319">
      <w:pPr>
        <w:pStyle w:val="RegSingleTxtG"/>
        <w:ind w:left="1134"/>
      </w:pPr>
      <w:r>
        <w:tab/>
      </w:r>
      <w:r w:rsidRPr="000B4617">
        <w:rPr>
          <w:i/>
          <w:iCs/>
        </w:rPr>
        <w:t>Recalling</w:t>
      </w:r>
      <w:r>
        <w:t xml:space="preserve"> decisions 1/CP.21, 7/CP.24, 4/CP.25, 19/CP.26,</w:t>
      </w:r>
      <w:r w:rsidRPr="005821D5">
        <w:t xml:space="preserve"> </w:t>
      </w:r>
      <w:r w:rsidRPr="00BF4BEB">
        <w:t>20/CP.27,</w:t>
      </w:r>
      <w:r>
        <w:t xml:space="preserve"> 3/CMP.14, 4/CMP.15, 7/CMP.16, </w:t>
      </w:r>
      <w:r w:rsidRPr="00E25F00">
        <w:t>7/CMP.17</w:t>
      </w:r>
      <w:r>
        <w:t>,</w:t>
      </w:r>
      <w:r w:rsidRPr="00E25F00">
        <w:t xml:space="preserve"> </w:t>
      </w:r>
      <w:r>
        <w:t xml:space="preserve">7/CMA.1, </w:t>
      </w:r>
      <w:r w:rsidRPr="00BF4BEB">
        <w:t>4/CMA.2,</w:t>
      </w:r>
      <w:r>
        <w:t xml:space="preserve"> </w:t>
      </w:r>
      <w:r w:rsidRPr="00BF4BEB">
        <w:t xml:space="preserve">23/CMA.3 </w:t>
      </w:r>
      <w:r w:rsidRPr="00E25F00">
        <w:t>and 23/CMA.4</w:t>
      </w:r>
      <w:r>
        <w:t>,</w:t>
      </w:r>
    </w:p>
    <w:p w14:paraId="166D96D2" w14:textId="437AAAA8" w:rsidR="00026319" w:rsidRPr="00CB3921" w:rsidRDefault="00F31153" w:rsidP="00F31153">
      <w:pPr>
        <w:pStyle w:val="RegSingleTxtG"/>
        <w:tabs>
          <w:tab w:val="left" w:pos="568"/>
        </w:tabs>
        <w:ind w:left="1134"/>
      </w:pPr>
      <w:r w:rsidRPr="00CB3921">
        <w:t>1.</w:t>
      </w:r>
      <w:r w:rsidRPr="00CB3921">
        <w:tab/>
      </w:r>
      <w:r w:rsidR="00026319" w:rsidRPr="00E71736">
        <w:rPr>
          <w:i/>
          <w:iCs/>
        </w:rPr>
        <w:t xml:space="preserve">Recall </w:t>
      </w:r>
      <w:r w:rsidR="00026319" w:rsidRPr="00E71736">
        <w:t>that the functions, work programme and modalities of the forum on the impact of the implementation of response measures were adopted</w:t>
      </w:r>
      <w:r w:rsidR="00026319">
        <w:rPr>
          <w:rStyle w:val="FootnoteReference"/>
        </w:rPr>
        <w:footnoteReference w:id="14"/>
      </w:r>
      <w:r w:rsidR="00026319" w:rsidRPr="00E71736">
        <w:t xml:space="preserve"> to address the effects of the implementation of response measures by enhancing cooperation among Parties on understanding the impacts of mitigation actions and the exchange of information, experience and best practices among Parties to raise their resilience to these impacts</w:t>
      </w:r>
      <w:r w:rsidR="00026319" w:rsidRPr="00CB3921">
        <w:t>;</w:t>
      </w:r>
      <w:r w:rsidR="00026319" w:rsidRPr="00CB3921">
        <w:rPr>
          <w:rStyle w:val="FootnoteReference"/>
        </w:rPr>
        <w:footnoteReference w:id="15"/>
      </w:r>
    </w:p>
    <w:p w14:paraId="053FB5AF" w14:textId="5C7D06CC" w:rsidR="00026319" w:rsidRPr="00051FC6" w:rsidRDefault="00F31153" w:rsidP="00F31153">
      <w:pPr>
        <w:pStyle w:val="RegSingleTxtG"/>
        <w:ind w:left="1134"/>
      </w:pPr>
      <w:r w:rsidRPr="00051FC6">
        <w:t>2.</w:t>
      </w:r>
      <w:r w:rsidRPr="00051FC6">
        <w:tab/>
      </w:r>
      <w:r w:rsidR="00026319" w:rsidRPr="00E04937">
        <w:rPr>
          <w:i/>
          <w:iCs/>
        </w:rPr>
        <w:t>Also recall</w:t>
      </w:r>
      <w:r w:rsidR="00026319" w:rsidRPr="00955FB1">
        <w:t xml:space="preserve"> that the Katowice Committee of Experts on the Impacts of the Implementation of Response Measures shall support the forum </w:t>
      </w:r>
      <w:r w:rsidR="00026319">
        <w:t>in</w:t>
      </w:r>
      <w:r w:rsidR="00026319" w:rsidRPr="00CB26EF">
        <w:t xml:space="preserve"> implement</w:t>
      </w:r>
      <w:r w:rsidR="00026319">
        <w:t>ing</w:t>
      </w:r>
      <w:r w:rsidR="00026319" w:rsidRPr="00955FB1">
        <w:t xml:space="preserve"> </w:t>
      </w:r>
      <w:r w:rsidR="00026319">
        <w:t>its</w:t>
      </w:r>
      <w:r w:rsidR="00026319" w:rsidRPr="00955FB1">
        <w:t xml:space="preserve"> work programme</w:t>
      </w:r>
      <w:r w:rsidR="00026319" w:rsidRPr="00051FC6">
        <w:t>;</w:t>
      </w:r>
      <w:r w:rsidR="00026319" w:rsidRPr="00051FC6">
        <w:rPr>
          <w:rStyle w:val="FootnoteReference"/>
        </w:rPr>
        <w:footnoteReference w:id="16"/>
      </w:r>
    </w:p>
    <w:p w14:paraId="7829A14F" w14:textId="03E3FD67" w:rsidR="00026319" w:rsidRDefault="00F31153" w:rsidP="00F31153">
      <w:pPr>
        <w:pStyle w:val="RegSingleTxtG"/>
        <w:ind w:left="1134"/>
      </w:pPr>
      <w:r>
        <w:t>3.</w:t>
      </w:r>
      <w:r>
        <w:tab/>
      </w:r>
      <w:r w:rsidR="00026319">
        <w:rPr>
          <w:i/>
          <w:iCs/>
        </w:rPr>
        <w:t>Note with a</w:t>
      </w:r>
      <w:r w:rsidR="00026319" w:rsidRPr="00E04937">
        <w:rPr>
          <w:i/>
          <w:iCs/>
        </w:rPr>
        <w:t>ppreciat</w:t>
      </w:r>
      <w:r w:rsidR="00026319">
        <w:rPr>
          <w:i/>
          <w:iCs/>
        </w:rPr>
        <w:t>ion</w:t>
      </w:r>
      <w:r w:rsidR="00026319">
        <w:t xml:space="preserve"> the progress of the forum and its Katowice Committee on Impacts in supporting the work of the forum; </w:t>
      </w:r>
    </w:p>
    <w:p w14:paraId="701E5061" w14:textId="4EFE1121" w:rsidR="00026319" w:rsidRPr="00051FC6" w:rsidRDefault="00F31153" w:rsidP="00F31153">
      <w:pPr>
        <w:pStyle w:val="RegSingleTxtG"/>
        <w:ind w:left="1134"/>
      </w:pPr>
      <w:r w:rsidRPr="00051FC6">
        <w:t>4.</w:t>
      </w:r>
      <w:r w:rsidRPr="00051FC6">
        <w:tab/>
      </w:r>
      <w:r w:rsidR="00026319" w:rsidRPr="00E04937">
        <w:rPr>
          <w:i/>
          <w:iCs/>
        </w:rPr>
        <w:t>Take note</w:t>
      </w:r>
      <w:r w:rsidR="00026319">
        <w:t xml:space="preserve"> of the views expressed by Parties during the review of the functions, work programme and modalities of the forum and the midterm review of the workplan</w:t>
      </w:r>
      <w:r w:rsidR="00026319">
        <w:rPr>
          <w:rStyle w:val="FootnoteReference"/>
        </w:rPr>
        <w:footnoteReference w:id="17"/>
      </w:r>
      <w:r w:rsidR="00026319">
        <w:t xml:space="preserve"> of the forum and its Katowice Committee on Impacts;</w:t>
      </w:r>
    </w:p>
    <w:p w14:paraId="55FE7CAB" w14:textId="6278CA84" w:rsidR="00026319" w:rsidRDefault="00F31153" w:rsidP="00F31153">
      <w:pPr>
        <w:pStyle w:val="RegSingleTxtG"/>
        <w:ind w:left="1134"/>
      </w:pPr>
      <w:r>
        <w:t>5.</w:t>
      </w:r>
      <w:r>
        <w:tab/>
      </w:r>
      <w:r w:rsidR="00026319" w:rsidRPr="00E04937">
        <w:rPr>
          <w:i/>
          <w:iCs/>
        </w:rPr>
        <w:t>Adopt</w:t>
      </w:r>
      <w:r w:rsidR="00026319">
        <w:t xml:space="preserve"> the updated functions, work programme and modalities of the forum and its Katowice Committee on Impacts contained in annex I;</w:t>
      </w:r>
    </w:p>
    <w:p w14:paraId="1F018776" w14:textId="1424CA7D" w:rsidR="00026319" w:rsidRPr="00051FC6" w:rsidRDefault="00F31153" w:rsidP="00F31153">
      <w:pPr>
        <w:pStyle w:val="RegSingleTxtG"/>
        <w:ind w:left="1134"/>
      </w:pPr>
      <w:r w:rsidRPr="00051FC6">
        <w:t>6.</w:t>
      </w:r>
      <w:r w:rsidRPr="00051FC6">
        <w:tab/>
      </w:r>
      <w:r w:rsidR="00026319" w:rsidRPr="00E04937">
        <w:rPr>
          <w:i/>
          <w:iCs/>
        </w:rPr>
        <w:t>Request</w:t>
      </w:r>
      <w:r w:rsidR="00026319">
        <w:t xml:space="preserve"> the subsidiary bodies to review the functions, work programme and modalities of the forum and its Katowice Committee on Impacts every five years, starting at their sixty-ninth sessions</w:t>
      </w:r>
      <w:r w:rsidR="00026319" w:rsidRPr="0021010C">
        <w:t xml:space="preserve"> (2028), with a view to enhancing the effectiveness of the forum and its Katowice Committee on Impacts and providing recommendations for </w:t>
      </w:r>
      <w:r w:rsidR="00026319" w:rsidRPr="00B850E0">
        <w:t xml:space="preserve">consideration </w:t>
      </w:r>
      <w:r w:rsidR="00BE2397" w:rsidRPr="00B850E0">
        <w:t>by</w:t>
      </w:r>
      <w:r w:rsidR="00026319" w:rsidRPr="0021010C">
        <w:t xml:space="preserve"> the </w:t>
      </w:r>
      <w:r w:rsidR="00026319">
        <w:t>Conference of the Parties</w:t>
      </w:r>
      <w:r w:rsidR="00026319" w:rsidRPr="00CB26EF">
        <w:t xml:space="preserve">, the </w:t>
      </w:r>
      <w:r w:rsidR="00026319" w:rsidRPr="00316807">
        <w:t>Conference of the Parties serving as the meeting of the Parties to the Kyoto Protocol</w:t>
      </w:r>
      <w:r w:rsidR="00026319" w:rsidRPr="0021010C">
        <w:t xml:space="preserve"> and the </w:t>
      </w:r>
      <w:r w:rsidR="00026319" w:rsidRPr="00896F27">
        <w:t>Conference of the Parties serving as the meeting of the Parties to the Paris Agreement</w:t>
      </w:r>
      <w:r w:rsidR="00026319" w:rsidRPr="00CB26EF">
        <w:t>;</w:t>
      </w:r>
    </w:p>
    <w:p w14:paraId="18B67D75" w14:textId="5A9B5550" w:rsidR="00026319" w:rsidRDefault="00F31153" w:rsidP="00F31153">
      <w:pPr>
        <w:pStyle w:val="RegSingleTxtG"/>
        <w:ind w:left="1134"/>
      </w:pPr>
      <w:r>
        <w:t>7.</w:t>
      </w:r>
      <w:r>
        <w:tab/>
      </w:r>
      <w:r w:rsidR="00026319" w:rsidRPr="00AC566E">
        <w:rPr>
          <w:i/>
          <w:iCs/>
        </w:rPr>
        <w:t>Decide</w:t>
      </w:r>
      <w:r w:rsidR="00026319" w:rsidRPr="00C45BAE">
        <w:t xml:space="preserve"> that the forum shall develop and recommend a five-year workplan in line with the forum’s functions, work programme and modalities, taking into account relevant policy issues of concern to Parties, for consideration and adoption by the subsidiary bodies at </w:t>
      </w:r>
      <w:r w:rsidR="00026319">
        <w:t>their sixty-first sessions</w:t>
      </w:r>
      <w:r w:rsidR="00026319" w:rsidRPr="00C45BAE">
        <w:t xml:space="preserve"> (Nov</w:t>
      </w:r>
      <w:r w:rsidR="00026319">
        <w:t>ember</w:t>
      </w:r>
      <w:r w:rsidR="00026319" w:rsidRPr="00C45BAE">
        <w:t xml:space="preserve"> 2024</w:t>
      </w:r>
      <w:r w:rsidR="00D1344B">
        <w:t>)</w:t>
      </w:r>
      <w:r w:rsidR="00026319" w:rsidRPr="00C45BAE">
        <w:t>;</w:t>
      </w:r>
    </w:p>
    <w:p w14:paraId="2BF79ED6" w14:textId="7A9FAC21" w:rsidR="00026319" w:rsidRDefault="00F31153" w:rsidP="00F31153">
      <w:pPr>
        <w:pStyle w:val="RegSingleTxtG"/>
        <w:ind w:left="1134"/>
      </w:pPr>
      <w:r>
        <w:t>8.</w:t>
      </w:r>
      <w:r>
        <w:tab/>
      </w:r>
      <w:r w:rsidR="00026319" w:rsidRPr="00AC566E">
        <w:rPr>
          <w:i/>
          <w:iCs/>
        </w:rPr>
        <w:t>Request</w:t>
      </w:r>
      <w:r w:rsidR="00026319" w:rsidRPr="003D0392">
        <w:t xml:space="preserve"> the </w:t>
      </w:r>
      <w:r w:rsidR="00026319" w:rsidRPr="0021010C">
        <w:t xml:space="preserve">Katowice Committee on Impacts </w:t>
      </w:r>
      <w:r w:rsidR="00026319" w:rsidRPr="003D0392">
        <w:t xml:space="preserve">to propose updates to its rules of procedure for the forum to consider and make recommendations to the subsidiary bodies with a view to the subsidiary bodies providing recommendations for consideration and adoption by the </w:t>
      </w:r>
      <w:r w:rsidR="00026319">
        <w:t>Conference of the Parties at its twenty-ninth session</w:t>
      </w:r>
      <w:r w:rsidR="00DF5503">
        <w:t xml:space="preserve"> (November 2024)</w:t>
      </w:r>
      <w:r w:rsidR="00026319" w:rsidRPr="00CB26EF">
        <w:t xml:space="preserve">, the </w:t>
      </w:r>
      <w:r w:rsidR="00026319" w:rsidRPr="00316807">
        <w:t>Conference of the Parties serving as the meeting of the Parties to the Kyoto Protocol</w:t>
      </w:r>
      <w:r w:rsidR="00026319" w:rsidRPr="00CB26EF">
        <w:t xml:space="preserve"> </w:t>
      </w:r>
      <w:r w:rsidR="00026319">
        <w:t xml:space="preserve">at its nineteenth </w:t>
      </w:r>
      <w:r w:rsidR="00026319">
        <w:lastRenderedPageBreak/>
        <w:t>session (</w:t>
      </w:r>
      <w:r w:rsidR="00026319" w:rsidRPr="00CB26EF">
        <w:t>November 2024</w:t>
      </w:r>
      <w:r w:rsidR="00026319">
        <w:t xml:space="preserve">) </w:t>
      </w:r>
      <w:r w:rsidR="00026319" w:rsidRPr="00CB26EF">
        <w:t xml:space="preserve">and the </w:t>
      </w:r>
      <w:r w:rsidR="00026319" w:rsidRPr="00896F27">
        <w:t>Conference of the Parties serving as the meeting of the Parties to the Paris Agreement</w:t>
      </w:r>
      <w:r w:rsidR="00026319">
        <w:t xml:space="preserve"> at its sixth session (</w:t>
      </w:r>
      <w:r w:rsidR="00026319" w:rsidRPr="00CB26EF">
        <w:t>November 2024</w:t>
      </w:r>
      <w:r w:rsidR="00026319">
        <w:t>)</w:t>
      </w:r>
      <w:r w:rsidR="00026319" w:rsidRPr="00CB26EF">
        <w:t>;</w:t>
      </w:r>
    </w:p>
    <w:p w14:paraId="55954D76" w14:textId="3A70209B" w:rsidR="00026319" w:rsidRPr="00CB3921" w:rsidRDefault="00F31153" w:rsidP="00F31153">
      <w:pPr>
        <w:pStyle w:val="RegSingleTxtG"/>
        <w:ind w:left="1134"/>
      </w:pPr>
      <w:bookmarkStart w:id="48" w:name="_Ref156225093"/>
      <w:r w:rsidRPr="00CB3921">
        <w:t>9.</w:t>
      </w:r>
      <w:r w:rsidRPr="00CB3921">
        <w:tab/>
      </w:r>
      <w:r w:rsidR="00026319" w:rsidRPr="00AC566E">
        <w:rPr>
          <w:i/>
          <w:iCs/>
        </w:rPr>
        <w:t>Take note</w:t>
      </w:r>
      <w:r w:rsidR="00026319" w:rsidRPr="00561249">
        <w:t xml:space="preserve"> that the forum concluded the midterm review of the workplan of the forum and its Katowice Committee on Impacts</w:t>
      </w:r>
      <w:r w:rsidR="00026319" w:rsidRPr="00CB3921">
        <w:t xml:space="preserve"> </w:t>
      </w:r>
      <w:r w:rsidR="00026319" w:rsidRPr="00561249">
        <w:t xml:space="preserve">and </w:t>
      </w:r>
      <w:r w:rsidR="00026319" w:rsidRPr="001F1B89">
        <w:rPr>
          <w:i/>
          <w:iCs/>
        </w:rPr>
        <w:t>request</w:t>
      </w:r>
      <w:r w:rsidR="00026319" w:rsidRPr="00561249">
        <w:t xml:space="preserve"> the forum and its Katowice Committee on Impacts to implement the activities </w:t>
      </w:r>
      <w:r w:rsidR="00026319">
        <w:t xml:space="preserve">arising from the outcomes of the review </w:t>
      </w:r>
      <w:r w:rsidR="00026319" w:rsidRPr="00CB26EF">
        <w:t>contained</w:t>
      </w:r>
      <w:r w:rsidR="00026319" w:rsidRPr="00561249">
        <w:t xml:space="preserve"> in annex II</w:t>
      </w:r>
      <w:r w:rsidR="00026319">
        <w:t>;</w:t>
      </w:r>
      <w:bookmarkEnd w:id="48"/>
    </w:p>
    <w:p w14:paraId="5BC979EA" w14:textId="42B1CF72" w:rsidR="00026319" w:rsidRPr="00CB3921" w:rsidRDefault="00F31153" w:rsidP="00F31153">
      <w:pPr>
        <w:pStyle w:val="RegSingleTxtG"/>
        <w:ind w:left="1134"/>
      </w:pPr>
      <w:r w:rsidRPr="00CB3921">
        <w:t>10.</w:t>
      </w:r>
      <w:r w:rsidRPr="00CB3921">
        <w:tab/>
      </w:r>
      <w:r w:rsidR="00026319" w:rsidRPr="00CB3921">
        <w:rPr>
          <w:i/>
          <w:iCs/>
        </w:rPr>
        <w:t>Welcome</w:t>
      </w:r>
      <w:r w:rsidR="00026319" w:rsidRPr="00CB3921">
        <w:t xml:space="preserve"> the annual report of the Katowice Committee on Impacts for 2023;</w:t>
      </w:r>
      <w:r w:rsidR="00026319" w:rsidRPr="00CB3921">
        <w:rPr>
          <w:rStyle w:val="FootnoteReference"/>
        </w:rPr>
        <w:footnoteReference w:id="18"/>
      </w:r>
    </w:p>
    <w:p w14:paraId="5B56DBE0" w14:textId="6A61BD8E" w:rsidR="00026319" w:rsidRPr="00CB3921" w:rsidRDefault="00F31153" w:rsidP="00F31153">
      <w:pPr>
        <w:pStyle w:val="RegSingleTxtG"/>
        <w:ind w:left="1134"/>
      </w:pPr>
      <w:bookmarkStart w:id="49" w:name="_Ref156225095"/>
      <w:r w:rsidRPr="00CB3921">
        <w:t>11.</w:t>
      </w:r>
      <w:r w:rsidRPr="00CB3921">
        <w:tab/>
      </w:r>
      <w:r w:rsidR="00026319" w:rsidRPr="00CB3921">
        <w:rPr>
          <w:i/>
          <w:iCs/>
        </w:rPr>
        <w:t>Adopt</w:t>
      </w:r>
      <w:r w:rsidR="00026319" w:rsidRPr="00CB3921">
        <w:t xml:space="preserve"> the recommendations forwarded by the forum contained in sections I</w:t>
      </w:r>
      <w:r w:rsidR="00026319">
        <w:t>–</w:t>
      </w:r>
      <w:r w:rsidR="00026319" w:rsidRPr="00CB3921">
        <w:t>I</w:t>
      </w:r>
      <w:r w:rsidR="00026319">
        <w:t>II</w:t>
      </w:r>
      <w:r w:rsidR="00026319" w:rsidRPr="00CB3921">
        <w:t xml:space="preserve"> below, which pertain to activities 2,</w:t>
      </w:r>
      <w:r w:rsidR="00026319">
        <w:rPr>
          <w:rStyle w:val="FootnoteReference"/>
        </w:rPr>
        <w:footnoteReference w:id="19"/>
      </w:r>
      <w:r w:rsidR="00026319" w:rsidRPr="00CB3921">
        <w:t xml:space="preserve"> 8</w:t>
      </w:r>
      <w:r w:rsidR="00026319">
        <w:rPr>
          <w:rStyle w:val="FootnoteReference"/>
        </w:rPr>
        <w:footnoteReference w:id="20"/>
      </w:r>
      <w:r w:rsidR="00026319" w:rsidRPr="00CB3921">
        <w:t xml:space="preserve"> and 9</w:t>
      </w:r>
      <w:r w:rsidR="00026319">
        <w:rPr>
          <w:rStyle w:val="FootnoteReference"/>
        </w:rPr>
        <w:footnoteReference w:id="21"/>
      </w:r>
      <w:r w:rsidR="00026319" w:rsidRPr="00CB3921">
        <w:t xml:space="preserve"> of the workplan</w:t>
      </w:r>
      <w:r w:rsidR="00036A7F" w:rsidRPr="00036A7F">
        <w:t xml:space="preserve"> </w:t>
      </w:r>
      <w:r w:rsidR="00036A7F">
        <w:t xml:space="preserve">of the forum and its </w:t>
      </w:r>
      <w:r w:rsidR="00036A7F" w:rsidRPr="00561249">
        <w:t>Katowice Committee on Impacts</w:t>
      </w:r>
      <w:r w:rsidR="00026319" w:rsidRPr="00CB3921">
        <w:t>;</w:t>
      </w:r>
      <w:bookmarkEnd w:id="49"/>
    </w:p>
    <w:p w14:paraId="2E3E005C" w14:textId="5A7F8D6F" w:rsidR="00026319" w:rsidRPr="00CB3921" w:rsidRDefault="00F31153" w:rsidP="00F31153">
      <w:pPr>
        <w:pStyle w:val="RegSingleTxtG"/>
        <w:ind w:left="1134"/>
      </w:pPr>
      <w:r w:rsidRPr="00CB3921">
        <w:t>12.</w:t>
      </w:r>
      <w:r w:rsidRPr="00CB3921">
        <w:tab/>
      </w:r>
      <w:r w:rsidR="00026319" w:rsidRPr="00CB3921">
        <w:rPr>
          <w:i/>
          <w:iCs/>
        </w:rPr>
        <w:t>Invite</w:t>
      </w:r>
      <w:r w:rsidR="00026319" w:rsidRPr="00CB3921">
        <w:t xml:space="preserve"> Parties, observer organizations and </w:t>
      </w:r>
      <w:r w:rsidR="00427B7D">
        <w:t xml:space="preserve">other </w:t>
      </w:r>
      <w:r w:rsidR="00026319" w:rsidRPr="00CB3921">
        <w:t xml:space="preserve">stakeholders to implement the recommendations contained in sections </w:t>
      </w:r>
      <w:r w:rsidR="00026319">
        <w:t>I–III</w:t>
      </w:r>
      <w:r w:rsidR="00026319" w:rsidRPr="00CB3921">
        <w:t xml:space="preserve"> below, as applicable;</w:t>
      </w:r>
    </w:p>
    <w:p w14:paraId="1BA0970D" w14:textId="734934E8" w:rsidR="00026319" w:rsidRPr="00CB3921" w:rsidRDefault="00F31153" w:rsidP="00F31153">
      <w:pPr>
        <w:pStyle w:val="RegSingleTxtG"/>
        <w:ind w:left="1134"/>
      </w:pPr>
      <w:bookmarkStart w:id="50" w:name="_Ref156225098"/>
      <w:r w:rsidRPr="00CB3921">
        <w:t>13.</w:t>
      </w:r>
      <w:r w:rsidRPr="00CB3921">
        <w:tab/>
      </w:r>
      <w:r w:rsidR="00026319" w:rsidRPr="00CB3921">
        <w:rPr>
          <w:i/>
          <w:iCs/>
        </w:rPr>
        <w:t>Request</w:t>
      </w:r>
      <w:r w:rsidR="00026319" w:rsidRPr="00CB3921">
        <w:t xml:space="preserve"> the forum and its Katowice Committee on Impacts</w:t>
      </w:r>
      <w:r w:rsidR="00026319">
        <w:t>,</w:t>
      </w:r>
      <w:r w:rsidR="00026319" w:rsidRPr="00CB3921">
        <w:t xml:space="preserve"> </w:t>
      </w:r>
      <w:r w:rsidR="00026319">
        <w:t xml:space="preserve">with the support of </w:t>
      </w:r>
      <w:r w:rsidR="00026319" w:rsidRPr="00CB3921">
        <w:t>the secretariat</w:t>
      </w:r>
      <w:r w:rsidR="00026319">
        <w:t>,</w:t>
      </w:r>
      <w:r w:rsidR="00026319" w:rsidRPr="00CB3921">
        <w:t xml:space="preserve"> to implement the recommendations contained in sections I</w:t>
      </w:r>
      <w:r w:rsidR="00036A7F">
        <w:t>–</w:t>
      </w:r>
      <w:r w:rsidR="00026319" w:rsidRPr="00CB3921">
        <w:t>I</w:t>
      </w:r>
      <w:r w:rsidR="00026319">
        <w:t>II</w:t>
      </w:r>
      <w:r w:rsidR="00026319" w:rsidRPr="00CB3921">
        <w:t xml:space="preserve"> below, as applicable;</w:t>
      </w:r>
      <w:bookmarkEnd w:id="50"/>
    </w:p>
    <w:p w14:paraId="7ACF8817" w14:textId="4FEA86FB" w:rsidR="00026319" w:rsidRPr="00CB3921" w:rsidRDefault="00F31153" w:rsidP="00F31153">
      <w:pPr>
        <w:pStyle w:val="RegSingleTxtG"/>
        <w:ind w:left="1134"/>
      </w:pPr>
      <w:r w:rsidRPr="00CB3921">
        <w:t>14.</w:t>
      </w:r>
      <w:r w:rsidRPr="00CB3921">
        <w:tab/>
      </w:r>
      <w:r w:rsidR="00026319">
        <w:rPr>
          <w:i/>
          <w:iCs/>
        </w:rPr>
        <w:t>Also</w:t>
      </w:r>
      <w:r w:rsidR="00026319" w:rsidRPr="00CB3921">
        <w:rPr>
          <w:i/>
          <w:iCs/>
        </w:rPr>
        <w:t xml:space="preserve"> request</w:t>
      </w:r>
      <w:r w:rsidR="00026319" w:rsidRPr="00CB3921">
        <w:t xml:space="preserve"> the Katowice Committee on Impacts to report</w:t>
      </w:r>
      <w:r w:rsidR="00026319">
        <w:t>, in its annual report,</w:t>
      </w:r>
      <w:r w:rsidR="00026319" w:rsidRPr="00CB3921">
        <w:t xml:space="preserve"> </w:t>
      </w:r>
      <w:r w:rsidR="00026319">
        <w:t>on</w:t>
      </w:r>
      <w:r w:rsidR="00026319" w:rsidRPr="00CB3921">
        <w:t xml:space="preserve"> progress in implementing the recommendations contained in sections I</w:t>
      </w:r>
      <w:r w:rsidR="00026319">
        <w:t>–</w:t>
      </w:r>
      <w:r w:rsidR="00026319" w:rsidRPr="00CB3921">
        <w:t>I</w:t>
      </w:r>
      <w:r w:rsidR="00026319">
        <w:t>II</w:t>
      </w:r>
      <w:r w:rsidR="00026319" w:rsidRPr="00CB3921">
        <w:t xml:space="preserve"> below, as applicable, and </w:t>
      </w:r>
      <w:r w:rsidR="00026319">
        <w:t xml:space="preserve">those </w:t>
      </w:r>
      <w:r w:rsidR="00026319" w:rsidRPr="00CB3921">
        <w:t>in decisions 20/CP.27, 7/CMP.17 and 23/CMA.4;</w:t>
      </w:r>
    </w:p>
    <w:p w14:paraId="06A4C74E" w14:textId="70DFAC86" w:rsidR="00026319" w:rsidRDefault="00F31153" w:rsidP="00F31153">
      <w:pPr>
        <w:pStyle w:val="RegSingleTxtG"/>
        <w:ind w:left="1134"/>
      </w:pPr>
      <w:r>
        <w:t>15.</w:t>
      </w:r>
      <w:r>
        <w:tab/>
      </w:r>
      <w:r w:rsidR="00026319" w:rsidRPr="00CB3921">
        <w:rPr>
          <w:i/>
          <w:iCs/>
        </w:rPr>
        <w:t>Note with appreciation</w:t>
      </w:r>
      <w:r w:rsidR="00026319" w:rsidRPr="00CB3921">
        <w:t xml:space="preserve"> the technical sessions on implementing activities 7</w:t>
      </w:r>
      <w:r w:rsidR="00026319">
        <w:rPr>
          <w:rStyle w:val="FootnoteReference"/>
        </w:rPr>
        <w:footnoteReference w:id="22"/>
      </w:r>
      <w:r w:rsidR="00026319" w:rsidRPr="00CB3921">
        <w:t xml:space="preserve"> and 8 of the workplan </w:t>
      </w:r>
      <w:r w:rsidR="00026319">
        <w:t>held at the fifty-ninth sessions of the subsidiary bodies</w:t>
      </w:r>
      <w:r w:rsidR="00026319" w:rsidRPr="00CB3921">
        <w:t xml:space="preserve"> and </w:t>
      </w:r>
      <w:r w:rsidR="00026319" w:rsidRPr="00CB3921">
        <w:rPr>
          <w:i/>
          <w:iCs/>
        </w:rPr>
        <w:t>express</w:t>
      </w:r>
      <w:r w:rsidR="00026319" w:rsidRPr="0007030A">
        <w:rPr>
          <w:i/>
        </w:rPr>
        <w:t xml:space="preserve"> </w:t>
      </w:r>
      <w:r w:rsidR="00026319" w:rsidRPr="00877274">
        <w:rPr>
          <w:i/>
          <w:iCs/>
        </w:rPr>
        <w:t>gratitude</w:t>
      </w:r>
      <w:r w:rsidR="00026319" w:rsidRPr="00CB3921">
        <w:t xml:space="preserve"> to the experts and Parties </w:t>
      </w:r>
      <w:r w:rsidR="00026319">
        <w:t>that</w:t>
      </w:r>
      <w:r w:rsidR="00026319" w:rsidRPr="00CB3921">
        <w:t xml:space="preserve"> contributed to the work of the forum and its Katowice Committee on Impacts in 2023;</w:t>
      </w:r>
    </w:p>
    <w:p w14:paraId="7A7EB301" w14:textId="0B44FE62" w:rsidR="00026319" w:rsidRDefault="00F31153" w:rsidP="00F31153">
      <w:pPr>
        <w:pStyle w:val="RegSingleTxtG"/>
        <w:ind w:left="1134"/>
      </w:pPr>
      <w:bookmarkStart w:id="51" w:name="_Ref156225034"/>
      <w:r>
        <w:t>16.</w:t>
      </w:r>
      <w:r>
        <w:tab/>
      </w:r>
      <w:r w:rsidR="00026319" w:rsidRPr="00010DF2">
        <w:rPr>
          <w:i/>
          <w:iCs/>
        </w:rPr>
        <w:t>Request</w:t>
      </w:r>
      <w:r w:rsidR="00026319" w:rsidRPr="00DE2D91">
        <w:t xml:space="preserve"> the secretariat to organize a two-day global dialogue on the impacts of the implementation of response measures in conjunction with intersessional meetings </w:t>
      </w:r>
      <w:r w:rsidR="00026319">
        <w:t xml:space="preserve">of the </w:t>
      </w:r>
      <w:r w:rsidR="00026319" w:rsidRPr="00DD08E1">
        <w:t>Katowice Committee on Impacts</w:t>
      </w:r>
      <w:r w:rsidR="00026319">
        <w:t xml:space="preserve"> </w:t>
      </w:r>
      <w:r w:rsidR="00026319" w:rsidRPr="00DE2D91">
        <w:t xml:space="preserve">in 2024 and 2025, in collaboration with relevant organizations and stakeholders and acknowledging the work that has been carried out by the Katowice Committee on Impacts, noting that such dialogues will be conducted in hybrid format to allow both in-person and virtual participation, and </w:t>
      </w:r>
      <w:r w:rsidR="00026319" w:rsidRPr="00007685">
        <w:rPr>
          <w:i/>
          <w:iCs/>
        </w:rPr>
        <w:t>note</w:t>
      </w:r>
      <w:r w:rsidR="00026319" w:rsidRPr="00DE2D91">
        <w:t xml:space="preserve"> that the forum, at </w:t>
      </w:r>
      <w:r w:rsidR="00026319">
        <w:t xml:space="preserve">the sixty-third sessions of the subsidiary bodies </w:t>
      </w:r>
      <w:r w:rsidR="00026319" w:rsidRPr="00DE2D91">
        <w:t>(November 2025), will consider further dialogues, as appropriate</w:t>
      </w:r>
      <w:r w:rsidR="00026319">
        <w:t>;</w:t>
      </w:r>
      <w:bookmarkEnd w:id="51"/>
    </w:p>
    <w:p w14:paraId="69A62BFD" w14:textId="02F4FAC5" w:rsidR="00026319" w:rsidRDefault="00F31153" w:rsidP="00F31153">
      <w:pPr>
        <w:pStyle w:val="RegSingleTxtG"/>
        <w:ind w:left="1134"/>
      </w:pPr>
      <w:bookmarkStart w:id="52" w:name="_Ref156225106"/>
      <w:r>
        <w:t>17.</w:t>
      </w:r>
      <w:r>
        <w:tab/>
      </w:r>
      <w:r w:rsidR="00B5217E">
        <w:rPr>
          <w:i/>
          <w:iCs/>
        </w:rPr>
        <w:t>R</w:t>
      </w:r>
      <w:r w:rsidR="00026319" w:rsidRPr="00010DF2">
        <w:rPr>
          <w:i/>
          <w:iCs/>
        </w:rPr>
        <w:t>equest</w:t>
      </w:r>
      <w:r w:rsidR="00026319" w:rsidRPr="00627E73">
        <w:t xml:space="preserve"> the secretariat to prepare a summary report capturing </w:t>
      </w:r>
      <w:r w:rsidR="00026319">
        <w:t xml:space="preserve">the </w:t>
      </w:r>
      <w:r w:rsidR="00026319" w:rsidRPr="00627E73">
        <w:t xml:space="preserve">discussions </w:t>
      </w:r>
      <w:r w:rsidR="00026319">
        <w:t xml:space="preserve">held </w:t>
      </w:r>
      <w:r w:rsidR="00026319" w:rsidRPr="00627E73">
        <w:t>at each of the global dialogues referred to in paragraph</w:t>
      </w:r>
      <w:r w:rsidR="00FB6229">
        <w:t xml:space="preserve"> </w:t>
      </w:r>
      <w:bookmarkEnd w:id="52"/>
      <w:r w:rsidR="00825408">
        <w:rPr>
          <w:cs/>
        </w:rPr>
        <w:t>‎</w:t>
      </w:r>
      <w:r w:rsidR="00825408">
        <w:t>16 above</w:t>
      </w:r>
      <w:r w:rsidR="00026319">
        <w:t>;</w:t>
      </w:r>
    </w:p>
    <w:p w14:paraId="26F28837" w14:textId="5F0CA3CE" w:rsidR="00026319" w:rsidRDefault="00F31153" w:rsidP="00F31153">
      <w:pPr>
        <w:pStyle w:val="RegSingleTxtG"/>
        <w:ind w:left="1134"/>
      </w:pPr>
      <w:bookmarkStart w:id="53" w:name="_Ref156225065"/>
      <w:r>
        <w:t>18.</w:t>
      </w:r>
      <w:r>
        <w:tab/>
      </w:r>
      <w:r w:rsidR="00026319" w:rsidRPr="00010DF2">
        <w:rPr>
          <w:i/>
          <w:iCs/>
        </w:rPr>
        <w:t>Invite</w:t>
      </w:r>
      <w:r w:rsidR="00026319">
        <w:t xml:space="preserve"> Parties, observers and non-Party stakeholders to submit their views on possible topics for the global dialogues in 2024 and 2025 via the submission portal</w:t>
      </w:r>
      <w:r w:rsidR="00026319">
        <w:rPr>
          <w:rStyle w:val="FootnoteReference"/>
        </w:rPr>
        <w:footnoteReference w:id="23"/>
      </w:r>
      <w:r w:rsidR="00026319">
        <w:t xml:space="preserve"> by 15 July in each of those years;</w:t>
      </w:r>
      <w:bookmarkEnd w:id="53"/>
      <w:r w:rsidR="00026319">
        <w:t xml:space="preserve"> </w:t>
      </w:r>
    </w:p>
    <w:p w14:paraId="416070C2" w14:textId="4958644C" w:rsidR="00026319" w:rsidRPr="00CB3921" w:rsidRDefault="00F31153" w:rsidP="00F31153">
      <w:pPr>
        <w:pStyle w:val="RegSingleTxtG"/>
        <w:ind w:left="1134"/>
      </w:pPr>
      <w:r w:rsidRPr="00CB3921">
        <w:t>19.</w:t>
      </w:r>
      <w:r w:rsidRPr="00CB3921">
        <w:tab/>
      </w:r>
      <w:r w:rsidR="00026319" w:rsidRPr="00010DF2">
        <w:rPr>
          <w:i/>
          <w:iCs/>
        </w:rPr>
        <w:t>Request</w:t>
      </w:r>
      <w:r w:rsidR="00026319">
        <w:t xml:space="preserve"> that the Chairs of the subsidiary bodies, taking into consideration the submissions referred to in paragraph</w:t>
      </w:r>
      <w:r w:rsidR="00416000">
        <w:t xml:space="preserve"> </w:t>
      </w:r>
      <w:r w:rsidR="00825408">
        <w:rPr>
          <w:cs/>
        </w:rPr>
        <w:t>‎</w:t>
      </w:r>
      <w:r w:rsidR="00825408">
        <w:t>18 above</w:t>
      </w:r>
      <w:r w:rsidR="00026319">
        <w:t xml:space="preserve">, decide on and communicate, no later than </w:t>
      </w:r>
      <w:r w:rsidR="00026319">
        <w:lastRenderedPageBreak/>
        <w:t>four weeks in advance of the global dialogues in 2024 and 2025, the topics to be discussed at each dialogue to be held in that year;</w:t>
      </w:r>
    </w:p>
    <w:p w14:paraId="2BD2A6F5" w14:textId="4095AE9C" w:rsidR="00026319" w:rsidRPr="00CB3921" w:rsidRDefault="00F31153" w:rsidP="00F31153">
      <w:pPr>
        <w:pStyle w:val="RegSingleTxtG"/>
        <w:ind w:left="1134"/>
      </w:pPr>
      <w:r w:rsidRPr="00CB3921">
        <w:t>20.</w:t>
      </w:r>
      <w:r w:rsidRPr="00CB3921">
        <w:tab/>
      </w:r>
      <w:r w:rsidR="00026319">
        <w:rPr>
          <w:i/>
          <w:iCs/>
        </w:rPr>
        <w:t>E</w:t>
      </w:r>
      <w:r w:rsidR="00026319" w:rsidRPr="00CB3921">
        <w:rPr>
          <w:i/>
          <w:iCs/>
        </w:rPr>
        <w:t>xpress</w:t>
      </w:r>
      <w:r w:rsidR="00026319" w:rsidRPr="0007030A">
        <w:rPr>
          <w:i/>
        </w:rPr>
        <w:t xml:space="preserve"> </w:t>
      </w:r>
      <w:r w:rsidR="00026319" w:rsidRPr="000F16AD">
        <w:rPr>
          <w:i/>
          <w:iCs/>
        </w:rPr>
        <w:t>gratitude</w:t>
      </w:r>
      <w:r w:rsidR="00026319" w:rsidRPr="00CB3921">
        <w:t xml:space="preserve"> to the </w:t>
      </w:r>
      <w:r w:rsidR="00026319">
        <w:t xml:space="preserve">United Nations </w:t>
      </w:r>
      <w:r w:rsidR="00026319" w:rsidRPr="00CB3921">
        <w:t>Economic and Social Commission for Asia and the Pacific, the International Labour Organization and the United Nations Development Programme for providing in-kind, financial, administrative and substantive support</w:t>
      </w:r>
      <w:r w:rsidR="00026319">
        <w:t>,</w:t>
      </w:r>
      <w:r w:rsidR="00026319" w:rsidRPr="00CB3921">
        <w:t xml:space="preserve"> </w:t>
      </w:r>
      <w:r w:rsidR="00026319">
        <w:t>which</w:t>
      </w:r>
      <w:r w:rsidR="00026319" w:rsidRPr="00CB3921">
        <w:t xml:space="preserve"> contributed to the success of the regional workshop </w:t>
      </w:r>
      <w:r w:rsidR="00026319">
        <w:t xml:space="preserve">for Asia and the Pacific </w:t>
      </w:r>
      <w:r w:rsidR="00026319" w:rsidRPr="00CB3921">
        <w:t>on activity 3</w:t>
      </w:r>
      <w:r w:rsidR="00026319">
        <w:rPr>
          <w:rStyle w:val="FootnoteReference"/>
        </w:rPr>
        <w:footnoteReference w:id="24"/>
      </w:r>
      <w:r w:rsidR="00026319" w:rsidRPr="00CB3921">
        <w:t xml:space="preserve"> of the workplan held from 12 to 14 September 2023 in Bangkok;</w:t>
      </w:r>
      <w:r w:rsidR="00026319">
        <w:rPr>
          <w:rStyle w:val="FootnoteReference"/>
        </w:rPr>
        <w:footnoteReference w:id="25"/>
      </w:r>
    </w:p>
    <w:p w14:paraId="4B5BCEBC" w14:textId="00EDDF21" w:rsidR="00026319" w:rsidRPr="00CB3921" w:rsidRDefault="00F31153" w:rsidP="00F31153">
      <w:pPr>
        <w:pStyle w:val="RegSingleTxtG"/>
        <w:ind w:left="1134"/>
      </w:pPr>
      <w:r w:rsidRPr="00CB3921">
        <w:t>21.</w:t>
      </w:r>
      <w:r w:rsidRPr="00CB3921">
        <w:tab/>
      </w:r>
      <w:r w:rsidR="00026319" w:rsidRPr="00CB3921">
        <w:rPr>
          <w:i/>
          <w:iCs/>
        </w:rPr>
        <w:t>Take note</w:t>
      </w:r>
      <w:r w:rsidR="00026319" w:rsidRPr="00CB3921">
        <w:t xml:space="preserve"> of the estimated budgetary implications of the activities to be undertaken by the secretariat referred to in paragraphs</w:t>
      </w:r>
      <w:r w:rsidR="0041490B">
        <w:t xml:space="preserve"> </w:t>
      </w:r>
      <w:r w:rsidR="00825408">
        <w:rPr>
          <w:cs/>
        </w:rPr>
        <w:t>‎</w:t>
      </w:r>
      <w:r w:rsidR="00825408">
        <w:t>9</w:t>
      </w:r>
      <w:r w:rsidR="00825408">
        <w:rPr>
          <w:cs/>
        </w:rPr>
        <w:t>‎</w:t>
      </w:r>
      <w:r w:rsidR="00825408">
        <w:rPr>
          <w:rFonts w:hint="cs"/>
          <w:cs/>
        </w:rPr>
        <w:t xml:space="preserve">, </w:t>
      </w:r>
      <w:r w:rsidR="00825408">
        <w:t>11</w:t>
      </w:r>
      <w:r w:rsidR="0041490B">
        <w:t xml:space="preserve">, </w:t>
      </w:r>
      <w:r w:rsidR="00825408">
        <w:rPr>
          <w:cs/>
        </w:rPr>
        <w:t>‎</w:t>
      </w:r>
      <w:r w:rsidR="00825408">
        <w:t>13</w:t>
      </w:r>
      <w:r w:rsidR="0041490B">
        <w:t xml:space="preserve">, </w:t>
      </w:r>
      <w:r w:rsidR="00825408">
        <w:rPr>
          <w:cs/>
        </w:rPr>
        <w:t>‎</w:t>
      </w:r>
      <w:r w:rsidR="00825408">
        <w:t>16</w:t>
      </w:r>
      <w:r w:rsidR="0041490B">
        <w:t xml:space="preserve"> and </w:t>
      </w:r>
      <w:r w:rsidR="00825408">
        <w:rPr>
          <w:cs/>
        </w:rPr>
        <w:t>‎</w:t>
      </w:r>
      <w:r w:rsidR="00825408">
        <w:t>17 above</w:t>
      </w:r>
      <w:r w:rsidR="00026319" w:rsidRPr="00CB3921">
        <w:t>;</w:t>
      </w:r>
    </w:p>
    <w:p w14:paraId="1C16D1F3" w14:textId="4E5DD62A" w:rsidR="00026319" w:rsidRPr="00CB3921" w:rsidRDefault="00F31153" w:rsidP="00F31153">
      <w:pPr>
        <w:pStyle w:val="RegSingleTxtG"/>
        <w:ind w:left="1134"/>
      </w:pPr>
      <w:r w:rsidRPr="00CB3921">
        <w:t>22.</w:t>
      </w:r>
      <w:r w:rsidRPr="00CB3921">
        <w:tab/>
      </w:r>
      <w:r w:rsidR="00026319" w:rsidRPr="00CB3921">
        <w:rPr>
          <w:i/>
          <w:iCs/>
        </w:rPr>
        <w:t>Request</w:t>
      </w:r>
      <w:r w:rsidR="00026319" w:rsidRPr="00CB3921">
        <w:t xml:space="preserve"> that the actions of the secretariat called for in this decision be undertaken subject to the availability of financial resources;</w:t>
      </w:r>
    </w:p>
    <w:p w14:paraId="32810DFA" w14:textId="6574D6B5" w:rsidR="00026319" w:rsidRPr="00CB3921" w:rsidRDefault="00F31153" w:rsidP="00F31153">
      <w:pPr>
        <w:pStyle w:val="RegHChG"/>
        <w:tabs>
          <w:tab w:val="left" w:pos="1135"/>
        </w:tabs>
        <w:ind w:left="1135" w:hanging="454"/>
      </w:pPr>
      <w:bookmarkStart w:id="54" w:name="_Toc161286218"/>
      <w:bookmarkStart w:id="55" w:name="_Toc161242637"/>
      <w:r w:rsidRPr="00CB3921">
        <w:t>I.</w:t>
      </w:r>
      <w:r w:rsidRPr="00CB3921">
        <w:tab/>
      </w:r>
      <w:r w:rsidR="00026319" w:rsidRPr="00CB3921">
        <w:t>Activity 2 of the workplan</w:t>
      </w:r>
      <w:bookmarkEnd w:id="54"/>
      <w:bookmarkEnd w:id="55"/>
    </w:p>
    <w:p w14:paraId="1C01FA3A" w14:textId="714E5737" w:rsidR="00026319" w:rsidRPr="00CB3921" w:rsidRDefault="00F31153" w:rsidP="00F31153">
      <w:pPr>
        <w:pStyle w:val="RegSingleTxtG"/>
        <w:ind w:left="1134"/>
      </w:pPr>
      <w:r w:rsidRPr="00CB3921">
        <w:t>23.</w:t>
      </w:r>
      <w:r w:rsidRPr="00CB3921">
        <w:tab/>
      </w:r>
      <w:r w:rsidR="00026319" w:rsidRPr="00CB3921">
        <w:rPr>
          <w:i/>
          <w:iCs/>
        </w:rPr>
        <w:t>Encourage</w:t>
      </w:r>
      <w:r w:rsidR="00026319" w:rsidRPr="00CB3921">
        <w:t xml:space="preserve"> Parties</w:t>
      </w:r>
      <w:r w:rsidR="00026319">
        <w:t xml:space="preserve"> to</w:t>
      </w:r>
      <w:r w:rsidR="00026319" w:rsidRPr="00CB3921">
        <w:t>:</w:t>
      </w:r>
    </w:p>
    <w:p w14:paraId="12E944B6" w14:textId="2B9E41C8" w:rsidR="00026319" w:rsidRPr="00CB3921" w:rsidRDefault="00F31153" w:rsidP="00F31153">
      <w:pPr>
        <w:pStyle w:val="RegSingleTxtG2"/>
        <w:tabs>
          <w:tab w:val="left" w:pos="1702"/>
        </w:tabs>
        <w:ind w:left="1134" w:firstLine="567"/>
      </w:pPr>
      <w:r w:rsidRPr="00CB3921">
        <w:rPr>
          <w:szCs w:val="28"/>
        </w:rPr>
        <w:t>(a)</w:t>
      </w:r>
      <w:r w:rsidRPr="00CB3921">
        <w:rPr>
          <w:szCs w:val="28"/>
        </w:rPr>
        <w:tab/>
      </w:r>
      <w:r w:rsidR="00026319">
        <w:t>Consider, w</w:t>
      </w:r>
      <w:r w:rsidR="00026319" w:rsidRPr="00CB3921">
        <w:t xml:space="preserve">hen designing their </w:t>
      </w:r>
      <w:r w:rsidR="00026319">
        <w:t>nationally determined contributions</w:t>
      </w:r>
      <w:r w:rsidR="00026319" w:rsidRPr="00CB3921">
        <w:t xml:space="preserve"> and </w:t>
      </w:r>
      <w:r w:rsidR="00026319">
        <w:t>long-term low-emission development strategies</w:t>
      </w:r>
      <w:r w:rsidR="00026319" w:rsidRPr="00CB3921">
        <w:t>, just transition plans or frameworks and design processes for just transition of the workforce and the creation of decent work and quality jobs, and to promote policy coherence and consider social dialogue, taking into account national circumstances and priorities;</w:t>
      </w:r>
    </w:p>
    <w:p w14:paraId="19FDB217" w14:textId="577B2DF0" w:rsidR="00026319" w:rsidRPr="00CB3921" w:rsidRDefault="00F31153" w:rsidP="00F31153">
      <w:pPr>
        <w:pStyle w:val="RegSingleTxtG2"/>
        <w:tabs>
          <w:tab w:val="left" w:pos="1702"/>
        </w:tabs>
        <w:ind w:left="1134" w:firstLine="567"/>
      </w:pPr>
      <w:r w:rsidRPr="00CB3921">
        <w:rPr>
          <w:szCs w:val="28"/>
        </w:rPr>
        <w:t>(b)</w:t>
      </w:r>
      <w:r w:rsidRPr="00CB3921">
        <w:rPr>
          <w:szCs w:val="28"/>
        </w:rPr>
        <w:tab/>
      </w:r>
      <w:r w:rsidR="00026319" w:rsidRPr="00CB3921">
        <w:t xml:space="preserve">Promote capacity-building to, when designing </w:t>
      </w:r>
      <w:r w:rsidR="00026319">
        <w:t>nationally determined contributions</w:t>
      </w:r>
      <w:r w:rsidR="00026319" w:rsidRPr="00CB3921" w:rsidDel="00CB42A7">
        <w:t xml:space="preserve"> </w:t>
      </w:r>
      <w:r w:rsidR="00026319" w:rsidRPr="00CB3921">
        <w:t xml:space="preserve">and </w:t>
      </w:r>
      <w:r w:rsidR="00026319">
        <w:t>long-term low-emission development strategies</w:t>
      </w:r>
      <w:r w:rsidR="00026319" w:rsidRPr="00CB3921">
        <w:t xml:space="preserve">, consider plans, guidelines or frameworks for just transition of the workforce and the creation of decent work and quality jobs in their </w:t>
      </w:r>
      <w:r w:rsidR="00026319">
        <w:t>nationally determined contributions</w:t>
      </w:r>
      <w:r w:rsidR="00026319" w:rsidRPr="00CB3921">
        <w:t xml:space="preserve"> and </w:t>
      </w:r>
      <w:r w:rsidR="00026319">
        <w:t>long-term low-emission development strategies</w:t>
      </w:r>
      <w:r w:rsidR="00026319" w:rsidRPr="00CB3921">
        <w:t>;</w:t>
      </w:r>
    </w:p>
    <w:p w14:paraId="34A5EA22" w14:textId="1CF3FE9A" w:rsidR="00026319" w:rsidRPr="00CB3921" w:rsidRDefault="00F31153" w:rsidP="00F31153">
      <w:pPr>
        <w:pStyle w:val="RegSingleTxtG2"/>
        <w:tabs>
          <w:tab w:val="left" w:pos="1702"/>
        </w:tabs>
        <w:ind w:left="1134" w:firstLine="567"/>
      </w:pPr>
      <w:r w:rsidRPr="00CB3921">
        <w:rPr>
          <w:szCs w:val="28"/>
        </w:rPr>
        <w:t>(c)</w:t>
      </w:r>
      <w:r w:rsidRPr="00CB3921">
        <w:rPr>
          <w:szCs w:val="28"/>
        </w:rPr>
        <w:tab/>
      </w:r>
      <w:r w:rsidR="00026319">
        <w:t>Adopt, as appropriate, i</w:t>
      </w:r>
      <w:r w:rsidR="00026319" w:rsidRPr="00CB3921">
        <w:t>n their efforts to diversify their economies, any relevant policies in a manner that promotes sustainable development;</w:t>
      </w:r>
    </w:p>
    <w:p w14:paraId="5C13E2A8" w14:textId="2769B290" w:rsidR="00026319" w:rsidRPr="00CB3921" w:rsidRDefault="00F31153" w:rsidP="00F31153">
      <w:pPr>
        <w:pStyle w:val="RegSingleTxtG"/>
        <w:ind w:left="1134"/>
      </w:pPr>
      <w:r w:rsidRPr="00CB3921">
        <w:t>24.</w:t>
      </w:r>
      <w:r w:rsidRPr="00CB3921">
        <w:tab/>
      </w:r>
      <w:r w:rsidR="00CC3851">
        <w:rPr>
          <w:i/>
          <w:iCs/>
        </w:rPr>
        <w:t>Also e</w:t>
      </w:r>
      <w:r w:rsidR="00026319" w:rsidRPr="00CB3921">
        <w:rPr>
          <w:i/>
          <w:iCs/>
        </w:rPr>
        <w:t>ncourage</w:t>
      </w:r>
      <w:r w:rsidR="00026319" w:rsidRPr="00CB3921">
        <w:t xml:space="preserve"> participation of non-Party stakeholders </w:t>
      </w:r>
      <w:r w:rsidR="00CC3851">
        <w:t>in</w:t>
      </w:r>
      <w:r w:rsidR="00026319" w:rsidRPr="00CB3921">
        <w:t xml:space="preserve"> consider</w:t>
      </w:r>
      <w:r w:rsidR="00CC3851">
        <w:t>ing</w:t>
      </w:r>
      <w:r w:rsidR="00026319" w:rsidRPr="00CB3921">
        <w:t xml:space="preserve"> or design</w:t>
      </w:r>
      <w:r w:rsidR="00CC3851">
        <w:t>ing</w:t>
      </w:r>
      <w:r w:rsidR="00026319" w:rsidRPr="00CB3921">
        <w:t xml:space="preserve"> just transition of the workforce and the creation of decent work and quality jobs in collaboration with Parties and relevant stakeholders;</w:t>
      </w:r>
    </w:p>
    <w:p w14:paraId="01EB2BBD" w14:textId="1389C57B" w:rsidR="00026319" w:rsidRPr="00CB3921" w:rsidRDefault="00F31153" w:rsidP="00F31153">
      <w:pPr>
        <w:pStyle w:val="RegSingleTxtG"/>
        <w:ind w:left="1134"/>
      </w:pPr>
      <w:r w:rsidRPr="00CB3921">
        <w:t>25.</w:t>
      </w:r>
      <w:r w:rsidRPr="00CB3921">
        <w:tab/>
      </w:r>
      <w:r w:rsidR="00026319" w:rsidRPr="00CB3921">
        <w:rPr>
          <w:i/>
          <w:iCs/>
        </w:rPr>
        <w:t>Request</w:t>
      </w:r>
      <w:r w:rsidR="00026319" w:rsidRPr="00CB3921">
        <w:t xml:space="preserve"> the </w:t>
      </w:r>
      <w:r w:rsidR="00026319">
        <w:t>Katowice Committee on Impacts</w:t>
      </w:r>
      <w:r w:rsidR="00026319" w:rsidRPr="00CB3921">
        <w:t xml:space="preserve"> to enhance the understanding of Parties o</w:t>
      </w:r>
      <w:r w:rsidR="009F2DA6">
        <w:t>f</w:t>
      </w:r>
      <w:r w:rsidR="00026319" w:rsidRPr="00CB3921">
        <w:t xml:space="preserve"> policies for just transitions and their impacts on various sectors en route to achieving the goals of the Paris Agreement;</w:t>
      </w:r>
    </w:p>
    <w:p w14:paraId="35F9A9EF" w14:textId="79C84847" w:rsidR="00026319" w:rsidRPr="00CB3921" w:rsidRDefault="00F31153" w:rsidP="00F31153">
      <w:pPr>
        <w:pStyle w:val="RegHChG"/>
        <w:tabs>
          <w:tab w:val="left" w:pos="1135"/>
        </w:tabs>
        <w:ind w:left="1135" w:hanging="454"/>
      </w:pPr>
      <w:bookmarkStart w:id="56" w:name="_Toc161286219"/>
      <w:bookmarkStart w:id="57" w:name="_Toc161242638"/>
      <w:r w:rsidRPr="00CB3921">
        <w:t>II.</w:t>
      </w:r>
      <w:r w:rsidRPr="00CB3921">
        <w:tab/>
      </w:r>
      <w:r w:rsidR="00026319" w:rsidRPr="00CB3921">
        <w:t>Activity 8 of the workplan</w:t>
      </w:r>
      <w:bookmarkEnd w:id="56"/>
      <w:bookmarkEnd w:id="57"/>
    </w:p>
    <w:p w14:paraId="45F8F91D" w14:textId="31A3F3AF" w:rsidR="00026319" w:rsidRPr="00CB3921" w:rsidRDefault="00F31153" w:rsidP="00F31153">
      <w:pPr>
        <w:pStyle w:val="RegSingleTxtG"/>
        <w:ind w:left="1134"/>
      </w:pPr>
      <w:r w:rsidRPr="00CB3921">
        <w:t>26.</w:t>
      </w:r>
      <w:r w:rsidRPr="00CB3921">
        <w:tab/>
      </w:r>
      <w:r w:rsidR="00026319" w:rsidRPr="00CB3921">
        <w:rPr>
          <w:i/>
          <w:iCs/>
        </w:rPr>
        <w:t>Encourage</w:t>
      </w:r>
      <w:r w:rsidR="00026319" w:rsidRPr="00CB3921">
        <w:t xml:space="preserve"> Parties to:</w:t>
      </w:r>
    </w:p>
    <w:p w14:paraId="7B799C5B" w14:textId="09F90791" w:rsidR="00026319" w:rsidRPr="00CB3921" w:rsidRDefault="00F31153" w:rsidP="00F31153">
      <w:pPr>
        <w:pStyle w:val="RegSingleTxtG2"/>
        <w:tabs>
          <w:tab w:val="left" w:pos="1702"/>
        </w:tabs>
        <w:ind w:left="1134" w:firstLine="567"/>
      </w:pPr>
      <w:r w:rsidRPr="00CB3921">
        <w:rPr>
          <w:szCs w:val="28"/>
        </w:rPr>
        <w:t>(a)</w:t>
      </w:r>
      <w:r w:rsidRPr="00CB3921">
        <w:rPr>
          <w:szCs w:val="28"/>
        </w:rPr>
        <w:tab/>
      </w:r>
      <w:r w:rsidR="00026319" w:rsidRPr="00CB3921">
        <w:t>Provide platforms for collaborative learning among non-Party stakeholders in order to promote economic and social co-benefits;</w:t>
      </w:r>
    </w:p>
    <w:p w14:paraId="03705290" w14:textId="27FF58A9" w:rsidR="00026319" w:rsidRPr="00CB3921" w:rsidRDefault="00F31153" w:rsidP="00F31153">
      <w:pPr>
        <w:pStyle w:val="RegSingleTxtG2"/>
        <w:tabs>
          <w:tab w:val="left" w:pos="1702"/>
        </w:tabs>
        <w:ind w:left="1134" w:firstLine="567"/>
      </w:pPr>
      <w:r w:rsidRPr="00CB3921">
        <w:rPr>
          <w:szCs w:val="28"/>
        </w:rPr>
        <w:t>(b)</w:t>
      </w:r>
      <w:r w:rsidRPr="00CB3921">
        <w:rPr>
          <w:szCs w:val="28"/>
        </w:rPr>
        <w:tab/>
      </w:r>
      <w:r w:rsidR="00026319" w:rsidRPr="00CB3921">
        <w:t>Identify and apply best practices for improving the effectiveness, efficiency and sustainability of non-Party stakeholder engagement;</w:t>
      </w:r>
    </w:p>
    <w:p w14:paraId="071C0966" w14:textId="5C1B8D0F" w:rsidR="00026319" w:rsidRPr="00CB3921" w:rsidRDefault="00F31153" w:rsidP="00F31153">
      <w:pPr>
        <w:pStyle w:val="RegSingleTxtG"/>
        <w:ind w:left="1134"/>
      </w:pPr>
      <w:r w:rsidRPr="00CB3921">
        <w:t>27.</w:t>
      </w:r>
      <w:r w:rsidRPr="00CB3921">
        <w:tab/>
      </w:r>
      <w:r w:rsidR="00091C5C">
        <w:rPr>
          <w:i/>
          <w:iCs/>
        </w:rPr>
        <w:t>Also e</w:t>
      </w:r>
      <w:r w:rsidR="00026319" w:rsidRPr="00CB3921">
        <w:rPr>
          <w:i/>
          <w:iCs/>
        </w:rPr>
        <w:t>ncourage</w:t>
      </w:r>
      <w:r w:rsidR="00026319" w:rsidRPr="00CB3921">
        <w:t xml:space="preserve"> Parties and non-Party stakeholders to:</w:t>
      </w:r>
    </w:p>
    <w:p w14:paraId="59A1528A" w14:textId="45F827CC" w:rsidR="00026319" w:rsidRPr="00CB3921" w:rsidRDefault="00F31153" w:rsidP="00F31153">
      <w:pPr>
        <w:pStyle w:val="RegSingleTxtG2"/>
        <w:tabs>
          <w:tab w:val="left" w:pos="1702"/>
        </w:tabs>
        <w:ind w:left="1134" w:firstLine="567"/>
      </w:pPr>
      <w:r w:rsidRPr="00CB3921">
        <w:rPr>
          <w:szCs w:val="28"/>
        </w:rPr>
        <w:lastRenderedPageBreak/>
        <w:t>(a)</w:t>
      </w:r>
      <w:r w:rsidRPr="00CB3921">
        <w:rPr>
          <w:szCs w:val="28"/>
        </w:rPr>
        <w:tab/>
      </w:r>
      <w:r w:rsidR="00026319" w:rsidRPr="00CB3921">
        <w:t xml:space="preserve">Promote public–private partnership approaches </w:t>
      </w:r>
      <w:r w:rsidR="00091C5C">
        <w:t>to</w:t>
      </w:r>
      <w:r w:rsidR="00026319" w:rsidRPr="00CB3921">
        <w:t xml:space="preserve"> climate action to drive scalable and profitable solutions for sustainable development in line with the Paris Agreement temperature goal;</w:t>
      </w:r>
      <w:r w:rsidR="00026319" w:rsidRPr="00CB3921">
        <w:rPr>
          <w:rStyle w:val="FootnoteReference"/>
        </w:rPr>
        <w:footnoteReference w:id="26"/>
      </w:r>
    </w:p>
    <w:p w14:paraId="1CE852B9" w14:textId="000E7702" w:rsidR="00026319" w:rsidRPr="00CB3921" w:rsidRDefault="00F31153" w:rsidP="00F31153">
      <w:pPr>
        <w:pStyle w:val="RegSingleTxtG2"/>
        <w:tabs>
          <w:tab w:val="left" w:pos="1702"/>
        </w:tabs>
        <w:ind w:left="1134" w:firstLine="567"/>
      </w:pPr>
      <w:r w:rsidRPr="00CB3921">
        <w:rPr>
          <w:szCs w:val="28"/>
        </w:rPr>
        <w:t>(b)</w:t>
      </w:r>
      <w:r w:rsidRPr="00CB3921">
        <w:rPr>
          <w:szCs w:val="28"/>
        </w:rPr>
        <w:tab/>
      </w:r>
      <w:r w:rsidR="00026319" w:rsidRPr="00CB3921">
        <w:t>Enhance the capacity of their workforces in emerging industries, including through education and workforce training and skilling for jobs in low-emission sectors;</w:t>
      </w:r>
    </w:p>
    <w:p w14:paraId="17BA4DD7" w14:textId="348F7F2B" w:rsidR="00026319" w:rsidRPr="00CB3921" w:rsidRDefault="00F31153" w:rsidP="00F31153">
      <w:pPr>
        <w:pStyle w:val="RegHChG"/>
        <w:tabs>
          <w:tab w:val="left" w:pos="1135"/>
        </w:tabs>
        <w:ind w:left="1135" w:hanging="454"/>
      </w:pPr>
      <w:bookmarkStart w:id="58" w:name="_Toc161286220"/>
      <w:bookmarkStart w:id="59" w:name="_Toc161242639"/>
      <w:r w:rsidRPr="00CB3921">
        <w:t>III.</w:t>
      </w:r>
      <w:r w:rsidRPr="00CB3921">
        <w:tab/>
      </w:r>
      <w:r w:rsidR="00026319" w:rsidRPr="00CB3921">
        <w:t>Activity 9 of the workplan</w:t>
      </w:r>
      <w:bookmarkEnd w:id="58"/>
      <w:bookmarkEnd w:id="59"/>
    </w:p>
    <w:p w14:paraId="6148E148" w14:textId="5F1E9D90" w:rsidR="00026319" w:rsidRPr="00CB3921" w:rsidRDefault="00F31153" w:rsidP="00F31153">
      <w:pPr>
        <w:pStyle w:val="RegSingleTxtG"/>
        <w:ind w:left="1134"/>
      </w:pPr>
      <w:r w:rsidRPr="00CB3921">
        <w:t>28.</w:t>
      </w:r>
      <w:r w:rsidRPr="00CB3921">
        <w:tab/>
      </w:r>
      <w:r w:rsidR="00026319" w:rsidRPr="00CB3921">
        <w:rPr>
          <w:i/>
          <w:iCs/>
        </w:rPr>
        <w:t>Encourage</w:t>
      </w:r>
      <w:r w:rsidR="00026319" w:rsidRPr="00CB3921">
        <w:t xml:space="preserve"> Parties to engage stakeholders, including at the national level, throughout the design and execution of climate policies in order to better understand the impacts of response measures on people in vulnerable situations;</w:t>
      </w:r>
    </w:p>
    <w:p w14:paraId="43F77F7E" w14:textId="26F34EB1" w:rsidR="00026319" w:rsidRDefault="00F31153" w:rsidP="00F31153">
      <w:pPr>
        <w:pStyle w:val="RegSingleTxtG"/>
        <w:ind w:left="1134"/>
      </w:pPr>
      <w:r>
        <w:t>29.</w:t>
      </w:r>
      <w:r>
        <w:tab/>
      </w:r>
      <w:r w:rsidR="00026319" w:rsidRPr="00CB3921">
        <w:rPr>
          <w:i/>
          <w:iCs/>
        </w:rPr>
        <w:t>Request</w:t>
      </w:r>
      <w:r w:rsidR="00026319" w:rsidRPr="00CB3921">
        <w:t xml:space="preserve"> the Katowice Committee on Impacts to undertake further research on measuring the potential and actual impacts of response measures on people in vulnerable situations and </w:t>
      </w:r>
      <w:r w:rsidR="00026319" w:rsidRPr="00A352FF">
        <w:rPr>
          <w:i/>
        </w:rPr>
        <w:t>encourage</w:t>
      </w:r>
      <w:r w:rsidR="00026319" w:rsidRPr="00CB3921">
        <w:t xml:space="preserve"> Parties to consider the results of such research, as appropriate, in the design of response measures and policies to minimize the negative </w:t>
      </w:r>
      <w:r w:rsidR="00010992">
        <w:t xml:space="preserve">impacts </w:t>
      </w:r>
      <w:r w:rsidR="00026319" w:rsidRPr="00CB3921">
        <w:t>and maximize the positive impacts of response measures on people in vulnerable situations;</w:t>
      </w:r>
    </w:p>
    <w:p w14:paraId="08E2D3AD" w14:textId="2326EA32" w:rsidR="00026319" w:rsidRPr="00CB3921" w:rsidRDefault="00F31153" w:rsidP="00F31153">
      <w:pPr>
        <w:pStyle w:val="RegSingleTxtG"/>
        <w:ind w:left="1134"/>
      </w:pPr>
      <w:r w:rsidRPr="00CB3921">
        <w:t>30.</w:t>
      </w:r>
      <w:r w:rsidRPr="00CB3921">
        <w:tab/>
      </w:r>
      <w:r w:rsidR="00026319">
        <w:rPr>
          <w:i/>
          <w:iCs/>
        </w:rPr>
        <w:t>Also e</w:t>
      </w:r>
      <w:r w:rsidR="00026319" w:rsidRPr="00420E05">
        <w:rPr>
          <w:i/>
          <w:iCs/>
        </w:rPr>
        <w:t>ncourage</w:t>
      </w:r>
      <w:r w:rsidR="00026319" w:rsidRPr="00420E05">
        <w:t xml:space="preserve"> Parties and non-Party stakeholders, through climate action, to promote decent work and quality jobs, paying attention to people in vulnerable situations, in the context of sustainable development and eradication of poverty, taking into account national circumstances</w:t>
      </w:r>
      <w:r w:rsidR="00026319">
        <w:t>.</w:t>
      </w:r>
    </w:p>
    <w:p w14:paraId="699289F4" w14:textId="77777777" w:rsidR="00F41843" w:rsidRDefault="00F41843" w:rsidP="00355A17">
      <w:pPr>
        <w:pStyle w:val="HChG"/>
        <w:tabs>
          <w:tab w:val="clear" w:pos="851"/>
        </w:tabs>
        <w:ind w:firstLine="0"/>
        <w:sectPr w:rsidR="00F41843" w:rsidSect="00017F7D">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p>
    <w:p w14:paraId="36677F11" w14:textId="77777777" w:rsidR="00026319" w:rsidRPr="00CB3921" w:rsidRDefault="00026319" w:rsidP="0098596B">
      <w:pPr>
        <w:pStyle w:val="HChG"/>
        <w:tabs>
          <w:tab w:val="clear" w:pos="851"/>
        </w:tabs>
      </w:pPr>
      <w:r w:rsidRPr="00CB3921">
        <w:lastRenderedPageBreak/>
        <w:t>Annex I</w:t>
      </w:r>
    </w:p>
    <w:p w14:paraId="3B826F81" w14:textId="77777777" w:rsidR="00026319" w:rsidRPr="00CB3921" w:rsidRDefault="00026319" w:rsidP="00026319">
      <w:pPr>
        <w:pStyle w:val="HChG"/>
        <w:tabs>
          <w:tab w:val="clear" w:pos="851"/>
        </w:tabs>
        <w:ind w:firstLine="0"/>
      </w:pPr>
      <w:r>
        <w:t>F</w:t>
      </w:r>
      <w:r w:rsidRPr="00CB3921">
        <w:t>unctions</w:t>
      </w:r>
      <w:r>
        <w:t>, work programme and modalities</w:t>
      </w:r>
      <w:r w:rsidRPr="00CB3921">
        <w:t xml:space="preserve"> of the forum on the impact of the implementation of response measures and its </w:t>
      </w:r>
      <w:r w:rsidRPr="00376B64">
        <w:t xml:space="preserve">Katowice Committee of Experts on the Impacts of the Implementation of Response Measures </w:t>
      </w:r>
      <w:r>
        <w:t xml:space="preserve">under </w:t>
      </w:r>
      <w:r w:rsidRPr="00156913">
        <w:t>the Convention, the Kyoto Protocol and the Paris Agreement</w:t>
      </w:r>
    </w:p>
    <w:p w14:paraId="15FC6C33" w14:textId="5D29AEE2" w:rsidR="00026319" w:rsidRPr="00CB3921" w:rsidRDefault="00F31153" w:rsidP="00F31153">
      <w:pPr>
        <w:pStyle w:val="RegHChG"/>
        <w:tabs>
          <w:tab w:val="left" w:pos="1135"/>
        </w:tabs>
        <w:ind w:left="1135" w:hanging="454"/>
      </w:pPr>
      <w:bookmarkStart w:id="60" w:name="_Toc161286221"/>
      <w:bookmarkStart w:id="61" w:name="_Toc161242640"/>
      <w:r w:rsidRPr="00CB3921">
        <w:t>I.</w:t>
      </w:r>
      <w:r w:rsidRPr="00CB3921">
        <w:tab/>
      </w:r>
      <w:r w:rsidR="00026319" w:rsidRPr="00CB3921">
        <w:t>Functions</w:t>
      </w:r>
      <w:bookmarkEnd w:id="60"/>
      <w:bookmarkEnd w:id="61"/>
    </w:p>
    <w:p w14:paraId="0FCFAD2F" w14:textId="70ADF8AB" w:rsidR="00026319" w:rsidRPr="00CB3921" w:rsidRDefault="00F31153" w:rsidP="00F31153">
      <w:pPr>
        <w:pStyle w:val="RegSingleTxtG"/>
        <w:ind w:left="1134"/>
      </w:pPr>
      <w:bookmarkStart w:id="62" w:name="_Ref156225186"/>
      <w:r w:rsidRPr="00CB3921">
        <w:t>1.</w:t>
      </w:r>
      <w:r w:rsidRPr="00CB3921">
        <w:tab/>
      </w:r>
      <w:r w:rsidR="00026319" w:rsidRPr="00175738">
        <w:t xml:space="preserve">The forum on the impact of the implementation of response measures and its </w:t>
      </w:r>
      <w:r w:rsidR="00026319" w:rsidRPr="00376B64">
        <w:t xml:space="preserve">Katowice Committee of Experts on the Impacts of the Implementation of Response Measures </w:t>
      </w:r>
      <w:r w:rsidR="00026319">
        <w:t xml:space="preserve">(KCI) </w:t>
      </w:r>
      <w:r w:rsidR="00026319" w:rsidRPr="00175738">
        <w:t>shall have the following functions</w:t>
      </w:r>
      <w:r w:rsidR="00026319" w:rsidRPr="00CB3921">
        <w:t>:</w:t>
      </w:r>
      <w:bookmarkEnd w:id="62"/>
    </w:p>
    <w:p w14:paraId="2D339095" w14:textId="5D3C62FA" w:rsidR="00026319" w:rsidRDefault="00F31153" w:rsidP="00F31153">
      <w:pPr>
        <w:pStyle w:val="RegSingleTxtG2"/>
        <w:ind w:left="1134" w:firstLine="567"/>
      </w:pPr>
      <w:bookmarkStart w:id="63" w:name="_Ref156225188"/>
      <w:r>
        <w:rPr>
          <w:szCs w:val="28"/>
        </w:rPr>
        <w:t>(a)</w:t>
      </w:r>
      <w:r>
        <w:rPr>
          <w:szCs w:val="28"/>
        </w:rPr>
        <w:tab/>
      </w:r>
      <w:r w:rsidR="00026319">
        <w:t>Provide a platform allowing Parties to share, in an interactive manner, information, experience, case studies, best practices and views, and to facilitate assessment and analysis of the impact</w:t>
      </w:r>
      <w:r w:rsidR="00BA374D">
        <w:t>s</w:t>
      </w:r>
      <w:r w:rsidR="00026319">
        <w:t xml:space="preserve"> of the implementation of response measures, including the use and development of modelling tools and methodologies, with a view to recommending specific actions;</w:t>
      </w:r>
      <w:bookmarkEnd w:id="63"/>
      <w:r w:rsidR="00026319">
        <w:t xml:space="preserve"> </w:t>
      </w:r>
    </w:p>
    <w:p w14:paraId="2E3E79EC" w14:textId="6A2309D0" w:rsidR="00026319" w:rsidRDefault="00F31153" w:rsidP="00F31153">
      <w:pPr>
        <w:pStyle w:val="RegSingleTxtG2"/>
        <w:ind w:left="1134" w:firstLine="567"/>
      </w:pPr>
      <w:r>
        <w:rPr>
          <w:szCs w:val="28"/>
        </w:rPr>
        <w:t>(b)</w:t>
      </w:r>
      <w:r>
        <w:rPr>
          <w:szCs w:val="28"/>
        </w:rPr>
        <w:tab/>
      </w:r>
      <w:r w:rsidR="00026319">
        <w:t xml:space="preserve">Provide recommendations to the subsidiary bodies on the actions referred to in paragraph </w:t>
      </w:r>
      <w:r w:rsidR="00825408">
        <w:rPr>
          <w:cs/>
        </w:rPr>
        <w:t>‎</w:t>
      </w:r>
      <w:r w:rsidR="00825408">
        <w:t>1</w:t>
      </w:r>
      <w:r w:rsidR="00825408">
        <w:rPr>
          <w:cs/>
        </w:rPr>
        <w:t>‎</w:t>
      </w:r>
      <w:r w:rsidR="00825408">
        <w:t>(a) above</w:t>
      </w:r>
      <w:r w:rsidR="008F1785">
        <w:t xml:space="preserve"> </w:t>
      </w:r>
      <w:r w:rsidR="00026319">
        <w:t xml:space="preserve">for their consideration with a view to the subsidiary bodies recommending those actions, as appropriate, to the Conference of the Parties, the Conference of the Parties serving as the meeting of the Parties to the Kyoto Protocol and the Conference of the Parties serving as the meeting of the Parties to the Paris Agreement; </w:t>
      </w:r>
    </w:p>
    <w:p w14:paraId="2DD82BC0" w14:textId="4317263F" w:rsidR="00026319" w:rsidRDefault="00F31153" w:rsidP="00F31153">
      <w:pPr>
        <w:pStyle w:val="RegSingleTxtG2"/>
        <w:ind w:left="1134" w:firstLine="567"/>
      </w:pPr>
      <w:r>
        <w:rPr>
          <w:szCs w:val="28"/>
        </w:rPr>
        <w:t>(c)</w:t>
      </w:r>
      <w:r>
        <w:rPr>
          <w:szCs w:val="28"/>
        </w:rPr>
        <w:tab/>
      </w:r>
      <w:r w:rsidR="00026319">
        <w:t xml:space="preserve">Enhance the capacity of Parties, in particular developing country Parties, to deal with </w:t>
      </w:r>
      <w:r w:rsidR="00D42A25">
        <w:t xml:space="preserve">the </w:t>
      </w:r>
      <w:r w:rsidR="00026319">
        <w:t xml:space="preserve">impacts of the implementation of response measures through the modalities </w:t>
      </w:r>
      <w:r w:rsidR="00D42A25">
        <w:t>referr</w:t>
      </w:r>
      <w:r w:rsidR="00026319">
        <w:t xml:space="preserve">ed </w:t>
      </w:r>
      <w:r w:rsidR="00D42A25">
        <w:t>to</w:t>
      </w:r>
      <w:r w:rsidR="00026319">
        <w:t xml:space="preserve"> in paragraph 6(b) below;</w:t>
      </w:r>
    </w:p>
    <w:p w14:paraId="5913367F" w14:textId="387A3384" w:rsidR="00026319" w:rsidRDefault="00F31153" w:rsidP="00F31153">
      <w:pPr>
        <w:pStyle w:val="RegSingleTxtG2"/>
        <w:ind w:left="1134" w:firstLine="567"/>
      </w:pPr>
      <w:r>
        <w:rPr>
          <w:szCs w:val="28"/>
        </w:rPr>
        <w:t>(d)</w:t>
      </w:r>
      <w:r>
        <w:rPr>
          <w:szCs w:val="28"/>
        </w:rPr>
        <w:tab/>
      </w:r>
      <w:r w:rsidR="00026319">
        <w:t>Address the effects of the implementation of response measures under the Convention, the Kyoto Protocol and the Paris Agreement by enhancing cooperation among Parties, stakeholders, external organizations, experts and institutions, by enhancing the capacity and the understanding of Parties of the impacts of mitigation actions and by enabling the exchange of information, experience and best practices among Parties to raise their resilience to these impacts;</w:t>
      </w:r>
    </w:p>
    <w:p w14:paraId="511E867E" w14:textId="7B02E0E2" w:rsidR="00026319" w:rsidRDefault="00F31153" w:rsidP="00F31153">
      <w:pPr>
        <w:pStyle w:val="RegSingleTxtG2"/>
        <w:ind w:left="1134" w:firstLine="567"/>
      </w:pPr>
      <w:r>
        <w:rPr>
          <w:szCs w:val="28"/>
        </w:rPr>
        <w:t>(e)</w:t>
      </w:r>
      <w:r>
        <w:rPr>
          <w:szCs w:val="28"/>
        </w:rPr>
        <w:tab/>
      </w:r>
      <w:r w:rsidR="00026319">
        <w:t>Respond to and take into consideration the relevant outcomes of different processes under the Convention, the Kyoto Protocol and the Paris Agreement</w:t>
      </w:r>
      <w:r w:rsidR="00C40093">
        <w:t>;</w:t>
      </w:r>
      <w:r w:rsidR="00026319">
        <w:t xml:space="preserve"> </w:t>
      </w:r>
    </w:p>
    <w:p w14:paraId="1B1A803E" w14:textId="015A29D1" w:rsidR="00026319" w:rsidRDefault="00F31153" w:rsidP="00F31153">
      <w:pPr>
        <w:pStyle w:val="RegSingleTxtG2"/>
        <w:ind w:left="1134" w:firstLine="567"/>
      </w:pPr>
      <w:r>
        <w:rPr>
          <w:szCs w:val="28"/>
        </w:rPr>
        <w:t>(f)</w:t>
      </w:r>
      <w:r>
        <w:rPr>
          <w:szCs w:val="28"/>
        </w:rPr>
        <w:tab/>
      </w:r>
      <w:r w:rsidR="00026319">
        <w:t>Promote action to minimize the adverse impacts and maximize the positive impacts of the implementation of response measures</w:t>
      </w:r>
      <w:r w:rsidR="00C40093">
        <w:t>;</w:t>
      </w:r>
      <w:r w:rsidR="00026319">
        <w:t xml:space="preserve"> </w:t>
      </w:r>
    </w:p>
    <w:p w14:paraId="62B696A6" w14:textId="31ED8D80" w:rsidR="00026319" w:rsidRDefault="00F31153" w:rsidP="00F31153">
      <w:pPr>
        <w:pStyle w:val="RegSingleTxtG2"/>
        <w:ind w:left="1134" w:firstLine="567"/>
      </w:pPr>
      <w:r>
        <w:rPr>
          <w:szCs w:val="28"/>
        </w:rPr>
        <w:t>(g)</w:t>
      </w:r>
      <w:r>
        <w:rPr>
          <w:szCs w:val="28"/>
        </w:rPr>
        <w:tab/>
      </w:r>
      <w:r w:rsidR="00026319">
        <w:t>Prepare information for the technical assessment component of the global stocktake related to the impacts of the implementation of response measures</w:t>
      </w:r>
      <w:r w:rsidR="001B2002">
        <w:rPr>
          <w:rStyle w:val="FootnoteReference"/>
        </w:rPr>
        <w:footnoteReference w:id="27"/>
      </w:r>
      <w:r w:rsidR="00026319">
        <w:t xml:space="preserve"> in line with the process outlined in decision 23/CMA.3</w:t>
      </w:r>
      <w:r w:rsidR="0028608E">
        <w:t>,</w:t>
      </w:r>
      <w:r w:rsidR="00026319">
        <w:t xml:space="preserve"> paragraphs 11</w:t>
      </w:r>
      <w:r w:rsidR="0028608E">
        <w:t>–</w:t>
      </w:r>
      <w:r w:rsidR="00026319">
        <w:t>12</w:t>
      </w:r>
      <w:r w:rsidR="00C40093">
        <w:t>;</w:t>
      </w:r>
    </w:p>
    <w:p w14:paraId="11BE4D20" w14:textId="6A17E65E" w:rsidR="00026319" w:rsidRDefault="00F31153" w:rsidP="00F31153">
      <w:pPr>
        <w:pStyle w:val="RegSingleTxtG2"/>
        <w:ind w:left="1134" w:firstLine="567"/>
      </w:pPr>
      <w:r>
        <w:rPr>
          <w:szCs w:val="28"/>
        </w:rPr>
        <w:t>(h)</w:t>
      </w:r>
      <w:r>
        <w:rPr>
          <w:szCs w:val="28"/>
        </w:rPr>
        <w:tab/>
      </w:r>
      <w:r w:rsidR="00026319">
        <w:t>Regularly update the existing database of tools and methodologies suitable for assessing the impacts of the implementation of response measures, as needed and as appropriate</w:t>
      </w:r>
      <w:r w:rsidR="00C40093">
        <w:t>;</w:t>
      </w:r>
    </w:p>
    <w:p w14:paraId="4CA190E7" w14:textId="5ECFEF30" w:rsidR="00026319" w:rsidRPr="00627579" w:rsidRDefault="00F31153" w:rsidP="00F31153">
      <w:pPr>
        <w:pStyle w:val="RegSingleTxtG2"/>
        <w:ind w:left="1134" w:firstLine="567"/>
      </w:pPr>
      <w:r w:rsidRPr="00627579">
        <w:rPr>
          <w:szCs w:val="28"/>
        </w:rPr>
        <w:t>(i)</w:t>
      </w:r>
      <w:r w:rsidRPr="00627579">
        <w:rPr>
          <w:szCs w:val="28"/>
        </w:rPr>
        <w:tab/>
      </w:r>
      <w:r w:rsidR="00026319">
        <w:t xml:space="preserve">Share experience and best practices in providing detailed information, to the extent possible, on the assessment of economic and social impacts of response measures as provided </w:t>
      </w:r>
      <w:r w:rsidR="006C0BD6">
        <w:t xml:space="preserve">for </w:t>
      </w:r>
      <w:r w:rsidR="00026319">
        <w:t xml:space="preserve">in </w:t>
      </w:r>
      <w:r w:rsidR="00643DFE">
        <w:t xml:space="preserve">decision </w:t>
      </w:r>
      <w:r w:rsidR="00026319">
        <w:t>18/CMA.1</w:t>
      </w:r>
      <w:r w:rsidR="00643DFE">
        <w:t>, annex,</w:t>
      </w:r>
      <w:r w:rsidR="00026319">
        <w:t xml:space="preserve"> paragraph 90.</w:t>
      </w:r>
    </w:p>
    <w:p w14:paraId="6D40C44F" w14:textId="2FE77DC0" w:rsidR="00026319" w:rsidRPr="00CB3921" w:rsidRDefault="00F31153" w:rsidP="00F31153">
      <w:pPr>
        <w:pStyle w:val="RegHChG"/>
        <w:tabs>
          <w:tab w:val="left" w:pos="1135"/>
        </w:tabs>
        <w:ind w:left="1135" w:hanging="454"/>
      </w:pPr>
      <w:bookmarkStart w:id="64" w:name="_Toc161286222"/>
      <w:bookmarkStart w:id="65" w:name="_Toc161242641"/>
      <w:r w:rsidRPr="00CB3921">
        <w:lastRenderedPageBreak/>
        <w:t>II.</w:t>
      </w:r>
      <w:r w:rsidRPr="00CB3921">
        <w:tab/>
      </w:r>
      <w:r w:rsidR="00026319" w:rsidRPr="00CB3921">
        <w:t>Work programme</w:t>
      </w:r>
      <w:bookmarkEnd w:id="64"/>
      <w:bookmarkEnd w:id="65"/>
    </w:p>
    <w:p w14:paraId="68B7F518" w14:textId="37D98C48" w:rsidR="00026319" w:rsidRPr="00CB3921" w:rsidRDefault="00F31153" w:rsidP="00F31153">
      <w:pPr>
        <w:pStyle w:val="RegSingleTxtG"/>
        <w:ind w:left="1134"/>
      </w:pPr>
      <w:r w:rsidRPr="00CB3921">
        <w:t>2.</w:t>
      </w:r>
      <w:r w:rsidRPr="00CB3921">
        <w:tab/>
      </w:r>
      <w:r w:rsidR="00026319" w:rsidRPr="00AE1C92">
        <w:t>The work programme comprises the following areas of work in order to address the concerns of all Parties, particularly developing country Parties</w:t>
      </w:r>
      <w:r w:rsidR="00026319" w:rsidRPr="00CB3921">
        <w:t>:</w:t>
      </w:r>
    </w:p>
    <w:p w14:paraId="74429739" w14:textId="750ABBF5" w:rsidR="00026319" w:rsidRDefault="00F31153" w:rsidP="00F31153">
      <w:pPr>
        <w:pStyle w:val="RegSingleTxtG2"/>
        <w:tabs>
          <w:tab w:val="left" w:pos="1702"/>
        </w:tabs>
        <w:ind w:left="1134" w:firstLine="567"/>
      </w:pPr>
      <w:r>
        <w:rPr>
          <w:szCs w:val="28"/>
        </w:rPr>
        <w:t>(a)</w:t>
      </w:r>
      <w:r>
        <w:rPr>
          <w:szCs w:val="28"/>
        </w:rPr>
        <w:tab/>
      </w:r>
      <w:r w:rsidR="00026319">
        <w:t xml:space="preserve">Economic diversification and transformation; </w:t>
      </w:r>
    </w:p>
    <w:p w14:paraId="39B04910" w14:textId="08991D6E" w:rsidR="00026319" w:rsidRDefault="00F31153" w:rsidP="00F31153">
      <w:pPr>
        <w:pStyle w:val="RegSingleTxtG2"/>
        <w:tabs>
          <w:tab w:val="left" w:pos="1702"/>
        </w:tabs>
        <w:ind w:left="1134" w:firstLine="567"/>
      </w:pPr>
      <w:r>
        <w:rPr>
          <w:szCs w:val="28"/>
        </w:rPr>
        <w:t>(b)</w:t>
      </w:r>
      <w:r>
        <w:rPr>
          <w:szCs w:val="28"/>
        </w:rPr>
        <w:tab/>
      </w:r>
      <w:r w:rsidR="00026319">
        <w:t xml:space="preserve">Just transition of the workforce and the creation of decent work and quality jobs; </w:t>
      </w:r>
    </w:p>
    <w:p w14:paraId="3AEFBF42" w14:textId="63F9FE2E" w:rsidR="00026319" w:rsidRDefault="00F31153" w:rsidP="00F31153">
      <w:pPr>
        <w:pStyle w:val="RegSingleTxtG2"/>
        <w:tabs>
          <w:tab w:val="left" w:pos="1702"/>
        </w:tabs>
        <w:ind w:left="1134" w:firstLine="567"/>
      </w:pPr>
      <w:r>
        <w:rPr>
          <w:szCs w:val="28"/>
        </w:rPr>
        <w:t>(c)</w:t>
      </w:r>
      <w:r>
        <w:rPr>
          <w:szCs w:val="28"/>
        </w:rPr>
        <w:tab/>
      </w:r>
      <w:r w:rsidR="00026319">
        <w:t xml:space="preserve">Assessing and analysing the impacts of the implementation of response measures; </w:t>
      </w:r>
    </w:p>
    <w:p w14:paraId="1A8915A7" w14:textId="75B60C12" w:rsidR="00026319" w:rsidRPr="00CB3921" w:rsidRDefault="00F31153" w:rsidP="00F31153">
      <w:pPr>
        <w:pStyle w:val="RegSingleTxtG2"/>
        <w:tabs>
          <w:tab w:val="left" w:pos="1702"/>
        </w:tabs>
        <w:ind w:left="1134" w:firstLine="567"/>
      </w:pPr>
      <w:r w:rsidRPr="00CB3921">
        <w:rPr>
          <w:szCs w:val="28"/>
        </w:rPr>
        <w:t>(d)</w:t>
      </w:r>
      <w:r w:rsidRPr="00CB3921">
        <w:rPr>
          <w:szCs w:val="28"/>
        </w:rPr>
        <w:tab/>
      </w:r>
      <w:r w:rsidR="00026319">
        <w:t>Facilitating and building capacity on the identification, development, customization and use of tools and methodologies to assess the impacts of the implementation of response measures.</w:t>
      </w:r>
    </w:p>
    <w:p w14:paraId="181076DF" w14:textId="39DD3138" w:rsidR="00026319" w:rsidRPr="00CB3921" w:rsidRDefault="00F31153" w:rsidP="00F31153">
      <w:pPr>
        <w:pStyle w:val="RegHChG"/>
        <w:tabs>
          <w:tab w:val="left" w:pos="1135"/>
        </w:tabs>
        <w:ind w:left="1135" w:hanging="454"/>
      </w:pPr>
      <w:bookmarkStart w:id="66" w:name="_Toc161286223"/>
      <w:bookmarkStart w:id="67" w:name="_Toc161242642"/>
      <w:r w:rsidRPr="00CB3921">
        <w:t>III.</w:t>
      </w:r>
      <w:r w:rsidRPr="00CB3921">
        <w:tab/>
      </w:r>
      <w:r w:rsidR="00026319" w:rsidRPr="00CB3921">
        <w:t>Modalities</w:t>
      </w:r>
      <w:bookmarkEnd w:id="66"/>
      <w:bookmarkEnd w:id="67"/>
    </w:p>
    <w:p w14:paraId="4AACFC43" w14:textId="0B9A4F34" w:rsidR="00026319" w:rsidRDefault="00F31153" w:rsidP="00F31153">
      <w:pPr>
        <w:pStyle w:val="RegSingleTxtG"/>
        <w:ind w:left="1134"/>
      </w:pPr>
      <w:r>
        <w:t>3.</w:t>
      </w:r>
      <w:r>
        <w:tab/>
      </w:r>
      <w:r w:rsidR="00026319">
        <w:t xml:space="preserve">The forum shall meet twice a year in conjunction with the sessions of the subsidiary bodies and will be convened under a joint agenda item of the subsidiary bodies and operate in accordance with the procedures applicable to contact groups. </w:t>
      </w:r>
    </w:p>
    <w:p w14:paraId="69567978" w14:textId="021570F0" w:rsidR="00026319" w:rsidRPr="00CB3921" w:rsidRDefault="00F31153" w:rsidP="00F31153">
      <w:pPr>
        <w:pStyle w:val="RegSingleTxtG"/>
        <w:ind w:left="1134"/>
      </w:pPr>
      <w:r w:rsidRPr="00CB3921">
        <w:t>4.</w:t>
      </w:r>
      <w:r w:rsidRPr="00CB3921">
        <w:tab/>
      </w:r>
      <w:r w:rsidR="00026319">
        <w:t>The KCI shall support the work of the forum</w:t>
      </w:r>
      <w:r w:rsidR="00026319">
        <w:rPr>
          <w:rFonts w:asciiTheme="majorBidi" w:hAnsiTheme="majorBidi" w:cstheme="majorBidi"/>
        </w:rPr>
        <w:t>.</w:t>
      </w:r>
    </w:p>
    <w:p w14:paraId="357ED659" w14:textId="0E8AE8E6" w:rsidR="00026319" w:rsidRPr="00CB3921" w:rsidRDefault="00F31153" w:rsidP="00F31153">
      <w:pPr>
        <w:pStyle w:val="RegSingleTxtG"/>
        <w:ind w:left="1134"/>
      </w:pPr>
      <w:bookmarkStart w:id="68" w:name="_Ref156225275"/>
      <w:r w:rsidRPr="00CB3921">
        <w:t>5.</w:t>
      </w:r>
      <w:r w:rsidRPr="00CB3921">
        <w:tab/>
      </w:r>
      <w:r w:rsidR="00026319" w:rsidRPr="009A2677">
        <w:t>The KCI shall operate in accordance with the following terms of reference</w:t>
      </w:r>
      <w:r w:rsidR="00026319" w:rsidRPr="00CB3921">
        <w:t>:</w:t>
      </w:r>
      <w:bookmarkEnd w:id="68"/>
    </w:p>
    <w:p w14:paraId="5DF1E16F" w14:textId="4036BA03" w:rsidR="00026319" w:rsidRDefault="00F31153" w:rsidP="00F31153">
      <w:pPr>
        <w:pStyle w:val="RegSingleTxtG2"/>
        <w:ind w:left="1134" w:firstLine="567"/>
      </w:pPr>
      <w:r>
        <w:rPr>
          <w:szCs w:val="28"/>
        </w:rPr>
        <w:t>(a)</w:t>
      </w:r>
      <w:r>
        <w:rPr>
          <w:szCs w:val="28"/>
        </w:rPr>
        <w:tab/>
      </w:r>
      <w:r w:rsidR="00026319">
        <w:t>The KCI shall meet two times a year, with the first meeting to be held over two days in conjunction with the sessions of the subsidiary bodies in the first sessional period of the year and the second meeting to be held intersessionally over three days;</w:t>
      </w:r>
    </w:p>
    <w:p w14:paraId="236235A5" w14:textId="3FEB4805" w:rsidR="00026319" w:rsidRPr="00CB3921" w:rsidRDefault="00F31153" w:rsidP="00F31153">
      <w:pPr>
        <w:pStyle w:val="RegSingleTxtG2"/>
        <w:ind w:left="1134" w:firstLine="567"/>
      </w:pPr>
      <w:bookmarkStart w:id="69" w:name="_Ref156225278"/>
      <w:r w:rsidRPr="00CB3921">
        <w:rPr>
          <w:szCs w:val="28"/>
        </w:rPr>
        <w:t>(b)</w:t>
      </w:r>
      <w:r w:rsidRPr="00CB3921">
        <w:rPr>
          <w:szCs w:val="28"/>
        </w:rPr>
        <w:tab/>
      </w:r>
      <w:r w:rsidR="00026319">
        <w:t>The KCI shall be composed of:</w:t>
      </w:r>
      <w:bookmarkEnd w:id="69"/>
    </w:p>
    <w:p w14:paraId="09B0B803" w14:textId="0490BE90" w:rsidR="00026319" w:rsidRDefault="00F31153" w:rsidP="00F31153">
      <w:pPr>
        <w:pStyle w:val="RegSingleTxtG3"/>
        <w:ind w:left="1701"/>
      </w:pPr>
      <w:r>
        <w:t>(i)</w:t>
      </w:r>
      <w:r>
        <w:tab/>
      </w:r>
      <w:r w:rsidR="00026319">
        <w:t xml:space="preserve">Two members from each of the five United Nations regional groups; </w:t>
      </w:r>
    </w:p>
    <w:p w14:paraId="5B8FFFFD" w14:textId="6AA2D9F7" w:rsidR="00026319" w:rsidRDefault="00F31153" w:rsidP="00F31153">
      <w:pPr>
        <w:pStyle w:val="RegSingleTxtG3"/>
        <w:ind w:left="1701"/>
      </w:pPr>
      <w:r>
        <w:t>(ii)</w:t>
      </w:r>
      <w:r>
        <w:tab/>
      </w:r>
      <w:r w:rsidR="00026319">
        <w:t xml:space="preserve">One member from the least developed countries; </w:t>
      </w:r>
    </w:p>
    <w:p w14:paraId="3E5C6FE4" w14:textId="17DBE9BE" w:rsidR="00026319" w:rsidRDefault="00F31153" w:rsidP="00F31153">
      <w:pPr>
        <w:pStyle w:val="RegSingleTxtG3"/>
        <w:ind w:left="1701"/>
      </w:pPr>
      <w:r>
        <w:t>(iii)</w:t>
      </w:r>
      <w:r>
        <w:tab/>
      </w:r>
      <w:r w:rsidR="00026319">
        <w:t xml:space="preserve">One member from the small island developing States; </w:t>
      </w:r>
    </w:p>
    <w:p w14:paraId="7B3D55A4" w14:textId="3C68B45B" w:rsidR="00026319" w:rsidRPr="00CB3921" w:rsidRDefault="00F31153" w:rsidP="00F31153">
      <w:pPr>
        <w:pStyle w:val="RegSingleTxtG3"/>
        <w:ind w:left="1701"/>
      </w:pPr>
      <w:r w:rsidRPr="00CB3921">
        <w:t>(iv)</w:t>
      </w:r>
      <w:r w:rsidRPr="00CB3921">
        <w:tab/>
      </w:r>
      <w:r w:rsidR="00026319">
        <w:t>Two members from relevant intergovernmental organizations</w:t>
      </w:r>
      <w:r w:rsidR="00026319" w:rsidRPr="00CB3921">
        <w:t>;</w:t>
      </w:r>
    </w:p>
    <w:p w14:paraId="7B0B7048" w14:textId="40C0B83C" w:rsidR="00026319" w:rsidRDefault="00F31153" w:rsidP="00F31153">
      <w:pPr>
        <w:pStyle w:val="RegSingleTxtG2"/>
        <w:ind w:left="1134" w:firstLine="567"/>
      </w:pPr>
      <w:r>
        <w:rPr>
          <w:szCs w:val="28"/>
        </w:rPr>
        <w:t>(c)</w:t>
      </w:r>
      <w:r>
        <w:rPr>
          <w:szCs w:val="28"/>
        </w:rPr>
        <w:tab/>
      </w:r>
      <w:r w:rsidR="00026319">
        <w:t xml:space="preserve">Members shall serve in their expert capacity and should have relevant qualifications and expertise in the technical and socioeconomic fields related to the areas of the work programme; </w:t>
      </w:r>
    </w:p>
    <w:p w14:paraId="00DF762B" w14:textId="3213E83A" w:rsidR="00026319" w:rsidRDefault="00F31153" w:rsidP="00F31153">
      <w:pPr>
        <w:pStyle w:val="RegSingleTxtG2"/>
        <w:ind w:left="1134" w:firstLine="567"/>
      </w:pPr>
      <w:r>
        <w:rPr>
          <w:szCs w:val="28"/>
        </w:rPr>
        <w:t>(d)</w:t>
      </w:r>
      <w:r>
        <w:rPr>
          <w:szCs w:val="28"/>
        </w:rPr>
        <w:tab/>
      </w:r>
      <w:r w:rsidR="000B591F">
        <w:t>The m</w:t>
      </w:r>
      <w:r w:rsidR="00026319">
        <w:t xml:space="preserve">embers </w:t>
      </w:r>
      <w:r w:rsidR="000B591F">
        <w:t>referr</w:t>
      </w:r>
      <w:r w:rsidR="00026319">
        <w:t xml:space="preserve">ed </w:t>
      </w:r>
      <w:r w:rsidR="000B591F">
        <w:t>to</w:t>
      </w:r>
      <w:r w:rsidR="00026319">
        <w:t xml:space="preserve"> in paragraph </w:t>
      </w:r>
      <w:r w:rsidR="00825408">
        <w:rPr>
          <w:cs/>
        </w:rPr>
        <w:t>‎</w:t>
      </w:r>
      <w:r w:rsidR="00825408">
        <w:t>5</w:t>
      </w:r>
      <w:r w:rsidR="00825408">
        <w:rPr>
          <w:cs/>
        </w:rPr>
        <w:t>‎</w:t>
      </w:r>
      <w:r w:rsidR="00825408">
        <w:t>(b) above</w:t>
      </w:r>
      <w:r w:rsidR="008F1785">
        <w:t xml:space="preserve"> </w:t>
      </w:r>
      <w:r w:rsidR="00026319">
        <w:t xml:space="preserve">shall be nominated by their respective groups. The Chairs of the </w:t>
      </w:r>
      <w:r w:rsidR="006F5DA9">
        <w:t>subsidiary bodies s</w:t>
      </w:r>
      <w:r w:rsidR="00026319">
        <w:t xml:space="preserve">hall be notified of these appointments; </w:t>
      </w:r>
    </w:p>
    <w:p w14:paraId="17C4F46A" w14:textId="71B7C52B" w:rsidR="00026319" w:rsidRDefault="00F31153" w:rsidP="00F31153">
      <w:pPr>
        <w:pStyle w:val="RegSingleTxtG2"/>
        <w:ind w:left="1134" w:firstLine="567"/>
      </w:pPr>
      <w:r>
        <w:rPr>
          <w:szCs w:val="28"/>
        </w:rPr>
        <w:t>(e)</w:t>
      </w:r>
      <w:r>
        <w:rPr>
          <w:szCs w:val="28"/>
        </w:rPr>
        <w:tab/>
      </w:r>
      <w:r w:rsidR="00BA6364">
        <w:t>The m</w:t>
      </w:r>
      <w:r w:rsidR="00026319">
        <w:t xml:space="preserve">embers </w:t>
      </w:r>
      <w:r w:rsidR="00BA6364">
        <w:t>referr</w:t>
      </w:r>
      <w:r w:rsidR="00026319">
        <w:t xml:space="preserve">ed </w:t>
      </w:r>
      <w:r w:rsidR="00BA6364">
        <w:t>to</w:t>
      </w:r>
      <w:r w:rsidR="00026319">
        <w:t xml:space="preserve"> in paragraph </w:t>
      </w:r>
      <w:r w:rsidR="00825408">
        <w:rPr>
          <w:cs/>
        </w:rPr>
        <w:t>‎</w:t>
      </w:r>
      <w:r w:rsidR="00825408">
        <w:t>5</w:t>
      </w:r>
      <w:r w:rsidR="00825408">
        <w:rPr>
          <w:cs/>
        </w:rPr>
        <w:t>‎</w:t>
      </w:r>
      <w:r w:rsidR="00825408">
        <w:t>(b) above</w:t>
      </w:r>
      <w:r w:rsidR="00026319" w:rsidDel="008F1785">
        <w:t xml:space="preserve"> </w:t>
      </w:r>
      <w:r w:rsidR="00026319">
        <w:t xml:space="preserve">shall serve a term of two years and shall be eligible to serve a maximum of two consecutive terms in office; </w:t>
      </w:r>
    </w:p>
    <w:p w14:paraId="79E1411A" w14:textId="192313B5" w:rsidR="00026319" w:rsidRDefault="00F31153" w:rsidP="00F31153">
      <w:pPr>
        <w:pStyle w:val="RegSingleTxtG2"/>
        <w:ind w:left="1134" w:firstLine="567"/>
      </w:pPr>
      <w:r>
        <w:rPr>
          <w:szCs w:val="28"/>
        </w:rPr>
        <w:t>(f)</w:t>
      </w:r>
      <w:r>
        <w:rPr>
          <w:szCs w:val="28"/>
        </w:rPr>
        <w:tab/>
      </w:r>
      <w:r w:rsidR="00026319">
        <w:t xml:space="preserve">The KCI shall elect, on a consensus basis, two members from among its members </w:t>
      </w:r>
      <w:r w:rsidR="008441FB">
        <w:t>referr</w:t>
      </w:r>
      <w:r w:rsidR="00026319">
        <w:t xml:space="preserve">ed </w:t>
      </w:r>
      <w:r w:rsidR="008441FB">
        <w:t>to</w:t>
      </w:r>
      <w:r w:rsidR="00026319">
        <w:t xml:space="preserve"> in paragraph </w:t>
      </w:r>
      <w:r w:rsidR="00825408">
        <w:rPr>
          <w:cs/>
        </w:rPr>
        <w:t>‎</w:t>
      </w:r>
      <w:r w:rsidR="00825408">
        <w:t>5</w:t>
      </w:r>
      <w:r w:rsidR="00825408">
        <w:rPr>
          <w:cs/>
        </w:rPr>
        <w:t>‎</w:t>
      </w:r>
      <w:r w:rsidR="00825408">
        <w:t>(b) above</w:t>
      </w:r>
      <w:r w:rsidR="008F1785">
        <w:t xml:space="preserve"> </w:t>
      </w:r>
      <w:r w:rsidR="00026319">
        <w:t xml:space="preserve">to serve as Co-Chairs for a term of two years each, taking into account the need to ensure equitable geographical representation; </w:t>
      </w:r>
    </w:p>
    <w:p w14:paraId="518B696F" w14:textId="643D278C" w:rsidR="00026319" w:rsidRDefault="00F31153" w:rsidP="00F31153">
      <w:pPr>
        <w:pStyle w:val="RegSingleTxtG2"/>
        <w:ind w:left="1134" w:firstLine="567"/>
      </w:pPr>
      <w:r>
        <w:rPr>
          <w:szCs w:val="28"/>
        </w:rPr>
        <w:t>(g)</w:t>
      </w:r>
      <w:r>
        <w:rPr>
          <w:szCs w:val="28"/>
        </w:rPr>
        <w:tab/>
      </w:r>
      <w:r w:rsidR="00026319">
        <w:t xml:space="preserve">If one of the Co-Chairs is temporarily unable to fulfil the obligations of the office, any other member designated by the KCI shall serve as Co-Chair; </w:t>
      </w:r>
    </w:p>
    <w:p w14:paraId="6C58A79B" w14:textId="5EFE7E39" w:rsidR="00026319" w:rsidRDefault="00F31153" w:rsidP="00F31153">
      <w:pPr>
        <w:pStyle w:val="RegSingleTxtG2"/>
        <w:ind w:left="1134" w:firstLine="567"/>
      </w:pPr>
      <w:r>
        <w:rPr>
          <w:szCs w:val="28"/>
        </w:rPr>
        <w:t>(h)</w:t>
      </w:r>
      <w:r>
        <w:rPr>
          <w:szCs w:val="28"/>
        </w:rPr>
        <w:tab/>
      </w:r>
      <w:r w:rsidR="00026319">
        <w:t>Meetings of the KCI shall be open to attendance as observers by all Parties and accredited observer organizations</w:t>
      </w:r>
      <w:r w:rsidR="0092417E">
        <w:t>,</w:t>
      </w:r>
      <w:r w:rsidR="00026319">
        <w:t xml:space="preserve"> unless otherwise decided by the KCI; </w:t>
      </w:r>
    </w:p>
    <w:p w14:paraId="2022CECF" w14:textId="5B9ADC33" w:rsidR="00026319" w:rsidRDefault="00F31153" w:rsidP="00F31153">
      <w:pPr>
        <w:pStyle w:val="RegSingleTxtG2"/>
        <w:ind w:left="1134" w:firstLine="567"/>
      </w:pPr>
      <w:r>
        <w:rPr>
          <w:szCs w:val="28"/>
        </w:rPr>
        <w:t>(i)</w:t>
      </w:r>
      <w:r>
        <w:rPr>
          <w:szCs w:val="28"/>
        </w:rPr>
        <w:tab/>
      </w:r>
      <w:r w:rsidR="00026319">
        <w:t xml:space="preserve">The KCI shall operate on the basis of consensus of its members; </w:t>
      </w:r>
    </w:p>
    <w:p w14:paraId="7264AB72" w14:textId="2613AB2E" w:rsidR="00026319" w:rsidRPr="00CB3921" w:rsidRDefault="00F31153" w:rsidP="00F31153">
      <w:pPr>
        <w:pStyle w:val="RegSingleTxtG2"/>
        <w:ind w:left="1134" w:firstLine="567"/>
      </w:pPr>
      <w:r w:rsidRPr="00CB3921">
        <w:rPr>
          <w:szCs w:val="28"/>
        </w:rPr>
        <w:t>(j)</w:t>
      </w:r>
      <w:r w:rsidRPr="00CB3921">
        <w:rPr>
          <w:szCs w:val="28"/>
        </w:rPr>
        <w:tab/>
      </w:r>
      <w:r w:rsidR="00026319">
        <w:t>Members of the KCI shall prepare an annual report for the forum to consider with a view to making recommendations to the Conference of the Parties, the Conference of the Parties serving as the meeting of the Parties to the Kyoto Protocol and the Conference of the Parties serving as the meeting of the Parties to the Paris Agreement</w:t>
      </w:r>
      <w:r w:rsidR="00026319" w:rsidRPr="00CB3921">
        <w:t>.</w:t>
      </w:r>
    </w:p>
    <w:p w14:paraId="1B1222DC" w14:textId="7F742746" w:rsidR="00026319" w:rsidRPr="00CB3921" w:rsidRDefault="00F31153" w:rsidP="00F31153">
      <w:pPr>
        <w:pStyle w:val="RegSingleTxtG"/>
        <w:ind w:left="1134"/>
      </w:pPr>
      <w:bookmarkStart w:id="70" w:name="_Ref156296281"/>
      <w:r w:rsidRPr="00CB3921">
        <w:lastRenderedPageBreak/>
        <w:t>6.</w:t>
      </w:r>
      <w:r w:rsidRPr="00CB3921">
        <w:tab/>
      </w:r>
      <w:r w:rsidR="00026319" w:rsidRPr="00FB29A1">
        <w:t xml:space="preserve">The forum and </w:t>
      </w:r>
      <w:r w:rsidR="00B41337">
        <w:t>its</w:t>
      </w:r>
      <w:r w:rsidR="00026319" w:rsidRPr="00FB29A1">
        <w:t xml:space="preserve"> KCI may use the following modalities, as appropriate and as decided on a case-by-case basis, in order to carry out the work programme of the forum</w:t>
      </w:r>
      <w:r w:rsidR="00026319" w:rsidRPr="00CB3921">
        <w:t>:</w:t>
      </w:r>
      <w:bookmarkEnd w:id="70"/>
    </w:p>
    <w:p w14:paraId="21D021DF" w14:textId="489461AE" w:rsidR="00026319" w:rsidRDefault="00F31153" w:rsidP="00F31153">
      <w:pPr>
        <w:pStyle w:val="RegSingleTxtG2"/>
        <w:tabs>
          <w:tab w:val="left" w:pos="1702"/>
        </w:tabs>
        <w:ind w:left="1134" w:firstLine="567"/>
      </w:pPr>
      <w:r>
        <w:rPr>
          <w:szCs w:val="28"/>
        </w:rPr>
        <w:t>(a)</w:t>
      </w:r>
      <w:r>
        <w:rPr>
          <w:szCs w:val="28"/>
        </w:rPr>
        <w:tab/>
      </w:r>
      <w:r w:rsidR="00026319">
        <w:t xml:space="preserve">Building awareness and enhancing information-sharing through the exchange and sharing of experience and best practices; </w:t>
      </w:r>
    </w:p>
    <w:p w14:paraId="48B03A95" w14:textId="0FBC5EFA" w:rsidR="00026319" w:rsidRDefault="00F31153" w:rsidP="00F31153">
      <w:pPr>
        <w:pStyle w:val="RegSingleTxtG2"/>
        <w:tabs>
          <w:tab w:val="left" w:pos="1702"/>
        </w:tabs>
        <w:ind w:left="1134" w:firstLine="567"/>
      </w:pPr>
      <w:r>
        <w:rPr>
          <w:szCs w:val="28"/>
        </w:rPr>
        <w:t>(b)</w:t>
      </w:r>
      <w:r>
        <w:rPr>
          <w:szCs w:val="28"/>
        </w:rPr>
        <w:tab/>
      </w:r>
      <w:r w:rsidR="00026319">
        <w:t>Preparing technical papers, national, regional and sector</w:t>
      </w:r>
      <w:r w:rsidR="00547283">
        <w:t>-</w:t>
      </w:r>
      <w:r w:rsidR="00026319">
        <w:t xml:space="preserve">specific case studies, concrete examples and guidelines; </w:t>
      </w:r>
    </w:p>
    <w:p w14:paraId="2BC4466A" w14:textId="6E7EC0EE" w:rsidR="00026319" w:rsidRDefault="00F31153" w:rsidP="00F31153">
      <w:pPr>
        <w:pStyle w:val="RegSingleTxtG2"/>
        <w:tabs>
          <w:tab w:val="left" w:pos="1702"/>
        </w:tabs>
        <w:ind w:left="1134" w:firstLine="567"/>
      </w:pPr>
      <w:r>
        <w:rPr>
          <w:szCs w:val="28"/>
        </w:rPr>
        <w:t>(c)</w:t>
      </w:r>
      <w:r>
        <w:rPr>
          <w:szCs w:val="28"/>
        </w:rPr>
        <w:tab/>
      </w:r>
      <w:r w:rsidR="00026319">
        <w:t xml:space="preserve">Receiving input from and facilitating collaboration with experts, practitioners and relevant organizations; </w:t>
      </w:r>
    </w:p>
    <w:p w14:paraId="23CE13A5" w14:textId="1FE6A619" w:rsidR="00026319" w:rsidRDefault="00F31153" w:rsidP="00F31153">
      <w:pPr>
        <w:pStyle w:val="RegSingleTxtG2"/>
        <w:tabs>
          <w:tab w:val="left" w:pos="1702"/>
        </w:tabs>
        <w:ind w:left="1134" w:firstLine="567"/>
      </w:pPr>
      <w:r>
        <w:rPr>
          <w:szCs w:val="28"/>
        </w:rPr>
        <w:t>(d)</w:t>
      </w:r>
      <w:r>
        <w:rPr>
          <w:szCs w:val="28"/>
        </w:rPr>
        <w:tab/>
      </w:r>
      <w:r w:rsidR="00026319">
        <w:t>Organizing workshops.</w:t>
      </w:r>
    </w:p>
    <w:p w14:paraId="33D47131" w14:textId="77777777" w:rsidR="00026319" w:rsidRDefault="00026319" w:rsidP="00026319">
      <w:pPr>
        <w:pStyle w:val="HChG"/>
        <w:spacing w:before="0"/>
        <w:sectPr w:rsidR="00026319" w:rsidSect="00017F7D">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p>
    <w:p w14:paraId="78072CE1" w14:textId="77777777" w:rsidR="00026319" w:rsidRPr="00CB3921" w:rsidRDefault="00026319" w:rsidP="00001E1B">
      <w:pPr>
        <w:pStyle w:val="HChG"/>
        <w:tabs>
          <w:tab w:val="clear" w:pos="851"/>
        </w:tabs>
      </w:pPr>
      <w:r w:rsidRPr="00CB3921">
        <w:lastRenderedPageBreak/>
        <w:t>Annex II</w:t>
      </w:r>
    </w:p>
    <w:p w14:paraId="4651A9E6" w14:textId="77777777" w:rsidR="00026319" w:rsidRPr="00CB3921" w:rsidRDefault="00026319" w:rsidP="00026319">
      <w:pPr>
        <w:pStyle w:val="HChG"/>
        <w:tabs>
          <w:tab w:val="clear" w:pos="851"/>
        </w:tabs>
        <w:ind w:firstLine="0"/>
      </w:pPr>
      <w:r w:rsidRPr="00ED118E">
        <w:t xml:space="preserve">Activities arising from the outcomes of </w:t>
      </w:r>
      <w:r>
        <w:t xml:space="preserve">the </w:t>
      </w:r>
      <w:r w:rsidRPr="00ED118E">
        <w:t>midterm review of the workplan of the forum on the impact of the implementation of response measures and its Katowice Committee of Experts on the Impacts of the Implementation of Response Measures</w:t>
      </w:r>
      <w:r w:rsidRPr="00CF7DDC">
        <w:rPr>
          <w:rStyle w:val="FootnoteReference"/>
          <w:sz w:val="24"/>
          <w:szCs w:val="28"/>
        </w:rPr>
        <w:footnoteReference w:id="28"/>
      </w:r>
    </w:p>
    <w:p w14:paraId="45EFC7A1" w14:textId="77C223D1" w:rsidR="00026319" w:rsidRDefault="00026319" w:rsidP="00026319">
      <w:pPr>
        <w:pStyle w:val="RegSingleTxtG"/>
        <w:tabs>
          <w:tab w:val="clear" w:pos="1701"/>
        </w:tabs>
        <w:ind w:left="1134" w:firstLine="567"/>
      </w:pPr>
      <w:r>
        <w:t>The following are a</w:t>
      </w:r>
      <w:r w:rsidRPr="00CB26EF">
        <w:t xml:space="preserve">ctivities arising from the outcomes of </w:t>
      </w:r>
      <w:r>
        <w:t xml:space="preserve">the </w:t>
      </w:r>
      <w:r w:rsidRPr="00CB26EF">
        <w:t>midterm review of the workplan of the forum on the impact of the implementation of response measures and its Katowice Committee of Experts on the Impacts of the Implementation of Response Measures</w:t>
      </w:r>
      <w:r w:rsidR="006E131C">
        <w:t xml:space="preserve"> (KCI)</w:t>
      </w:r>
      <w:r>
        <w:t>:</w:t>
      </w:r>
    </w:p>
    <w:p w14:paraId="1ACA349F" w14:textId="6A92E1A0" w:rsidR="00026319" w:rsidRPr="00CB3921" w:rsidRDefault="00F31153" w:rsidP="00F31153">
      <w:pPr>
        <w:pStyle w:val="RegSingleTxtG2"/>
        <w:tabs>
          <w:tab w:val="left" w:pos="1702"/>
        </w:tabs>
        <w:ind w:left="1134" w:firstLine="567"/>
      </w:pPr>
      <w:r w:rsidRPr="00CB3921">
        <w:rPr>
          <w:szCs w:val="28"/>
        </w:rPr>
        <w:t>(a)</w:t>
      </w:r>
      <w:r w:rsidRPr="00CB3921">
        <w:rPr>
          <w:szCs w:val="28"/>
        </w:rPr>
        <w:tab/>
      </w:r>
      <w:r w:rsidR="006609B7">
        <w:t>O</w:t>
      </w:r>
      <w:r w:rsidR="00026319" w:rsidRPr="00412E99">
        <w:t xml:space="preserve">rganize the exchange and sharing of experience and best practices, to take place at </w:t>
      </w:r>
      <w:r w:rsidR="008946AC">
        <w:t>the sixty-second sessions of the subsidiary bodies</w:t>
      </w:r>
      <w:r w:rsidR="008946AC" w:rsidRPr="00412E99">
        <w:t xml:space="preserve"> </w:t>
      </w:r>
      <w:r w:rsidR="008946AC">
        <w:t>(</w:t>
      </w:r>
      <w:r w:rsidR="00026319" w:rsidRPr="00412E99">
        <w:t>SB</w:t>
      </w:r>
      <w:r w:rsidR="008946AC">
        <w:t>)</w:t>
      </w:r>
      <w:r w:rsidR="00026319">
        <w:t xml:space="preserve"> (June 2025)</w:t>
      </w:r>
      <w:r w:rsidR="00026319" w:rsidRPr="00CB26EF">
        <w:t>,</w:t>
      </w:r>
      <w:r w:rsidR="00026319" w:rsidRPr="00412E99">
        <w:t xml:space="preserve"> </w:t>
      </w:r>
      <w:r w:rsidR="00A42D43">
        <w:t>in relation to</w:t>
      </w:r>
      <w:r w:rsidR="00026319" w:rsidRPr="00412E99">
        <w:t xml:space="preserve"> country case studies pertaining to activity</w:t>
      </w:r>
      <w:r w:rsidR="00026319">
        <w:t> </w:t>
      </w:r>
      <w:r w:rsidR="00026319" w:rsidRPr="00CB3921">
        <w:t>7</w:t>
      </w:r>
      <w:r w:rsidR="00026319" w:rsidRPr="00CB3921">
        <w:rPr>
          <w:rStyle w:val="FootnoteReference"/>
        </w:rPr>
        <w:footnoteReference w:id="29"/>
      </w:r>
      <w:r w:rsidR="00026319" w:rsidRPr="00CB3921">
        <w:t xml:space="preserve"> of the workplan, in line with the agreed modalities in the workplan</w:t>
      </w:r>
      <w:r w:rsidR="009F064B">
        <w:t>, to be implemented by the forum</w:t>
      </w:r>
      <w:r w:rsidR="00026319">
        <w:t>;</w:t>
      </w:r>
    </w:p>
    <w:p w14:paraId="5A517607" w14:textId="07B5F55F" w:rsidR="00026319" w:rsidRPr="00CB3921" w:rsidRDefault="00F31153" w:rsidP="00F31153">
      <w:pPr>
        <w:pStyle w:val="RegSingleTxtG2"/>
        <w:ind w:left="1134" w:firstLine="567"/>
      </w:pPr>
      <w:r w:rsidRPr="00CB3921">
        <w:rPr>
          <w:szCs w:val="28"/>
        </w:rPr>
        <w:t>(b)</w:t>
      </w:r>
      <w:r w:rsidRPr="00CB3921">
        <w:rPr>
          <w:szCs w:val="28"/>
        </w:rPr>
        <w:tab/>
      </w:r>
      <w:r w:rsidR="007D406F">
        <w:t>D</w:t>
      </w:r>
      <w:r w:rsidR="00026319" w:rsidRPr="003A2D79">
        <w:t xml:space="preserve">evelop a case study in each </w:t>
      </w:r>
      <w:r w:rsidR="00026319">
        <w:t xml:space="preserve">of the five </w:t>
      </w:r>
      <w:r w:rsidR="00026319" w:rsidRPr="00CB26EF">
        <w:t>U</w:t>
      </w:r>
      <w:r w:rsidR="00026319">
        <w:t xml:space="preserve">nited </w:t>
      </w:r>
      <w:r w:rsidR="00026319" w:rsidRPr="00CB26EF">
        <w:t>N</w:t>
      </w:r>
      <w:r w:rsidR="00026319">
        <w:t>ations</w:t>
      </w:r>
      <w:r w:rsidR="00026319" w:rsidRPr="00CB26EF">
        <w:t xml:space="preserve"> region</w:t>
      </w:r>
      <w:r w:rsidR="00026319">
        <w:t>s</w:t>
      </w:r>
      <w:r w:rsidR="00026319" w:rsidRPr="003A2D79">
        <w:t xml:space="preserve"> in accordance with activity</w:t>
      </w:r>
      <w:r w:rsidR="00026319">
        <w:t> </w:t>
      </w:r>
      <w:r w:rsidR="00026319" w:rsidRPr="003A2D79">
        <w:t>7 of the workplan</w:t>
      </w:r>
      <w:r w:rsidR="00026319">
        <w:t>,</w:t>
      </w:r>
      <w:r w:rsidR="00026319" w:rsidRPr="003A2D79">
        <w:t xml:space="preserve"> </w:t>
      </w:r>
      <w:r w:rsidR="007D406F">
        <w:t>to be implemented</w:t>
      </w:r>
      <w:r w:rsidR="00C871FF">
        <w:t xml:space="preserve"> by the KCI</w:t>
      </w:r>
      <w:r w:rsidR="007D406F">
        <w:t xml:space="preserve"> </w:t>
      </w:r>
      <w:r w:rsidR="00026319" w:rsidRPr="003A2D79">
        <w:t>by SB 63</w:t>
      </w:r>
      <w:r w:rsidR="00026319">
        <w:t xml:space="preserve"> (November 2025);</w:t>
      </w:r>
    </w:p>
    <w:p w14:paraId="0229C237" w14:textId="41878995" w:rsidR="00026319" w:rsidRDefault="00F31153" w:rsidP="00F31153">
      <w:pPr>
        <w:pStyle w:val="RegSingleTxtG2"/>
        <w:ind w:left="1134" w:firstLine="567"/>
      </w:pPr>
      <w:r>
        <w:rPr>
          <w:szCs w:val="28"/>
        </w:rPr>
        <w:t>(c)</w:t>
      </w:r>
      <w:r>
        <w:rPr>
          <w:szCs w:val="28"/>
        </w:rPr>
        <w:tab/>
      </w:r>
      <w:r w:rsidR="00026319">
        <w:t xml:space="preserve">Promote the exchange of experience </w:t>
      </w:r>
      <w:r w:rsidR="00F030B9">
        <w:t>in relation to</w:t>
      </w:r>
      <w:r w:rsidR="00026319">
        <w:t xml:space="preserve"> national and subnational legislation, action plans, frameworks and other structural factors for just transition and economic diversification and transformation, to be implemented at SB 62 by the forum through the exchange of best practices;</w:t>
      </w:r>
    </w:p>
    <w:p w14:paraId="170C5907" w14:textId="2B38EA76" w:rsidR="00026319" w:rsidRDefault="00F31153" w:rsidP="00F31153">
      <w:pPr>
        <w:pStyle w:val="RegSingleTxtG2"/>
        <w:ind w:left="1134" w:firstLine="567"/>
      </w:pPr>
      <w:r>
        <w:rPr>
          <w:szCs w:val="28"/>
        </w:rPr>
        <w:t>(d)</w:t>
      </w:r>
      <w:r>
        <w:rPr>
          <w:szCs w:val="28"/>
        </w:rPr>
        <w:tab/>
      </w:r>
      <w:r w:rsidR="00026319">
        <w:t>Build awareness about the positive and negative impacts associated with low</w:t>
      </w:r>
      <w:r w:rsidR="000B7924">
        <w:t>-</w:t>
      </w:r>
      <w:r w:rsidR="006E7BE7">
        <w:t> </w:t>
      </w:r>
      <w:r w:rsidR="00026319">
        <w:t>and zero</w:t>
      </w:r>
      <w:r w:rsidR="000B7924">
        <w:t>-</w:t>
      </w:r>
      <w:r w:rsidR="00026319">
        <w:t>emission transport technologies, to be implemented at SB 60 (June 2024)</w:t>
      </w:r>
      <w:r w:rsidR="00026319" w:rsidRPr="00CB26EF">
        <w:t xml:space="preserve"> </w:t>
      </w:r>
      <w:r w:rsidR="00026319">
        <w:t>by the forum through the exchange and sharing of experience, best practices and key findings;</w:t>
      </w:r>
    </w:p>
    <w:p w14:paraId="4FC018FE" w14:textId="16AAA2EC" w:rsidR="007316CB" w:rsidRDefault="00F31153" w:rsidP="00F31153">
      <w:pPr>
        <w:pStyle w:val="RegSingleTxtG2"/>
        <w:ind w:left="1134" w:firstLine="567"/>
      </w:pPr>
      <w:r>
        <w:rPr>
          <w:szCs w:val="28"/>
        </w:rPr>
        <w:t>(e)</w:t>
      </w:r>
      <w:r>
        <w:rPr>
          <w:szCs w:val="28"/>
        </w:rPr>
        <w:tab/>
      </w:r>
      <w:r w:rsidR="00026319">
        <w:t>Facilitate</w:t>
      </w:r>
      <w:r w:rsidR="00C300D5">
        <w:t xml:space="preserve"> the</w:t>
      </w:r>
      <w:r w:rsidR="00026319">
        <w:t xml:space="preserve"> exchange and shar</w:t>
      </w:r>
      <w:r w:rsidR="00C300D5">
        <w:t>ing</w:t>
      </w:r>
      <w:r w:rsidR="00026319">
        <w:t xml:space="preserve"> </w:t>
      </w:r>
      <w:r w:rsidR="00C300D5">
        <w:t>of</w:t>
      </w:r>
      <w:r w:rsidR="00026319">
        <w:t xml:space="preserve"> experience and best practices in the assessment of the environmental, social and economic co-benefits of climate change policies and actions informed by the best available science, including the use of existing tools and methodologies, to be implemented at SB 62 by the KCI through concrete examples and input from experts, practitioners and relevant organizations, and by the forum through the exchange and sharing of experience, best practices and key findings</w:t>
      </w:r>
      <w:r w:rsidR="00026319" w:rsidRPr="00836E25">
        <w:t>.</w:t>
      </w:r>
    </w:p>
    <w:p w14:paraId="00507CC7" w14:textId="29AC371A" w:rsidR="00DF7652" w:rsidRPr="000F6262" w:rsidRDefault="00640025" w:rsidP="0007030A">
      <w:pPr>
        <w:tabs>
          <w:tab w:val="left" w:pos="1701"/>
        </w:tabs>
        <w:spacing w:line="20" w:lineRule="atLeast"/>
        <w:ind w:left="1134" w:right="1134"/>
        <w:jc w:val="right"/>
        <w:rPr>
          <w:i/>
          <w:iCs/>
        </w:rPr>
      </w:pPr>
      <w:r>
        <w:rPr>
          <w:i/>
          <w:iCs/>
        </w:rPr>
        <w:t>6</w:t>
      </w:r>
      <w:r w:rsidRPr="00640025">
        <w:rPr>
          <w:i/>
          <w:iCs/>
          <w:vertAlign w:val="superscript"/>
        </w:rPr>
        <w:t>th</w:t>
      </w:r>
      <w:r>
        <w:rPr>
          <w:i/>
          <w:iCs/>
        </w:rPr>
        <w:t xml:space="preserve"> </w:t>
      </w:r>
      <w:r w:rsidR="00DF7652" w:rsidRPr="000F6262">
        <w:rPr>
          <w:i/>
          <w:iCs/>
        </w:rPr>
        <w:t>plenary meeting</w:t>
      </w:r>
    </w:p>
    <w:p w14:paraId="2ACF9810" w14:textId="77777777" w:rsidR="00DF7652" w:rsidRPr="000F6262" w:rsidRDefault="00DF7652" w:rsidP="0007030A">
      <w:pPr>
        <w:tabs>
          <w:tab w:val="left" w:pos="1701"/>
        </w:tabs>
        <w:spacing w:line="20" w:lineRule="atLeast"/>
        <w:ind w:left="6521" w:right="1134"/>
        <w:jc w:val="right"/>
        <w:rPr>
          <w:i/>
          <w:iCs/>
        </w:rPr>
      </w:pPr>
      <w:r w:rsidRPr="000F6262">
        <w:rPr>
          <w:i/>
          <w:iCs/>
        </w:rPr>
        <w:t>13 December 2023</w:t>
      </w:r>
    </w:p>
    <w:bookmarkEnd w:id="45"/>
    <w:p w14:paraId="4D32F722" w14:textId="77777777" w:rsidR="00DF7652" w:rsidRDefault="00DF7652" w:rsidP="00DF7652">
      <w:pPr>
        <w:pStyle w:val="RegSingleTxtG2"/>
        <w:ind w:left="1701"/>
      </w:pPr>
    </w:p>
    <w:p w14:paraId="37A8C2E6" w14:textId="4CF32D96" w:rsidR="004442A4" w:rsidRDefault="00F31153" w:rsidP="00F31153">
      <w:pPr>
        <w:pStyle w:val="RegSingleTxtG"/>
        <w:ind w:left="1134"/>
        <w:sectPr w:rsidR="004442A4" w:rsidSect="00017F7D">
          <w:headerReference w:type="even" r:id="rId31"/>
          <w:headerReference w:type="default" r:id="rId32"/>
          <w:footerReference w:type="even" r:id="rId33"/>
          <w:footerReference w:type="default" r:id="rId34"/>
          <w:footnotePr>
            <w:numRestart w:val="eachSect"/>
          </w:footnotePr>
          <w:pgSz w:w="11906" w:h="16838" w:code="9"/>
          <w:pgMar w:top="1417" w:right="1134" w:bottom="1134" w:left="1134" w:header="850" w:footer="567" w:gutter="0"/>
          <w:cols w:space="708"/>
          <w:docGrid w:linePitch="360"/>
        </w:sectPr>
      </w:pPr>
      <w:r>
        <w:t>1.</w:t>
      </w:r>
      <w:r>
        <w:tab/>
      </w:r>
    </w:p>
    <w:p w14:paraId="39C1C61E" w14:textId="42770208" w:rsidR="00C118E2" w:rsidRDefault="00C118E2" w:rsidP="00F31153">
      <w:pPr>
        <w:pStyle w:val="RegHChG"/>
        <w:spacing w:before="240"/>
        <w:ind w:left="1134" w:hanging="454"/>
      </w:pPr>
      <w:bookmarkStart w:id="71" w:name="_Toc161286224"/>
      <w:bookmarkStart w:id="72" w:name="_Toc161242643"/>
      <w:bookmarkStart w:id="73" w:name="decision20"/>
      <w:r w:rsidRPr="00E3108E">
        <w:lastRenderedPageBreak/>
        <w:t xml:space="preserve">Decision </w:t>
      </w:r>
      <w:r w:rsidR="00940BDB" w:rsidRPr="00E3108E">
        <w:t>20</w:t>
      </w:r>
      <w:r w:rsidRPr="00E3108E">
        <w:t>/CMA.5</w:t>
      </w:r>
      <w:bookmarkEnd w:id="71"/>
      <w:bookmarkEnd w:id="72"/>
    </w:p>
    <w:p w14:paraId="59DA447D" w14:textId="77777777" w:rsidR="00D901B8" w:rsidRPr="00162BF9" w:rsidRDefault="00D901B8" w:rsidP="00F31153">
      <w:pPr>
        <w:pStyle w:val="RegHChG"/>
        <w:ind w:left="1135" w:hanging="454"/>
      </w:pPr>
      <w:bookmarkStart w:id="74" w:name="_Toc161286225"/>
      <w:bookmarkStart w:id="75" w:name="_Toc161242644"/>
      <w:r w:rsidRPr="00162BF9">
        <w:t>Sixth Assessment Report of the Intergovernmental Panel on Climate Change</w:t>
      </w:r>
      <w:bookmarkEnd w:id="74"/>
      <w:bookmarkEnd w:id="75"/>
    </w:p>
    <w:p w14:paraId="25825637" w14:textId="77777777" w:rsidR="00D901B8" w:rsidRPr="0007030A" w:rsidRDefault="00D901B8" w:rsidP="00D901B8">
      <w:pPr>
        <w:pStyle w:val="RegSingleTxtG"/>
        <w:ind w:left="1134"/>
      </w:pPr>
      <w:bookmarkStart w:id="76" w:name="_Hlk137712586"/>
      <w:r w:rsidRPr="00162BF9">
        <w:tab/>
      </w:r>
      <w:r w:rsidRPr="00162BF9">
        <w:rPr>
          <w:i/>
          <w:iCs/>
        </w:rPr>
        <w:t>The Conference of the Parties serving as the meeting of the Parties to the Paris Agreement</w:t>
      </w:r>
      <w:r w:rsidRPr="00162BF9">
        <w:t>,</w:t>
      </w:r>
      <w:r w:rsidRPr="0007030A">
        <w:t xml:space="preserve"> </w:t>
      </w:r>
    </w:p>
    <w:p w14:paraId="1432378D" w14:textId="5A265510" w:rsidR="00D901B8" w:rsidRPr="00162BF9" w:rsidRDefault="00D901B8" w:rsidP="00D901B8">
      <w:pPr>
        <w:pStyle w:val="RegSingleTxtG"/>
        <w:ind w:left="1134"/>
      </w:pPr>
      <w:r w:rsidRPr="00162BF9">
        <w:tab/>
      </w:r>
      <w:r w:rsidRPr="00162BF9">
        <w:rPr>
          <w:i/>
          <w:iCs/>
        </w:rPr>
        <w:t>Recalling</w:t>
      </w:r>
      <w:r w:rsidRPr="00162BF9">
        <w:t xml:space="preserve"> decisions 6/CP.1, 6/CP.2, 25/CP.7, 5/CP.13 and 12/CP.20, </w:t>
      </w:r>
    </w:p>
    <w:p w14:paraId="6589DF35" w14:textId="7BB573F5" w:rsidR="00D901B8" w:rsidRPr="00156C33" w:rsidRDefault="00F31153" w:rsidP="00F31153">
      <w:pPr>
        <w:pStyle w:val="RegSingleTxtG"/>
        <w:ind w:left="1134"/>
      </w:pPr>
      <w:r w:rsidRPr="00156C33">
        <w:t>1.</w:t>
      </w:r>
      <w:r w:rsidRPr="00156C33">
        <w:tab/>
      </w:r>
      <w:r w:rsidR="00D901B8" w:rsidRPr="00B927EE">
        <w:rPr>
          <w:i/>
          <w:iCs/>
        </w:rPr>
        <w:t>Welcomes</w:t>
      </w:r>
      <w:r w:rsidR="00D901B8" w:rsidRPr="00162BF9">
        <w:t xml:space="preserve"> </w:t>
      </w:r>
      <w:r w:rsidR="00D901B8" w:rsidRPr="00156C33">
        <w:t xml:space="preserve">the Sixth Assessment Report of the Intergovernmental Panel on Climate Change and </w:t>
      </w:r>
      <w:r w:rsidR="00D901B8" w:rsidRPr="0007030A">
        <w:rPr>
          <w:i/>
        </w:rPr>
        <w:t>expresses appreciation and gratitude</w:t>
      </w:r>
      <w:r w:rsidR="00D901B8" w:rsidRPr="00156C33">
        <w:t xml:space="preserve"> to those involved in preparing the reports in the sixth assessment cycle for their excellent work and dedication to continuing their work during the extraordinary circumstances of the pandemic;</w:t>
      </w:r>
    </w:p>
    <w:p w14:paraId="7544DCED" w14:textId="4CDAA9EB" w:rsidR="00D901B8" w:rsidRPr="00162BF9" w:rsidRDefault="00F31153" w:rsidP="00F31153">
      <w:pPr>
        <w:pStyle w:val="RegSingleTxtG"/>
        <w:ind w:left="1134"/>
      </w:pPr>
      <w:r w:rsidRPr="00162BF9">
        <w:t>2.</w:t>
      </w:r>
      <w:r w:rsidRPr="00162BF9">
        <w:tab/>
      </w:r>
      <w:r w:rsidR="00D901B8" w:rsidRPr="008B7369">
        <w:rPr>
          <w:i/>
        </w:rPr>
        <w:t>Recognizes</w:t>
      </w:r>
      <w:r w:rsidR="00D901B8" w:rsidRPr="00162BF9">
        <w:t xml:space="preserve"> that the Sixth Assessment Report represents a more comprehensive and robust assessment of climate change than the Fifth Assessment Report, with an increased scope compared with previous assessment cycles, providing integrated scientific, technical and socioeconomic information; </w:t>
      </w:r>
    </w:p>
    <w:p w14:paraId="6DDC66C8" w14:textId="0E1EC0E4" w:rsidR="00D901B8" w:rsidRPr="00162BF9" w:rsidRDefault="00F31153" w:rsidP="00F31153">
      <w:pPr>
        <w:pStyle w:val="RegSingleTxtG"/>
        <w:ind w:left="1134"/>
      </w:pPr>
      <w:r w:rsidRPr="00162BF9">
        <w:t>3.</w:t>
      </w:r>
      <w:r w:rsidRPr="00162BF9">
        <w:tab/>
      </w:r>
      <w:r w:rsidR="00D901B8" w:rsidRPr="008B7369">
        <w:rPr>
          <w:i/>
        </w:rPr>
        <w:t xml:space="preserve">Encourages </w:t>
      </w:r>
      <w:r w:rsidR="00D901B8" w:rsidRPr="00162BF9">
        <w:t>the scientific community to continue expanding the scientific knowledge base on climate change and addressing knowledge gaps with a view to supporting the seventh Intergovernmental Panel on Climate Change assessment cycle;</w:t>
      </w:r>
    </w:p>
    <w:p w14:paraId="3B5FFC12" w14:textId="4D63F0EE" w:rsidR="00D901B8" w:rsidRPr="00162BF9" w:rsidRDefault="00F31153" w:rsidP="00F31153">
      <w:pPr>
        <w:pStyle w:val="RegSingleTxtG"/>
        <w:ind w:left="1134"/>
      </w:pPr>
      <w:r w:rsidRPr="00162BF9">
        <w:t>4.</w:t>
      </w:r>
      <w:r w:rsidRPr="00162BF9">
        <w:tab/>
      </w:r>
      <w:r w:rsidR="00D901B8" w:rsidRPr="008B7369">
        <w:rPr>
          <w:i/>
        </w:rPr>
        <w:t>Also</w:t>
      </w:r>
      <w:r w:rsidR="00D901B8" w:rsidRPr="0007030A">
        <w:rPr>
          <w:i/>
        </w:rPr>
        <w:t xml:space="preserve"> encourages</w:t>
      </w:r>
      <w:r w:rsidR="00D901B8" w:rsidRPr="00162BF9">
        <w:t xml:space="preserve"> Parties to continue making use of the Sixth Assessment Report to inform their discussions under relevant agenda items;</w:t>
      </w:r>
    </w:p>
    <w:p w14:paraId="6C560A4A" w14:textId="28E0A698" w:rsidR="00D901B8" w:rsidRPr="00162BF9" w:rsidRDefault="00F31153" w:rsidP="00F31153">
      <w:pPr>
        <w:pStyle w:val="RegSingleTxtG"/>
        <w:ind w:left="1134"/>
      </w:pPr>
      <w:r w:rsidRPr="00162BF9">
        <w:t>5.</w:t>
      </w:r>
      <w:r w:rsidRPr="00162BF9">
        <w:tab/>
      </w:r>
      <w:r w:rsidR="00D901B8" w:rsidRPr="0075051C">
        <w:rPr>
          <w:i/>
        </w:rPr>
        <w:t>Further</w:t>
      </w:r>
      <w:r w:rsidR="00D901B8" w:rsidRPr="0007030A">
        <w:rPr>
          <w:i/>
        </w:rPr>
        <w:t xml:space="preserve"> encourages</w:t>
      </w:r>
      <w:r w:rsidR="00D901B8" w:rsidRPr="00162BF9">
        <w:t xml:space="preserve"> Parties to continue drawing on the information in the Sixth Assessment Report to inform national climate policies and action plans, as appropriate;</w:t>
      </w:r>
    </w:p>
    <w:p w14:paraId="3BD5AB39" w14:textId="040AAECD" w:rsidR="00D901B8" w:rsidRPr="00162BF9" w:rsidRDefault="00F31153" w:rsidP="00F31153">
      <w:pPr>
        <w:pStyle w:val="RegSingleTxtG"/>
        <w:ind w:left="1134"/>
      </w:pPr>
      <w:r w:rsidRPr="00162BF9">
        <w:t>6.</w:t>
      </w:r>
      <w:r w:rsidRPr="00162BF9">
        <w:tab/>
      </w:r>
      <w:r w:rsidR="00D901B8" w:rsidRPr="00B82B73">
        <w:rPr>
          <w:i/>
        </w:rPr>
        <w:t>Invites</w:t>
      </w:r>
      <w:r w:rsidR="00D901B8" w:rsidRPr="00162BF9">
        <w:t xml:space="preserve"> the Intergovernmental Panel on Climate Change to continue providing relevant information to Parties on the scientific, technical and socioeconomic aspects of climate change and to take into account, in determining its future products and assessment cycles, work under the Convention and the Paris Agreement;</w:t>
      </w:r>
    </w:p>
    <w:p w14:paraId="0F168ABE" w14:textId="331D3F1B" w:rsidR="00C118E2" w:rsidRDefault="00F31153" w:rsidP="00F31153">
      <w:pPr>
        <w:pStyle w:val="RegSingleTxtG"/>
        <w:ind w:left="1134"/>
      </w:pPr>
      <w:r>
        <w:t>7.</w:t>
      </w:r>
      <w:r>
        <w:tab/>
      </w:r>
      <w:r w:rsidR="00D901B8" w:rsidRPr="00B82B73">
        <w:rPr>
          <w:i/>
        </w:rPr>
        <w:t>Encourages</w:t>
      </w:r>
      <w:r w:rsidR="00D901B8" w:rsidRPr="00162BF9">
        <w:t xml:space="preserve"> Parties to continue supporting the work of the Intergovernmental Panel on Climate Change.</w:t>
      </w:r>
    </w:p>
    <w:p w14:paraId="3E24A7D4" w14:textId="56E6EF3F" w:rsidR="00DF7652" w:rsidRPr="000F6262" w:rsidRDefault="00C277E3" w:rsidP="0007030A">
      <w:pPr>
        <w:tabs>
          <w:tab w:val="left" w:pos="1701"/>
        </w:tabs>
        <w:spacing w:line="20" w:lineRule="atLeast"/>
        <w:ind w:left="1134" w:right="1134"/>
        <w:jc w:val="right"/>
        <w:rPr>
          <w:i/>
          <w:iCs/>
        </w:rPr>
      </w:pPr>
      <w:r>
        <w:rPr>
          <w:i/>
          <w:iCs/>
        </w:rPr>
        <w:t>5</w:t>
      </w:r>
      <w:r w:rsidRPr="00C277E3">
        <w:rPr>
          <w:i/>
          <w:iCs/>
          <w:vertAlign w:val="superscript"/>
        </w:rPr>
        <w:t>th</w:t>
      </w:r>
      <w:r>
        <w:rPr>
          <w:i/>
          <w:iCs/>
        </w:rPr>
        <w:t xml:space="preserve"> </w:t>
      </w:r>
      <w:r w:rsidR="00DF7652" w:rsidRPr="000F6262">
        <w:rPr>
          <w:i/>
          <w:iCs/>
        </w:rPr>
        <w:t>plenary meeting</w:t>
      </w:r>
    </w:p>
    <w:p w14:paraId="1F475193" w14:textId="4FDC2DE2" w:rsidR="00DF7652" w:rsidRPr="000F6262" w:rsidRDefault="00DF7652" w:rsidP="0007030A">
      <w:pPr>
        <w:tabs>
          <w:tab w:val="left" w:pos="1701"/>
        </w:tabs>
        <w:spacing w:line="20" w:lineRule="atLeast"/>
        <w:ind w:left="1134" w:right="1134"/>
        <w:jc w:val="right"/>
        <w:rPr>
          <w:i/>
          <w:iCs/>
        </w:rPr>
      </w:pPr>
      <w:r w:rsidRPr="000F6262">
        <w:rPr>
          <w:i/>
          <w:iCs/>
        </w:rPr>
        <w:t>1</w:t>
      </w:r>
      <w:r w:rsidR="00C277E3">
        <w:rPr>
          <w:i/>
          <w:iCs/>
        </w:rPr>
        <w:t>1</w:t>
      </w:r>
      <w:r w:rsidRPr="000F6262">
        <w:rPr>
          <w:i/>
          <w:iCs/>
        </w:rPr>
        <w:t xml:space="preserve"> December 2023</w:t>
      </w:r>
    </w:p>
    <w:bookmarkEnd w:id="73"/>
    <w:p w14:paraId="0E113AEA" w14:textId="77777777" w:rsidR="00DF7652" w:rsidRDefault="00DF7652" w:rsidP="00DF7652">
      <w:pPr>
        <w:pStyle w:val="EndnoteText"/>
        <w:tabs>
          <w:tab w:val="clear" w:pos="1021"/>
        </w:tabs>
        <w:spacing w:after="180" w:line="200" w:lineRule="exact"/>
        <w:ind w:firstLine="142"/>
        <w:rPr>
          <w:i w:val="0"/>
        </w:rPr>
      </w:pPr>
    </w:p>
    <w:p w14:paraId="11DD63E3" w14:textId="77777777" w:rsidR="00DF7652" w:rsidRPr="00162BF9" w:rsidRDefault="00DF7652" w:rsidP="0002593E">
      <w:pPr>
        <w:pStyle w:val="RegSingleTxtG"/>
        <w:ind w:left="1134"/>
      </w:pPr>
    </w:p>
    <w:p w14:paraId="6164DB9E" w14:textId="77777777" w:rsidR="00955BDC" w:rsidRDefault="00955BDC" w:rsidP="00535F63">
      <w:pPr>
        <w:pStyle w:val="RegSingleTxtG"/>
        <w:tabs>
          <w:tab w:val="clear" w:pos="1701"/>
        </w:tabs>
        <w:ind w:left="1134"/>
        <w:sectPr w:rsidR="00955BDC" w:rsidSect="00017F7D">
          <w:headerReference w:type="even" r:id="rId35"/>
          <w:headerReference w:type="default" r:id="rId36"/>
          <w:footerReference w:type="even" r:id="rId37"/>
          <w:footerReference w:type="default" r:id="rId38"/>
          <w:pgSz w:w="11906" w:h="16838" w:code="9"/>
          <w:pgMar w:top="1417" w:right="1134" w:bottom="1134" w:left="1134" w:header="850" w:footer="567" w:gutter="0"/>
          <w:cols w:space="708"/>
          <w:docGrid w:linePitch="360"/>
        </w:sectPr>
      </w:pPr>
    </w:p>
    <w:p w14:paraId="1B875B5F" w14:textId="51B0940A" w:rsidR="00FC0A72" w:rsidRDefault="00FC0A72" w:rsidP="00F31153">
      <w:pPr>
        <w:pStyle w:val="RegHChG"/>
        <w:ind w:left="1135" w:hanging="454"/>
      </w:pPr>
      <w:bookmarkStart w:id="77" w:name="_Toc161286226"/>
      <w:bookmarkStart w:id="78" w:name="_Toc161242645"/>
      <w:r w:rsidRPr="00FC0A72">
        <w:lastRenderedPageBreak/>
        <w:t>Decision 21/CMA.5</w:t>
      </w:r>
      <w:bookmarkEnd w:id="77"/>
      <w:bookmarkEnd w:id="78"/>
    </w:p>
    <w:p w14:paraId="32C9049C" w14:textId="48B1924B" w:rsidR="009169AF" w:rsidRDefault="009169AF" w:rsidP="00F31153">
      <w:pPr>
        <w:pStyle w:val="RegHChG"/>
        <w:ind w:left="1135" w:hanging="454"/>
      </w:pPr>
      <w:bookmarkStart w:id="79" w:name="_Toc161286227"/>
      <w:bookmarkStart w:id="80" w:name="_Toc161242646"/>
      <w:r>
        <w:t>Presidency youth climate champion</w:t>
      </w:r>
      <w:bookmarkEnd w:id="79"/>
      <w:bookmarkEnd w:id="80"/>
    </w:p>
    <w:p w14:paraId="64C297E1" w14:textId="5001F2F2" w:rsidR="009169AF" w:rsidRPr="0007030A" w:rsidRDefault="00980408" w:rsidP="006C5FB8">
      <w:pPr>
        <w:pStyle w:val="RegSingleTxtG"/>
        <w:ind w:left="1134"/>
      </w:pPr>
      <w:r>
        <w:rPr>
          <w:i/>
          <w:iCs/>
        </w:rPr>
        <w:tab/>
      </w:r>
      <w:r w:rsidR="009169AF" w:rsidRPr="008D07EF">
        <w:rPr>
          <w:i/>
          <w:iCs/>
        </w:rPr>
        <w:t>The Conference of the Parties</w:t>
      </w:r>
      <w:r w:rsidR="009169AF">
        <w:rPr>
          <w:i/>
          <w:iCs/>
        </w:rPr>
        <w:t xml:space="preserve"> and the </w:t>
      </w:r>
      <w:r w:rsidR="009169AF" w:rsidRPr="00A46A1B">
        <w:rPr>
          <w:i/>
          <w:iCs/>
        </w:rPr>
        <w:t>Conference of the Parties serving as the meeting of the Parties to the Paris Agreement</w:t>
      </w:r>
      <w:r w:rsidR="009169AF" w:rsidRPr="0063411F">
        <w:t>,</w:t>
      </w:r>
    </w:p>
    <w:p w14:paraId="18499052" w14:textId="18EC492E" w:rsidR="009169AF" w:rsidRDefault="00980408" w:rsidP="00980408">
      <w:pPr>
        <w:pStyle w:val="RegSingleTxtG"/>
        <w:ind w:left="1134"/>
      </w:pPr>
      <w:r>
        <w:rPr>
          <w:i/>
          <w:iCs/>
        </w:rPr>
        <w:tab/>
      </w:r>
      <w:r w:rsidR="009169AF" w:rsidRPr="1C1CF977">
        <w:rPr>
          <w:i/>
          <w:iCs/>
        </w:rPr>
        <w:t>Recalling</w:t>
      </w:r>
      <w:r w:rsidR="009169AF">
        <w:t xml:space="preserve"> decisions 1/CP.26, 18/CP.26, 1/CP.27, 23/CP.27, 17/CMA.1, 22/CMA.3 and 22/CMA.4,</w:t>
      </w:r>
    </w:p>
    <w:p w14:paraId="59325DBF" w14:textId="513681C5" w:rsidR="009169AF" w:rsidRPr="00806F7F" w:rsidRDefault="00F31153" w:rsidP="00F31153">
      <w:pPr>
        <w:pStyle w:val="RegSingleTxtG"/>
        <w:tabs>
          <w:tab w:val="clear" w:pos="1701"/>
        </w:tabs>
        <w:ind w:left="1134"/>
      </w:pPr>
      <w:r w:rsidRPr="00806F7F">
        <w:t>1.</w:t>
      </w:r>
      <w:r w:rsidRPr="00806F7F">
        <w:tab/>
      </w:r>
      <w:r w:rsidR="009169AF" w:rsidRPr="00070531">
        <w:rPr>
          <w:i/>
          <w:iCs/>
        </w:rPr>
        <w:t>Reiterate</w:t>
      </w:r>
      <w:r w:rsidR="009169AF" w:rsidRPr="00822C12">
        <w:t xml:space="preserve"> </w:t>
      </w:r>
      <w:r w:rsidR="009169AF">
        <w:t>their</w:t>
      </w:r>
      <w:r w:rsidR="009169AF" w:rsidRPr="00822C12">
        <w:t xml:space="preserve"> acknowledgement</w:t>
      </w:r>
      <w:r w:rsidR="009169AF" w:rsidRPr="0007030A">
        <w:t xml:space="preserve"> </w:t>
      </w:r>
      <w:r w:rsidR="009169AF" w:rsidRPr="00070531">
        <w:t>of</w:t>
      </w:r>
      <w:r w:rsidR="009169AF" w:rsidRPr="0007030A">
        <w:t xml:space="preserve"> </w:t>
      </w:r>
      <w:r w:rsidR="009169AF" w:rsidRPr="00070531">
        <w:t>the role of children and youth as agents of change in addressing and responding to climate change</w:t>
      </w:r>
      <w:r w:rsidR="009169AF" w:rsidRPr="0007030A">
        <w:t xml:space="preserve"> </w:t>
      </w:r>
      <w:r w:rsidR="009169AF">
        <w:t xml:space="preserve">and </w:t>
      </w:r>
      <w:r w:rsidR="009169AF" w:rsidRPr="00806F7F">
        <w:rPr>
          <w:i/>
          <w:iCs/>
        </w:rPr>
        <w:t>recognize</w:t>
      </w:r>
      <w:r w:rsidR="009169AF">
        <w:t xml:space="preserve"> the opportunity for future Presidencies of the Conference of the Parties and the Conference of the Parties serving as the meeting of the Parties to the Paris Agreement to enhance the meaningful engagement of youth in the UNFCCC process through strengthened engagement on this matter with Parties and non-Party stakeholders, in particular the official children and youth constituency </w:t>
      </w:r>
      <w:r w:rsidR="003118D6">
        <w:t xml:space="preserve">of the UNFCCC </w:t>
      </w:r>
      <w:r w:rsidR="009169AF">
        <w:t>and youth within all other non-governmental organization constituencies of the UNFCCC;</w:t>
      </w:r>
    </w:p>
    <w:p w14:paraId="7C435EEB" w14:textId="78C5A421" w:rsidR="009169AF" w:rsidRDefault="00F31153" w:rsidP="00F31153">
      <w:pPr>
        <w:pStyle w:val="RegSingleTxtG"/>
        <w:ind w:left="1134"/>
      </w:pPr>
      <w:r>
        <w:t>2.</w:t>
      </w:r>
      <w:r>
        <w:tab/>
      </w:r>
      <w:r w:rsidR="009169AF" w:rsidRPr="00F63A07">
        <w:rPr>
          <w:i/>
          <w:iCs/>
        </w:rPr>
        <w:t>Note</w:t>
      </w:r>
      <w:r w:rsidR="009169AF">
        <w:t xml:space="preserve"> the outcomes of the eighteenth Conference of Youth, organized by the official children and youth constituency of the UNFCCC and held in Dubai in November 2023, which were informed by local and regional conferences of youth;</w:t>
      </w:r>
    </w:p>
    <w:p w14:paraId="3F9D6B36" w14:textId="33986774" w:rsidR="009169AF" w:rsidRDefault="00F31153" w:rsidP="00F31153">
      <w:pPr>
        <w:pStyle w:val="RegSingleTxtG"/>
        <w:ind w:left="1170"/>
      </w:pPr>
      <w:r>
        <w:t>3.</w:t>
      </w:r>
      <w:r>
        <w:tab/>
      </w:r>
      <w:r w:rsidR="009169AF" w:rsidRPr="0022063B">
        <w:rPr>
          <w:i/>
          <w:iCs/>
        </w:rPr>
        <w:t>Welcome</w:t>
      </w:r>
      <w:r w:rsidR="009169AF">
        <w:t xml:space="preserve"> the appointment by the Presidency of the twenty-seventh session of the Conference of the Parties and the fourth session of the Conference of the Parties serving as the meeting of the Parties to the Paris Agreement of the first youth envoy of a Presidency of the Conference of the Parties;</w:t>
      </w:r>
    </w:p>
    <w:p w14:paraId="1526CA9D" w14:textId="7243F199" w:rsidR="009169AF" w:rsidRPr="009D3655" w:rsidRDefault="00F31153" w:rsidP="00F31153">
      <w:pPr>
        <w:pStyle w:val="RegSingleTxtG"/>
        <w:tabs>
          <w:tab w:val="clear" w:pos="1701"/>
        </w:tabs>
        <w:ind w:left="1134"/>
      </w:pPr>
      <w:r w:rsidRPr="009D3655">
        <w:t>4.</w:t>
      </w:r>
      <w:r w:rsidRPr="009D3655">
        <w:tab/>
      </w:r>
      <w:r w:rsidR="009169AF" w:rsidRPr="009D3655">
        <w:rPr>
          <w:i/>
          <w:iCs/>
        </w:rPr>
        <w:t>Also welcome</w:t>
      </w:r>
      <w:r w:rsidR="009169AF" w:rsidRPr="009D3655">
        <w:t xml:space="preserve"> the initiative of the Presidency of the twenty-eighth session of the Conference of the Parties</w:t>
      </w:r>
      <w:r w:rsidR="009169AF">
        <w:t xml:space="preserve"> and the fifth session of the Conference of the Parties serving as the meeting of the Parties to the Paris Agreement in</w:t>
      </w:r>
      <w:r w:rsidR="009169AF" w:rsidRPr="009D3655">
        <w:t xml:space="preserve"> appointing </w:t>
      </w:r>
      <w:r w:rsidR="009169AF">
        <w:t xml:space="preserve">a </w:t>
      </w:r>
      <w:r w:rsidR="009169AF" w:rsidRPr="009D3655">
        <w:t>youth climate champion</w:t>
      </w:r>
      <w:r w:rsidR="009169AF">
        <w:t>,</w:t>
      </w:r>
      <w:r w:rsidR="009169AF" w:rsidRPr="009D3655">
        <w:t xml:space="preserve"> </w:t>
      </w:r>
      <w:r w:rsidR="009169AF">
        <w:t xml:space="preserve">who </w:t>
      </w:r>
      <w:r w:rsidR="009169AF" w:rsidRPr="009D3655">
        <w:t>has furthered the meaningful engagement of children and youth in climate action</w:t>
      </w:r>
      <w:r w:rsidR="009169AF">
        <w:t>,</w:t>
      </w:r>
      <w:r w:rsidR="009169AF" w:rsidRPr="009D3655">
        <w:t xml:space="preserve"> </w:t>
      </w:r>
      <w:r w:rsidR="009169AF">
        <w:t>including with</w:t>
      </w:r>
      <w:r w:rsidR="009169AF" w:rsidRPr="009D3655">
        <w:t>in the UNFCCC process;</w:t>
      </w:r>
    </w:p>
    <w:p w14:paraId="0C37B444" w14:textId="2B36D988" w:rsidR="009169AF" w:rsidRPr="009D3655" w:rsidRDefault="00F31153" w:rsidP="00F31153">
      <w:pPr>
        <w:pStyle w:val="RegSingleTxtG"/>
        <w:tabs>
          <w:tab w:val="clear" w:pos="1701"/>
        </w:tabs>
        <w:ind w:left="1134"/>
      </w:pPr>
      <w:r w:rsidRPr="009D3655">
        <w:t>5.</w:t>
      </w:r>
      <w:r w:rsidRPr="009D3655">
        <w:tab/>
      </w:r>
      <w:r w:rsidR="009169AF" w:rsidRPr="00B260A2">
        <w:rPr>
          <w:i/>
          <w:iCs/>
        </w:rPr>
        <w:t xml:space="preserve">Recognize </w:t>
      </w:r>
      <w:r w:rsidR="009169AF" w:rsidRPr="009D3655">
        <w:t>the initiative of the Presidency of the twenty-eighth session of the Conference of the Parties</w:t>
      </w:r>
      <w:r w:rsidR="009169AF">
        <w:t xml:space="preserve"> and the fifth session of the Conference of the Parties serving as the meeting of the Parties to the Paris Agreement</w:t>
      </w:r>
      <w:r w:rsidR="009169AF" w:rsidRPr="009D3655">
        <w:t xml:space="preserve"> </w:t>
      </w:r>
      <w:r w:rsidR="009169AF">
        <w:t>in</w:t>
      </w:r>
      <w:r w:rsidR="009169AF" w:rsidRPr="009D3655">
        <w:t xml:space="preserve"> support</w:t>
      </w:r>
      <w:r w:rsidR="009169AF">
        <w:t>ing</w:t>
      </w:r>
      <w:r w:rsidR="009169AF" w:rsidRPr="009D3655">
        <w:t xml:space="preserve"> youth-led engagement, including </w:t>
      </w:r>
      <w:r w:rsidR="009169AF">
        <w:t xml:space="preserve">by </w:t>
      </w:r>
      <w:r w:rsidR="009169AF" w:rsidRPr="009D3655">
        <w:t xml:space="preserve">co-organizing the children and youth pavilion, the Dubai </w:t>
      </w:r>
      <w:r w:rsidR="009169AF">
        <w:t>y</w:t>
      </w:r>
      <w:r w:rsidR="009169AF" w:rsidRPr="009D3655">
        <w:t xml:space="preserve">outh </w:t>
      </w:r>
      <w:r w:rsidR="009169AF">
        <w:t>c</w:t>
      </w:r>
      <w:r w:rsidR="009169AF" w:rsidRPr="009D3655">
        <w:t xml:space="preserve">limate </w:t>
      </w:r>
      <w:r w:rsidR="009169AF">
        <w:t>d</w:t>
      </w:r>
      <w:r w:rsidR="009169AF" w:rsidRPr="009D3655">
        <w:t xml:space="preserve">ialogue and the </w:t>
      </w:r>
      <w:r w:rsidR="009169AF">
        <w:t>i</w:t>
      </w:r>
      <w:r w:rsidR="009169AF" w:rsidRPr="009D3655">
        <w:t xml:space="preserve">nternational Indigenous </w:t>
      </w:r>
      <w:r w:rsidR="009169AF">
        <w:t>y</w:t>
      </w:r>
      <w:r w:rsidR="009169AF" w:rsidRPr="009D3655">
        <w:t xml:space="preserve">outh </w:t>
      </w:r>
      <w:r w:rsidR="009169AF">
        <w:t>f</w:t>
      </w:r>
      <w:r w:rsidR="009169AF" w:rsidRPr="009D3655">
        <w:t xml:space="preserve">orum on </w:t>
      </w:r>
      <w:r w:rsidR="009169AF">
        <w:t>c</w:t>
      </w:r>
      <w:r w:rsidR="009169AF" w:rsidRPr="009D3655">
        <w:t xml:space="preserve">limate </w:t>
      </w:r>
      <w:r w:rsidR="009169AF">
        <w:t>c</w:t>
      </w:r>
      <w:r w:rsidR="009169AF" w:rsidRPr="009D3655">
        <w:t>hange, held at the same session</w:t>
      </w:r>
      <w:r w:rsidR="009169AF">
        <w:t>s</w:t>
      </w:r>
      <w:r w:rsidR="009169AF" w:rsidRPr="009D3655">
        <w:t>;</w:t>
      </w:r>
    </w:p>
    <w:p w14:paraId="500B5644" w14:textId="22582958" w:rsidR="009169AF" w:rsidRPr="00BF00AD" w:rsidRDefault="00F31153" w:rsidP="00F31153">
      <w:pPr>
        <w:pStyle w:val="RegSingleTxtG"/>
        <w:tabs>
          <w:tab w:val="clear" w:pos="1701"/>
        </w:tabs>
        <w:ind w:left="1134"/>
      </w:pPr>
      <w:r w:rsidRPr="00BF00AD">
        <w:t>6.</w:t>
      </w:r>
      <w:r w:rsidRPr="00BF00AD">
        <w:tab/>
      </w:r>
      <w:r w:rsidR="009169AF" w:rsidRPr="00D87D8A">
        <w:rPr>
          <w:i/>
          <w:iCs/>
        </w:rPr>
        <w:t>Decide</w:t>
      </w:r>
      <w:r w:rsidR="009169AF">
        <w:t xml:space="preserve"> that a youth climate champion between the ages of 18 and 35 will be appointed to act on behalf of the Presidency of the Conference of the Parties and the Conference of the Parties serving as the meeting of the Parties to the Paris Agreement to facilitate the enhancement of the meaningful, inclusive engagement of youth in climate action, including within the UNFCCC process; </w:t>
      </w:r>
    </w:p>
    <w:p w14:paraId="5DF94611" w14:textId="286AC018" w:rsidR="009169AF" w:rsidRPr="00A071F0" w:rsidRDefault="00F31153" w:rsidP="00F31153">
      <w:pPr>
        <w:pStyle w:val="RegSingleTxtG"/>
        <w:tabs>
          <w:tab w:val="clear" w:pos="1701"/>
        </w:tabs>
        <w:ind w:left="1134"/>
      </w:pPr>
      <w:r w:rsidRPr="00A071F0">
        <w:t>7.</w:t>
      </w:r>
      <w:r w:rsidRPr="00A071F0">
        <w:tab/>
      </w:r>
      <w:r w:rsidR="009169AF" w:rsidRPr="00A45432">
        <w:rPr>
          <w:i/>
          <w:iCs/>
        </w:rPr>
        <w:t>Request</w:t>
      </w:r>
      <w:r w:rsidR="009169AF">
        <w:t xml:space="preserve"> each incoming Presidency of the Conference of the Parties and the Conference of the Parties serving as the meeting of the Parties to the Paris Agreement to</w:t>
      </w:r>
      <w:r w:rsidR="009169AF">
        <w:rPr>
          <w:rFonts w:ascii="Batang" w:eastAsia="Batang" w:hAnsi="Batang" w:cs="Batang" w:hint="eastAsia"/>
          <w:lang w:eastAsia="ko-KR"/>
        </w:rPr>
        <w:t xml:space="preserve"> </w:t>
      </w:r>
      <w:r w:rsidR="009169AF">
        <w:t xml:space="preserve">confirm its appointee </w:t>
      </w:r>
      <w:r w:rsidR="009169AF" w:rsidRPr="00A071F0">
        <w:t>for</w:t>
      </w:r>
      <w:r w:rsidR="009169AF">
        <w:t xml:space="preserve"> Presidency</w:t>
      </w:r>
      <w:r w:rsidR="009169AF" w:rsidRPr="00A071F0">
        <w:t xml:space="preserve"> </w:t>
      </w:r>
      <w:r w:rsidR="009169AF">
        <w:t xml:space="preserve">youth climate champion </w:t>
      </w:r>
      <w:r w:rsidR="009169AF" w:rsidRPr="00A071F0">
        <w:t>for a term</w:t>
      </w:r>
      <w:r w:rsidR="009169AF">
        <w:t xml:space="preserve"> of up to two years, with the outgoing Presidency youth climate champion using the second year of the term to support the champion appointed by the incoming Presidency</w:t>
      </w:r>
      <w:r w:rsidR="009169AF" w:rsidRPr="00A071F0">
        <w:t>;</w:t>
      </w:r>
    </w:p>
    <w:p w14:paraId="3F01F270" w14:textId="60794C23" w:rsidR="009169AF" w:rsidRDefault="00F31153" w:rsidP="00F31153">
      <w:pPr>
        <w:pStyle w:val="RegSingleTxtG"/>
        <w:tabs>
          <w:tab w:val="clear" w:pos="1701"/>
        </w:tabs>
        <w:ind w:left="1134"/>
      </w:pPr>
      <w:bookmarkStart w:id="81" w:name="_Ref156210899"/>
      <w:r>
        <w:t>8.</w:t>
      </w:r>
      <w:r>
        <w:tab/>
      </w:r>
      <w:r w:rsidR="009169AF">
        <w:rPr>
          <w:i/>
          <w:iCs/>
        </w:rPr>
        <w:t>Also r</w:t>
      </w:r>
      <w:r w:rsidR="009169AF" w:rsidRPr="00B72E42">
        <w:rPr>
          <w:i/>
          <w:iCs/>
        </w:rPr>
        <w:t>equest</w:t>
      </w:r>
      <w:r w:rsidR="009169AF">
        <w:t xml:space="preserve"> each incoming Presidency of the Conference of the Parties and the Conference of the Parties serving as the meeting of the Parties to the Paris Agreement to provide direction to the Presidency youth climate champion, with advice from the secretariat, including guidance on avoiding duplication with the work and activities of the official children and youth </w:t>
      </w:r>
      <w:r w:rsidR="009169AF" w:rsidRPr="0089675A">
        <w:t>constituency</w:t>
      </w:r>
      <w:r w:rsidR="009169AF">
        <w:t xml:space="preserve"> of the UNFCCC,</w:t>
      </w:r>
      <w:r w:rsidR="009169AF" w:rsidRPr="0089675A">
        <w:t xml:space="preserve"> whil</w:t>
      </w:r>
      <w:r w:rsidR="009169AF">
        <w:t>e</w:t>
      </w:r>
      <w:r w:rsidR="009169AF" w:rsidRPr="0089675A">
        <w:t xml:space="preserve"> </w:t>
      </w:r>
      <w:r w:rsidR="009169AF">
        <w:t>respecting</w:t>
      </w:r>
      <w:r w:rsidR="009169AF" w:rsidRPr="0089675A">
        <w:t xml:space="preserve"> the independent role of the constituency and support</w:t>
      </w:r>
      <w:r w:rsidR="009169AF">
        <w:t>ing</w:t>
      </w:r>
      <w:r w:rsidR="009169AF" w:rsidRPr="0089675A">
        <w:t xml:space="preserve"> the implementation of</w:t>
      </w:r>
      <w:r w:rsidR="009169AF">
        <w:t xml:space="preserve"> decisions of the Conference of the Parties and the Conference of the Parties serving as the meeting of the Parties to the Paris Agreement on matters related to children and youth in the UNFCCC process, including in relation to the matters referred to in paragraphs </w:t>
      </w:r>
      <w:bookmarkEnd w:id="81"/>
      <w:r w:rsidR="00825408">
        <w:rPr>
          <w:cs/>
        </w:rPr>
        <w:t>‎</w:t>
      </w:r>
      <w:r w:rsidR="00825408">
        <w:t>10</w:t>
      </w:r>
      <w:r w:rsidR="009169AF">
        <w:t>–</w:t>
      </w:r>
      <w:r w:rsidR="00825408">
        <w:rPr>
          <w:cs/>
        </w:rPr>
        <w:t>‎</w:t>
      </w:r>
      <w:r w:rsidR="00825408">
        <w:t>12 below</w:t>
      </w:r>
      <w:r w:rsidR="009169AF">
        <w:t xml:space="preserve">; </w:t>
      </w:r>
    </w:p>
    <w:p w14:paraId="48BE7A9E" w14:textId="79E1A4B9" w:rsidR="009169AF" w:rsidRDefault="00F31153" w:rsidP="00F31153">
      <w:pPr>
        <w:pStyle w:val="RegSingleTxtG"/>
        <w:tabs>
          <w:tab w:val="clear" w:pos="1701"/>
        </w:tabs>
        <w:ind w:left="1134"/>
      </w:pPr>
      <w:bookmarkStart w:id="82" w:name="_Ref156210901"/>
      <w:r>
        <w:lastRenderedPageBreak/>
        <w:t>9.</w:t>
      </w:r>
      <w:r>
        <w:tab/>
      </w:r>
      <w:r w:rsidR="009169AF">
        <w:rPr>
          <w:i/>
          <w:iCs/>
        </w:rPr>
        <w:t>Further</w:t>
      </w:r>
      <w:r w:rsidR="009169AF" w:rsidRPr="00EF0E14">
        <w:rPr>
          <w:i/>
          <w:iCs/>
        </w:rPr>
        <w:t xml:space="preserve"> request</w:t>
      </w:r>
      <w:r w:rsidR="009169AF">
        <w:t xml:space="preserve"> the secretariat to provide support, as appropriate, to each Presidency youth climate champion, in partnership with interested United Nations entities and in alignment with </w:t>
      </w:r>
      <w:r w:rsidR="009169AF" w:rsidRPr="002B0CF2">
        <w:t xml:space="preserve">decisions </w:t>
      </w:r>
      <w:r w:rsidR="009169AF">
        <w:t>of the Conference of the Parties and the Conference of the Parties serving as the meeting of the Parties to the Paris Agreement</w:t>
      </w:r>
      <w:r w:rsidR="00AE5739">
        <w:t>,</w:t>
      </w:r>
      <w:r w:rsidR="009169AF" w:rsidRPr="002B0CF2">
        <w:t xml:space="preserve"> on matters</w:t>
      </w:r>
      <w:r w:rsidR="009169AF" w:rsidRPr="0007030A">
        <w:t xml:space="preserve"> </w:t>
      </w:r>
      <w:r w:rsidR="009169AF">
        <w:t>related to children and youth in the UNFCCC process;</w:t>
      </w:r>
      <w:bookmarkEnd w:id="82"/>
    </w:p>
    <w:p w14:paraId="4E72E7A0" w14:textId="0261B822" w:rsidR="009169AF" w:rsidRDefault="00F31153" w:rsidP="00F31153">
      <w:pPr>
        <w:pStyle w:val="RegSingleTxtG"/>
        <w:tabs>
          <w:tab w:val="clear" w:pos="1701"/>
        </w:tabs>
        <w:ind w:left="1134"/>
      </w:pPr>
      <w:bookmarkStart w:id="83" w:name="_Ref156197486"/>
      <w:r>
        <w:t>10.</w:t>
      </w:r>
      <w:r>
        <w:tab/>
      </w:r>
      <w:r w:rsidR="009169AF" w:rsidRPr="00596677">
        <w:rPr>
          <w:i/>
          <w:iCs/>
        </w:rPr>
        <w:t>Urge</w:t>
      </w:r>
      <w:r w:rsidR="009169AF">
        <w:t xml:space="preserve"> the Presidency youth climate champion to facilitate the meaningful engagement of children and youth in climate action, including within the UNFCCC process, including by supporting, where relevant and as appropriate, the implementation of activities under the work programmes of the Conference of the Parties and the Conference of the Parties serving as the meeting of the Parties to the Paris Agreement and the Global Climate Action Agenda, engaging in local and regional conferences of youth and engaging with youth within all non</w:t>
      </w:r>
      <w:r w:rsidR="009169AF">
        <w:noBreakHyphen/>
        <w:t>governmental organization constituencies of the UNFCCC and youth who are part of national delegations to United Nations climate change conferences;</w:t>
      </w:r>
      <w:bookmarkEnd w:id="83"/>
    </w:p>
    <w:p w14:paraId="292CB201" w14:textId="23FB7FC7" w:rsidR="009169AF" w:rsidRDefault="00F31153" w:rsidP="00F31153">
      <w:pPr>
        <w:pStyle w:val="RegSingleTxtG"/>
        <w:tabs>
          <w:tab w:val="clear" w:pos="1701"/>
        </w:tabs>
        <w:ind w:left="1134"/>
      </w:pPr>
      <w:r>
        <w:t>11.</w:t>
      </w:r>
      <w:r>
        <w:tab/>
      </w:r>
      <w:r w:rsidR="009169AF" w:rsidRPr="00E65F63">
        <w:rPr>
          <w:i/>
          <w:iCs/>
        </w:rPr>
        <w:t>Encourage</w:t>
      </w:r>
      <w:r w:rsidR="009169AF" w:rsidRPr="00E65F63">
        <w:t xml:space="preserve"> the Chairs of the </w:t>
      </w:r>
      <w:r w:rsidR="009169AF">
        <w:t>s</w:t>
      </w:r>
      <w:r w:rsidR="009169AF" w:rsidRPr="00E65F63">
        <w:t xml:space="preserve">ubsidiary </w:t>
      </w:r>
      <w:r w:rsidR="009169AF">
        <w:t>b</w:t>
      </w:r>
      <w:r w:rsidR="009169AF" w:rsidRPr="00E65F63">
        <w:t xml:space="preserve">odies and </w:t>
      </w:r>
      <w:r w:rsidR="009169AF">
        <w:t xml:space="preserve">the Chairs of the UNFCCC </w:t>
      </w:r>
      <w:r w:rsidR="009169AF" w:rsidRPr="00E65F63">
        <w:t xml:space="preserve">constituted bodies to invite the </w:t>
      </w:r>
      <w:r w:rsidR="009169AF">
        <w:t xml:space="preserve">Presidency </w:t>
      </w:r>
      <w:r w:rsidR="009169AF" w:rsidRPr="00E65F63">
        <w:t>youth climate champion</w:t>
      </w:r>
      <w:r w:rsidR="009169AF">
        <w:t>, whose role is</w:t>
      </w:r>
      <w:r w:rsidR="009169AF" w:rsidRPr="00E65F63">
        <w:t xml:space="preserve"> to </w:t>
      </w:r>
      <w:r w:rsidR="009169AF">
        <w:t xml:space="preserve">facilitate the meaningful engagement of children and youth in climate action, including within the UNFCCC process, </w:t>
      </w:r>
      <w:r w:rsidR="009169AF" w:rsidRPr="00E65F63">
        <w:t xml:space="preserve">to </w:t>
      </w:r>
      <w:r w:rsidR="009169AF">
        <w:t>attend</w:t>
      </w:r>
      <w:r w:rsidR="009169AF" w:rsidRPr="00E65F63">
        <w:t xml:space="preserve"> </w:t>
      </w:r>
      <w:r w:rsidR="009169AF">
        <w:t>the</w:t>
      </w:r>
      <w:r w:rsidR="009169AF" w:rsidRPr="00E65F63">
        <w:t xml:space="preserve"> sessions and meetings </w:t>
      </w:r>
      <w:r w:rsidR="009169AF">
        <w:t>of those bodies, as appropriate</w:t>
      </w:r>
      <w:r w:rsidR="009169AF" w:rsidRPr="00E65F63">
        <w:t>;</w:t>
      </w:r>
    </w:p>
    <w:p w14:paraId="32B591C7" w14:textId="0724A5DB" w:rsidR="009169AF" w:rsidRDefault="00F31153" w:rsidP="00F31153">
      <w:pPr>
        <w:pStyle w:val="RegSingleTxtG"/>
        <w:tabs>
          <w:tab w:val="clear" w:pos="1701"/>
        </w:tabs>
        <w:ind w:left="1134"/>
      </w:pPr>
      <w:bookmarkStart w:id="84" w:name="_Ref156197494"/>
      <w:r>
        <w:t>12.</w:t>
      </w:r>
      <w:r>
        <w:tab/>
      </w:r>
      <w:r w:rsidR="009169AF">
        <w:rPr>
          <w:i/>
          <w:iCs/>
        </w:rPr>
        <w:t>Also e</w:t>
      </w:r>
      <w:r w:rsidR="009169AF" w:rsidRPr="00561D08">
        <w:rPr>
          <w:i/>
          <w:iCs/>
        </w:rPr>
        <w:t>ncourage</w:t>
      </w:r>
      <w:r w:rsidR="009169AF">
        <w:t xml:space="preserve"> all Parties and non-Party stakeholders to invite the Presidency youth climate champion, whose role is</w:t>
      </w:r>
      <w:r w:rsidR="009169AF" w:rsidRPr="00E65F63">
        <w:t xml:space="preserve"> to </w:t>
      </w:r>
      <w:r w:rsidR="009169AF">
        <w:t xml:space="preserve">facilitate the meaningful engagement of children and youth in climate action, including within the UNFCCC process, to </w:t>
      </w:r>
      <w:r w:rsidR="00C33C12">
        <w:t>attend</w:t>
      </w:r>
      <w:r w:rsidR="009169AF">
        <w:t xml:space="preserve"> events that they are hosting at the local, regional, national and international level, including events held during regional climate weeks and as part of multilateral forums;</w:t>
      </w:r>
      <w:bookmarkEnd w:id="84"/>
    </w:p>
    <w:p w14:paraId="7AA648B8" w14:textId="7685D40B" w:rsidR="009169AF" w:rsidRDefault="00F31153" w:rsidP="00F31153">
      <w:pPr>
        <w:pStyle w:val="RegSingleTxtG"/>
        <w:tabs>
          <w:tab w:val="clear" w:pos="1701"/>
        </w:tabs>
        <w:ind w:left="1134"/>
      </w:pPr>
      <w:r>
        <w:t>13.</w:t>
      </w:r>
      <w:r>
        <w:tab/>
      </w:r>
      <w:r w:rsidR="009169AF">
        <w:rPr>
          <w:i/>
          <w:iCs/>
        </w:rPr>
        <w:t xml:space="preserve">Note </w:t>
      </w:r>
      <w:r w:rsidR="009169AF">
        <w:t xml:space="preserve">that this decision does not set a precedent for matters pertaining to future champions or other issues and </w:t>
      </w:r>
      <w:r w:rsidR="009169AF">
        <w:rPr>
          <w:i/>
          <w:iCs/>
        </w:rPr>
        <w:t>emphasize</w:t>
      </w:r>
      <w:r w:rsidR="009169AF">
        <w:t xml:space="preserve"> that any future proposals will be considered on a case-by-case basis; </w:t>
      </w:r>
    </w:p>
    <w:p w14:paraId="5840BB58" w14:textId="13B73556" w:rsidR="009169AF" w:rsidRDefault="00F31153" w:rsidP="00F31153">
      <w:pPr>
        <w:pStyle w:val="RegSingleTxtG"/>
        <w:tabs>
          <w:tab w:val="clear" w:pos="1701"/>
        </w:tabs>
        <w:ind w:left="1134"/>
      </w:pPr>
      <w:r>
        <w:t>14.</w:t>
      </w:r>
      <w:r>
        <w:tab/>
      </w:r>
      <w:r w:rsidR="009169AF" w:rsidRPr="00E65F63">
        <w:rPr>
          <w:i/>
          <w:iCs/>
        </w:rPr>
        <w:t>Take note</w:t>
      </w:r>
      <w:r w:rsidR="009169AF" w:rsidRPr="00E65F63">
        <w:t xml:space="preserve"> of the estimated budgetary implications of the activities to be undertaken by the secretariat referred to in paragraphs </w:t>
      </w:r>
      <w:r w:rsidR="00825408">
        <w:rPr>
          <w:cs/>
        </w:rPr>
        <w:t>‎</w:t>
      </w:r>
      <w:r w:rsidR="00825408">
        <w:t>8–</w:t>
      </w:r>
      <w:r w:rsidR="00825408">
        <w:rPr>
          <w:cs/>
        </w:rPr>
        <w:t>‎</w:t>
      </w:r>
      <w:r w:rsidR="00825408">
        <w:t>9 above</w:t>
      </w:r>
      <w:r w:rsidR="009169AF">
        <w:t>;</w:t>
      </w:r>
    </w:p>
    <w:bookmarkEnd w:id="76"/>
    <w:p w14:paraId="46600C97" w14:textId="5B880E41" w:rsidR="00FC0A72" w:rsidRDefault="00F31153" w:rsidP="00F31153">
      <w:pPr>
        <w:pStyle w:val="RegSingleTxtG"/>
        <w:tabs>
          <w:tab w:val="clear" w:pos="1701"/>
        </w:tabs>
        <w:ind w:left="1134"/>
      </w:pPr>
      <w:r>
        <w:t>15.</w:t>
      </w:r>
      <w:r>
        <w:tab/>
      </w:r>
      <w:r w:rsidR="0015771C">
        <w:rPr>
          <w:i/>
          <w:iCs/>
        </w:rPr>
        <w:t>R</w:t>
      </w:r>
      <w:r w:rsidR="0015771C" w:rsidRPr="00E65F63">
        <w:rPr>
          <w:i/>
          <w:iCs/>
        </w:rPr>
        <w:t>equest</w:t>
      </w:r>
      <w:r w:rsidR="0015771C" w:rsidRPr="00E65F63">
        <w:t xml:space="preserve"> that the actions of the secretariat</w:t>
      </w:r>
      <w:r w:rsidR="0015771C">
        <w:t xml:space="preserve"> </w:t>
      </w:r>
      <w:r w:rsidR="0015771C" w:rsidRPr="00E65F63">
        <w:t xml:space="preserve">called for in this decision </w:t>
      </w:r>
      <w:r w:rsidR="0015771C">
        <w:t>be undertaken subject to the availability of supplementary resources and</w:t>
      </w:r>
      <w:r w:rsidR="0015771C" w:rsidRPr="00605C98">
        <w:rPr>
          <w:i/>
          <w:iCs/>
        </w:rPr>
        <w:t xml:space="preserve"> invite</w:t>
      </w:r>
      <w:r w:rsidR="0015771C">
        <w:t xml:space="preserve"> other sources of funding to provide support for the activities referred to in paragraphs</w:t>
      </w:r>
      <w:r w:rsidR="007A0374">
        <w:t xml:space="preserve"> </w:t>
      </w:r>
      <w:r w:rsidR="00825408">
        <w:rPr>
          <w:cs/>
        </w:rPr>
        <w:t>‎</w:t>
      </w:r>
      <w:r w:rsidR="00825408">
        <w:t>8–</w:t>
      </w:r>
      <w:r w:rsidR="00825408">
        <w:rPr>
          <w:cs/>
        </w:rPr>
        <w:t>‎</w:t>
      </w:r>
      <w:r w:rsidR="00825408">
        <w:t>9 above</w:t>
      </w:r>
      <w:r w:rsidR="0015771C">
        <w:t>.</w:t>
      </w:r>
    </w:p>
    <w:p w14:paraId="475F6A51" w14:textId="50D502F2" w:rsidR="0002593E" w:rsidRPr="000F6262" w:rsidRDefault="00071186" w:rsidP="0007030A">
      <w:pPr>
        <w:tabs>
          <w:tab w:val="left" w:pos="1701"/>
        </w:tabs>
        <w:spacing w:line="20" w:lineRule="atLeast"/>
        <w:ind w:left="1134" w:right="1134"/>
        <w:jc w:val="right"/>
        <w:rPr>
          <w:i/>
          <w:iCs/>
        </w:rPr>
      </w:pPr>
      <w:r>
        <w:rPr>
          <w:i/>
          <w:iCs/>
        </w:rPr>
        <w:t>6</w:t>
      </w:r>
      <w:r w:rsidRPr="00071186">
        <w:rPr>
          <w:i/>
          <w:iCs/>
          <w:vertAlign w:val="superscript"/>
        </w:rPr>
        <w:t>th</w:t>
      </w:r>
      <w:r>
        <w:rPr>
          <w:i/>
          <w:iCs/>
        </w:rPr>
        <w:t xml:space="preserve"> </w:t>
      </w:r>
      <w:r w:rsidR="0002593E" w:rsidRPr="000F6262">
        <w:rPr>
          <w:i/>
          <w:iCs/>
        </w:rPr>
        <w:t>plenary meeting</w:t>
      </w:r>
    </w:p>
    <w:p w14:paraId="327E8855" w14:textId="77777777" w:rsidR="0002593E" w:rsidRPr="000F6262" w:rsidRDefault="0002593E" w:rsidP="0007030A">
      <w:pPr>
        <w:tabs>
          <w:tab w:val="left" w:pos="1701"/>
        </w:tabs>
        <w:spacing w:line="20" w:lineRule="atLeast"/>
        <w:ind w:left="1134" w:right="1134"/>
        <w:jc w:val="right"/>
        <w:rPr>
          <w:i/>
          <w:iCs/>
        </w:rPr>
      </w:pPr>
      <w:r w:rsidRPr="000F6262">
        <w:rPr>
          <w:i/>
          <w:iCs/>
        </w:rPr>
        <w:t>13 December 2023</w:t>
      </w:r>
    </w:p>
    <w:p w14:paraId="4D84AEF5" w14:textId="77777777" w:rsidR="0002593E" w:rsidRPr="00723D62" w:rsidRDefault="0002593E" w:rsidP="0002593E">
      <w:pPr>
        <w:pStyle w:val="RegSingleTxtG"/>
        <w:tabs>
          <w:tab w:val="clear" w:pos="1701"/>
        </w:tabs>
        <w:ind w:left="1134"/>
      </w:pPr>
    </w:p>
    <w:p w14:paraId="34534D5D" w14:textId="77777777" w:rsidR="008E6144" w:rsidRDefault="008E6144" w:rsidP="00535F63">
      <w:pPr>
        <w:pStyle w:val="RegSingleTxtG"/>
        <w:tabs>
          <w:tab w:val="clear" w:pos="1701"/>
        </w:tabs>
        <w:ind w:left="1134"/>
        <w:sectPr w:rsidR="008E6144" w:rsidSect="00017F7D">
          <w:headerReference w:type="even" r:id="rId39"/>
          <w:headerReference w:type="default" r:id="rId40"/>
          <w:footerReference w:type="even" r:id="rId41"/>
          <w:footerReference w:type="default" r:id="rId42"/>
          <w:pgSz w:w="11906" w:h="16838" w:code="9"/>
          <w:pgMar w:top="1417" w:right="1134" w:bottom="1134" w:left="1134" w:header="850" w:footer="567" w:gutter="0"/>
          <w:cols w:space="708"/>
          <w:docGrid w:linePitch="360"/>
        </w:sectPr>
      </w:pPr>
    </w:p>
    <w:p w14:paraId="755216AB" w14:textId="5DD7186A" w:rsidR="008309CB" w:rsidRDefault="008309CB" w:rsidP="00F31153">
      <w:pPr>
        <w:pStyle w:val="RegHChG"/>
        <w:ind w:left="1135" w:hanging="454"/>
      </w:pPr>
      <w:bookmarkStart w:id="85" w:name="_Toc161286228"/>
      <w:bookmarkStart w:id="86" w:name="_Toc161242647"/>
      <w:bookmarkStart w:id="87" w:name="resolution1"/>
      <w:r w:rsidRPr="002C601F">
        <w:lastRenderedPageBreak/>
        <w:t xml:space="preserve">Resolution </w:t>
      </w:r>
      <w:r w:rsidR="00B64FEF">
        <w:t>1/</w:t>
      </w:r>
      <w:r w:rsidRPr="002C601F">
        <w:t>CMA.5</w:t>
      </w:r>
      <w:bookmarkEnd w:id="85"/>
      <w:bookmarkEnd w:id="86"/>
    </w:p>
    <w:p w14:paraId="51D852D6" w14:textId="06C497EF" w:rsidR="008309CB" w:rsidRPr="009B600A" w:rsidRDefault="008309CB" w:rsidP="00F31153">
      <w:pPr>
        <w:pStyle w:val="RegHChG"/>
        <w:ind w:left="1135" w:hanging="454"/>
      </w:pPr>
      <w:bookmarkStart w:id="88" w:name="_Toc161286229"/>
      <w:bookmarkStart w:id="89" w:name="_Toc161242648"/>
      <w:bookmarkStart w:id="90" w:name="_Hlk153376617"/>
      <w:r>
        <w:t>Expression of gratitude to the Government of the United Arab Emirates</w:t>
      </w:r>
      <w:bookmarkEnd w:id="88"/>
      <w:bookmarkEnd w:id="89"/>
      <w:r w:rsidR="004B1F65">
        <w:t xml:space="preserve"> </w:t>
      </w:r>
    </w:p>
    <w:p w14:paraId="49C491CB" w14:textId="77777777" w:rsidR="00535F63" w:rsidRDefault="00535F63" w:rsidP="00F31153">
      <w:pPr>
        <w:pStyle w:val="RegH1G"/>
        <w:ind w:left="1135" w:hanging="454"/>
      </w:pPr>
      <w:bookmarkStart w:id="91" w:name="_Toc161286230"/>
      <w:bookmarkStart w:id="92" w:name="_Toc161242649"/>
      <w:r>
        <w:t>Resolution submitted by the Republic of Azerbaijan</w:t>
      </w:r>
      <w:bookmarkEnd w:id="91"/>
      <w:bookmarkEnd w:id="92"/>
      <w:r>
        <w:t xml:space="preserve"> </w:t>
      </w:r>
    </w:p>
    <w:p w14:paraId="202E6E26" w14:textId="77777777" w:rsidR="00535F63" w:rsidRDefault="00535F63" w:rsidP="0007030A">
      <w:pPr>
        <w:pStyle w:val="Default"/>
        <w:spacing w:after="120"/>
        <w:ind w:left="1134" w:right="1133" w:firstLine="567"/>
        <w:jc w:val="both"/>
        <w:rPr>
          <w:sz w:val="20"/>
          <w:szCs w:val="20"/>
        </w:rPr>
      </w:pPr>
      <w:r>
        <w:rPr>
          <w:i/>
          <w:iCs/>
          <w:sz w:val="20"/>
          <w:szCs w:val="20"/>
        </w:rPr>
        <w:t>The Conference of the Parties, the Conference of the Parties serving as the meeting of the Parties to the Kyoto Protocol and the Conference of the Parties serving as the meeting of the Parties to the Paris Agreement</w:t>
      </w:r>
      <w:r>
        <w:rPr>
          <w:sz w:val="20"/>
          <w:szCs w:val="20"/>
        </w:rPr>
        <w:t xml:space="preserve">, </w:t>
      </w:r>
    </w:p>
    <w:p w14:paraId="4B51951A" w14:textId="6144CE72" w:rsidR="00535F63" w:rsidRDefault="00535F63" w:rsidP="0007030A">
      <w:pPr>
        <w:pStyle w:val="Default"/>
        <w:spacing w:after="120"/>
        <w:ind w:left="1134" w:right="1133" w:firstLine="567"/>
        <w:jc w:val="both"/>
        <w:rPr>
          <w:sz w:val="20"/>
          <w:szCs w:val="20"/>
        </w:rPr>
      </w:pPr>
      <w:r>
        <w:rPr>
          <w:i/>
          <w:iCs/>
          <w:sz w:val="20"/>
          <w:szCs w:val="20"/>
        </w:rPr>
        <w:t xml:space="preserve">Having met </w:t>
      </w:r>
      <w:r>
        <w:rPr>
          <w:sz w:val="20"/>
          <w:szCs w:val="20"/>
        </w:rPr>
        <w:t>in Dubai from 30 November to 1</w:t>
      </w:r>
      <w:r w:rsidR="00E929FD">
        <w:rPr>
          <w:sz w:val="20"/>
          <w:szCs w:val="20"/>
        </w:rPr>
        <w:t>3</w:t>
      </w:r>
      <w:r>
        <w:rPr>
          <w:sz w:val="20"/>
          <w:szCs w:val="20"/>
        </w:rPr>
        <w:t xml:space="preserve"> December 2023, </w:t>
      </w:r>
    </w:p>
    <w:p w14:paraId="753FE611" w14:textId="37BE3779" w:rsidR="00535F63" w:rsidRDefault="00535F63" w:rsidP="0007030A">
      <w:pPr>
        <w:pStyle w:val="Default"/>
        <w:spacing w:after="148"/>
        <w:ind w:left="1134" w:right="1133"/>
        <w:jc w:val="both"/>
        <w:rPr>
          <w:sz w:val="20"/>
          <w:szCs w:val="20"/>
        </w:rPr>
      </w:pPr>
      <w:r>
        <w:rPr>
          <w:sz w:val="20"/>
          <w:szCs w:val="20"/>
        </w:rPr>
        <w:t>1.</w:t>
      </w:r>
      <w:r>
        <w:rPr>
          <w:sz w:val="20"/>
          <w:szCs w:val="20"/>
        </w:rPr>
        <w:tab/>
      </w:r>
      <w:r>
        <w:rPr>
          <w:i/>
          <w:iCs/>
          <w:sz w:val="20"/>
          <w:szCs w:val="20"/>
        </w:rPr>
        <w:t xml:space="preserve">Express their profound gratitude </w:t>
      </w:r>
      <w:r>
        <w:rPr>
          <w:sz w:val="20"/>
          <w:szCs w:val="20"/>
        </w:rPr>
        <w:t xml:space="preserve">to the Government of the United Arab Emirates for having made it possible for the twenty-eighth session of the Conference of the Parties, the eighteenth session of the Conference of the Parties serving as the meeting of the Parties to the Kyoto Protocol and the fifth session of the Conference of the Parties serving as the meeting of the Parties to the Paris Agreement to be held in Dubai; </w:t>
      </w:r>
    </w:p>
    <w:p w14:paraId="2F6A2279" w14:textId="1762FE5E" w:rsidR="008309CB" w:rsidRDefault="00535F63" w:rsidP="0007030A">
      <w:pPr>
        <w:pStyle w:val="Default"/>
        <w:ind w:left="1134" w:right="1133"/>
        <w:jc w:val="both"/>
        <w:rPr>
          <w:sz w:val="20"/>
          <w:szCs w:val="20"/>
        </w:rPr>
      </w:pPr>
      <w:r>
        <w:rPr>
          <w:sz w:val="20"/>
          <w:szCs w:val="20"/>
        </w:rPr>
        <w:t>2.</w:t>
      </w:r>
      <w:r>
        <w:rPr>
          <w:sz w:val="20"/>
          <w:szCs w:val="20"/>
        </w:rPr>
        <w:tab/>
      </w:r>
      <w:r>
        <w:rPr>
          <w:i/>
          <w:iCs/>
          <w:sz w:val="20"/>
          <w:szCs w:val="20"/>
        </w:rPr>
        <w:t xml:space="preserve">Request </w:t>
      </w:r>
      <w:r>
        <w:rPr>
          <w:sz w:val="20"/>
          <w:szCs w:val="20"/>
        </w:rPr>
        <w:t>the Government of the United Arab Emirates to convey to the city and people of Dubai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r w:rsidR="008309CB">
        <w:rPr>
          <w:sz w:val="20"/>
          <w:szCs w:val="20"/>
        </w:rPr>
        <w:t xml:space="preserve"> </w:t>
      </w:r>
    </w:p>
    <w:p w14:paraId="550E31C5" w14:textId="26EBEBE5" w:rsidR="002F4B88" w:rsidRPr="000F6262" w:rsidRDefault="005F03EC" w:rsidP="0007030A">
      <w:pPr>
        <w:tabs>
          <w:tab w:val="left" w:pos="1701"/>
        </w:tabs>
        <w:spacing w:line="20" w:lineRule="atLeast"/>
        <w:ind w:left="6521" w:right="1134"/>
        <w:jc w:val="right"/>
        <w:rPr>
          <w:i/>
          <w:iCs/>
        </w:rPr>
      </w:pPr>
      <w:r>
        <w:rPr>
          <w:i/>
          <w:iCs/>
        </w:rPr>
        <w:t>5</w:t>
      </w:r>
      <w:r w:rsidRPr="005F03EC">
        <w:rPr>
          <w:i/>
          <w:iCs/>
          <w:vertAlign w:val="superscript"/>
        </w:rPr>
        <w:t>th</w:t>
      </w:r>
      <w:r>
        <w:rPr>
          <w:i/>
          <w:iCs/>
        </w:rPr>
        <w:t xml:space="preserve"> </w:t>
      </w:r>
      <w:r w:rsidR="002F4B88" w:rsidRPr="000F6262">
        <w:rPr>
          <w:i/>
          <w:iCs/>
        </w:rPr>
        <w:t>plenary meeting</w:t>
      </w:r>
    </w:p>
    <w:p w14:paraId="1C98377F" w14:textId="0B10F4CF" w:rsidR="002F4B88" w:rsidRPr="000F6262" w:rsidRDefault="002F4B88" w:rsidP="0007030A">
      <w:pPr>
        <w:tabs>
          <w:tab w:val="left" w:pos="1701"/>
        </w:tabs>
        <w:spacing w:line="20" w:lineRule="atLeast"/>
        <w:ind w:left="6521" w:right="1134"/>
        <w:jc w:val="right"/>
        <w:rPr>
          <w:i/>
          <w:iCs/>
        </w:rPr>
      </w:pPr>
      <w:r w:rsidRPr="000F6262">
        <w:rPr>
          <w:i/>
          <w:iCs/>
        </w:rPr>
        <w:t>1</w:t>
      </w:r>
      <w:r w:rsidR="005F03EC">
        <w:rPr>
          <w:i/>
          <w:iCs/>
        </w:rPr>
        <w:t>1</w:t>
      </w:r>
      <w:r w:rsidRPr="000F6262">
        <w:rPr>
          <w:i/>
          <w:iCs/>
        </w:rPr>
        <w:t xml:space="preserve"> December 2023</w:t>
      </w:r>
      <w:bookmarkEnd w:id="87"/>
    </w:p>
    <w:bookmarkEnd w:id="90"/>
    <w:p w14:paraId="38FF4DE3" w14:textId="7430F824" w:rsidR="00017F7D" w:rsidRDefault="00043C9F" w:rsidP="00917E83">
      <w:pPr>
        <w:spacing w:before="240"/>
        <w:ind w:left="1134" w:right="1134"/>
        <w:jc w:val="center"/>
        <w:rPr>
          <w:u w:val="single"/>
        </w:rPr>
      </w:pPr>
      <w:r>
        <w:rPr>
          <w:u w:val="single"/>
        </w:rPr>
        <w:tab/>
      </w:r>
      <w:r>
        <w:rPr>
          <w:u w:val="single"/>
        </w:rPr>
        <w:tab/>
      </w:r>
      <w:r>
        <w:rPr>
          <w:u w:val="single"/>
        </w:rPr>
        <w:tab/>
      </w:r>
      <w:r>
        <w:rPr>
          <w:u w:val="single"/>
        </w:rPr>
        <w:tab/>
      </w:r>
    </w:p>
    <w:p w14:paraId="1AF5D9F4" w14:textId="77777777" w:rsidR="00043C9F" w:rsidRPr="00017F7D" w:rsidRDefault="00043C9F" w:rsidP="00917E83">
      <w:pPr>
        <w:spacing w:before="240"/>
        <w:ind w:left="1134" w:right="1134"/>
        <w:jc w:val="center"/>
        <w:rPr>
          <w:u w:val="single"/>
        </w:rPr>
      </w:pPr>
    </w:p>
    <w:sectPr w:rsidR="00043C9F" w:rsidRPr="00017F7D" w:rsidSect="00017F7D">
      <w:headerReference w:type="even" r:id="rId43"/>
      <w:headerReference w:type="default" r:id="rId44"/>
      <w:footerReference w:type="even" r:id="rId45"/>
      <w:footerReference w:type="default" r:id="rId46"/>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6856" w14:textId="77777777" w:rsidR="00A46E7E" w:rsidRPr="008362C4" w:rsidRDefault="00A46E7E" w:rsidP="008362C4">
      <w:pPr>
        <w:spacing w:line="14" w:lineRule="exact"/>
        <w:rPr>
          <w:color w:val="FFFFFF" w:themeColor="background1"/>
        </w:rPr>
      </w:pPr>
      <w:r w:rsidRPr="008362C4">
        <w:rPr>
          <w:color w:val="FFFFFF" w:themeColor="background1"/>
        </w:rPr>
        <w:separator/>
      </w:r>
    </w:p>
    <w:p w14:paraId="4A2B82FC" w14:textId="77777777" w:rsidR="00A46E7E" w:rsidRPr="008362C4" w:rsidRDefault="00A46E7E" w:rsidP="00C45173">
      <w:pPr>
        <w:spacing w:line="14" w:lineRule="atLeast"/>
        <w:rPr>
          <w:color w:val="FFFFFF" w:themeColor="background1"/>
          <w:sz w:val="2"/>
          <w:szCs w:val="2"/>
        </w:rPr>
      </w:pPr>
    </w:p>
  </w:endnote>
  <w:endnote w:type="continuationSeparator" w:id="0">
    <w:p w14:paraId="5737F66C" w14:textId="77777777" w:rsidR="00A46E7E" w:rsidRDefault="00A46E7E">
      <w:r>
        <w:continuationSeparator/>
      </w:r>
    </w:p>
    <w:p w14:paraId="18F57756" w14:textId="77777777" w:rsidR="00A46E7E" w:rsidRDefault="00A46E7E"/>
  </w:endnote>
  <w:endnote w:type="continuationNotice" w:id="1">
    <w:p w14:paraId="5EEABC5C" w14:textId="77777777" w:rsidR="00A46E7E" w:rsidRDefault="00A46E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C4B5" w14:textId="3B54813A" w:rsidR="006C44C4" w:rsidRPr="00017F7D" w:rsidRDefault="00017F7D" w:rsidP="00017F7D">
    <w:pPr>
      <w:pStyle w:val="Footer"/>
      <w:tabs>
        <w:tab w:val="right" w:pos="9638"/>
      </w:tabs>
    </w:pP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6</w:t>
    </w:r>
    <w:r w:rsidRPr="00017F7D">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3CCA" w14:textId="77777777" w:rsidR="003674F7" w:rsidRPr="00017F7D" w:rsidRDefault="00017F7D" w:rsidP="00017F7D">
    <w:pPr>
      <w:pStyle w:val="Footer"/>
      <w:tabs>
        <w:tab w:val="right" w:pos="9638"/>
      </w:tabs>
      <w:rPr>
        <w:b/>
        <w:sz w:val="18"/>
      </w:rPr>
    </w:pPr>
    <w:r>
      <w:tab/>
    </w: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18</w:t>
    </w:r>
    <w:r w:rsidRPr="00017F7D">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DBE0" w14:textId="3E306886" w:rsidR="0015632B" w:rsidRPr="00017F7D" w:rsidRDefault="00017F7D" w:rsidP="00017F7D">
    <w:pPr>
      <w:pStyle w:val="Footer"/>
      <w:tabs>
        <w:tab w:val="right" w:pos="9638"/>
      </w:tabs>
    </w:pP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18</w:t>
    </w:r>
    <w:r w:rsidRPr="00017F7D">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34D5" w14:textId="1692BF84" w:rsidR="0015632B" w:rsidRPr="006C44C4" w:rsidRDefault="006C44C4" w:rsidP="006C44C4">
    <w:pPr>
      <w:pStyle w:val="Footer"/>
      <w:tabs>
        <w:tab w:val="right" w:pos="9638"/>
      </w:tabs>
    </w:pPr>
    <w:r w:rsidRPr="006C44C4">
      <w:rPr>
        <w:b/>
        <w:sz w:val="18"/>
      </w:rPr>
      <w:fldChar w:fldCharType="begin"/>
    </w:r>
    <w:r w:rsidRPr="006C44C4">
      <w:rPr>
        <w:b/>
        <w:sz w:val="18"/>
      </w:rPr>
      <w:instrText xml:space="preserve"> PAGE  \* MERGEFORMAT </w:instrText>
    </w:r>
    <w:r w:rsidRPr="006C44C4">
      <w:rPr>
        <w:b/>
        <w:sz w:val="18"/>
      </w:rPr>
      <w:fldChar w:fldCharType="separate"/>
    </w:r>
    <w:r w:rsidRPr="006C44C4">
      <w:rPr>
        <w:b/>
        <w:noProof/>
        <w:sz w:val="18"/>
      </w:rPr>
      <w:t>17</w:t>
    </w:r>
    <w:r w:rsidRPr="006C44C4">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FD84" w14:textId="2CAA3E21" w:rsidR="0015632B" w:rsidRPr="00017F7D" w:rsidRDefault="00017F7D" w:rsidP="00017F7D">
    <w:pPr>
      <w:pStyle w:val="Footer"/>
      <w:tabs>
        <w:tab w:val="right" w:pos="9638"/>
      </w:tabs>
    </w:pP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19</w:t>
    </w:r>
    <w:r w:rsidRPr="00017F7D">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8E09" w14:textId="7980A61F" w:rsidR="0015632B" w:rsidRPr="00017F7D" w:rsidRDefault="00017F7D" w:rsidP="00017F7D">
    <w:pPr>
      <w:pStyle w:val="Footer"/>
      <w:tabs>
        <w:tab w:val="right" w:pos="9638"/>
      </w:tabs>
      <w:rPr>
        <w:b/>
        <w:sz w:val="18"/>
      </w:rPr>
    </w:pPr>
    <w:r>
      <w:tab/>
    </w: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19</w:t>
    </w:r>
    <w:r w:rsidRPr="00017F7D">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123FE" w14:textId="149B3020" w:rsidR="00407296" w:rsidRPr="00017F7D" w:rsidRDefault="00017F7D" w:rsidP="00017F7D">
    <w:pPr>
      <w:pStyle w:val="Footer"/>
      <w:tabs>
        <w:tab w:val="right" w:pos="9638"/>
      </w:tabs>
    </w:pP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20</w:t>
    </w:r>
    <w:r w:rsidRPr="00017F7D">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596" w14:textId="72C46285" w:rsidR="00407296" w:rsidRPr="00017F7D" w:rsidRDefault="00017F7D" w:rsidP="00017F7D">
    <w:pPr>
      <w:pStyle w:val="Footer"/>
      <w:tabs>
        <w:tab w:val="right" w:pos="9638"/>
      </w:tabs>
      <w:rPr>
        <w:b/>
        <w:sz w:val="18"/>
      </w:rPr>
    </w:pPr>
    <w:r>
      <w:tab/>
    </w: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21</w:t>
    </w:r>
    <w:r w:rsidRPr="00017F7D">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165C" w14:textId="4648C341" w:rsidR="006C44C4" w:rsidRPr="00017F7D" w:rsidRDefault="00017F7D" w:rsidP="00017F7D">
    <w:pPr>
      <w:pStyle w:val="Footer"/>
      <w:tabs>
        <w:tab w:val="right" w:pos="9638"/>
      </w:tabs>
      <w:rPr>
        <w:b/>
        <w:sz w:val="18"/>
      </w:rPr>
    </w:pPr>
    <w:r>
      <w:tab/>
    </w: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6</w:t>
    </w:r>
    <w:r w:rsidRPr="00017F7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E01F" w14:textId="65FDE7AA" w:rsidR="006C44C4" w:rsidRPr="00017F7D" w:rsidRDefault="00017F7D" w:rsidP="00017F7D">
    <w:pPr>
      <w:pStyle w:val="Footer"/>
      <w:tabs>
        <w:tab w:val="right" w:pos="9638"/>
      </w:tabs>
    </w:pP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8</w:t>
    </w:r>
    <w:r w:rsidRPr="00017F7D">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78D3" w14:textId="58AD5932" w:rsidR="006C44C4" w:rsidRPr="00017F7D" w:rsidRDefault="00017F7D" w:rsidP="00017F7D">
    <w:pPr>
      <w:pStyle w:val="Footer"/>
      <w:tabs>
        <w:tab w:val="right" w:pos="9638"/>
      </w:tabs>
      <w:rPr>
        <w:b/>
        <w:sz w:val="18"/>
      </w:rPr>
    </w:pPr>
    <w:r>
      <w:tab/>
    </w: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10</w:t>
    </w:r>
    <w:r w:rsidRPr="00017F7D">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28C3E" w14:textId="5BB2A48C" w:rsidR="003674F7" w:rsidRPr="00017F7D" w:rsidRDefault="00017F7D" w:rsidP="00017F7D">
    <w:pPr>
      <w:pStyle w:val="Footer"/>
      <w:tabs>
        <w:tab w:val="right" w:pos="9638"/>
      </w:tabs>
    </w:pP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12</w:t>
    </w:r>
    <w:r w:rsidRPr="00017F7D">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ACD92" w14:textId="67B42F9E" w:rsidR="003674F7" w:rsidRPr="00017F7D" w:rsidRDefault="00017F7D" w:rsidP="00017F7D">
    <w:pPr>
      <w:pStyle w:val="Footer"/>
      <w:tabs>
        <w:tab w:val="right" w:pos="9638"/>
      </w:tabs>
      <w:rPr>
        <w:b/>
        <w:sz w:val="18"/>
      </w:rPr>
    </w:pPr>
    <w:r>
      <w:tab/>
    </w: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14</w:t>
    </w:r>
    <w:r w:rsidRPr="00017F7D">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A198" w14:textId="7E00A2EF" w:rsidR="003674F7" w:rsidRPr="00017F7D" w:rsidRDefault="00017F7D" w:rsidP="00017F7D">
    <w:pPr>
      <w:pStyle w:val="Footer"/>
      <w:tabs>
        <w:tab w:val="right" w:pos="9638"/>
      </w:tabs>
    </w:pP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16</w:t>
    </w:r>
    <w:r w:rsidRPr="00017F7D">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ACC6" w14:textId="62A3ECF8" w:rsidR="003674F7" w:rsidRPr="00017F7D" w:rsidRDefault="00017F7D" w:rsidP="00017F7D">
    <w:pPr>
      <w:pStyle w:val="Footer"/>
      <w:tabs>
        <w:tab w:val="right" w:pos="9638"/>
      </w:tabs>
      <w:rPr>
        <w:b/>
        <w:sz w:val="18"/>
      </w:rPr>
    </w:pPr>
    <w:r>
      <w:tab/>
    </w:r>
    <w:r w:rsidRPr="00017F7D">
      <w:rPr>
        <w:b/>
        <w:sz w:val="18"/>
      </w:rPr>
      <w:fldChar w:fldCharType="begin"/>
    </w:r>
    <w:r w:rsidRPr="00017F7D">
      <w:rPr>
        <w:b/>
        <w:sz w:val="18"/>
      </w:rPr>
      <w:instrText xml:space="preserve"> PAGE  \* MERGEFORMAT </w:instrText>
    </w:r>
    <w:r w:rsidRPr="00017F7D">
      <w:rPr>
        <w:b/>
        <w:sz w:val="18"/>
      </w:rPr>
      <w:fldChar w:fldCharType="separate"/>
    </w:r>
    <w:r w:rsidRPr="00017F7D">
      <w:rPr>
        <w:b/>
        <w:noProof/>
        <w:sz w:val="18"/>
      </w:rPr>
      <w:t>16</w:t>
    </w:r>
    <w:r w:rsidRPr="00017F7D">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1B35" w14:textId="77777777" w:rsidR="006C44C4" w:rsidRPr="006C44C4" w:rsidRDefault="006C44C4" w:rsidP="006C44C4">
    <w:pPr>
      <w:pStyle w:val="Footer"/>
      <w:tabs>
        <w:tab w:val="right" w:pos="9638"/>
      </w:tabs>
      <w:rPr>
        <w:b/>
        <w:sz w:val="18"/>
      </w:rPr>
    </w:pPr>
    <w:r>
      <w:tab/>
    </w:r>
    <w:r w:rsidRPr="006C44C4">
      <w:rPr>
        <w:b/>
        <w:sz w:val="18"/>
      </w:rPr>
      <w:fldChar w:fldCharType="begin"/>
    </w:r>
    <w:r w:rsidRPr="006C44C4">
      <w:rPr>
        <w:b/>
        <w:sz w:val="18"/>
      </w:rPr>
      <w:instrText xml:space="preserve"> PAGE  \* MERGEFORMAT </w:instrText>
    </w:r>
    <w:r w:rsidRPr="006C44C4">
      <w:rPr>
        <w:b/>
        <w:sz w:val="18"/>
      </w:rPr>
      <w:fldChar w:fldCharType="separate"/>
    </w:r>
    <w:r w:rsidRPr="006C44C4">
      <w:rPr>
        <w:b/>
        <w:noProof/>
        <w:sz w:val="18"/>
      </w:rPr>
      <w:t>13</w:t>
    </w:r>
    <w:r w:rsidRPr="006C44C4">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AEA9" w14:textId="77777777" w:rsidR="00A46E7E" w:rsidRDefault="00A46E7E">
      <w:r>
        <w:separator/>
      </w:r>
    </w:p>
  </w:footnote>
  <w:footnote w:type="continuationSeparator" w:id="0">
    <w:p w14:paraId="6A0BFB3B" w14:textId="77777777" w:rsidR="00A46E7E" w:rsidRDefault="00A46E7E">
      <w:r>
        <w:continuationSeparator/>
      </w:r>
    </w:p>
    <w:p w14:paraId="68B1FF98" w14:textId="77777777" w:rsidR="00A46E7E" w:rsidRDefault="00A46E7E"/>
  </w:footnote>
  <w:footnote w:type="continuationNotice" w:id="1">
    <w:p w14:paraId="20B6B06E" w14:textId="77777777" w:rsidR="00A46E7E" w:rsidRDefault="00A46E7E">
      <w:pPr>
        <w:spacing w:line="240" w:lineRule="auto"/>
      </w:pPr>
    </w:p>
  </w:footnote>
  <w:footnote w:id="2">
    <w:p w14:paraId="2AC9A1E5" w14:textId="77777777" w:rsidR="003C6C45" w:rsidRPr="00825408" w:rsidRDefault="003C6C45" w:rsidP="003C6C45">
      <w:pPr>
        <w:pStyle w:val="FootnoteText"/>
        <w:widowControl w:val="0"/>
        <w:tabs>
          <w:tab w:val="clear" w:pos="1021"/>
          <w:tab w:val="right" w:pos="1020"/>
        </w:tabs>
      </w:pPr>
      <w:r w:rsidRPr="0007030A">
        <w:tab/>
      </w:r>
      <w:r>
        <w:rPr>
          <w:rStyle w:val="FootnoteReference"/>
        </w:rPr>
        <w:footnoteRef/>
      </w:r>
      <w:r w:rsidRPr="00825408">
        <w:tab/>
        <w:t>FCCC/SBSTA/2023/L.11, paras. 2–6.</w:t>
      </w:r>
    </w:p>
  </w:footnote>
  <w:footnote w:id="3">
    <w:p w14:paraId="14549381" w14:textId="77777777" w:rsidR="003C6C45" w:rsidRPr="0007030A" w:rsidRDefault="003C6C45" w:rsidP="003C6C45">
      <w:pPr>
        <w:pStyle w:val="FootnoteText"/>
        <w:widowControl w:val="0"/>
        <w:tabs>
          <w:tab w:val="clear" w:pos="1021"/>
          <w:tab w:val="right" w:pos="1020"/>
        </w:tabs>
      </w:pPr>
      <w:r w:rsidRPr="00825408">
        <w:tab/>
      </w:r>
      <w:r>
        <w:rPr>
          <w:rStyle w:val="FootnoteReference"/>
        </w:rPr>
        <w:footnoteRef/>
      </w:r>
      <w:r w:rsidRPr="00825408">
        <w:tab/>
        <w:t xml:space="preserve">See document </w:t>
      </w:r>
      <w:r w:rsidRPr="00825408">
        <w:rPr>
          <w:iCs/>
          <w:color w:val="000000" w:themeColor="text1"/>
        </w:rPr>
        <w:t xml:space="preserve">FCCC/SBSTA/2023/4, para. </w:t>
      </w:r>
      <w:r w:rsidRPr="00E944B9">
        <w:rPr>
          <w:iCs/>
          <w:color w:val="000000" w:themeColor="text1"/>
        </w:rPr>
        <w:t>125</w:t>
      </w:r>
      <w:r>
        <w:rPr>
          <w:iCs/>
          <w:color w:val="000000" w:themeColor="text1"/>
        </w:rPr>
        <w:t>.</w:t>
      </w:r>
    </w:p>
  </w:footnote>
  <w:footnote w:id="4">
    <w:p w14:paraId="0BAB7004" w14:textId="77777777" w:rsidR="003C6C45" w:rsidRPr="0007030A" w:rsidRDefault="003C6C45" w:rsidP="003C6C45">
      <w:pPr>
        <w:pStyle w:val="FootnoteText"/>
        <w:widowControl w:val="0"/>
      </w:pPr>
      <w:r>
        <w:tab/>
      </w:r>
      <w:r>
        <w:rPr>
          <w:rStyle w:val="FootnoteReference"/>
        </w:rPr>
        <w:footnoteRef/>
      </w:r>
      <w:r>
        <w:tab/>
        <w:t>In accordance with</w:t>
      </w:r>
      <w:r w:rsidRPr="00874B43">
        <w:t xml:space="preserve"> decision 8/CMA.4</w:t>
      </w:r>
      <w:r>
        <w:t>, para. 5.</w:t>
      </w:r>
    </w:p>
  </w:footnote>
  <w:footnote w:id="5">
    <w:p w14:paraId="4AF50D1D" w14:textId="77777777" w:rsidR="003C6C45" w:rsidRDefault="003C6C45" w:rsidP="003C6C45">
      <w:pPr>
        <w:pStyle w:val="FootnoteText"/>
        <w:widowControl w:val="0"/>
      </w:pPr>
      <w:r>
        <w:tab/>
      </w:r>
      <w:r>
        <w:rPr>
          <w:rStyle w:val="FootnoteReference"/>
        </w:rPr>
        <w:footnoteRef/>
      </w:r>
      <w:r>
        <w:tab/>
        <w:t xml:space="preserve">See </w:t>
      </w:r>
      <w:r w:rsidRPr="009A3CCA">
        <w:t>decision 4/CMA.3</w:t>
      </w:r>
      <w:r>
        <w:t xml:space="preserve">, </w:t>
      </w:r>
      <w:r w:rsidRPr="009A3CCA">
        <w:t>para</w:t>
      </w:r>
      <w:r>
        <w:t>.</w:t>
      </w:r>
      <w:r w:rsidRPr="009A3CCA">
        <w:t xml:space="preserve"> 3</w:t>
      </w:r>
      <w:r>
        <w:t>.</w:t>
      </w:r>
      <w:r w:rsidRPr="009A3CCA">
        <w:t xml:space="preserve"> </w:t>
      </w:r>
    </w:p>
  </w:footnote>
  <w:footnote w:id="6">
    <w:p w14:paraId="3604EC33" w14:textId="77777777" w:rsidR="003C6C45" w:rsidRPr="00825408" w:rsidRDefault="003C6C45" w:rsidP="003C6C45">
      <w:pPr>
        <w:pStyle w:val="FootnoteText"/>
        <w:widowControl w:val="0"/>
        <w:tabs>
          <w:tab w:val="clear" w:pos="1021"/>
          <w:tab w:val="right" w:pos="1020"/>
        </w:tabs>
      </w:pPr>
      <w:r>
        <w:tab/>
      </w:r>
      <w:r>
        <w:rPr>
          <w:rStyle w:val="FootnoteReference"/>
        </w:rPr>
        <w:footnoteRef/>
      </w:r>
      <w:r>
        <w:tab/>
        <w:t>I</w:t>
      </w:r>
      <w:r w:rsidRPr="00E944B9">
        <w:rPr>
          <w:color w:val="000000" w:themeColor="text1"/>
        </w:rPr>
        <w:t>n the context of decision 4/CMA.3</w:t>
      </w:r>
      <w:r>
        <w:rPr>
          <w:color w:val="000000" w:themeColor="text1"/>
        </w:rPr>
        <w:t>, paras. 2–3.</w:t>
      </w:r>
    </w:p>
  </w:footnote>
  <w:footnote w:id="7">
    <w:p w14:paraId="75E6321F" w14:textId="77777777" w:rsidR="003C6C45" w:rsidRPr="00825408" w:rsidRDefault="003C6C45" w:rsidP="003C6C45">
      <w:pPr>
        <w:pStyle w:val="FootnoteText"/>
        <w:widowControl w:val="0"/>
        <w:tabs>
          <w:tab w:val="clear" w:pos="1021"/>
          <w:tab w:val="right" w:pos="1020"/>
        </w:tabs>
      </w:pPr>
      <w:r>
        <w:tab/>
      </w:r>
      <w:r>
        <w:rPr>
          <w:rStyle w:val="FootnoteReference"/>
        </w:rPr>
        <w:footnoteRef/>
      </w:r>
      <w:r>
        <w:tab/>
      </w:r>
      <w:hyperlink r:id="rId1" w:history="1">
        <w:r w:rsidRPr="00825408">
          <w:rPr>
            <w:rStyle w:val="Hyperlink"/>
            <w:szCs w:val="18"/>
          </w:rPr>
          <w:t>https://www4.unfccc.int/sites/submissionsstaging/Pages/Home.aspx</w:t>
        </w:r>
      </w:hyperlink>
      <w:r>
        <w:rPr>
          <w:szCs w:val="18"/>
        </w:rPr>
        <w:t>.</w:t>
      </w:r>
    </w:p>
  </w:footnote>
  <w:footnote w:id="8">
    <w:p w14:paraId="1B1DC80C" w14:textId="77777777" w:rsidR="003C6C45" w:rsidRDefault="003C6C45" w:rsidP="003C6C45">
      <w:pPr>
        <w:pStyle w:val="FootnoteText"/>
        <w:widowControl w:val="0"/>
      </w:pPr>
      <w:r>
        <w:tab/>
      </w:r>
      <w:r w:rsidRPr="00EF3792">
        <w:rPr>
          <w:rStyle w:val="FootnoteReference"/>
        </w:rPr>
        <w:footnoteRef/>
      </w:r>
      <w:r w:rsidRPr="00EF3792">
        <w:tab/>
        <w:t>I</w:t>
      </w:r>
      <w:r w:rsidRPr="00EF3792">
        <w:rPr>
          <w:color w:val="000000" w:themeColor="text1"/>
        </w:rPr>
        <w:t xml:space="preserve">n accordance with </w:t>
      </w:r>
      <w:r w:rsidRPr="00EF3792">
        <w:t>decision 8/CMA.4, para. 10(a).</w:t>
      </w:r>
    </w:p>
  </w:footnote>
  <w:footnote w:id="9">
    <w:p w14:paraId="1FFD1E8D" w14:textId="6DA68F8F" w:rsidR="00BD1B18" w:rsidRPr="00825408" w:rsidRDefault="00BD1B18" w:rsidP="0007030A">
      <w:pPr>
        <w:pStyle w:val="FootnoteText"/>
        <w:widowControl w:val="0"/>
      </w:pPr>
      <w:r>
        <w:tab/>
      </w:r>
      <w:r>
        <w:rPr>
          <w:rStyle w:val="FootnoteReference"/>
        </w:rPr>
        <w:footnoteRef/>
      </w:r>
      <w:r>
        <w:tab/>
        <w:t xml:space="preserve">Decision 8/CMA.4, para. 21. </w:t>
      </w:r>
    </w:p>
  </w:footnote>
  <w:footnote w:id="10">
    <w:p w14:paraId="44AAC214" w14:textId="77777777" w:rsidR="0011105D" w:rsidRPr="00825408" w:rsidRDefault="0011105D" w:rsidP="0011105D">
      <w:pPr>
        <w:pStyle w:val="FootnoteText"/>
        <w:widowControl w:val="0"/>
        <w:tabs>
          <w:tab w:val="clear" w:pos="1021"/>
          <w:tab w:val="right" w:pos="1020"/>
        </w:tabs>
      </w:pPr>
      <w:r>
        <w:tab/>
      </w:r>
      <w:r>
        <w:rPr>
          <w:rStyle w:val="FootnoteReference"/>
        </w:rPr>
        <w:footnoteRef/>
      </w:r>
      <w:r>
        <w:tab/>
        <w:t>E</w:t>
      </w:r>
      <w:r w:rsidRPr="00651A11">
        <w:t>stablished pursuant to decision 1/CP.21</w:t>
      </w:r>
      <w:r>
        <w:t>, para. 84.</w:t>
      </w:r>
    </w:p>
  </w:footnote>
  <w:footnote w:id="11">
    <w:p w14:paraId="65E443F8" w14:textId="77777777" w:rsidR="0011105D" w:rsidRPr="00825408" w:rsidRDefault="0011105D" w:rsidP="0011105D">
      <w:pPr>
        <w:pStyle w:val="FootnoteText"/>
        <w:widowControl w:val="0"/>
        <w:tabs>
          <w:tab w:val="clear" w:pos="1021"/>
          <w:tab w:val="right" w:pos="1020"/>
        </w:tabs>
      </w:pPr>
      <w:r>
        <w:tab/>
      </w:r>
      <w:r>
        <w:rPr>
          <w:rStyle w:val="FootnoteReference"/>
        </w:rPr>
        <w:footnoteRef/>
      </w:r>
      <w:r>
        <w:tab/>
        <w:t xml:space="preserve">Available at </w:t>
      </w:r>
      <w:hyperlink r:id="rId2" w:history="1">
        <w:r w:rsidRPr="00EE4CEB">
          <w:rPr>
            <w:rStyle w:val="Hyperlink"/>
          </w:rPr>
          <w:t>https://unfccc.int/documents/634731</w:t>
        </w:r>
      </w:hyperlink>
      <w:r>
        <w:t>.</w:t>
      </w:r>
    </w:p>
  </w:footnote>
  <w:footnote w:id="12">
    <w:p w14:paraId="01105E9C" w14:textId="77777777" w:rsidR="0011105D" w:rsidRPr="00825408" w:rsidRDefault="0011105D" w:rsidP="0011105D">
      <w:pPr>
        <w:pStyle w:val="FootnoteText"/>
        <w:widowControl w:val="0"/>
      </w:pPr>
      <w:r>
        <w:tab/>
      </w:r>
      <w:r>
        <w:rPr>
          <w:rStyle w:val="FootnoteReference"/>
        </w:rPr>
        <w:footnoteRef/>
      </w:r>
      <w:r>
        <w:tab/>
        <w:t xml:space="preserve">See </w:t>
      </w:r>
      <w:hyperlink r:id="rId3" w:history="1">
        <w:r w:rsidRPr="003240A2">
          <w:rPr>
            <w:rStyle w:val="Hyperlink"/>
          </w:rPr>
          <w:t>https://climate-transparency-platform.org/</w:t>
        </w:r>
      </w:hyperlink>
      <w:r>
        <w:t>.</w:t>
      </w:r>
    </w:p>
  </w:footnote>
  <w:footnote w:id="13">
    <w:p w14:paraId="6C0A2E28" w14:textId="77777777" w:rsidR="0011105D" w:rsidRPr="00825408" w:rsidRDefault="0011105D" w:rsidP="0011105D">
      <w:pPr>
        <w:pStyle w:val="FootnoteText"/>
        <w:widowControl w:val="0"/>
        <w:tabs>
          <w:tab w:val="clear" w:pos="1021"/>
          <w:tab w:val="right" w:pos="1020"/>
        </w:tabs>
      </w:pPr>
      <w:r>
        <w:tab/>
      </w:r>
      <w:r>
        <w:rPr>
          <w:rStyle w:val="FootnoteReference"/>
        </w:rPr>
        <w:footnoteRef/>
      </w:r>
      <w:r>
        <w:tab/>
      </w:r>
      <w:hyperlink r:id="rId4" w:history="1">
        <w:r w:rsidRPr="00743BF0">
          <w:rPr>
            <w:rStyle w:val="Hyperlink"/>
          </w:rPr>
          <w:t>https://www4.unfccc.int/sites/submissionsstaging/Pages/Home.aspx</w:t>
        </w:r>
      </w:hyperlink>
      <w:r>
        <w:t>.</w:t>
      </w:r>
    </w:p>
  </w:footnote>
  <w:footnote w:id="14">
    <w:p w14:paraId="71B623E0" w14:textId="77777777" w:rsidR="00026319" w:rsidRPr="00825408" w:rsidRDefault="00026319" w:rsidP="00026319">
      <w:pPr>
        <w:pStyle w:val="FootnoteText"/>
        <w:widowControl w:val="0"/>
        <w:tabs>
          <w:tab w:val="clear" w:pos="1021"/>
          <w:tab w:val="right" w:pos="1020"/>
        </w:tabs>
      </w:pPr>
      <w:r>
        <w:tab/>
      </w:r>
      <w:r>
        <w:rPr>
          <w:rStyle w:val="FootnoteReference"/>
        </w:rPr>
        <w:footnoteRef/>
      </w:r>
      <w:r>
        <w:tab/>
        <w:t xml:space="preserve">Decision 7/CMA.1. </w:t>
      </w:r>
    </w:p>
  </w:footnote>
  <w:footnote w:id="15">
    <w:p w14:paraId="738B3F95" w14:textId="77777777" w:rsidR="00026319" w:rsidRPr="00825408" w:rsidRDefault="00026319" w:rsidP="00026319">
      <w:pPr>
        <w:pStyle w:val="FootnoteText"/>
        <w:widowControl w:val="0"/>
        <w:tabs>
          <w:tab w:val="clear" w:pos="1021"/>
          <w:tab w:val="right" w:pos="1020"/>
        </w:tabs>
      </w:pPr>
      <w:r>
        <w:tab/>
      </w:r>
      <w:r>
        <w:rPr>
          <w:rStyle w:val="FootnoteReference"/>
        </w:rPr>
        <w:footnoteRef/>
      </w:r>
      <w:r>
        <w:tab/>
        <w:t>See decision 1/CP.21, para. 34.</w:t>
      </w:r>
    </w:p>
  </w:footnote>
  <w:footnote w:id="16">
    <w:p w14:paraId="40133708" w14:textId="77777777" w:rsidR="00026319" w:rsidRPr="00825408" w:rsidRDefault="00026319" w:rsidP="00026319">
      <w:pPr>
        <w:pStyle w:val="FootnoteText"/>
        <w:widowControl w:val="0"/>
        <w:tabs>
          <w:tab w:val="clear" w:pos="1021"/>
          <w:tab w:val="right" w:pos="1020"/>
        </w:tabs>
      </w:pPr>
      <w:r>
        <w:tab/>
      </w:r>
      <w:r>
        <w:rPr>
          <w:rStyle w:val="FootnoteReference"/>
        </w:rPr>
        <w:footnoteRef/>
      </w:r>
      <w:r>
        <w:tab/>
        <w:t xml:space="preserve">See decision 7/CMA.1, annex, para. 4. </w:t>
      </w:r>
    </w:p>
  </w:footnote>
  <w:footnote w:id="17">
    <w:p w14:paraId="3C330A25" w14:textId="77777777" w:rsidR="00026319" w:rsidRPr="00825408" w:rsidRDefault="00026319" w:rsidP="00026319">
      <w:pPr>
        <w:pStyle w:val="FootnoteText"/>
        <w:widowControl w:val="0"/>
      </w:pPr>
      <w:r>
        <w:tab/>
      </w:r>
      <w:r>
        <w:rPr>
          <w:rStyle w:val="FootnoteReference"/>
        </w:rPr>
        <w:footnoteRef/>
      </w:r>
      <w:r>
        <w:tab/>
        <w:t>Contained in annex II to decisions 4/CP.25, 4/CMP.15 and 4/CMA.2.</w:t>
      </w:r>
    </w:p>
  </w:footnote>
  <w:footnote w:id="18">
    <w:p w14:paraId="0D18F7EC" w14:textId="77777777" w:rsidR="00026319" w:rsidRPr="00825408" w:rsidRDefault="00026319" w:rsidP="0007030A">
      <w:pPr>
        <w:pStyle w:val="FootnoteText"/>
        <w:widowControl w:val="0"/>
      </w:pPr>
      <w:r>
        <w:tab/>
      </w:r>
      <w:r>
        <w:rPr>
          <w:rStyle w:val="FootnoteReference"/>
        </w:rPr>
        <w:footnoteRef/>
      </w:r>
      <w:r>
        <w:tab/>
        <w:t xml:space="preserve">FCCC/SB/2023/6. </w:t>
      </w:r>
    </w:p>
  </w:footnote>
  <w:footnote w:id="19">
    <w:p w14:paraId="11EBE158" w14:textId="00ED5E0F" w:rsidR="00026319" w:rsidRPr="00825408" w:rsidRDefault="00026319" w:rsidP="0007030A">
      <w:pPr>
        <w:pStyle w:val="FootnoteText"/>
        <w:widowControl w:val="0"/>
      </w:pPr>
      <w:r>
        <w:tab/>
      </w:r>
      <w:r>
        <w:rPr>
          <w:rStyle w:val="FootnoteReference"/>
        </w:rPr>
        <w:footnoteRef/>
      </w:r>
      <w:r>
        <w:tab/>
      </w:r>
      <w:r w:rsidR="00665B01">
        <w:t>I</w:t>
      </w:r>
      <w:r w:rsidRPr="00B5135A">
        <w:t>dentify</w:t>
      </w:r>
      <w:r>
        <w:t>ing</w:t>
      </w:r>
      <w:r w:rsidRPr="00B5135A">
        <w:t xml:space="preserve"> country-driven strategies and best practices on just transition of the workforce and creation of decent work and quality jobs and on economic diversification</w:t>
      </w:r>
      <w:r>
        <w:t xml:space="preserve"> </w:t>
      </w:r>
      <w:r w:rsidRPr="00801BFA">
        <w:t>and transformation focusing on challenges and opportunities from the implementation of low greenhouse gas emission policies and strategies towards the achievement of sustainable development</w:t>
      </w:r>
      <w:r>
        <w:t xml:space="preserve">. </w:t>
      </w:r>
    </w:p>
  </w:footnote>
  <w:footnote w:id="20">
    <w:p w14:paraId="2130A0D2" w14:textId="67DD3D0D" w:rsidR="00026319" w:rsidRPr="00825408" w:rsidRDefault="00026319" w:rsidP="0007030A">
      <w:pPr>
        <w:pStyle w:val="FootnoteText"/>
        <w:widowControl w:val="0"/>
      </w:pPr>
      <w:r>
        <w:tab/>
      </w:r>
      <w:r>
        <w:rPr>
          <w:rStyle w:val="FootnoteReference"/>
        </w:rPr>
        <w:footnoteRef/>
      </w:r>
      <w:r>
        <w:tab/>
      </w:r>
      <w:r w:rsidR="00415F5E">
        <w:t>I</w:t>
      </w:r>
      <w:r w:rsidRPr="00461BB4">
        <w:t>dentify</w:t>
      </w:r>
      <w:r>
        <w:t>ing</w:t>
      </w:r>
      <w:r w:rsidRPr="00461BB4">
        <w:t xml:space="preserve"> and exchang</w:t>
      </w:r>
      <w:r>
        <w:t>ing</w:t>
      </w:r>
      <w:r w:rsidRPr="00461BB4">
        <w:t xml:space="preserve"> experience and best practices in engaging the private sector, including small and medium-sized enterprises and public–private partnerships, to facilitate the creation of decent work and quality jobs in low greenhouse gas emission sectors</w:t>
      </w:r>
      <w:r>
        <w:t xml:space="preserve">. </w:t>
      </w:r>
    </w:p>
  </w:footnote>
  <w:footnote w:id="21">
    <w:p w14:paraId="61966670" w14:textId="2924D608" w:rsidR="00026319" w:rsidRPr="00825408" w:rsidRDefault="00026319" w:rsidP="0007030A">
      <w:pPr>
        <w:pStyle w:val="FootnoteText"/>
        <w:widowControl w:val="0"/>
      </w:pPr>
      <w:r>
        <w:tab/>
      </w:r>
      <w:r>
        <w:rPr>
          <w:rStyle w:val="FootnoteReference"/>
        </w:rPr>
        <w:footnoteRef/>
      </w:r>
      <w:r>
        <w:tab/>
      </w:r>
      <w:r w:rsidR="005D01C5">
        <w:t>I</w:t>
      </w:r>
      <w:r w:rsidRPr="008C78A7">
        <w:t>dentify</w:t>
      </w:r>
      <w:r>
        <w:t>ing</w:t>
      </w:r>
      <w:r w:rsidRPr="008C78A7">
        <w:t xml:space="preserve"> and assess</w:t>
      </w:r>
      <w:r>
        <w:t>ing</w:t>
      </w:r>
      <w:r w:rsidRPr="008C78A7">
        <w:t xml:space="preserve"> the impacts of the implementation of response measures taking into account intergenerational equity, gender considerations and the needs of local communities, </w:t>
      </w:r>
      <w:r w:rsidR="005D01C5">
        <w:t>I</w:t>
      </w:r>
      <w:r w:rsidRPr="008C78A7">
        <w:t xml:space="preserve">ndigenous </w:t>
      </w:r>
      <w:r w:rsidR="005D01C5">
        <w:t>P</w:t>
      </w:r>
      <w:r w:rsidRPr="008C78A7">
        <w:t>eoples, youth and other people in vulnerable situations</w:t>
      </w:r>
      <w:r>
        <w:t xml:space="preserve">. </w:t>
      </w:r>
    </w:p>
  </w:footnote>
  <w:footnote w:id="22">
    <w:p w14:paraId="61E4C1D5" w14:textId="2DA58231" w:rsidR="00026319" w:rsidRPr="00825408" w:rsidRDefault="00026319" w:rsidP="0007030A">
      <w:pPr>
        <w:pStyle w:val="FootnoteText"/>
        <w:widowControl w:val="0"/>
      </w:pPr>
      <w:r>
        <w:tab/>
      </w:r>
      <w:r>
        <w:rPr>
          <w:rStyle w:val="FootnoteReference"/>
        </w:rPr>
        <w:footnoteRef/>
      </w:r>
      <w:r>
        <w:tab/>
      </w:r>
      <w:r w:rsidR="005D01C5">
        <w:t>F</w:t>
      </w:r>
      <w:r w:rsidRPr="00605B32">
        <w:t>acilitat</w:t>
      </w:r>
      <w:r>
        <w:t>ing</w:t>
      </w:r>
      <w:r w:rsidRPr="00605B32">
        <w:t xml:space="preserve"> the development and exchange of regional, country- and/or sector-specific case studies and approaches on (1) economic diversification and transformation and just transition of the workforce and creation of decent work and quality jobs, and (2) assessment and analysis of the impacts of the implementation of response measures with a view to understanding the positive and negative impacts</w:t>
      </w:r>
      <w:r>
        <w:t xml:space="preserve">. </w:t>
      </w:r>
    </w:p>
  </w:footnote>
  <w:footnote w:id="23">
    <w:p w14:paraId="1FECFED8" w14:textId="69413B1E" w:rsidR="00026319" w:rsidRPr="00825408" w:rsidRDefault="00026319" w:rsidP="0007030A">
      <w:pPr>
        <w:pStyle w:val="FootnoteText"/>
        <w:widowControl w:val="0"/>
      </w:pPr>
      <w:r>
        <w:tab/>
      </w:r>
      <w:r>
        <w:rPr>
          <w:rStyle w:val="FootnoteReference"/>
        </w:rPr>
        <w:footnoteRef/>
      </w:r>
      <w:r>
        <w:tab/>
      </w:r>
      <w:r w:rsidRPr="00A352FF">
        <w:rPr>
          <w:rStyle w:val="Hyperlink"/>
        </w:rPr>
        <w:t>https://www4.unfccc.int/sites/submissionsstaging/Pages/Home.aspx</w:t>
      </w:r>
      <w:r>
        <w:t>.</w:t>
      </w:r>
    </w:p>
  </w:footnote>
  <w:footnote w:id="24">
    <w:p w14:paraId="61F95E9D" w14:textId="7A5CD2CD" w:rsidR="00026319" w:rsidRPr="00825408" w:rsidRDefault="00026319" w:rsidP="0007030A">
      <w:pPr>
        <w:pStyle w:val="FootnoteText"/>
        <w:widowControl w:val="0"/>
      </w:pPr>
      <w:r>
        <w:tab/>
      </w:r>
      <w:r>
        <w:rPr>
          <w:rStyle w:val="FootnoteReference"/>
        </w:rPr>
        <w:footnoteRef/>
      </w:r>
      <w:r>
        <w:tab/>
      </w:r>
      <w:r w:rsidR="00560759">
        <w:t>F</w:t>
      </w:r>
      <w:r w:rsidRPr="00D847C9">
        <w:t>acilitat</w:t>
      </w:r>
      <w:r>
        <w:t>ing</w:t>
      </w:r>
      <w:r w:rsidRPr="00D847C9">
        <w:t xml:space="preserve"> the development, enhancement, customization and use of tools and methodologies for modelling and assessing the impacts of the implementation of response measures, including identifying and reviewing existing tools and approaches in data-poor environments, in consultation with technical experts, practitioners and other relevant stakeholders</w:t>
      </w:r>
      <w:r>
        <w:t xml:space="preserve">. </w:t>
      </w:r>
    </w:p>
  </w:footnote>
  <w:footnote w:id="25">
    <w:p w14:paraId="36AF8514" w14:textId="77777777" w:rsidR="00026319" w:rsidRPr="00825408" w:rsidRDefault="00026319" w:rsidP="0007030A">
      <w:pPr>
        <w:pStyle w:val="FootnoteText"/>
        <w:widowControl w:val="0"/>
      </w:pPr>
      <w:r>
        <w:tab/>
      </w:r>
      <w:r>
        <w:rPr>
          <w:rStyle w:val="FootnoteReference"/>
        </w:rPr>
        <w:footnoteRef/>
      </w:r>
      <w:r>
        <w:tab/>
      </w:r>
      <w:r w:rsidRPr="003A7808">
        <w:t xml:space="preserve">More information on the event, including the agenda and presentations, can be found at </w:t>
      </w:r>
      <w:hyperlink r:id="rId5" w:history="1">
        <w:r w:rsidRPr="00106AEF">
          <w:rPr>
            <w:rStyle w:val="Hyperlink"/>
          </w:rPr>
          <w:t>https://unfccc.int/event/RM-AsiaPacificWorkshop-Bangkok-2023</w:t>
        </w:r>
      </w:hyperlink>
      <w:r w:rsidRPr="0007030A">
        <w:rPr>
          <w:rStyle w:val="Hyperlink"/>
          <w:color w:val="auto"/>
          <w:u w:val="none"/>
        </w:rPr>
        <w:t>.</w:t>
      </w:r>
      <w:r w:rsidRPr="00BA6244">
        <w:t xml:space="preserve"> </w:t>
      </w:r>
    </w:p>
  </w:footnote>
  <w:footnote w:id="26">
    <w:p w14:paraId="6472591B" w14:textId="77777777" w:rsidR="00026319" w:rsidRPr="00825408" w:rsidRDefault="00026319" w:rsidP="00026319">
      <w:pPr>
        <w:pStyle w:val="FootnoteText"/>
        <w:widowControl w:val="0"/>
        <w:tabs>
          <w:tab w:val="clear" w:pos="1021"/>
          <w:tab w:val="right" w:pos="1020"/>
        </w:tabs>
      </w:pPr>
      <w:r>
        <w:tab/>
      </w:r>
      <w:r>
        <w:rPr>
          <w:rStyle w:val="FootnoteReference"/>
        </w:rPr>
        <w:footnoteRef/>
      </w:r>
      <w:r w:rsidRPr="00825408">
        <w:tab/>
      </w:r>
      <w:r w:rsidRPr="00825408">
        <w:rPr>
          <w:szCs w:val="18"/>
        </w:rPr>
        <w:t>Recalling decision 1/CMA.3, paras. 20–21.</w:t>
      </w:r>
      <w:r w:rsidRPr="00825408">
        <w:t xml:space="preserve"> </w:t>
      </w:r>
    </w:p>
  </w:footnote>
  <w:footnote w:id="27">
    <w:p w14:paraId="6A6C61A2" w14:textId="1DF8A067" w:rsidR="001B2002" w:rsidRPr="00825408" w:rsidRDefault="00777E54" w:rsidP="001B2002">
      <w:pPr>
        <w:pStyle w:val="FootnoteText"/>
        <w:widowControl w:val="0"/>
        <w:tabs>
          <w:tab w:val="clear" w:pos="1021"/>
          <w:tab w:val="right" w:pos="1020"/>
        </w:tabs>
      </w:pPr>
      <w:r w:rsidRPr="00825408">
        <w:tab/>
      </w:r>
      <w:r>
        <w:rPr>
          <w:rStyle w:val="FootnoteReference"/>
        </w:rPr>
        <w:footnoteRef/>
      </w:r>
      <w:r w:rsidRPr="00825408">
        <w:tab/>
      </w:r>
      <w:r w:rsidR="0028608E" w:rsidRPr="00825408">
        <w:t>See d</w:t>
      </w:r>
      <w:r w:rsidRPr="00825408">
        <w:t xml:space="preserve">ecision 19/CMA.1, paras. </w:t>
      </w:r>
      <w:r>
        <w:t>8 and 24.</w:t>
      </w:r>
    </w:p>
  </w:footnote>
  <w:footnote w:id="28">
    <w:p w14:paraId="27920CA0" w14:textId="77777777" w:rsidR="00026319" w:rsidRPr="00825408" w:rsidRDefault="00026319" w:rsidP="0007030A">
      <w:pPr>
        <w:pStyle w:val="FootnoteText"/>
        <w:widowControl w:val="0"/>
      </w:pPr>
      <w:r>
        <w:tab/>
      </w:r>
      <w:r>
        <w:rPr>
          <w:rStyle w:val="FootnoteReference"/>
        </w:rPr>
        <w:footnoteRef/>
      </w:r>
      <w:r>
        <w:tab/>
        <w:t xml:space="preserve">These activities are to be implemented as part of the implementation of the workplan of the forum and its </w:t>
      </w:r>
      <w:r w:rsidRPr="00ED118E">
        <w:t>Katowice Committee on Impacts</w:t>
      </w:r>
      <w:r>
        <w:t xml:space="preserve"> </w:t>
      </w:r>
      <w:r w:rsidRPr="00FE60FB">
        <w:t>(for the fifty-second to sixty-third sessions of the subsidiary bodies)</w:t>
      </w:r>
      <w:r>
        <w:t xml:space="preserve">. </w:t>
      </w:r>
    </w:p>
  </w:footnote>
  <w:footnote w:id="29">
    <w:p w14:paraId="28FB306A" w14:textId="4E3A7EB6" w:rsidR="00026319" w:rsidRPr="00825408" w:rsidRDefault="00026319" w:rsidP="0007030A">
      <w:pPr>
        <w:pStyle w:val="FootnoteText"/>
        <w:widowControl w:val="0"/>
      </w:pPr>
      <w:r>
        <w:tab/>
      </w:r>
      <w:r>
        <w:rPr>
          <w:rStyle w:val="FootnoteReference"/>
        </w:rPr>
        <w:footnoteRef/>
      </w:r>
      <w:r>
        <w:tab/>
      </w:r>
      <w:r w:rsidR="00A23018">
        <w:t>F</w:t>
      </w:r>
      <w:r w:rsidRPr="0092752B">
        <w:t>acilitat</w:t>
      </w:r>
      <w:r>
        <w:t>ing</w:t>
      </w:r>
      <w:r w:rsidRPr="0092752B">
        <w:t xml:space="preserve"> the development and exchange of regional, country- and/or sector-specific case studies and approaches on (1) economic diversification and transformation and just transition of the workforce and creation of decent work and quality jobs, and (2) assessment and analysis of the impacts of the implementation of response measures with a view to understanding the positive and negative impacts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33D7" w14:textId="69A369AF" w:rsidR="006C44C4" w:rsidRPr="00017F7D" w:rsidRDefault="00017F7D" w:rsidP="00017F7D">
    <w:pPr>
      <w:pStyle w:val="Header"/>
    </w:pPr>
    <w:r>
      <w:t>FCCC/PA/CMA/2023/16/Add.3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3F896" w14:textId="77777777" w:rsidR="003674F7" w:rsidRPr="00017F7D" w:rsidRDefault="00017F7D" w:rsidP="00017F7D">
    <w:pPr>
      <w:pStyle w:val="Header"/>
      <w:jc w:val="right"/>
    </w:pPr>
    <w:r>
      <w:t>FCCC/PA/CMA/2023/16/Add.3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40DF" w14:textId="7EE9D127" w:rsidR="0015632B" w:rsidRPr="00017F7D" w:rsidRDefault="00017F7D" w:rsidP="00017F7D">
    <w:pPr>
      <w:pStyle w:val="Header"/>
    </w:pPr>
    <w:r>
      <w:t>FCCC/PA/CMA/2023/16/Add.3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0E85" w14:textId="1BAEAAFB" w:rsidR="0015632B" w:rsidRPr="006C44C4" w:rsidRDefault="006C44C4" w:rsidP="006C44C4">
    <w:pPr>
      <w:pStyle w:val="Header"/>
    </w:pPr>
    <w:r>
      <w:t>FCC/PA/CMA/2023/X/Add.3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ED89" w14:textId="4606FC7E" w:rsidR="0015632B" w:rsidRPr="00017F7D" w:rsidRDefault="00017F7D" w:rsidP="00017F7D">
    <w:pPr>
      <w:pStyle w:val="Header"/>
    </w:pPr>
    <w:r>
      <w:t>FCCC/PA/CMA/2023/16/Add.3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B1FA" w14:textId="56734A95" w:rsidR="0015632B" w:rsidRPr="00017F7D" w:rsidRDefault="00017F7D" w:rsidP="00017F7D">
    <w:pPr>
      <w:pStyle w:val="Header"/>
      <w:jc w:val="right"/>
    </w:pPr>
    <w:r>
      <w:t>FCCC/PA/CMA/2023/16/Add.3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C749" w14:textId="2CF80EC0" w:rsidR="00C52C06" w:rsidRPr="00017F7D" w:rsidRDefault="00017F7D" w:rsidP="00017F7D">
    <w:pPr>
      <w:pStyle w:val="Header"/>
    </w:pPr>
    <w:r>
      <w:t>FCCC/PA/CMA/2023/16/Add.3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67DA" w14:textId="50365EDC" w:rsidR="00407296" w:rsidRPr="00017F7D" w:rsidRDefault="00017F7D" w:rsidP="00017F7D">
    <w:pPr>
      <w:pStyle w:val="Header"/>
      <w:jc w:val="right"/>
    </w:pPr>
    <w:r>
      <w:t>FCCC/PA/CMA/2023/16/Add.3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61E5" w14:textId="66B5AC64" w:rsidR="006C44C4" w:rsidRPr="00017F7D" w:rsidRDefault="00017F7D" w:rsidP="00017F7D">
    <w:pPr>
      <w:pStyle w:val="Header"/>
      <w:jc w:val="right"/>
    </w:pPr>
    <w:r>
      <w:t>FCCC/PA/CMA/2023/16/Add.3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AA2B" w14:textId="74EC0217" w:rsidR="00026319" w:rsidRPr="00017F7D" w:rsidRDefault="00017F7D" w:rsidP="00017F7D">
    <w:pPr>
      <w:pStyle w:val="Header"/>
    </w:pPr>
    <w:r>
      <w:t>FCCC/PA/CMA/2023/16/Add.3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99FD" w14:textId="1D191316" w:rsidR="006C44C4" w:rsidRPr="00017F7D" w:rsidRDefault="00017F7D" w:rsidP="00017F7D">
    <w:pPr>
      <w:pStyle w:val="Header"/>
      <w:jc w:val="right"/>
    </w:pPr>
    <w:r>
      <w:t>FCCC/PA/CMA/2023/16/Add.3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62AED" w14:textId="03E01C2B" w:rsidR="003674F7" w:rsidRPr="00017F7D" w:rsidRDefault="00017F7D" w:rsidP="00017F7D">
    <w:pPr>
      <w:pStyle w:val="Header"/>
    </w:pPr>
    <w:r>
      <w:t>FCCC/PA/CMA/2023/16/Add.3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2A05" w14:textId="08BB8FA2" w:rsidR="003674F7" w:rsidRPr="00017F7D" w:rsidRDefault="00017F7D" w:rsidP="00017F7D">
    <w:pPr>
      <w:pStyle w:val="Header"/>
      <w:jc w:val="right"/>
    </w:pPr>
    <w:r>
      <w:t>FCCC/PA/CMA/2023/16/Add.3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DCB1" w14:textId="7A86EC4E" w:rsidR="003674F7" w:rsidRPr="00017F7D" w:rsidRDefault="00017F7D" w:rsidP="00017F7D">
    <w:pPr>
      <w:pStyle w:val="Header"/>
    </w:pPr>
    <w:r>
      <w:t>FCCC/PA/CMA/2023/16/Add.3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72210" w14:textId="252455E9" w:rsidR="003674F7" w:rsidRPr="00017F7D" w:rsidRDefault="00017F7D" w:rsidP="00017F7D">
    <w:pPr>
      <w:pStyle w:val="Header"/>
      <w:jc w:val="right"/>
    </w:pPr>
    <w:r>
      <w:t>FCCC/PA/CMA/2023/16/Add.3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9D4E" w14:textId="5A330E66" w:rsidR="006C44C4" w:rsidRPr="006C44C4" w:rsidRDefault="006C44C4" w:rsidP="006C44C4">
    <w:pPr>
      <w:pStyle w:val="Header"/>
      <w:jc w:val="right"/>
    </w:pPr>
    <w:r>
      <w:t>FCC/PA/CMA/2023/X/Add.3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A86BD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54E"/>
    <w:multiLevelType w:val="multilevel"/>
    <w:tmpl w:val="F126F1F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val="0"/>
        <w:iCs w:val="0"/>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9"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65298"/>
    <w:multiLevelType w:val="hybridMultilevel"/>
    <w:tmpl w:val="DA6856EA"/>
    <w:lvl w:ilvl="0" w:tplc="FFFFFFFF">
      <w:start w:val="1"/>
      <w:numFmt w:val="decimal"/>
      <w:lvlText w:val="%1."/>
      <w:lvlJc w:val="left"/>
      <w:pPr>
        <w:ind w:left="2061" w:hanging="360"/>
      </w:pPr>
      <w:rPr>
        <w:rFonts w:hint="default"/>
      </w:r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2955E1"/>
    <w:multiLevelType w:val="hybridMultilevel"/>
    <w:tmpl w:val="482C332E"/>
    <w:lvl w:ilvl="0" w:tplc="0409000F">
      <w:start w:val="1"/>
      <w:numFmt w:val="decimal"/>
      <w:lvlText w:val="%1."/>
      <w:lvlJc w:val="left"/>
      <w:pPr>
        <w:ind w:left="720" w:hanging="360"/>
      </w:pPr>
    </w:lvl>
    <w:lvl w:ilvl="1" w:tplc="AC2C846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D50BA5"/>
    <w:multiLevelType w:val="hybridMultilevel"/>
    <w:tmpl w:val="482C332E"/>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0737043">
    <w:abstractNumId w:val="4"/>
  </w:num>
  <w:num w:numId="2" w16cid:durableId="1258558534">
    <w:abstractNumId w:val="6"/>
  </w:num>
  <w:num w:numId="3" w16cid:durableId="2025084013">
    <w:abstractNumId w:val="9"/>
  </w:num>
  <w:num w:numId="4" w16cid:durableId="226847112">
    <w:abstractNumId w:val="2"/>
  </w:num>
  <w:num w:numId="5" w16cid:durableId="1921284980">
    <w:abstractNumId w:val="1"/>
  </w:num>
  <w:num w:numId="6" w16cid:durableId="835222079">
    <w:abstractNumId w:val="16"/>
  </w:num>
  <w:num w:numId="7" w16cid:durableId="2107846204">
    <w:abstractNumId w:val="8"/>
  </w:num>
  <w:num w:numId="8" w16cid:durableId="1248809313">
    <w:abstractNumId w:val="4"/>
  </w:num>
  <w:num w:numId="9" w16cid:durableId="1247423334">
    <w:abstractNumId w:val="0"/>
  </w:num>
  <w:num w:numId="10" w16cid:durableId="577328551">
    <w:abstractNumId w:val="4"/>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Restart w:val="0"/>
        <w:lvlText w:val="%6."/>
        <w:lvlJc w:val="left"/>
        <w:pPr>
          <w:ind w:left="1134" w:firstLine="0"/>
        </w:pPr>
        <w:rPr>
          <w:rFonts w:hint="default"/>
          <w:b w:val="0"/>
          <w:i w:val="0"/>
          <w:iCs/>
          <w:sz w:val="20"/>
        </w:rPr>
      </w:lvl>
    </w:lvlOverride>
  </w:num>
  <w:num w:numId="11" w16cid:durableId="2957966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5072249">
    <w:abstractNumId w:val="14"/>
  </w:num>
  <w:num w:numId="13" w16cid:durableId="20487482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612360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156703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55032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9956792">
    <w:abstractNumId w:val="12"/>
  </w:num>
  <w:num w:numId="18" w16cid:durableId="1981693288">
    <w:abstractNumId w:val="17"/>
  </w:num>
  <w:num w:numId="19" w16cid:durableId="347413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1227044">
    <w:abstractNumId w:val="4"/>
  </w:num>
  <w:num w:numId="21" w16cid:durableId="1082483281">
    <w:abstractNumId w:val="4"/>
  </w:num>
  <w:num w:numId="22" w16cid:durableId="137455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95995184">
    <w:abstractNumId w:val="4"/>
  </w:num>
  <w:num w:numId="24" w16cid:durableId="2142841903">
    <w:abstractNumId w:val="4"/>
  </w:num>
  <w:num w:numId="25" w16cid:durableId="1401558704">
    <w:abstractNumId w:val="4"/>
  </w:num>
  <w:num w:numId="26" w16cid:durableId="1007253413">
    <w:abstractNumId w:val="4"/>
  </w:num>
  <w:num w:numId="27" w16cid:durableId="1739939516">
    <w:abstractNumId w:val="4"/>
  </w:num>
  <w:num w:numId="28" w16cid:durableId="1282037442">
    <w:abstractNumId w:val="4"/>
  </w:num>
  <w:num w:numId="29" w16cid:durableId="99033924">
    <w:abstractNumId w:val="4"/>
  </w:num>
  <w:num w:numId="30" w16cid:durableId="239566060">
    <w:abstractNumId w:val="4"/>
  </w:num>
  <w:num w:numId="31" w16cid:durableId="525338444">
    <w:abstractNumId w:val="4"/>
  </w:num>
  <w:num w:numId="32" w16cid:durableId="386757354">
    <w:abstractNumId w:val="4"/>
  </w:num>
  <w:num w:numId="33" w16cid:durableId="1634290084">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B1"/>
    <w:rsid w:val="00001E1B"/>
    <w:rsid w:val="00002558"/>
    <w:rsid w:val="00004755"/>
    <w:rsid w:val="00004A30"/>
    <w:rsid w:val="00006C29"/>
    <w:rsid w:val="00007029"/>
    <w:rsid w:val="00007089"/>
    <w:rsid w:val="00010992"/>
    <w:rsid w:val="00015089"/>
    <w:rsid w:val="00017F7D"/>
    <w:rsid w:val="00021BB6"/>
    <w:rsid w:val="00022131"/>
    <w:rsid w:val="000232B6"/>
    <w:rsid w:val="0002382B"/>
    <w:rsid w:val="0002532E"/>
    <w:rsid w:val="00025559"/>
    <w:rsid w:val="0002593E"/>
    <w:rsid w:val="00026319"/>
    <w:rsid w:val="000276C2"/>
    <w:rsid w:val="00027F7F"/>
    <w:rsid w:val="0003029E"/>
    <w:rsid w:val="000304E6"/>
    <w:rsid w:val="000324C4"/>
    <w:rsid w:val="00032DDE"/>
    <w:rsid w:val="00036A7F"/>
    <w:rsid w:val="00037650"/>
    <w:rsid w:val="0003776D"/>
    <w:rsid w:val="000423A6"/>
    <w:rsid w:val="000433FA"/>
    <w:rsid w:val="00043C9F"/>
    <w:rsid w:val="00046430"/>
    <w:rsid w:val="00052463"/>
    <w:rsid w:val="00052D5E"/>
    <w:rsid w:val="00054CCE"/>
    <w:rsid w:val="000555B3"/>
    <w:rsid w:val="000561BD"/>
    <w:rsid w:val="00056FC0"/>
    <w:rsid w:val="00057261"/>
    <w:rsid w:val="000576DF"/>
    <w:rsid w:val="00060912"/>
    <w:rsid w:val="000610B7"/>
    <w:rsid w:val="00062505"/>
    <w:rsid w:val="00063727"/>
    <w:rsid w:val="0007030A"/>
    <w:rsid w:val="000710EF"/>
    <w:rsid w:val="00071186"/>
    <w:rsid w:val="0007339E"/>
    <w:rsid w:val="00073A87"/>
    <w:rsid w:val="00074855"/>
    <w:rsid w:val="00074EC5"/>
    <w:rsid w:val="00074FC8"/>
    <w:rsid w:val="00076113"/>
    <w:rsid w:val="0007688E"/>
    <w:rsid w:val="000773C8"/>
    <w:rsid w:val="00077691"/>
    <w:rsid w:val="000814AE"/>
    <w:rsid w:val="00081A64"/>
    <w:rsid w:val="00081C44"/>
    <w:rsid w:val="000830D2"/>
    <w:rsid w:val="00083647"/>
    <w:rsid w:val="0008389B"/>
    <w:rsid w:val="00084F25"/>
    <w:rsid w:val="00085CEE"/>
    <w:rsid w:val="00086ABF"/>
    <w:rsid w:val="0008756E"/>
    <w:rsid w:val="00087B2D"/>
    <w:rsid w:val="00087BE9"/>
    <w:rsid w:val="00087D20"/>
    <w:rsid w:val="00090016"/>
    <w:rsid w:val="0009009D"/>
    <w:rsid w:val="000902BD"/>
    <w:rsid w:val="00090A78"/>
    <w:rsid w:val="000913E6"/>
    <w:rsid w:val="000916F8"/>
    <w:rsid w:val="00091C5C"/>
    <w:rsid w:val="00092A76"/>
    <w:rsid w:val="00092E29"/>
    <w:rsid w:val="00093044"/>
    <w:rsid w:val="000967BD"/>
    <w:rsid w:val="000A08D1"/>
    <w:rsid w:val="000A0CBC"/>
    <w:rsid w:val="000A1CA7"/>
    <w:rsid w:val="000A399F"/>
    <w:rsid w:val="000A416C"/>
    <w:rsid w:val="000A4C99"/>
    <w:rsid w:val="000A566F"/>
    <w:rsid w:val="000A63B3"/>
    <w:rsid w:val="000A7C2B"/>
    <w:rsid w:val="000B1EBD"/>
    <w:rsid w:val="000B1FD0"/>
    <w:rsid w:val="000B20E1"/>
    <w:rsid w:val="000B39A3"/>
    <w:rsid w:val="000B462D"/>
    <w:rsid w:val="000B591F"/>
    <w:rsid w:val="000B5D9C"/>
    <w:rsid w:val="000B5EB3"/>
    <w:rsid w:val="000B7924"/>
    <w:rsid w:val="000C0DD0"/>
    <w:rsid w:val="000C0E05"/>
    <w:rsid w:val="000C22D4"/>
    <w:rsid w:val="000C24E3"/>
    <w:rsid w:val="000C30FA"/>
    <w:rsid w:val="000C4720"/>
    <w:rsid w:val="000C4975"/>
    <w:rsid w:val="000C5173"/>
    <w:rsid w:val="000C6290"/>
    <w:rsid w:val="000C7FAF"/>
    <w:rsid w:val="000D0FC7"/>
    <w:rsid w:val="000D5DED"/>
    <w:rsid w:val="000D6063"/>
    <w:rsid w:val="000D6922"/>
    <w:rsid w:val="000D6D4A"/>
    <w:rsid w:val="000D6E44"/>
    <w:rsid w:val="000E1835"/>
    <w:rsid w:val="000E343D"/>
    <w:rsid w:val="000E3BD5"/>
    <w:rsid w:val="000E5A58"/>
    <w:rsid w:val="000E688B"/>
    <w:rsid w:val="000E6E68"/>
    <w:rsid w:val="000E7CF9"/>
    <w:rsid w:val="000F13AC"/>
    <w:rsid w:val="000F24C2"/>
    <w:rsid w:val="000F379C"/>
    <w:rsid w:val="000F4528"/>
    <w:rsid w:val="000F5020"/>
    <w:rsid w:val="000F51BB"/>
    <w:rsid w:val="000F61B3"/>
    <w:rsid w:val="001000E0"/>
    <w:rsid w:val="0010034C"/>
    <w:rsid w:val="001007C9"/>
    <w:rsid w:val="00103AA6"/>
    <w:rsid w:val="00105A9A"/>
    <w:rsid w:val="00105C5C"/>
    <w:rsid w:val="00106384"/>
    <w:rsid w:val="00107108"/>
    <w:rsid w:val="00107536"/>
    <w:rsid w:val="00107A70"/>
    <w:rsid w:val="00107B0E"/>
    <w:rsid w:val="0011084D"/>
    <w:rsid w:val="0011105D"/>
    <w:rsid w:val="00111420"/>
    <w:rsid w:val="0011157B"/>
    <w:rsid w:val="00111D73"/>
    <w:rsid w:val="001122B0"/>
    <w:rsid w:val="00112B7A"/>
    <w:rsid w:val="00114F7F"/>
    <w:rsid w:val="001151E6"/>
    <w:rsid w:val="0011578D"/>
    <w:rsid w:val="00116193"/>
    <w:rsid w:val="001161E5"/>
    <w:rsid w:val="00117315"/>
    <w:rsid w:val="0011781E"/>
    <w:rsid w:val="001201CD"/>
    <w:rsid w:val="00120826"/>
    <w:rsid w:val="00120901"/>
    <w:rsid w:val="001209A8"/>
    <w:rsid w:val="00120E84"/>
    <w:rsid w:val="00120F30"/>
    <w:rsid w:val="00123C52"/>
    <w:rsid w:val="00124496"/>
    <w:rsid w:val="00124767"/>
    <w:rsid w:val="00125E71"/>
    <w:rsid w:val="0012662A"/>
    <w:rsid w:val="00127311"/>
    <w:rsid w:val="001328F9"/>
    <w:rsid w:val="001349EC"/>
    <w:rsid w:val="00134F15"/>
    <w:rsid w:val="0013598F"/>
    <w:rsid w:val="00136D61"/>
    <w:rsid w:val="001404D7"/>
    <w:rsid w:val="00141710"/>
    <w:rsid w:val="001429DA"/>
    <w:rsid w:val="00142A35"/>
    <w:rsid w:val="00144914"/>
    <w:rsid w:val="00144B08"/>
    <w:rsid w:val="00150E02"/>
    <w:rsid w:val="001526FC"/>
    <w:rsid w:val="00152A6E"/>
    <w:rsid w:val="00153B22"/>
    <w:rsid w:val="0015460A"/>
    <w:rsid w:val="00155AFE"/>
    <w:rsid w:val="0015632B"/>
    <w:rsid w:val="0015679F"/>
    <w:rsid w:val="00156C33"/>
    <w:rsid w:val="0015771C"/>
    <w:rsid w:val="001600D9"/>
    <w:rsid w:val="00164AAE"/>
    <w:rsid w:val="00167025"/>
    <w:rsid w:val="00172CF0"/>
    <w:rsid w:val="001738F1"/>
    <w:rsid w:val="00174A05"/>
    <w:rsid w:val="00176D28"/>
    <w:rsid w:val="00177074"/>
    <w:rsid w:val="0018004F"/>
    <w:rsid w:val="001809D8"/>
    <w:rsid w:val="00180DE6"/>
    <w:rsid w:val="00181488"/>
    <w:rsid w:val="001824A4"/>
    <w:rsid w:val="00182BD7"/>
    <w:rsid w:val="00184C03"/>
    <w:rsid w:val="00185DA6"/>
    <w:rsid w:val="00186653"/>
    <w:rsid w:val="00186A4F"/>
    <w:rsid w:val="00190060"/>
    <w:rsid w:val="001906D0"/>
    <w:rsid w:val="001915EF"/>
    <w:rsid w:val="0019430F"/>
    <w:rsid w:val="001945C7"/>
    <w:rsid w:val="00194A96"/>
    <w:rsid w:val="00194BFA"/>
    <w:rsid w:val="00194D48"/>
    <w:rsid w:val="00194E11"/>
    <w:rsid w:val="00195018"/>
    <w:rsid w:val="00195365"/>
    <w:rsid w:val="00195721"/>
    <w:rsid w:val="00195FF4"/>
    <w:rsid w:val="00196E77"/>
    <w:rsid w:val="001A0A3A"/>
    <w:rsid w:val="001A1FC1"/>
    <w:rsid w:val="001A3E9A"/>
    <w:rsid w:val="001A594B"/>
    <w:rsid w:val="001A5DAA"/>
    <w:rsid w:val="001A5FE8"/>
    <w:rsid w:val="001A6305"/>
    <w:rsid w:val="001A658D"/>
    <w:rsid w:val="001A70E2"/>
    <w:rsid w:val="001B085A"/>
    <w:rsid w:val="001B1483"/>
    <w:rsid w:val="001B2002"/>
    <w:rsid w:val="001B5E7A"/>
    <w:rsid w:val="001B7387"/>
    <w:rsid w:val="001C3DE7"/>
    <w:rsid w:val="001C3F2F"/>
    <w:rsid w:val="001C40F0"/>
    <w:rsid w:val="001C4688"/>
    <w:rsid w:val="001C4E4C"/>
    <w:rsid w:val="001C6D78"/>
    <w:rsid w:val="001C7B87"/>
    <w:rsid w:val="001D012A"/>
    <w:rsid w:val="001D0F0F"/>
    <w:rsid w:val="001D2FD8"/>
    <w:rsid w:val="001D4D89"/>
    <w:rsid w:val="001D74F2"/>
    <w:rsid w:val="001E1EFC"/>
    <w:rsid w:val="001E2E61"/>
    <w:rsid w:val="001E38E4"/>
    <w:rsid w:val="001E516A"/>
    <w:rsid w:val="001E5790"/>
    <w:rsid w:val="001E7311"/>
    <w:rsid w:val="001E7D13"/>
    <w:rsid w:val="001F0C87"/>
    <w:rsid w:val="001F2BBF"/>
    <w:rsid w:val="00200856"/>
    <w:rsid w:val="002008AA"/>
    <w:rsid w:val="00201B92"/>
    <w:rsid w:val="002025E1"/>
    <w:rsid w:val="0020296E"/>
    <w:rsid w:val="00202C1D"/>
    <w:rsid w:val="002051C6"/>
    <w:rsid w:val="00206A49"/>
    <w:rsid w:val="00206C23"/>
    <w:rsid w:val="00207452"/>
    <w:rsid w:val="0020756B"/>
    <w:rsid w:val="00210119"/>
    <w:rsid w:val="002122E9"/>
    <w:rsid w:val="00213AA8"/>
    <w:rsid w:val="0021446A"/>
    <w:rsid w:val="00216589"/>
    <w:rsid w:val="00217DC5"/>
    <w:rsid w:val="00217E8F"/>
    <w:rsid w:val="00220CA4"/>
    <w:rsid w:val="00223453"/>
    <w:rsid w:val="00224111"/>
    <w:rsid w:val="00225795"/>
    <w:rsid w:val="00230D0F"/>
    <w:rsid w:val="00231238"/>
    <w:rsid w:val="002318ED"/>
    <w:rsid w:val="00231FB5"/>
    <w:rsid w:val="00232479"/>
    <w:rsid w:val="00232EAA"/>
    <w:rsid w:val="00237C99"/>
    <w:rsid w:val="00240500"/>
    <w:rsid w:val="0024103C"/>
    <w:rsid w:val="0024149B"/>
    <w:rsid w:val="002425F0"/>
    <w:rsid w:val="0024335E"/>
    <w:rsid w:val="00243B33"/>
    <w:rsid w:val="0024447B"/>
    <w:rsid w:val="00246888"/>
    <w:rsid w:val="00247BF6"/>
    <w:rsid w:val="00250037"/>
    <w:rsid w:val="00251F0B"/>
    <w:rsid w:val="00251FF9"/>
    <w:rsid w:val="00252714"/>
    <w:rsid w:val="00253D17"/>
    <w:rsid w:val="002567A3"/>
    <w:rsid w:val="002567B7"/>
    <w:rsid w:val="00256CFB"/>
    <w:rsid w:val="00257951"/>
    <w:rsid w:val="00257AA3"/>
    <w:rsid w:val="00260BFA"/>
    <w:rsid w:val="002628BE"/>
    <w:rsid w:val="00264547"/>
    <w:rsid w:val="00264F17"/>
    <w:rsid w:val="0026504A"/>
    <w:rsid w:val="0026622F"/>
    <w:rsid w:val="00266D68"/>
    <w:rsid w:val="00267B98"/>
    <w:rsid w:val="00270189"/>
    <w:rsid w:val="00270C04"/>
    <w:rsid w:val="00270DA5"/>
    <w:rsid w:val="002710DB"/>
    <w:rsid w:val="00272F3C"/>
    <w:rsid w:val="00273142"/>
    <w:rsid w:val="002737A7"/>
    <w:rsid w:val="00273E8E"/>
    <w:rsid w:val="0027419E"/>
    <w:rsid w:val="00274A79"/>
    <w:rsid w:val="00275711"/>
    <w:rsid w:val="0027616B"/>
    <w:rsid w:val="002768AB"/>
    <w:rsid w:val="00276A17"/>
    <w:rsid w:val="00276F5E"/>
    <w:rsid w:val="002773DF"/>
    <w:rsid w:val="002776B4"/>
    <w:rsid w:val="002779EB"/>
    <w:rsid w:val="002823A1"/>
    <w:rsid w:val="00283275"/>
    <w:rsid w:val="002859C9"/>
    <w:rsid w:val="0028608E"/>
    <w:rsid w:val="00286847"/>
    <w:rsid w:val="0029007C"/>
    <w:rsid w:val="00290409"/>
    <w:rsid w:val="002905B1"/>
    <w:rsid w:val="00291858"/>
    <w:rsid w:val="00291E6E"/>
    <w:rsid w:val="00292BBA"/>
    <w:rsid w:val="00292DC3"/>
    <w:rsid w:val="00293006"/>
    <w:rsid w:val="002933A4"/>
    <w:rsid w:val="002938C0"/>
    <w:rsid w:val="002954CD"/>
    <w:rsid w:val="00295866"/>
    <w:rsid w:val="002959E2"/>
    <w:rsid w:val="002962F0"/>
    <w:rsid w:val="00296561"/>
    <w:rsid w:val="0029733B"/>
    <w:rsid w:val="00297846"/>
    <w:rsid w:val="00297C1E"/>
    <w:rsid w:val="00297E47"/>
    <w:rsid w:val="002A5415"/>
    <w:rsid w:val="002A56CD"/>
    <w:rsid w:val="002A68AE"/>
    <w:rsid w:val="002A7B52"/>
    <w:rsid w:val="002B00DA"/>
    <w:rsid w:val="002B0283"/>
    <w:rsid w:val="002B02E2"/>
    <w:rsid w:val="002B0491"/>
    <w:rsid w:val="002B0D27"/>
    <w:rsid w:val="002B3984"/>
    <w:rsid w:val="002B446B"/>
    <w:rsid w:val="002B480C"/>
    <w:rsid w:val="002B4D88"/>
    <w:rsid w:val="002B6930"/>
    <w:rsid w:val="002B71EA"/>
    <w:rsid w:val="002B72CE"/>
    <w:rsid w:val="002B747A"/>
    <w:rsid w:val="002B7532"/>
    <w:rsid w:val="002C051E"/>
    <w:rsid w:val="002C0EDC"/>
    <w:rsid w:val="002C11F7"/>
    <w:rsid w:val="002C2862"/>
    <w:rsid w:val="002C3336"/>
    <w:rsid w:val="002C3D6B"/>
    <w:rsid w:val="002C3E7F"/>
    <w:rsid w:val="002C46E4"/>
    <w:rsid w:val="002C52A6"/>
    <w:rsid w:val="002C5632"/>
    <w:rsid w:val="002C601F"/>
    <w:rsid w:val="002D154A"/>
    <w:rsid w:val="002D1B82"/>
    <w:rsid w:val="002D1F6E"/>
    <w:rsid w:val="002D22C9"/>
    <w:rsid w:val="002D528E"/>
    <w:rsid w:val="002D5913"/>
    <w:rsid w:val="002D66A2"/>
    <w:rsid w:val="002D68A5"/>
    <w:rsid w:val="002D737B"/>
    <w:rsid w:val="002E172F"/>
    <w:rsid w:val="002E3ED8"/>
    <w:rsid w:val="002E50DC"/>
    <w:rsid w:val="002E6538"/>
    <w:rsid w:val="002E6E56"/>
    <w:rsid w:val="002F0F2A"/>
    <w:rsid w:val="002F13DC"/>
    <w:rsid w:val="002F219D"/>
    <w:rsid w:val="002F304A"/>
    <w:rsid w:val="002F4520"/>
    <w:rsid w:val="002F4B88"/>
    <w:rsid w:val="002F60E8"/>
    <w:rsid w:val="002F799C"/>
    <w:rsid w:val="002F7B01"/>
    <w:rsid w:val="00300E80"/>
    <w:rsid w:val="003012AF"/>
    <w:rsid w:val="00302058"/>
    <w:rsid w:val="00302765"/>
    <w:rsid w:val="00303C1B"/>
    <w:rsid w:val="00304BA1"/>
    <w:rsid w:val="00306423"/>
    <w:rsid w:val="0031149B"/>
    <w:rsid w:val="003118D6"/>
    <w:rsid w:val="003132EC"/>
    <w:rsid w:val="003146A4"/>
    <w:rsid w:val="003147E4"/>
    <w:rsid w:val="003151CF"/>
    <w:rsid w:val="00317B8C"/>
    <w:rsid w:val="00320C9F"/>
    <w:rsid w:val="00321A14"/>
    <w:rsid w:val="003250E7"/>
    <w:rsid w:val="003268A2"/>
    <w:rsid w:val="00327575"/>
    <w:rsid w:val="00327B89"/>
    <w:rsid w:val="003310AD"/>
    <w:rsid w:val="00331D2D"/>
    <w:rsid w:val="00332592"/>
    <w:rsid w:val="00332972"/>
    <w:rsid w:val="00334B08"/>
    <w:rsid w:val="003354A0"/>
    <w:rsid w:val="0033569F"/>
    <w:rsid w:val="003366D8"/>
    <w:rsid w:val="003366ED"/>
    <w:rsid w:val="00336DC3"/>
    <w:rsid w:val="0034005C"/>
    <w:rsid w:val="00340554"/>
    <w:rsid w:val="003410C8"/>
    <w:rsid w:val="00341289"/>
    <w:rsid w:val="003415A2"/>
    <w:rsid w:val="0034264C"/>
    <w:rsid w:val="0034341F"/>
    <w:rsid w:val="00344AD3"/>
    <w:rsid w:val="0034629C"/>
    <w:rsid w:val="00347E23"/>
    <w:rsid w:val="00350710"/>
    <w:rsid w:val="00351AE3"/>
    <w:rsid w:val="00353704"/>
    <w:rsid w:val="00355A17"/>
    <w:rsid w:val="00355B23"/>
    <w:rsid w:val="00357684"/>
    <w:rsid w:val="00361821"/>
    <w:rsid w:val="00361A9D"/>
    <w:rsid w:val="003643C9"/>
    <w:rsid w:val="003647B2"/>
    <w:rsid w:val="00364B85"/>
    <w:rsid w:val="00367230"/>
    <w:rsid w:val="003674F7"/>
    <w:rsid w:val="00367D83"/>
    <w:rsid w:val="00370527"/>
    <w:rsid w:val="003743A6"/>
    <w:rsid w:val="003753D6"/>
    <w:rsid w:val="00375F53"/>
    <w:rsid w:val="003762C2"/>
    <w:rsid w:val="00377D5F"/>
    <w:rsid w:val="00381632"/>
    <w:rsid w:val="00382198"/>
    <w:rsid w:val="00382351"/>
    <w:rsid w:val="00383494"/>
    <w:rsid w:val="003847B9"/>
    <w:rsid w:val="00385E56"/>
    <w:rsid w:val="003864C6"/>
    <w:rsid w:val="00391BA5"/>
    <w:rsid w:val="003927EA"/>
    <w:rsid w:val="00393D46"/>
    <w:rsid w:val="00393D56"/>
    <w:rsid w:val="003951AD"/>
    <w:rsid w:val="003A04B4"/>
    <w:rsid w:val="003A4936"/>
    <w:rsid w:val="003A4BC8"/>
    <w:rsid w:val="003A56D5"/>
    <w:rsid w:val="003A5D02"/>
    <w:rsid w:val="003B0EFD"/>
    <w:rsid w:val="003B1229"/>
    <w:rsid w:val="003B2C11"/>
    <w:rsid w:val="003B3C25"/>
    <w:rsid w:val="003B4C6A"/>
    <w:rsid w:val="003B4D23"/>
    <w:rsid w:val="003B5708"/>
    <w:rsid w:val="003B6F10"/>
    <w:rsid w:val="003B714F"/>
    <w:rsid w:val="003C03AB"/>
    <w:rsid w:val="003C3854"/>
    <w:rsid w:val="003C6C45"/>
    <w:rsid w:val="003C75B9"/>
    <w:rsid w:val="003C7F03"/>
    <w:rsid w:val="003D0DA3"/>
    <w:rsid w:val="003D1A53"/>
    <w:rsid w:val="003D2A22"/>
    <w:rsid w:val="003D301E"/>
    <w:rsid w:val="003D36AD"/>
    <w:rsid w:val="003D5216"/>
    <w:rsid w:val="003D550E"/>
    <w:rsid w:val="003D5FAA"/>
    <w:rsid w:val="003D6B47"/>
    <w:rsid w:val="003D7CB7"/>
    <w:rsid w:val="003E05CD"/>
    <w:rsid w:val="003E061D"/>
    <w:rsid w:val="003E06FD"/>
    <w:rsid w:val="003E101E"/>
    <w:rsid w:val="003E1181"/>
    <w:rsid w:val="003E26AC"/>
    <w:rsid w:val="003E3A52"/>
    <w:rsid w:val="003E45B1"/>
    <w:rsid w:val="003E7900"/>
    <w:rsid w:val="003E7CA8"/>
    <w:rsid w:val="003F0BC6"/>
    <w:rsid w:val="003F15CD"/>
    <w:rsid w:val="003F1E27"/>
    <w:rsid w:val="003F20C4"/>
    <w:rsid w:val="003F3102"/>
    <w:rsid w:val="003F3389"/>
    <w:rsid w:val="003F4883"/>
    <w:rsid w:val="003F5FEE"/>
    <w:rsid w:val="003F7301"/>
    <w:rsid w:val="003F7F3F"/>
    <w:rsid w:val="00400B35"/>
    <w:rsid w:val="00403E2E"/>
    <w:rsid w:val="0040446C"/>
    <w:rsid w:val="00405060"/>
    <w:rsid w:val="004061BF"/>
    <w:rsid w:val="00406E6F"/>
    <w:rsid w:val="00407296"/>
    <w:rsid w:val="00410508"/>
    <w:rsid w:val="00413458"/>
    <w:rsid w:val="00414640"/>
    <w:rsid w:val="0041490B"/>
    <w:rsid w:val="004150ED"/>
    <w:rsid w:val="00415EFB"/>
    <w:rsid w:val="00415F5E"/>
    <w:rsid w:val="00416000"/>
    <w:rsid w:val="00416B95"/>
    <w:rsid w:val="00416E05"/>
    <w:rsid w:val="00417292"/>
    <w:rsid w:val="004204FD"/>
    <w:rsid w:val="004215DD"/>
    <w:rsid w:val="00422A48"/>
    <w:rsid w:val="00422A55"/>
    <w:rsid w:val="0042599D"/>
    <w:rsid w:val="00427B7D"/>
    <w:rsid w:val="00427DA2"/>
    <w:rsid w:val="00432E51"/>
    <w:rsid w:val="00434B36"/>
    <w:rsid w:val="0043677E"/>
    <w:rsid w:val="0043729E"/>
    <w:rsid w:val="00437435"/>
    <w:rsid w:val="004408B9"/>
    <w:rsid w:val="00442AFD"/>
    <w:rsid w:val="004442A4"/>
    <w:rsid w:val="00445627"/>
    <w:rsid w:val="0045044A"/>
    <w:rsid w:val="00455747"/>
    <w:rsid w:val="00456080"/>
    <w:rsid w:val="00457031"/>
    <w:rsid w:val="004578AD"/>
    <w:rsid w:val="00464BE9"/>
    <w:rsid w:val="00464F30"/>
    <w:rsid w:val="00466352"/>
    <w:rsid w:val="00466D34"/>
    <w:rsid w:val="0046753B"/>
    <w:rsid w:val="004732FC"/>
    <w:rsid w:val="0047676D"/>
    <w:rsid w:val="00476CF9"/>
    <w:rsid w:val="00477328"/>
    <w:rsid w:val="0047738C"/>
    <w:rsid w:val="004774B0"/>
    <w:rsid w:val="00480061"/>
    <w:rsid w:val="004812E6"/>
    <w:rsid w:val="0048149F"/>
    <w:rsid w:val="0048196D"/>
    <w:rsid w:val="00482E05"/>
    <w:rsid w:val="00484B74"/>
    <w:rsid w:val="004850CF"/>
    <w:rsid w:val="0048523B"/>
    <w:rsid w:val="004858BE"/>
    <w:rsid w:val="00485971"/>
    <w:rsid w:val="00487DED"/>
    <w:rsid w:val="004903C5"/>
    <w:rsid w:val="00490900"/>
    <w:rsid w:val="004913EF"/>
    <w:rsid w:val="004915AC"/>
    <w:rsid w:val="004977C3"/>
    <w:rsid w:val="004A0A23"/>
    <w:rsid w:val="004A1FB8"/>
    <w:rsid w:val="004A36EC"/>
    <w:rsid w:val="004A4EE9"/>
    <w:rsid w:val="004A6734"/>
    <w:rsid w:val="004A67DD"/>
    <w:rsid w:val="004A6CB2"/>
    <w:rsid w:val="004A74F6"/>
    <w:rsid w:val="004B02E4"/>
    <w:rsid w:val="004B1F65"/>
    <w:rsid w:val="004B2317"/>
    <w:rsid w:val="004B2869"/>
    <w:rsid w:val="004B3BBD"/>
    <w:rsid w:val="004B501A"/>
    <w:rsid w:val="004B6DE3"/>
    <w:rsid w:val="004C022A"/>
    <w:rsid w:val="004C1052"/>
    <w:rsid w:val="004C170D"/>
    <w:rsid w:val="004C47AF"/>
    <w:rsid w:val="004C4829"/>
    <w:rsid w:val="004D04B9"/>
    <w:rsid w:val="004D1BD9"/>
    <w:rsid w:val="004D26DD"/>
    <w:rsid w:val="004D2AC9"/>
    <w:rsid w:val="004D7020"/>
    <w:rsid w:val="004D72AF"/>
    <w:rsid w:val="004E0031"/>
    <w:rsid w:val="004E193B"/>
    <w:rsid w:val="004E2287"/>
    <w:rsid w:val="004E3459"/>
    <w:rsid w:val="004E3662"/>
    <w:rsid w:val="004E3961"/>
    <w:rsid w:val="004E3E2C"/>
    <w:rsid w:val="004E4B8F"/>
    <w:rsid w:val="004E5A04"/>
    <w:rsid w:val="004E7437"/>
    <w:rsid w:val="004F07DB"/>
    <w:rsid w:val="004F0D45"/>
    <w:rsid w:val="004F2A7A"/>
    <w:rsid w:val="004F5C62"/>
    <w:rsid w:val="004F615A"/>
    <w:rsid w:val="004F7650"/>
    <w:rsid w:val="00502AEE"/>
    <w:rsid w:val="005030B1"/>
    <w:rsid w:val="00503373"/>
    <w:rsid w:val="00504C27"/>
    <w:rsid w:val="005056C7"/>
    <w:rsid w:val="00510B08"/>
    <w:rsid w:val="005111C6"/>
    <w:rsid w:val="00511FCE"/>
    <w:rsid w:val="005120CF"/>
    <w:rsid w:val="0051452E"/>
    <w:rsid w:val="00516058"/>
    <w:rsid w:val="00521084"/>
    <w:rsid w:val="00521555"/>
    <w:rsid w:val="00521929"/>
    <w:rsid w:val="005249C2"/>
    <w:rsid w:val="005255F0"/>
    <w:rsid w:val="00526C4F"/>
    <w:rsid w:val="00527573"/>
    <w:rsid w:val="005279BE"/>
    <w:rsid w:val="00527C82"/>
    <w:rsid w:val="005319F9"/>
    <w:rsid w:val="00532488"/>
    <w:rsid w:val="005324FA"/>
    <w:rsid w:val="00533AB8"/>
    <w:rsid w:val="00535D8B"/>
    <w:rsid w:val="00535F63"/>
    <w:rsid w:val="0053651C"/>
    <w:rsid w:val="005416D2"/>
    <w:rsid w:val="005420DB"/>
    <w:rsid w:val="00542863"/>
    <w:rsid w:val="00543F8A"/>
    <w:rsid w:val="005440FD"/>
    <w:rsid w:val="00545616"/>
    <w:rsid w:val="005464AA"/>
    <w:rsid w:val="0054650E"/>
    <w:rsid w:val="00546735"/>
    <w:rsid w:val="00547283"/>
    <w:rsid w:val="005474C8"/>
    <w:rsid w:val="00547C98"/>
    <w:rsid w:val="005507D1"/>
    <w:rsid w:val="00553239"/>
    <w:rsid w:val="005549B8"/>
    <w:rsid w:val="00556333"/>
    <w:rsid w:val="00556CD3"/>
    <w:rsid w:val="0055700C"/>
    <w:rsid w:val="005574E3"/>
    <w:rsid w:val="00560759"/>
    <w:rsid w:val="005609B6"/>
    <w:rsid w:val="00560C26"/>
    <w:rsid w:val="00560CF4"/>
    <w:rsid w:val="00560E92"/>
    <w:rsid w:val="0056212D"/>
    <w:rsid w:val="0056250B"/>
    <w:rsid w:val="005627AB"/>
    <w:rsid w:val="005638DF"/>
    <w:rsid w:val="005643BA"/>
    <w:rsid w:val="005650E4"/>
    <w:rsid w:val="005653A9"/>
    <w:rsid w:val="00565662"/>
    <w:rsid w:val="00565678"/>
    <w:rsid w:val="00565AF2"/>
    <w:rsid w:val="0056758F"/>
    <w:rsid w:val="00570362"/>
    <w:rsid w:val="0057038E"/>
    <w:rsid w:val="00570F55"/>
    <w:rsid w:val="005719CB"/>
    <w:rsid w:val="00571C3A"/>
    <w:rsid w:val="00573130"/>
    <w:rsid w:val="00573B5D"/>
    <w:rsid w:val="005750DB"/>
    <w:rsid w:val="00576132"/>
    <w:rsid w:val="00576F19"/>
    <w:rsid w:val="00577949"/>
    <w:rsid w:val="00580E89"/>
    <w:rsid w:val="005833C8"/>
    <w:rsid w:val="0058341F"/>
    <w:rsid w:val="00584B0F"/>
    <w:rsid w:val="005852CF"/>
    <w:rsid w:val="005857A1"/>
    <w:rsid w:val="00587D17"/>
    <w:rsid w:val="0059193B"/>
    <w:rsid w:val="00592405"/>
    <w:rsid w:val="005931B3"/>
    <w:rsid w:val="005943A9"/>
    <w:rsid w:val="005A0171"/>
    <w:rsid w:val="005A0EC5"/>
    <w:rsid w:val="005A1844"/>
    <w:rsid w:val="005A30EA"/>
    <w:rsid w:val="005A318D"/>
    <w:rsid w:val="005A3292"/>
    <w:rsid w:val="005A5C53"/>
    <w:rsid w:val="005A7764"/>
    <w:rsid w:val="005B0C74"/>
    <w:rsid w:val="005B1907"/>
    <w:rsid w:val="005B199B"/>
    <w:rsid w:val="005B1D36"/>
    <w:rsid w:val="005B293E"/>
    <w:rsid w:val="005B39C0"/>
    <w:rsid w:val="005B47F8"/>
    <w:rsid w:val="005B7804"/>
    <w:rsid w:val="005C08EC"/>
    <w:rsid w:val="005C50F5"/>
    <w:rsid w:val="005C683F"/>
    <w:rsid w:val="005C6895"/>
    <w:rsid w:val="005C6A27"/>
    <w:rsid w:val="005D01C5"/>
    <w:rsid w:val="005D0597"/>
    <w:rsid w:val="005D1163"/>
    <w:rsid w:val="005D2596"/>
    <w:rsid w:val="005D5B6C"/>
    <w:rsid w:val="005D6C7A"/>
    <w:rsid w:val="005E06A2"/>
    <w:rsid w:val="005E2EC7"/>
    <w:rsid w:val="005E3D18"/>
    <w:rsid w:val="005E432D"/>
    <w:rsid w:val="005E44B4"/>
    <w:rsid w:val="005F03EC"/>
    <w:rsid w:val="005F0AA8"/>
    <w:rsid w:val="005F16C2"/>
    <w:rsid w:val="005F6CDE"/>
    <w:rsid w:val="005F7584"/>
    <w:rsid w:val="006002E5"/>
    <w:rsid w:val="00601526"/>
    <w:rsid w:val="00603C96"/>
    <w:rsid w:val="00603D73"/>
    <w:rsid w:val="0060436D"/>
    <w:rsid w:val="00605A26"/>
    <w:rsid w:val="006079FE"/>
    <w:rsid w:val="0061173F"/>
    <w:rsid w:val="00611E89"/>
    <w:rsid w:val="006121C0"/>
    <w:rsid w:val="00612649"/>
    <w:rsid w:val="00613551"/>
    <w:rsid w:val="006147C6"/>
    <w:rsid w:val="006157EA"/>
    <w:rsid w:val="006160E0"/>
    <w:rsid w:val="006172E8"/>
    <w:rsid w:val="00617B57"/>
    <w:rsid w:val="00621E45"/>
    <w:rsid w:val="00622643"/>
    <w:rsid w:val="00622B9F"/>
    <w:rsid w:val="00623877"/>
    <w:rsid w:val="00624D03"/>
    <w:rsid w:val="006259AF"/>
    <w:rsid w:val="006277D4"/>
    <w:rsid w:val="00631EE2"/>
    <w:rsid w:val="00633BF3"/>
    <w:rsid w:val="00634DBB"/>
    <w:rsid w:val="0063652F"/>
    <w:rsid w:val="0063667C"/>
    <w:rsid w:val="006379C7"/>
    <w:rsid w:val="00640025"/>
    <w:rsid w:val="00641F09"/>
    <w:rsid w:val="00641F29"/>
    <w:rsid w:val="00643DFE"/>
    <w:rsid w:val="0064579B"/>
    <w:rsid w:val="00645C22"/>
    <w:rsid w:val="006463B9"/>
    <w:rsid w:val="00646F8F"/>
    <w:rsid w:val="00646FBB"/>
    <w:rsid w:val="00651BDB"/>
    <w:rsid w:val="00652067"/>
    <w:rsid w:val="00652114"/>
    <w:rsid w:val="00652135"/>
    <w:rsid w:val="0065231F"/>
    <w:rsid w:val="0065466D"/>
    <w:rsid w:val="00655CC8"/>
    <w:rsid w:val="00655F79"/>
    <w:rsid w:val="00656011"/>
    <w:rsid w:val="00657272"/>
    <w:rsid w:val="00657477"/>
    <w:rsid w:val="006609B7"/>
    <w:rsid w:val="0066159F"/>
    <w:rsid w:val="00662685"/>
    <w:rsid w:val="006644D0"/>
    <w:rsid w:val="00664ABD"/>
    <w:rsid w:val="00664E65"/>
    <w:rsid w:val="00665B01"/>
    <w:rsid w:val="0066779B"/>
    <w:rsid w:val="00667892"/>
    <w:rsid w:val="00670D9E"/>
    <w:rsid w:val="00671981"/>
    <w:rsid w:val="006721C9"/>
    <w:rsid w:val="0067627A"/>
    <w:rsid w:val="006769E1"/>
    <w:rsid w:val="006771A4"/>
    <w:rsid w:val="00677BFB"/>
    <w:rsid w:val="006810D8"/>
    <w:rsid w:val="00681320"/>
    <w:rsid w:val="0068303B"/>
    <w:rsid w:val="006831EA"/>
    <w:rsid w:val="0068552D"/>
    <w:rsid w:val="0068571C"/>
    <w:rsid w:val="00686336"/>
    <w:rsid w:val="00687740"/>
    <w:rsid w:val="006921A3"/>
    <w:rsid w:val="00693901"/>
    <w:rsid w:val="00694627"/>
    <w:rsid w:val="00695259"/>
    <w:rsid w:val="00695B22"/>
    <w:rsid w:val="006973FA"/>
    <w:rsid w:val="006A0036"/>
    <w:rsid w:val="006A1456"/>
    <w:rsid w:val="006A293D"/>
    <w:rsid w:val="006A2BE9"/>
    <w:rsid w:val="006A3385"/>
    <w:rsid w:val="006A561E"/>
    <w:rsid w:val="006A56FD"/>
    <w:rsid w:val="006A63E6"/>
    <w:rsid w:val="006A63F7"/>
    <w:rsid w:val="006A7EFE"/>
    <w:rsid w:val="006B0314"/>
    <w:rsid w:val="006B06DB"/>
    <w:rsid w:val="006B13CC"/>
    <w:rsid w:val="006B2FFC"/>
    <w:rsid w:val="006B3A6C"/>
    <w:rsid w:val="006B48D6"/>
    <w:rsid w:val="006B62F2"/>
    <w:rsid w:val="006B66A7"/>
    <w:rsid w:val="006B6D3A"/>
    <w:rsid w:val="006B765F"/>
    <w:rsid w:val="006B796F"/>
    <w:rsid w:val="006C0BD6"/>
    <w:rsid w:val="006C0D6E"/>
    <w:rsid w:val="006C1C99"/>
    <w:rsid w:val="006C2E42"/>
    <w:rsid w:val="006C2EBB"/>
    <w:rsid w:val="006C44C4"/>
    <w:rsid w:val="006C590B"/>
    <w:rsid w:val="006C5FB8"/>
    <w:rsid w:val="006C6896"/>
    <w:rsid w:val="006D0BDC"/>
    <w:rsid w:val="006D4298"/>
    <w:rsid w:val="006D59B8"/>
    <w:rsid w:val="006E11BA"/>
    <w:rsid w:val="006E131C"/>
    <w:rsid w:val="006E1E1B"/>
    <w:rsid w:val="006E2336"/>
    <w:rsid w:val="006E2F32"/>
    <w:rsid w:val="006E62D7"/>
    <w:rsid w:val="006E6852"/>
    <w:rsid w:val="006E7BE7"/>
    <w:rsid w:val="006F1BFA"/>
    <w:rsid w:val="006F1F41"/>
    <w:rsid w:val="006F2373"/>
    <w:rsid w:val="006F3085"/>
    <w:rsid w:val="006F3394"/>
    <w:rsid w:val="006F36C2"/>
    <w:rsid w:val="006F413C"/>
    <w:rsid w:val="006F49FE"/>
    <w:rsid w:val="006F4A87"/>
    <w:rsid w:val="006F5DA9"/>
    <w:rsid w:val="006F7290"/>
    <w:rsid w:val="00700EEF"/>
    <w:rsid w:val="00700FC9"/>
    <w:rsid w:val="00704458"/>
    <w:rsid w:val="00706ACC"/>
    <w:rsid w:val="007073E5"/>
    <w:rsid w:val="00707FAE"/>
    <w:rsid w:val="00710947"/>
    <w:rsid w:val="00710D87"/>
    <w:rsid w:val="00710E60"/>
    <w:rsid w:val="007112BE"/>
    <w:rsid w:val="0071428F"/>
    <w:rsid w:val="00717BC5"/>
    <w:rsid w:val="00721FF8"/>
    <w:rsid w:val="00722709"/>
    <w:rsid w:val="007231EB"/>
    <w:rsid w:val="00725645"/>
    <w:rsid w:val="00726562"/>
    <w:rsid w:val="00730A9E"/>
    <w:rsid w:val="00731084"/>
    <w:rsid w:val="00731509"/>
    <w:rsid w:val="007316CB"/>
    <w:rsid w:val="007330A4"/>
    <w:rsid w:val="007334B2"/>
    <w:rsid w:val="007334C8"/>
    <w:rsid w:val="00733560"/>
    <w:rsid w:val="0073470C"/>
    <w:rsid w:val="007367AC"/>
    <w:rsid w:val="00740984"/>
    <w:rsid w:val="00741FEC"/>
    <w:rsid w:val="00742F78"/>
    <w:rsid w:val="00744D22"/>
    <w:rsid w:val="007453F9"/>
    <w:rsid w:val="00746018"/>
    <w:rsid w:val="0075051C"/>
    <w:rsid w:val="00750AE3"/>
    <w:rsid w:val="00750CCE"/>
    <w:rsid w:val="00750CF9"/>
    <w:rsid w:val="00752275"/>
    <w:rsid w:val="00752FEF"/>
    <w:rsid w:val="00754145"/>
    <w:rsid w:val="00756495"/>
    <w:rsid w:val="00756BC7"/>
    <w:rsid w:val="00756CAC"/>
    <w:rsid w:val="007626E6"/>
    <w:rsid w:val="007633FB"/>
    <w:rsid w:val="007646C8"/>
    <w:rsid w:val="007658FD"/>
    <w:rsid w:val="007662FB"/>
    <w:rsid w:val="00766DA4"/>
    <w:rsid w:val="007712B0"/>
    <w:rsid w:val="007719B7"/>
    <w:rsid w:val="007733E4"/>
    <w:rsid w:val="00774D1B"/>
    <w:rsid w:val="007760E2"/>
    <w:rsid w:val="00777E54"/>
    <w:rsid w:val="00780AEB"/>
    <w:rsid w:val="00782AFA"/>
    <w:rsid w:val="00783616"/>
    <w:rsid w:val="00784DDD"/>
    <w:rsid w:val="0078549A"/>
    <w:rsid w:val="00786CE5"/>
    <w:rsid w:val="00786DBC"/>
    <w:rsid w:val="007878AD"/>
    <w:rsid w:val="00795D81"/>
    <w:rsid w:val="007965C4"/>
    <w:rsid w:val="00796C62"/>
    <w:rsid w:val="00797E3A"/>
    <w:rsid w:val="007A0374"/>
    <w:rsid w:val="007A2A03"/>
    <w:rsid w:val="007A3A60"/>
    <w:rsid w:val="007A53A6"/>
    <w:rsid w:val="007A6BC7"/>
    <w:rsid w:val="007A7855"/>
    <w:rsid w:val="007B07E9"/>
    <w:rsid w:val="007B0DFC"/>
    <w:rsid w:val="007B282F"/>
    <w:rsid w:val="007B2CE5"/>
    <w:rsid w:val="007B2E3F"/>
    <w:rsid w:val="007C02E5"/>
    <w:rsid w:val="007C13FC"/>
    <w:rsid w:val="007C169C"/>
    <w:rsid w:val="007C186F"/>
    <w:rsid w:val="007C2338"/>
    <w:rsid w:val="007C23B8"/>
    <w:rsid w:val="007C2CC6"/>
    <w:rsid w:val="007C4046"/>
    <w:rsid w:val="007C4282"/>
    <w:rsid w:val="007C43B0"/>
    <w:rsid w:val="007C60C6"/>
    <w:rsid w:val="007D0DEF"/>
    <w:rsid w:val="007D147D"/>
    <w:rsid w:val="007D3A77"/>
    <w:rsid w:val="007D406F"/>
    <w:rsid w:val="007D46D9"/>
    <w:rsid w:val="007D6CB9"/>
    <w:rsid w:val="007E1965"/>
    <w:rsid w:val="007E27FB"/>
    <w:rsid w:val="007E2A04"/>
    <w:rsid w:val="007E31A2"/>
    <w:rsid w:val="007E3BE3"/>
    <w:rsid w:val="007E4210"/>
    <w:rsid w:val="007E55AE"/>
    <w:rsid w:val="007E5A0D"/>
    <w:rsid w:val="007E5C76"/>
    <w:rsid w:val="007F0C6B"/>
    <w:rsid w:val="007F11A7"/>
    <w:rsid w:val="007F12A5"/>
    <w:rsid w:val="007F1C95"/>
    <w:rsid w:val="007F5855"/>
    <w:rsid w:val="007F6C8A"/>
    <w:rsid w:val="007F7A15"/>
    <w:rsid w:val="007F7FB4"/>
    <w:rsid w:val="00802646"/>
    <w:rsid w:val="00802695"/>
    <w:rsid w:val="00804428"/>
    <w:rsid w:val="00805529"/>
    <w:rsid w:val="00806D07"/>
    <w:rsid w:val="008071D5"/>
    <w:rsid w:val="00810726"/>
    <w:rsid w:val="00811B03"/>
    <w:rsid w:val="00811CC7"/>
    <w:rsid w:val="008159A4"/>
    <w:rsid w:val="00816A48"/>
    <w:rsid w:val="0081743A"/>
    <w:rsid w:val="00820954"/>
    <w:rsid w:val="00821367"/>
    <w:rsid w:val="00821618"/>
    <w:rsid w:val="00821927"/>
    <w:rsid w:val="00822406"/>
    <w:rsid w:val="00824785"/>
    <w:rsid w:val="00824816"/>
    <w:rsid w:val="008248BE"/>
    <w:rsid w:val="00824D92"/>
    <w:rsid w:val="00825408"/>
    <w:rsid w:val="008263F2"/>
    <w:rsid w:val="008267E6"/>
    <w:rsid w:val="00826893"/>
    <w:rsid w:val="00827816"/>
    <w:rsid w:val="00827E2C"/>
    <w:rsid w:val="008309CB"/>
    <w:rsid w:val="0083172F"/>
    <w:rsid w:val="008319C6"/>
    <w:rsid w:val="00831F08"/>
    <w:rsid w:val="008320A4"/>
    <w:rsid w:val="00833CF0"/>
    <w:rsid w:val="00834E6B"/>
    <w:rsid w:val="008355D2"/>
    <w:rsid w:val="00835F25"/>
    <w:rsid w:val="008362C4"/>
    <w:rsid w:val="008370E0"/>
    <w:rsid w:val="0084026C"/>
    <w:rsid w:val="00840611"/>
    <w:rsid w:val="00840B77"/>
    <w:rsid w:val="008414B5"/>
    <w:rsid w:val="008419FD"/>
    <w:rsid w:val="00841F6A"/>
    <w:rsid w:val="00841FE7"/>
    <w:rsid w:val="008421F3"/>
    <w:rsid w:val="00842245"/>
    <w:rsid w:val="0084341D"/>
    <w:rsid w:val="00843AE3"/>
    <w:rsid w:val="008441FB"/>
    <w:rsid w:val="00845317"/>
    <w:rsid w:val="008459CD"/>
    <w:rsid w:val="00847A56"/>
    <w:rsid w:val="00850BA0"/>
    <w:rsid w:val="00854822"/>
    <w:rsid w:val="00854F81"/>
    <w:rsid w:val="0085562A"/>
    <w:rsid w:val="008557D5"/>
    <w:rsid w:val="008560AE"/>
    <w:rsid w:val="00856C9B"/>
    <w:rsid w:val="008575E9"/>
    <w:rsid w:val="00857A55"/>
    <w:rsid w:val="0086015C"/>
    <w:rsid w:val="0086024C"/>
    <w:rsid w:val="008604BC"/>
    <w:rsid w:val="00861A33"/>
    <w:rsid w:val="008636D6"/>
    <w:rsid w:val="00863B98"/>
    <w:rsid w:val="00864145"/>
    <w:rsid w:val="008716E9"/>
    <w:rsid w:val="00871E36"/>
    <w:rsid w:val="00872F3C"/>
    <w:rsid w:val="00873FF2"/>
    <w:rsid w:val="00875132"/>
    <w:rsid w:val="0087553F"/>
    <w:rsid w:val="00876FDD"/>
    <w:rsid w:val="008772EB"/>
    <w:rsid w:val="00877791"/>
    <w:rsid w:val="00883976"/>
    <w:rsid w:val="00883C08"/>
    <w:rsid w:val="00885EE0"/>
    <w:rsid w:val="0088624D"/>
    <w:rsid w:val="00886923"/>
    <w:rsid w:val="00886C88"/>
    <w:rsid w:val="00891918"/>
    <w:rsid w:val="00892684"/>
    <w:rsid w:val="0089460D"/>
    <w:rsid w:val="008946AC"/>
    <w:rsid w:val="008947F8"/>
    <w:rsid w:val="00894D43"/>
    <w:rsid w:val="00895DC5"/>
    <w:rsid w:val="00896592"/>
    <w:rsid w:val="008A116D"/>
    <w:rsid w:val="008A3F59"/>
    <w:rsid w:val="008A7864"/>
    <w:rsid w:val="008B04B3"/>
    <w:rsid w:val="008B0BDE"/>
    <w:rsid w:val="008B17FB"/>
    <w:rsid w:val="008B2230"/>
    <w:rsid w:val="008B350E"/>
    <w:rsid w:val="008B4372"/>
    <w:rsid w:val="008B49C6"/>
    <w:rsid w:val="008B7369"/>
    <w:rsid w:val="008B7641"/>
    <w:rsid w:val="008B7E55"/>
    <w:rsid w:val="008C05BD"/>
    <w:rsid w:val="008C0E2B"/>
    <w:rsid w:val="008C1461"/>
    <w:rsid w:val="008C3312"/>
    <w:rsid w:val="008C3DD5"/>
    <w:rsid w:val="008C42B4"/>
    <w:rsid w:val="008C485C"/>
    <w:rsid w:val="008C49EE"/>
    <w:rsid w:val="008C64B2"/>
    <w:rsid w:val="008C7664"/>
    <w:rsid w:val="008D03C9"/>
    <w:rsid w:val="008D0CEF"/>
    <w:rsid w:val="008D1D78"/>
    <w:rsid w:val="008D219C"/>
    <w:rsid w:val="008D2969"/>
    <w:rsid w:val="008D3EE8"/>
    <w:rsid w:val="008D4009"/>
    <w:rsid w:val="008D4104"/>
    <w:rsid w:val="008D49EA"/>
    <w:rsid w:val="008D6181"/>
    <w:rsid w:val="008D7CC1"/>
    <w:rsid w:val="008E013F"/>
    <w:rsid w:val="008E078E"/>
    <w:rsid w:val="008E1C67"/>
    <w:rsid w:val="008E2019"/>
    <w:rsid w:val="008E2242"/>
    <w:rsid w:val="008E246A"/>
    <w:rsid w:val="008E2B17"/>
    <w:rsid w:val="008E3122"/>
    <w:rsid w:val="008E4889"/>
    <w:rsid w:val="008E4AAA"/>
    <w:rsid w:val="008E6144"/>
    <w:rsid w:val="008E6196"/>
    <w:rsid w:val="008E64F0"/>
    <w:rsid w:val="008F0DA9"/>
    <w:rsid w:val="008F1785"/>
    <w:rsid w:val="008F1895"/>
    <w:rsid w:val="008F2081"/>
    <w:rsid w:val="008F383F"/>
    <w:rsid w:val="008F435E"/>
    <w:rsid w:val="008F4A03"/>
    <w:rsid w:val="008F4C57"/>
    <w:rsid w:val="008F6651"/>
    <w:rsid w:val="008F7B36"/>
    <w:rsid w:val="00900346"/>
    <w:rsid w:val="009034BB"/>
    <w:rsid w:val="00906948"/>
    <w:rsid w:val="00906A8A"/>
    <w:rsid w:val="00910BB4"/>
    <w:rsid w:val="0091113E"/>
    <w:rsid w:val="0091119B"/>
    <w:rsid w:val="009137D2"/>
    <w:rsid w:val="009169AF"/>
    <w:rsid w:val="00916C05"/>
    <w:rsid w:val="00917177"/>
    <w:rsid w:val="00917213"/>
    <w:rsid w:val="009176A4"/>
    <w:rsid w:val="009179D6"/>
    <w:rsid w:val="00917E83"/>
    <w:rsid w:val="00921DB5"/>
    <w:rsid w:val="0092263E"/>
    <w:rsid w:val="009226CB"/>
    <w:rsid w:val="009230A8"/>
    <w:rsid w:val="0092417E"/>
    <w:rsid w:val="00924CB5"/>
    <w:rsid w:val="00925084"/>
    <w:rsid w:val="009252FD"/>
    <w:rsid w:val="00925866"/>
    <w:rsid w:val="00930406"/>
    <w:rsid w:val="00933228"/>
    <w:rsid w:val="00940BDB"/>
    <w:rsid w:val="00940D12"/>
    <w:rsid w:val="0094334C"/>
    <w:rsid w:val="009454C6"/>
    <w:rsid w:val="0094674B"/>
    <w:rsid w:val="00946943"/>
    <w:rsid w:val="009476D3"/>
    <w:rsid w:val="009508F6"/>
    <w:rsid w:val="00955336"/>
    <w:rsid w:val="00955BDC"/>
    <w:rsid w:val="009561E5"/>
    <w:rsid w:val="00956BDE"/>
    <w:rsid w:val="00957A10"/>
    <w:rsid w:val="00957A49"/>
    <w:rsid w:val="00960298"/>
    <w:rsid w:val="00960529"/>
    <w:rsid w:val="009617EB"/>
    <w:rsid w:val="0096262A"/>
    <w:rsid w:val="0096277F"/>
    <w:rsid w:val="00963690"/>
    <w:rsid w:val="0096409C"/>
    <w:rsid w:val="00964375"/>
    <w:rsid w:val="00965737"/>
    <w:rsid w:val="00967036"/>
    <w:rsid w:val="00967AF1"/>
    <w:rsid w:val="00967B2A"/>
    <w:rsid w:val="00970F53"/>
    <w:rsid w:val="00971B44"/>
    <w:rsid w:val="0097487E"/>
    <w:rsid w:val="00975AB2"/>
    <w:rsid w:val="00980408"/>
    <w:rsid w:val="00980E44"/>
    <w:rsid w:val="009814B6"/>
    <w:rsid w:val="00981CD4"/>
    <w:rsid w:val="0098596B"/>
    <w:rsid w:val="00986EE5"/>
    <w:rsid w:val="009874EA"/>
    <w:rsid w:val="009914F2"/>
    <w:rsid w:val="00991C23"/>
    <w:rsid w:val="009929D4"/>
    <w:rsid w:val="00996312"/>
    <w:rsid w:val="009964D2"/>
    <w:rsid w:val="009979A7"/>
    <w:rsid w:val="00997C85"/>
    <w:rsid w:val="009A0542"/>
    <w:rsid w:val="009A180C"/>
    <w:rsid w:val="009A1EFD"/>
    <w:rsid w:val="009A2813"/>
    <w:rsid w:val="009A35B2"/>
    <w:rsid w:val="009A38FD"/>
    <w:rsid w:val="009A71AA"/>
    <w:rsid w:val="009B064C"/>
    <w:rsid w:val="009B0A09"/>
    <w:rsid w:val="009B1CB9"/>
    <w:rsid w:val="009B2442"/>
    <w:rsid w:val="009B2604"/>
    <w:rsid w:val="009B4D9E"/>
    <w:rsid w:val="009B5CAD"/>
    <w:rsid w:val="009B6667"/>
    <w:rsid w:val="009B7940"/>
    <w:rsid w:val="009C0394"/>
    <w:rsid w:val="009C15C9"/>
    <w:rsid w:val="009C323E"/>
    <w:rsid w:val="009C36D6"/>
    <w:rsid w:val="009C37CF"/>
    <w:rsid w:val="009C45F2"/>
    <w:rsid w:val="009D186B"/>
    <w:rsid w:val="009D3AE0"/>
    <w:rsid w:val="009D4221"/>
    <w:rsid w:val="009D5AD0"/>
    <w:rsid w:val="009D7644"/>
    <w:rsid w:val="009D7985"/>
    <w:rsid w:val="009E3F82"/>
    <w:rsid w:val="009E521F"/>
    <w:rsid w:val="009E56A0"/>
    <w:rsid w:val="009F032A"/>
    <w:rsid w:val="009F064B"/>
    <w:rsid w:val="009F29D4"/>
    <w:rsid w:val="009F2DA6"/>
    <w:rsid w:val="009F2F0B"/>
    <w:rsid w:val="009F3514"/>
    <w:rsid w:val="009F3A00"/>
    <w:rsid w:val="009F4969"/>
    <w:rsid w:val="009F6416"/>
    <w:rsid w:val="009F65C0"/>
    <w:rsid w:val="009F7619"/>
    <w:rsid w:val="009F7990"/>
    <w:rsid w:val="009F7A41"/>
    <w:rsid w:val="00A000C7"/>
    <w:rsid w:val="00A024F1"/>
    <w:rsid w:val="00A029EC"/>
    <w:rsid w:val="00A02DD9"/>
    <w:rsid w:val="00A02E12"/>
    <w:rsid w:val="00A04983"/>
    <w:rsid w:val="00A057E4"/>
    <w:rsid w:val="00A05C5E"/>
    <w:rsid w:val="00A05EE8"/>
    <w:rsid w:val="00A060B4"/>
    <w:rsid w:val="00A0753F"/>
    <w:rsid w:val="00A078E1"/>
    <w:rsid w:val="00A07B56"/>
    <w:rsid w:val="00A10FF0"/>
    <w:rsid w:val="00A10FFD"/>
    <w:rsid w:val="00A11347"/>
    <w:rsid w:val="00A11818"/>
    <w:rsid w:val="00A12555"/>
    <w:rsid w:val="00A13B2A"/>
    <w:rsid w:val="00A205A2"/>
    <w:rsid w:val="00A21206"/>
    <w:rsid w:val="00A2296A"/>
    <w:rsid w:val="00A23018"/>
    <w:rsid w:val="00A2323F"/>
    <w:rsid w:val="00A27FEE"/>
    <w:rsid w:val="00A30A3E"/>
    <w:rsid w:val="00A30DE3"/>
    <w:rsid w:val="00A31DAA"/>
    <w:rsid w:val="00A32408"/>
    <w:rsid w:val="00A342FB"/>
    <w:rsid w:val="00A35DA3"/>
    <w:rsid w:val="00A36552"/>
    <w:rsid w:val="00A41DEF"/>
    <w:rsid w:val="00A4239D"/>
    <w:rsid w:val="00A42D43"/>
    <w:rsid w:val="00A46476"/>
    <w:rsid w:val="00A46B08"/>
    <w:rsid w:val="00A46E7E"/>
    <w:rsid w:val="00A47AB3"/>
    <w:rsid w:val="00A47DA0"/>
    <w:rsid w:val="00A51559"/>
    <w:rsid w:val="00A521FF"/>
    <w:rsid w:val="00A52AF1"/>
    <w:rsid w:val="00A54027"/>
    <w:rsid w:val="00A553BD"/>
    <w:rsid w:val="00A557DB"/>
    <w:rsid w:val="00A55AAA"/>
    <w:rsid w:val="00A56082"/>
    <w:rsid w:val="00A56F6A"/>
    <w:rsid w:val="00A57FFE"/>
    <w:rsid w:val="00A60427"/>
    <w:rsid w:val="00A608B6"/>
    <w:rsid w:val="00A63285"/>
    <w:rsid w:val="00A63C00"/>
    <w:rsid w:val="00A63D7E"/>
    <w:rsid w:val="00A6472E"/>
    <w:rsid w:val="00A6486B"/>
    <w:rsid w:val="00A64947"/>
    <w:rsid w:val="00A64A71"/>
    <w:rsid w:val="00A66451"/>
    <w:rsid w:val="00A677BB"/>
    <w:rsid w:val="00A713A9"/>
    <w:rsid w:val="00A71AF4"/>
    <w:rsid w:val="00A71F79"/>
    <w:rsid w:val="00A72AC2"/>
    <w:rsid w:val="00A72AC5"/>
    <w:rsid w:val="00A72B5C"/>
    <w:rsid w:val="00A730BB"/>
    <w:rsid w:val="00A73BA9"/>
    <w:rsid w:val="00A75B35"/>
    <w:rsid w:val="00A75D29"/>
    <w:rsid w:val="00A75ED5"/>
    <w:rsid w:val="00A76791"/>
    <w:rsid w:val="00A77684"/>
    <w:rsid w:val="00A7768C"/>
    <w:rsid w:val="00A77BFF"/>
    <w:rsid w:val="00A77F7B"/>
    <w:rsid w:val="00A803E5"/>
    <w:rsid w:val="00A81139"/>
    <w:rsid w:val="00A81959"/>
    <w:rsid w:val="00A81C50"/>
    <w:rsid w:val="00A832A5"/>
    <w:rsid w:val="00A85038"/>
    <w:rsid w:val="00A866D7"/>
    <w:rsid w:val="00A86746"/>
    <w:rsid w:val="00A86B87"/>
    <w:rsid w:val="00A86EF7"/>
    <w:rsid w:val="00A9001C"/>
    <w:rsid w:val="00A910AF"/>
    <w:rsid w:val="00A916FF"/>
    <w:rsid w:val="00A91D88"/>
    <w:rsid w:val="00A92534"/>
    <w:rsid w:val="00A9402E"/>
    <w:rsid w:val="00A9412B"/>
    <w:rsid w:val="00AA3CAD"/>
    <w:rsid w:val="00AA44FE"/>
    <w:rsid w:val="00AA5BD7"/>
    <w:rsid w:val="00AA7772"/>
    <w:rsid w:val="00AA790B"/>
    <w:rsid w:val="00AA79D8"/>
    <w:rsid w:val="00AB075E"/>
    <w:rsid w:val="00AB07BF"/>
    <w:rsid w:val="00AB1137"/>
    <w:rsid w:val="00AB1658"/>
    <w:rsid w:val="00AB2E3D"/>
    <w:rsid w:val="00AB3AF9"/>
    <w:rsid w:val="00AB3E48"/>
    <w:rsid w:val="00AC1004"/>
    <w:rsid w:val="00AC1F08"/>
    <w:rsid w:val="00AC1F3B"/>
    <w:rsid w:val="00AC3E2C"/>
    <w:rsid w:val="00AD0575"/>
    <w:rsid w:val="00AD0800"/>
    <w:rsid w:val="00AD0F68"/>
    <w:rsid w:val="00AD2C4B"/>
    <w:rsid w:val="00AD40C4"/>
    <w:rsid w:val="00AD4D69"/>
    <w:rsid w:val="00AD5FB6"/>
    <w:rsid w:val="00AE03E0"/>
    <w:rsid w:val="00AE1D9D"/>
    <w:rsid w:val="00AE2044"/>
    <w:rsid w:val="00AE3B92"/>
    <w:rsid w:val="00AE43A2"/>
    <w:rsid w:val="00AE550C"/>
    <w:rsid w:val="00AE567E"/>
    <w:rsid w:val="00AE5739"/>
    <w:rsid w:val="00AE5AE3"/>
    <w:rsid w:val="00AE5F91"/>
    <w:rsid w:val="00AE63BD"/>
    <w:rsid w:val="00AE6DB1"/>
    <w:rsid w:val="00AE73B8"/>
    <w:rsid w:val="00AF17D5"/>
    <w:rsid w:val="00AF45B0"/>
    <w:rsid w:val="00AF6005"/>
    <w:rsid w:val="00AF6F71"/>
    <w:rsid w:val="00B025FB"/>
    <w:rsid w:val="00B03244"/>
    <w:rsid w:val="00B0352C"/>
    <w:rsid w:val="00B06995"/>
    <w:rsid w:val="00B13218"/>
    <w:rsid w:val="00B1619C"/>
    <w:rsid w:val="00B1707A"/>
    <w:rsid w:val="00B1717D"/>
    <w:rsid w:val="00B210F0"/>
    <w:rsid w:val="00B21625"/>
    <w:rsid w:val="00B217B4"/>
    <w:rsid w:val="00B23776"/>
    <w:rsid w:val="00B23E2F"/>
    <w:rsid w:val="00B23E5E"/>
    <w:rsid w:val="00B24532"/>
    <w:rsid w:val="00B24666"/>
    <w:rsid w:val="00B248E1"/>
    <w:rsid w:val="00B2560F"/>
    <w:rsid w:val="00B26FAB"/>
    <w:rsid w:val="00B27F33"/>
    <w:rsid w:val="00B303A2"/>
    <w:rsid w:val="00B3048C"/>
    <w:rsid w:val="00B30815"/>
    <w:rsid w:val="00B314CC"/>
    <w:rsid w:val="00B316CA"/>
    <w:rsid w:val="00B31EE6"/>
    <w:rsid w:val="00B33E91"/>
    <w:rsid w:val="00B3411F"/>
    <w:rsid w:val="00B34BE4"/>
    <w:rsid w:val="00B36B35"/>
    <w:rsid w:val="00B36FB0"/>
    <w:rsid w:val="00B37676"/>
    <w:rsid w:val="00B37C98"/>
    <w:rsid w:val="00B40093"/>
    <w:rsid w:val="00B40B25"/>
    <w:rsid w:val="00B41337"/>
    <w:rsid w:val="00B41CA8"/>
    <w:rsid w:val="00B43882"/>
    <w:rsid w:val="00B43CCA"/>
    <w:rsid w:val="00B44597"/>
    <w:rsid w:val="00B447F9"/>
    <w:rsid w:val="00B465AB"/>
    <w:rsid w:val="00B46E08"/>
    <w:rsid w:val="00B50A02"/>
    <w:rsid w:val="00B51D31"/>
    <w:rsid w:val="00B5217E"/>
    <w:rsid w:val="00B52E86"/>
    <w:rsid w:val="00B558E9"/>
    <w:rsid w:val="00B56AA6"/>
    <w:rsid w:val="00B62427"/>
    <w:rsid w:val="00B62A21"/>
    <w:rsid w:val="00B63E00"/>
    <w:rsid w:val="00B64587"/>
    <w:rsid w:val="00B64660"/>
    <w:rsid w:val="00B64FBF"/>
    <w:rsid w:val="00B64FEF"/>
    <w:rsid w:val="00B65360"/>
    <w:rsid w:val="00B665E1"/>
    <w:rsid w:val="00B67031"/>
    <w:rsid w:val="00B673A7"/>
    <w:rsid w:val="00B67460"/>
    <w:rsid w:val="00B709F6"/>
    <w:rsid w:val="00B7185B"/>
    <w:rsid w:val="00B73ACE"/>
    <w:rsid w:val="00B74ADE"/>
    <w:rsid w:val="00B76D3A"/>
    <w:rsid w:val="00B771ED"/>
    <w:rsid w:val="00B81382"/>
    <w:rsid w:val="00B82B73"/>
    <w:rsid w:val="00B82BB6"/>
    <w:rsid w:val="00B82F22"/>
    <w:rsid w:val="00B850E0"/>
    <w:rsid w:val="00B86FE6"/>
    <w:rsid w:val="00B87721"/>
    <w:rsid w:val="00B90354"/>
    <w:rsid w:val="00B90BC9"/>
    <w:rsid w:val="00B91CC2"/>
    <w:rsid w:val="00B927EE"/>
    <w:rsid w:val="00B93189"/>
    <w:rsid w:val="00B944FB"/>
    <w:rsid w:val="00B946F3"/>
    <w:rsid w:val="00B955EC"/>
    <w:rsid w:val="00B95DC7"/>
    <w:rsid w:val="00B961E8"/>
    <w:rsid w:val="00B96CE9"/>
    <w:rsid w:val="00BA0582"/>
    <w:rsid w:val="00BA0BF9"/>
    <w:rsid w:val="00BA143F"/>
    <w:rsid w:val="00BA151F"/>
    <w:rsid w:val="00BA2392"/>
    <w:rsid w:val="00BA374D"/>
    <w:rsid w:val="00BA3D7A"/>
    <w:rsid w:val="00BA5F8A"/>
    <w:rsid w:val="00BA6364"/>
    <w:rsid w:val="00BA6C76"/>
    <w:rsid w:val="00BA707B"/>
    <w:rsid w:val="00BA7377"/>
    <w:rsid w:val="00BB0700"/>
    <w:rsid w:val="00BB3B82"/>
    <w:rsid w:val="00BB4988"/>
    <w:rsid w:val="00BB6FCA"/>
    <w:rsid w:val="00BB7CEE"/>
    <w:rsid w:val="00BC0D0E"/>
    <w:rsid w:val="00BC0E27"/>
    <w:rsid w:val="00BC1129"/>
    <w:rsid w:val="00BC36B3"/>
    <w:rsid w:val="00BC4339"/>
    <w:rsid w:val="00BC43C0"/>
    <w:rsid w:val="00BC478C"/>
    <w:rsid w:val="00BC5A44"/>
    <w:rsid w:val="00BC7CFB"/>
    <w:rsid w:val="00BD1B18"/>
    <w:rsid w:val="00BD2D94"/>
    <w:rsid w:val="00BD34DB"/>
    <w:rsid w:val="00BD4436"/>
    <w:rsid w:val="00BD574E"/>
    <w:rsid w:val="00BD6F7B"/>
    <w:rsid w:val="00BD7715"/>
    <w:rsid w:val="00BE0EAC"/>
    <w:rsid w:val="00BE1F9B"/>
    <w:rsid w:val="00BE2397"/>
    <w:rsid w:val="00BE2DE5"/>
    <w:rsid w:val="00BE32FF"/>
    <w:rsid w:val="00BE3A10"/>
    <w:rsid w:val="00BE6757"/>
    <w:rsid w:val="00BF0EE6"/>
    <w:rsid w:val="00BF10BC"/>
    <w:rsid w:val="00BF1F16"/>
    <w:rsid w:val="00BF241D"/>
    <w:rsid w:val="00BF3DE7"/>
    <w:rsid w:val="00BF7A2A"/>
    <w:rsid w:val="00BF7B31"/>
    <w:rsid w:val="00C0105B"/>
    <w:rsid w:val="00C03E07"/>
    <w:rsid w:val="00C05A32"/>
    <w:rsid w:val="00C06C18"/>
    <w:rsid w:val="00C073F7"/>
    <w:rsid w:val="00C07C7B"/>
    <w:rsid w:val="00C118E2"/>
    <w:rsid w:val="00C120C7"/>
    <w:rsid w:val="00C12D57"/>
    <w:rsid w:val="00C12F73"/>
    <w:rsid w:val="00C1486E"/>
    <w:rsid w:val="00C15432"/>
    <w:rsid w:val="00C155F9"/>
    <w:rsid w:val="00C16295"/>
    <w:rsid w:val="00C200A6"/>
    <w:rsid w:val="00C20AD1"/>
    <w:rsid w:val="00C20DA0"/>
    <w:rsid w:val="00C210CB"/>
    <w:rsid w:val="00C21972"/>
    <w:rsid w:val="00C223F1"/>
    <w:rsid w:val="00C23381"/>
    <w:rsid w:val="00C2361B"/>
    <w:rsid w:val="00C238D6"/>
    <w:rsid w:val="00C24427"/>
    <w:rsid w:val="00C24815"/>
    <w:rsid w:val="00C248D8"/>
    <w:rsid w:val="00C251F3"/>
    <w:rsid w:val="00C274D3"/>
    <w:rsid w:val="00C277E3"/>
    <w:rsid w:val="00C27B1F"/>
    <w:rsid w:val="00C27DAD"/>
    <w:rsid w:val="00C300D5"/>
    <w:rsid w:val="00C3075C"/>
    <w:rsid w:val="00C325B6"/>
    <w:rsid w:val="00C32D14"/>
    <w:rsid w:val="00C3310F"/>
    <w:rsid w:val="00C33C12"/>
    <w:rsid w:val="00C33E96"/>
    <w:rsid w:val="00C34623"/>
    <w:rsid w:val="00C34D9C"/>
    <w:rsid w:val="00C360FE"/>
    <w:rsid w:val="00C3680F"/>
    <w:rsid w:val="00C3697F"/>
    <w:rsid w:val="00C37CE5"/>
    <w:rsid w:val="00C40093"/>
    <w:rsid w:val="00C428D5"/>
    <w:rsid w:val="00C43771"/>
    <w:rsid w:val="00C44979"/>
    <w:rsid w:val="00C45173"/>
    <w:rsid w:val="00C4526D"/>
    <w:rsid w:val="00C516B0"/>
    <w:rsid w:val="00C52247"/>
    <w:rsid w:val="00C525CD"/>
    <w:rsid w:val="00C52C06"/>
    <w:rsid w:val="00C53713"/>
    <w:rsid w:val="00C53A08"/>
    <w:rsid w:val="00C54200"/>
    <w:rsid w:val="00C631AC"/>
    <w:rsid w:val="00C6567C"/>
    <w:rsid w:val="00C6612D"/>
    <w:rsid w:val="00C668CC"/>
    <w:rsid w:val="00C66A7C"/>
    <w:rsid w:val="00C67050"/>
    <w:rsid w:val="00C679D5"/>
    <w:rsid w:val="00C67D3B"/>
    <w:rsid w:val="00C72C22"/>
    <w:rsid w:val="00C72FF4"/>
    <w:rsid w:val="00C734CD"/>
    <w:rsid w:val="00C737CA"/>
    <w:rsid w:val="00C7507E"/>
    <w:rsid w:val="00C759B4"/>
    <w:rsid w:val="00C7717F"/>
    <w:rsid w:val="00C77A2E"/>
    <w:rsid w:val="00C80E9D"/>
    <w:rsid w:val="00C8147B"/>
    <w:rsid w:val="00C81861"/>
    <w:rsid w:val="00C83DFC"/>
    <w:rsid w:val="00C871FF"/>
    <w:rsid w:val="00C87683"/>
    <w:rsid w:val="00C87CD9"/>
    <w:rsid w:val="00C92592"/>
    <w:rsid w:val="00C952B7"/>
    <w:rsid w:val="00C95E77"/>
    <w:rsid w:val="00C96CC3"/>
    <w:rsid w:val="00C970D7"/>
    <w:rsid w:val="00CA00A6"/>
    <w:rsid w:val="00CA0338"/>
    <w:rsid w:val="00CA1D82"/>
    <w:rsid w:val="00CA22E2"/>
    <w:rsid w:val="00CA2E24"/>
    <w:rsid w:val="00CA302D"/>
    <w:rsid w:val="00CA47D9"/>
    <w:rsid w:val="00CA4CE7"/>
    <w:rsid w:val="00CA4FD7"/>
    <w:rsid w:val="00CA50C7"/>
    <w:rsid w:val="00CA64BF"/>
    <w:rsid w:val="00CA7918"/>
    <w:rsid w:val="00CA7E68"/>
    <w:rsid w:val="00CA7E96"/>
    <w:rsid w:val="00CB0F75"/>
    <w:rsid w:val="00CB16DC"/>
    <w:rsid w:val="00CB3FFE"/>
    <w:rsid w:val="00CB50A8"/>
    <w:rsid w:val="00CB528A"/>
    <w:rsid w:val="00CB5ECE"/>
    <w:rsid w:val="00CB6132"/>
    <w:rsid w:val="00CB6A6E"/>
    <w:rsid w:val="00CB7ED6"/>
    <w:rsid w:val="00CB7F82"/>
    <w:rsid w:val="00CC3851"/>
    <w:rsid w:val="00CC568C"/>
    <w:rsid w:val="00CC7923"/>
    <w:rsid w:val="00CD0965"/>
    <w:rsid w:val="00CD2376"/>
    <w:rsid w:val="00CD310E"/>
    <w:rsid w:val="00CD3D5C"/>
    <w:rsid w:val="00CD41F3"/>
    <w:rsid w:val="00CD495D"/>
    <w:rsid w:val="00CD4E5F"/>
    <w:rsid w:val="00CD5538"/>
    <w:rsid w:val="00CD7578"/>
    <w:rsid w:val="00CE173E"/>
    <w:rsid w:val="00CE214A"/>
    <w:rsid w:val="00CE3E5B"/>
    <w:rsid w:val="00CE43DA"/>
    <w:rsid w:val="00CE48DD"/>
    <w:rsid w:val="00CE535A"/>
    <w:rsid w:val="00CE709B"/>
    <w:rsid w:val="00CF07DD"/>
    <w:rsid w:val="00CF0A1D"/>
    <w:rsid w:val="00CF170E"/>
    <w:rsid w:val="00CF1797"/>
    <w:rsid w:val="00CF31BB"/>
    <w:rsid w:val="00CF3297"/>
    <w:rsid w:val="00CF3733"/>
    <w:rsid w:val="00CF5E23"/>
    <w:rsid w:val="00CF79AC"/>
    <w:rsid w:val="00D01269"/>
    <w:rsid w:val="00D01EC6"/>
    <w:rsid w:val="00D02ACB"/>
    <w:rsid w:val="00D02E98"/>
    <w:rsid w:val="00D035F1"/>
    <w:rsid w:val="00D05EAA"/>
    <w:rsid w:val="00D0794C"/>
    <w:rsid w:val="00D07E3E"/>
    <w:rsid w:val="00D10320"/>
    <w:rsid w:val="00D10569"/>
    <w:rsid w:val="00D10D50"/>
    <w:rsid w:val="00D11D6B"/>
    <w:rsid w:val="00D11FDC"/>
    <w:rsid w:val="00D125BC"/>
    <w:rsid w:val="00D12AB9"/>
    <w:rsid w:val="00D1344B"/>
    <w:rsid w:val="00D136DA"/>
    <w:rsid w:val="00D1446B"/>
    <w:rsid w:val="00D14C72"/>
    <w:rsid w:val="00D172D9"/>
    <w:rsid w:val="00D202EB"/>
    <w:rsid w:val="00D20A31"/>
    <w:rsid w:val="00D21910"/>
    <w:rsid w:val="00D25D9A"/>
    <w:rsid w:val="00D269AE"/>
    <w:rsid w:val="00D31938"/>
    <w:rsid w:val="00D31BE1"/>
    <w:rsid w:val="00D3208B"/>
    <w:rsid w:val="00D328AE"/>
    <w:rsid w:val="00D33395"/>
    <w:rsid w:val="00D3426A"/>
    <w:rsid w:val="00D34979"/>
    <w:rsid w:val="00D351E8"/>
    <w:rsid w:val="00D35290"/>
    <w:rsid w:val="00D35384"/>
    <w:rsid w:val="00D41489"/>
    <w:rsid w:val="00D414C0"/>
    <w:rsid w:val="00D41E18"/>
    <w:rsid w:val="00D42A25"/>
    <w:rsid w:val="00D438B4"/>
    <w:rsid w:val="00D44A37"/>
    <w:rsid w:val="00D44BC1"/>
    <w:rsid w:val="00D463CF"/>
    <w:rsid w:val="00D46E47"/>
    <w:rsid w:val="00D4774E"/>
    <w:rsid w:val="00D50E2F"/>
    <w:rsid w:val="00D54D60"/>
    <w:rsid w:val="00D56153"/>
    <w:rsid w:val="00D574F2"/>
    <w:rsid w:val="00D6112F"/>
    <w:rsid w:val="00D61765"/>
    <w:rsid w:val="00D6397A"/>
    <w:rsid w:val="00D6462F"/>
    <w:rsid w:val="00D64B72"/>
    <w:rsid w:val="00D66D5E"/>
    <w:rsid w:val="00D700A2"/>
    <w:rsid w:val="00D704E1"/>
    <w:rsid w:val="00D706E6"/>
    <w:rsid w:val="00D72B83"/>
    <w:rsid w:val="00D7360C"/>
    <w:rsid w:val="00D73D5F"/>
    <w:rsid w:val="00D74206"/>
    <w:rsid w:val="00D74B9B"/>
    <w:rsid w:val="00D756F9"/>
    <w:rsid w:val="00D7598E"/>
    <w:rsid w:val="00D7674B"/>
    <w:rsid w:val="00D8054C"/>
    <w:rsid w:val="00D832A3"/>
    <w:rsid w:val="00D84810"/>
    <w:rsid w:val="00D85EA8"/>
    <w:rsid w:val="00D87844"/>
    <w:rsid w:val="00D87C8B"/>
    <w:rsid w:val="00D901B8"/>
    <w:rsid w:val="00D90946"/>
    <w:rsid w:val="00D90CEA"/>
    <w:rsid w:val="00D92193"/>
    <w:rsid w:val="00D92A04"/>
    <w:rsid w:val="00D94CD8"/>
    <w:rsid w:val="00D94FDF"/>
    <w:rsid w:val="00D95B50"/>
    <w:rsid w:val="00D95E19"/>
    <w:rsid w:val="00D96472"/>
    <w:rsid w:val="00D9700C"/>
    <w:rsid w:val="00D9785D"/>
    <w:rsid w:val="00D97990"/>
    <w:rsid w:val="00D97FBC"/>
    <w:rsid w:val="00DA0633"/>
    <w:rsid w:val="00DA31E9"/>
    <w:rsid w:val="00DA3E6B"/>
    <w:rsid w:val="00DA5A75"/>
    <w:rsid w:val="00DA6A25"/>
    <w:rsid w:val="00DB2054"/>
    <w:rsid w:val="00DB207D"/>
    <w:rsid w:val="00DB233A"/>
    <w:rsid w:val="00DB3143"/>
    <w:rsid w:val="00DB352A"/>
    <w:rsid w:val="00DB41D1"/>
    <w:rsid w:val="00DB46EA"/>
    <w:rsid w:val="00DB53A4"/>
    <w:rsid w:val="00DB53CD"/>
    <w:rsid w:val="00DB601E"/>
    <w:rsid w:val="00DB7EA6"/>
    <w:rsid w:val="00DC1D11"/>
    <w:rsid w:val="00DC34A1"/>
    <w:rsid w:val="00DC378B"/>
    <w:rsid w:val="00DC55A0"/>
    <w:rsid w:val="00DC735A"/>
    <w:rsid w:val="00DD2FD9"/>
    <w:rsid w:val="00DD35BF"/>
    <w:rsid w:val="00DD5ABA"/>
    <w:rsid w:val="00DD75FC"/>
    <w:rsid w:val="00DE0088"/>
    <w:rsid w:val="00DE0F91"/>
    <w:rsid w:val="00DE1189"/>
    <w:rsid w:val="00DE2BF4"/>
    <w:rsid w:val="00DE5C49"/>
    <w:rsid w:val="00DE722D"/>
    <w:rsid w:val="00DE7C95"/>
    <w:rsid w:val="00DF4F06"/>
    <w:rsid w:val="00DF5503"/>
    <w:rsid w:val="00DF7652"/>
    <w:rsid w:val="00E017E3"/>
    <w:rsid w:val="00E03424"/>
    <w:rsid w:val="00E03ED0"/>
    <w:rsid w:val="00E04848"/>
    <w:rsid w:val="00E0683B"/>
    <w:rsid w:val="00E076CE"/>
    <w:rsid w:val="00E10A1A"/>
    <w:rsid w:val="00E10E6E"/>
    <w:rsid w:val="00E145EE"/>
    <w:rsid w:val="00E14E4E"/>
    <w:rsid w:val="00E15BAF"/>
    <w:rsid w:val="00E176A3"/>
    <w:rsid w:val="00E17BB7"/>
    <w:rsid w:val="00E21A8F"/>
    <w:rsid w:val="00E21ACA"/>
    <w:rsid w:val="00E21DBF"/>
    <w:rsid w:val="00E246A7"/>
    <w:rsid w:val="00E24D16"/>
    <w:rsid w:val="00E26BE6"/>
    <w:rsid w:val="00E3108E"/>
    <w:rsid w:val="00E3181D"/>
    <w:rsid w:val="00E33BDC"/>
    <w:rsid w:val="00E34539"/>
    <w:rsid w:val="00E34950"/>
    <w:rsid w:val="00E34EE4"/>
    <w:rsid w:val="00E365C9"/>
    <w:rsid w:val="00E37CB8"/>
    <w:rsid w:val="00E4082B"/>
    <w:rsid w:val="00E411E8"/>
    <w:rsid w:val="00E42000"/>
    <w:rsid w:val="00E42160"/>
    <w:rsid w:val="00E42EA9"/>
    <w:rsid w:val="00E43076"/>
    <w:rsid w:val="00E431FA"/>
    <w:rsid w:val="00E44505"/>
    <w:rsid w:val="00E4570D"/>
    <w:rsid w:val="00E46319"/>
    <w:rsid w:val="00E466BB"/>
    <w:rsid w:val="00E46E2E"/>
    <w:rsid w:val="00E46E8E"/>
    <w:rsid w:val="00E50AEE"/>
    <w:rsid w:val="00E54388"/>
    <w:rsid w:val="00E569BC"/>
    <w:rsid w:val="00E578E0"/>
    <w:rsid w:val="00E57B62"/>
    <w:rsid w:val="00E60A0B"/>
    <w:rsid w:val="00E6392A"/>
    <w:rsid w:val="00E64266"/>
    <w:rsid w:val="00E65B3C"/>
    <w:rsid w:val="00E65BEB"/>
    <w:rsid w:val="00E6745D"/>
    <w:rsid w:val="00E7000B"/>
    <w:rsid w:val="00E702C1"/>
    <w:rsid w:val="00E71590"/>
    <w:rsid w:val="00E7159D"/>
    <w:rsid w:val="00E731A7"/>
    <w:rsid w:val="00E75D67"/>
    <w:rsid w:val="00E82724"/>
    <w:rsid w:val="00E83992"/>
    <w:rsid w:val="00E83BD5"/>
    <w:rsid w:val="00E8410C"/>
    <w:rsid w:val="00E847EA"/>
    <w:rsid w:val="00E85D4E"/>
    <w:rsid w:val="00E86C47"/>
    <w:rsid w:val="00E87FC3"/>
    <w:rsid w:val="00E900B9"/>
    <w:rsid w:val="00E901C5"/>
    <w:rsid w:val="00E91D48"/>
    <w:rsid w:val="00E92074"/>
    <w:rsid w:val="00E92787"/>
    <w:rsid w:val="00E929FD"/>
    <w:rsid w:val="00E967CB"/>
    <w:rsid w:val="00EA1029"/>
    <w:rsid w:val="00EA2634"/>
    <w:rsid w:val="00EA2C9F"/>
    <w:rsid w:val="00EA3D09"/>
    <w:rsid w:val="00EA4DAB"/>
    <w:rsid w:val="00EA50B1"/>
    <w:rsid w:val="00EA512F"/>
    <w:rsid w:val="00EA5F63"/>
    <w:rsid w:val="00EB0442"/>
    <w:rsid w:val="00EB10A7"/>
    <w:rsid w:val="00EB1254"/>
    <w:rsid w:val="00EB1C41"/>
    <w:rsid w:val="00EB55E4"/>
    <w:rsid w:val="00EB5BB3"/>
    <w:rsid w:val="00EB5D55"/>
    <w:rsid w:val="00EB741F"/>
    <w:rsid w:val="00EC0C6E"/>
    <w:rsid w:val="00EC1E2B"/>
    <w:rsid w:val="00EC3A3D"/>
    <w:rsid w:val="00EC3BBD"/>
    <w:rsid w:val="00EC4114"/>
    <w:rsid w:val="00EC7A6E"/>
    <w:rsid w:val="00ED13EF"/>
    <w:rsid w:val="00ED2F8E"/>
    <w:rsid w:val="00ED3D61"/>
    <w:rsid w:val="00ED5858"/>
    <w:rsid w:val="00ED6AF1"/>
    <w:rsid w:val="00ED75C6"/>
    <w:rsid w:val="00ED7A94"/>
    <w:rsid w:val="00EE25C4"/>
    <w:rsid w:val="00EE2DC5"/>
    <w:rsid w:val="00EE379D"/>
    <w:rsid w:val="00EE4C98"/>
    <w:rsid w:val="00EE5B73"/>
    <w:rsid w:val="00EE605C"/>
    <w:rsid w:val="00EE70BD"/>
    <w:rsid w:val="00EE7958"/>
    <w:rsid w:val="00EF1D0A"/>
    <w:rsid w:val="00EF2791"/>
    <w:rsid w:val="00EF28C1"/>
    <w:rsid w:val="00EF2F92"/>
    <w:rsid w:val="00EF3D5F"/>
    <w:rsid w:val="00EF4682"/>
    <w:rsid w:val="00EF52B0"/>
    <w:rsid w:val="00EF6F93"/>
    <w:rsid w:val="00EF7714"/>
    <w:rsid w:val="00F030B9"/>
    <w:rsid w:val="00F03595"/>
    <w:rsid w:val="00F0507F"/>
    <w:rsid w:val="00F05620"/>
    <w:rsid w:val="00F1001D"/>
    <w:rsid w:val="00F105E7"/>
    <w:rsid w:val="00F10BCB"/>
    <w:rsid w:val="00F12625"/>
    <w:rsid w:val="00F12D8F"/>
    <w:rsid w:val="00F1380E"/>
    <w:rsid w:val="00F1390B"/>
    <w:rsid w:val="00F16B78"/>
    <w:rsid w:val="00F177B9"/>
    <w:rsid w:val="00F204B3"/>
    <w:rsid w:val="00F214F6"/>
    <w:rsid w:val="00F2361D"/>
    <w:rsid w:val="00F23FC3"/>
    <w:rsid w:val="00F24327"/>
    <w:rsid w:val="00F2676A"/>
    <w:rsid w:val="00F2709A"/>
    <w:rsid w:val="00F31153"/>
    <w:rsid w:val="00F3124B"/>
    <w:rsid w:val="00F3393A"/>
    <w:rsid w:val="00F34901"/>
    <w:rsid w:val="00F3513E"/>
    <w:rsid w:val="00F3568F"/>
    <w:rsid w:val="00F36846"/>
    <w:rsid w:val="00F37EA6"/>
    <w:rsid w:val="00F41597"/>
    <w:rsid w:val="00F41843"/>
    <w:rsid w:val="00F43434"/>
    <w:rsid w:val="00F4359D"/>
    <w:rsid w:val="00F443E9"/>
    <w:rsid w:val="00F44C6A"/>
    <w:rsid w:val="00F47EF6"/>
    <w:rsid w:val="00F516A8"/>
    <w:rsid w:val="00F51990"/>
    <w:rsid w:val="00F52FB4"/>
    <w:rsid w:val="00F530B7"/>
    <w:rsid w:val="00F54973"/>
    <w:rsid w:val="00F55314"/>
    <w:rsid w:val="00F5595C"/>
    <w:rsid w:val="00F55BA0"/>
    <w:rsid w:val="00F576A9"/>
    <w:rsid w:val="00F62419"/>
    <w:rsid w:val="00F6403D"/>
    <w:rsid w:val="00F64810"/>
    <w:rsid w:val="00F650DD"/>
    <w:rsid w:val="00F6546F"/>
    <w:rsid w:val="00F71266"/>
    <w:rsid w:val="00F71D7E"/>
    <w:rsid w:val="00F71FB8"/>
    <w:rsid w:val="00F73B1E"/>
    <w:rsid w:val="00F74E04"/>
    <w:rsid w:val="00F7568A"/>
    <w:rsid w:val="00F76421"/>
    <w:rsid w:val="00F76999"/>
    <w:rsid w:val="00F76AFC"/>
    <w:rsid w:val="00F774D8"/>
    <w:rsid w:val="00F805CB"/>
    <w:rsid w:val="00F819FA"/>
    <w:rsid w:val="00F82445"/>
    <w:rsid w:val="00F83E0B"/>
    <w:rsid w:val="00F84C14"/>
    <w:rsid w:val="00F85229"/>
    <w:rsid w:val="00F87228"/>
    <w:rsid w:val="00F87B82"/>
    <w:rsid w:val="00F917D5"/>
    <w:rsid w:val="00F921FC"/>
    <w:rsid w:val="00F92A32"/>
    <w:rsid w:val="00F93509"/>
    <w:rsid w:val="00F93E30"/>
    <w:rsid w:val="00F95130"/>
    <w:rsid w:val="00F954FE"/>
    <w:rsid w:val="00F9629C"/>
    <w:rsid w:val="00FA038B"/>
    <w:rsid w:val="00FA1A46"/>
    <w:rsid w:val="00FA2063"/>
    <w:rsid w:val="00FA212B"/>
    <w:rsid w:val="00FA3CE0"/>
    <w:rsid w:val="00FA4306"/>
    <w:rsid w:val="00FA46D6"/>
    <w:rsid w:val="00FA7539"/>
    <w:rsid w:val="00FA7B1F"/>
    <w:rsid w:val="00FB1F6A"/>
    <w:rsid w:val="00FB20BE"/>
    <w:rsid w:val="00FB3781"/>
    <w:rsid w:val="00FB3FA3"/>
    <w:rsid w:val="00FB6229"/>
    <w:rsid w:val="00FC024D"/>
    <w:rsid w:val="00FC0A72"/>
    <w:rsid w:val="00FC1618"/>
    <w:rsid w:val="00FC2B43"/>
    <w:rsid w:val="00FC386E"/>
    <w:rsid w:val="00FC3E05"/>
    <w:rsid w:val="00FC5DA9"/>
    <w:rsid w:val="00FC7B0B"/>
    <w:rsid w:val="00FC7D33"/>
    <w:rsid w:val="00FD1D7B"/>
    <w:rsid w:val="00FD2921"/>
    <w:rsid w:val="00FD3311"/>
    <w:rsid w:val="00FD3B5A"/>
    <w:rsid w:val="00FD4610"/>
    <w:rsid w:val="00FD4BA4"/>
    <w:rsid w:val="00FE11D1"/>
    <w:rsid w:val="00FE29AC"/>
    <w:rsid w:val="00FE2E40"/>
    <w:rsid w:val="00FE3398"/>
    <w:rsid w:val="00FE447E"/>
    <w:rsid w:val="00FE5851"/>
    <w:rsid w:val="00FE59A0"/>
    <w:rsid w:val="00FE622D"/>
    <w:rsid w:val="00FE7456"/>
    <w:rsid w:val="00FE746E"/>
    <w:rsid w:val="00FF0C4D"/>
    <w:rsid w:val="00FF194A"/>
    <w:rsid w:val="00FF21B8"/>
    <w:rsid w:val="00FF2D2B"/>
    <w:rsid w:val="00FF4ED9"/>
    <w:rsid w:val="00FF56F8"/>
    <w:rsid w:val="00FF5CF1"/>
    <w:rsid w:val="00FF5D33"/>
    <w:rsid w:val="00FF6BBD"/>
    <w:rsid w:val="00FF7200"/>
    <w:rsid w:val="00FF74E6"/>
    <w:rsid w:val="0EC02E02"/>
    <w:rsid w:val="4BDB32B3"/>
    <w:rsid w:val="4E0E3A52"/>
    <w:rsid w:val="4E27FA27"/>
    <w:rsid w:val="605D43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E038A"/>
  <w15:docId w15:val="{0D8D4316-28EF-4D72-8890-16464A4C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link w:val="EndnoteTextChar"/>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right="1134"/>
      <w:jc w:val="both"/>
    </w:pPr>
  </w:style>
  <w:style w:type="paragraph" w:styleId="TOC1">
    <w:name w:val="toc 1"/>
    <w:basedOn w:val="Normal"/>
    <w:next w:val="Normal"/>
    <w:autoRedefine/>
    <w:uiPriority w:val="39"/>
    <w:rsid w:val="005750DB"/>
    <w:pPr>
      <w:tabs>
        <w:tab w:val="right" w:pos="851"/>
        <w:tab w:val="left" w:pos="1134"/>
        <w:tab w:val="left" w:pos="1559"/>
        <w:tab w:val="left" w:pos="2268"/>
        <w:tab w:val="right" w:leader="dot" w:pos="8930"/>
        <w:tab w:val="right" w:pos="9639"/>
      </w:tabs>
      <w:spacing w:after="120"/>
      <w:ind w:left="2268" w:hanging="2268"/>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pPr>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3E45B1"/>
    <w:rPr>
      <w:sz w:val="16"/>
      <w:szCs w:val="16"/>
    </w:rPr>
  </w:style>
  <w:style w:type="paragraph" w:styleId="CommentText">
    <w:name w:val="annotation text"/>
    <w:basedOn w:val="Normal"/>
    <w:link w:val="CommentTextChar"/>
    <w:unhideWhenUsed/>
    <w:rsid w:val="003E45B1"/>
    <w:pPr>
      <w:spacing w:line="240" w:lineRule="auto"/>
    </w:pPr>
  </w:style>
  <w:style w:type="character" w:customStyle="1" w:styleId="CommentTextChar">
    <w:name w:val="Comment Text Char"/>
    <w:basedOn w:val="DefaultParagraphFont"/>
    <w:link w:val="CommentText"/>
    <w:rsid w:val="003E45B1"/>
    <w:rPr>
      <w:rFonts w:eastAsia="SimSun"/>
      <w:lang w:val="en-GB" w:eastAsia="zh-CN"/>
    </w:rPr>
  </w:style>
  <w:style w:type="character" w:customStyle="1" w:styleId="RegSingleTxtGChar">
    <w:name w:val="Reg_Single Txt_G Char"/>
    <w:basedOn w:val="DefaultParagraphFont"/>
    <w:link w:val="RegSingleTxtG"/>
    <w:rsid w:val="003C6C45"/>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3C6C45"/>
    <w:rPr>
      <w:rFonts w:eastAsia="SimSun"/>
      <w:sz w:val="18"/>
      <w:lang w:val="en-GB" w:eastAsia="zh-CN"/>
    </w:rPr>
  </w:style>
  <w:style w:type="character" w:customStyle="1" w:styleId="RegHChGChar">
    <w:name w:val="Reg_H__Ch_G Char"/>
    <w:link w:val="RegHChG"/>
    <w:rsid w:val="003C6C45"/>
    <w:rPr>
      <w:rFonts w:eastAsia="SimSun"/>
      <w:b/>
      <w:sz w:val="28"/>
      <w:lang w:val="en-GB" w:eastAsia="zh-CN"/>
    </w:rPr>
  </w:style>
  <w:style w:type="character" w:styleId="Hyperlink">
    <w:name w:val="Hyperlink"/>
    <w:basedOn w:val="DefaultParagraphFont"/>
    <w:unhideWhenUsed/>
    <w:rsid w:val="003C6C45"/>
    <w:rPr>
      <w:color w:val="0000FF" w:themeColor="hyperlink"/>
      <w:u w:val="single"/>
    </w:rPr>
  </w:style>
  <w:style w:type="character" w:customStyle="1" w:styleId="HeaderChar">
    <w:name w:val="Header Char"/>
    <w:aliases w:val="6_G Char"/>
    <w:basedOn w:val="DefaultParagraphFont"/>
    <w:link w:val="Header"/>
    <w:uiPriority w:val="99"/>
    <w:rsid w:val="0011105D"/>
    <w:rPr>
      <w:rFonts w:eastAsia="SimSun"/>
      <w:b/>
      <w:sz w:val="18"/>
      <w:lang w:val="en-GB" w:eastAsia="zh-CN"/>
    </w:rPr>
  </w:style>
  <w:style w:type="character" w:customStyle="1" w:styleId="FooterChar">
    <w:name w:val="Footer Char"/>
    <w:aliases w:val="3_G Char"/>
    <w:link w:val="Footer"/>
    <w:rsid w:val="00026319"/>
    <w:rPr>
      <w:rFonts w:eastAsia="SimSun"/>
      <w:sz w:val="16"/>
      <w:lang w:val="en-GB" w:eastAsia="zh-CN"/>
    </w:rPr>
  </w:style>
  <w:style w:type="character" w:customStyle="1" w:styleId="HChGChar">
    <w:name w:val="_ H _Ch_G Char"/>
    <w:link w:val="HChG"/>
    <w:rsid w:val="00026319"/>
    <w:rPr>
      <w:rFonts w:eastAsia="SimSun"/>
      <w:b/>
      <w:sz w:val="2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026319"/>
    <w:pPr>
      <w:suppressAutoHyphens w:val="0"/>
      <w:spacing w:after="160" w:line="240" w:lineRule="exact"/>
    </w:pPr>
    <w:rPr>
      <w:rFonts w:eastAsia="Times New Roman"/>
      <w:sz w:val="18"/>
      <w:vertAlign w:val="superscript"/>
      <w:lang w:val="en-US" w:eastAsia="en-US"/>
    </w:rPr>
  </w:style>
  <w:style w:type="paragraph" w:customStyle="1" w:styleId="Default">
    <w:name w:val="Default"/>
    <w:rsid w:val="00535F63"/>
    <w:pPr>
      <w:autoSpaceDE w:val="0"/>
      <w:autoSpaceDN w:val="0"/>
      <w:adjustRightInd w:val="0"/>
    </w:pPr>
    <w:rPr>
      <w:color w:val="000000"/>
      <w:sz w:val="24"/>
      <w:szCs w:val="24"/>
      <w:lang w:eastAsia="en-GB"/>
    </w:rPr>
  </w:style>
  <w:style w:type="character" w:styleId="Mention">
    <w:name w:val="Mention"/>
    <w:basedOn w:val="DefaultParagraphFont"/>
    <w:uiPriority w:val="99"/>
    <w:unhideWhenUsed/>
    <w:rsid w:val="00407296"/>
    <w:rPr>
      <w:color w:val="2B579A"/>
      <w:shd w:val="clear" w:color="auto" w:fill="E6E6E6"/>
    </w:rPr>
  </w:style>
  <w:style w:type="paragraph" w:styleId="CommentSubject">
    <w:name w:val="annotation subject"/>
    <w:basedOn w:val="CommentText"/>
    <w:next w:val="CommentText"/>
    <w:link w:val="CommentSubjectChar"/>
    <w:semiHidden/>
    <w:unhideWhenUsed/>
    <w:rsid w:val="008F1895"/>
    <w:rPr>
      <w:b/>
      <w:bCs/>
    </w:rPr>
  </w:style>
  <w:style w:type="character" w:customStyle="1" w:styleId="CommentSubjectChar">
    <w:name w:val="Comment Subject Char"/>
    <w:basedOn w:val="CommentTextChar"/>
    <w:link w:val="CommentSubject"/>
    <w:semiHidden/>
    <w:rsid w:val="008F1895"/>
    <w:rPr>
      <w:rFonts w:eastAsia="SimSun"/>
      <w:b/>
      <w:bCs/>
      <w:lang w:val="en-GB" w:eastAsia="zh-CN"/>
    </w:rPr>
  </w:style>
  <w:style w:type="paragraph" w:styleId="Revision">
    <w:name w:val="Revision"/>
    <w:hidden/>
    <w:uiPriority w:val="99"/>
    <w:semiHidden/>
    <w:rsid w:val="001A658D"/>
    <w:rPr>
      <w:rFonts w:eastAsia="SimSun"/>
      <w:lang w:val="en-GB" w:eastAsia="zh-CN"/>
    </w:rPr>
  </w:style>
  <w:style w:type="character" w:styleId="UnresolvedMention">
    <w:name w:val="Unresolved Mention"/>
    <w:basedOn w:val="DefaultParagraphFont"/>
    <w:uiPriority w:val="99"/>
    <w:unhideWhenUsed/>
    <w:rsid w:val="000C30FA"/>
    <w:rPr>
      <w:color w:val="605E5C"/>
      <w:shd w:val="clear" w:color="auto" w:fill="E1DFDD"/>
    </w:rPr>
  </w:style>
  <w:style w:type="character" w:customStyle="1" w:styleId="EndnoteTextChar">
    <w:name w:val="Endnote Text Char"/>
    <w:aliases w:val="2_G Char"/>
    <w:basedOn w:val="DefaultParagraphFont"/>
    <w:link w:val="EndnoteText"/>
    <w:rsid w:val="00EF7714"/>
    <w:rPr>
      <w:rFonts w:eastAsia="SimSun"/>
      <w:i/>
      <w:sz w:val="18"/>
      <w:lang w:val="en-GB" w:eastAsia="zh-CN"/>
    </w:rPr>
  </w:style>
  <w:style w:type="character" w:styleId="FollowedHyperlink">
    <w:name w:val="FollowedHyperlink"/>
    <w:basedOn w:val="DefaultParagraphFont"/>
    <w:semiHidden/>
    <w:unhideWhenUsed/>
    <w:rsid w:val="00C27D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23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header" Target="header14.xml"/><Relationship Id="rId45" Type="http://schemas.openxmlformats.org/officeDocument/2006/relationships/footer" Target="footer15.xml"/><Relationship Id="rId36" Type="http://schemas.openxmlformats.org/officeDocument/2006/relationships/header" Target="header12.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header" Target="header16.xml"/><Relationship Id="rId48" Type="http://schemas.openxmlformats.org/officeDocument/2006/relationships/theme" Target="theme/theme1.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header" Target="header15.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oter" Target="footer12.xml"/><Relationship Id="rId46" Type="http://schemas.openxmlformats.org/officeDocument/2006/relationships/footer" Target="footer16.xml"/><Relationship Id="rId20" Type="http://schemas.openxmlformats.org/officeDocument/2006/relationships/header" Target="header4.xml"/><Relationship Id="rId41" Type="http://schemas.openxmlformats.org/officeDocument/2006/relationships/footer" Target="footer13.xml"/></Relationships>
</file>

<file path=word/_rels/footnotes.xml.rels><?xml version="1.0" encoding="UTF-8" standalone="yes"?>
<Relationships xmlns="http://schemas.openxmlformats.org/package/2006/relationships"><Relationship Id="rId3" Type="http://schemas.openxmlformats.org/officeDocument/2006/relationships/hyperlink" Target="https://climate-transparency-platform.org/" TargetMode="External"/><Relationship Id="rId2" Type="http://schemas.openxmlformats.org/officeDocument/2006/relationships/hyperlink" Target="https://unfccc.int/documents/634731" TargetMode="External"/><Relationship Id="rId1" Type="http://schemas.openxmlformats.org/officeDocument/2006/relationships/hyperlink" Target="https://www4.unfccc.int/sites/submissionsstaging/Pages/Home.aspx" TargetMode="External"/><Relationship Id="rId5" Type="http://schemas.openxmlformats.org/officeDocument/2006/relationships/hyperlink" Target="https://unfccc.int/event/RM-AsiaPacificWorkshop-Bangkok-2023" TargetMode="External"/><Relationship Id="rId4"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Anna Charles</DisplayName>
        <AccountId>430</AccountId>
        <AccountType/>
      </UserInfo>
      <UserInfo>
        <DisplayName>Luan Harford</DisplayName>
        <AccountId>1818</AccountId>
        <AccountType/>
      </UserInfo>
      <UserInfo>
        <DisplayName>Daniel Klein</DisplayName>
        <AccountId>238</AccountId>
        <AccountType/>
      </UserInfo>
      <UserInfo>
        <DisplayName>Christine Adam</DisplayName>
        <AccountId>2060</AccountId>
        <AccountType/>
      </UserInfo>
      <UserInfo>
        <DisplayName>Gianluca Crispi</DisplayName>
        <AccountId>1356</AccountId>
        <AccountType/>
      </UserInfo>
      <UserInfo>
        <DisplayName>Luisa Rodriguez</DisplayName>
        <AccountId>1241</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ost-session document" ma:contentTypeID="0x010100FBF3CCE9969B6749B3CE13949E44C4B503002F94DED831A0BE438383BA48209634A6" ma:contentTypeVersion="120" ma:contentTypeDescription="" ma:contentTypeScope="" ma:versionID="e98afa114ed9b1089b01f3c13ce35b97">
  <xsd:schema xmlns:xsd="http://www.w3.org/2001/XMLSchema" xmlns:xs="http://www.w3.org/2001/XMLSchema" xmlns:p="http://schemas.microsoft.com/office/2006/metadata/properties" xmlns:ns1="eb4559c4-8463-4985-927f-f0d558bff8f0" xmlns:ns3="0d8f00d2-86fc-4eff-afef-8f73dd50878e" targetNamespace="http://schemas.microsoft.com/office/2006/metadata/properties" ma:root="true" ma:fieldsID="b738f7b2e50a9450daecbeac3101ad85" ns1:_="" ns3:_="">
    <xsd:import namespace="eb4559c4-8463-4985-927f-f0d558bff8f0"/>
    <xsd:import namespace="0d8f00d2-86fc-4eff-afef-8f73dd50878e"/>
    <xsd:element name="properties">
      <xsd:complexType>
        <xsd:sequence>
          <xsd:element name="documentManagement">
            <xsd:complexType>
              <xsd:all>
                <xsd:element ref="ns1:fccc_doc_symbol"/>
                <xsd:element ref="ns1:Short_x0020_Title"/>
                <xsd:element ref="ns1:Agenda_x0020_Item" minOccurs="0"/>
                <xsd:element ref="ns1:fccc_contact"/>
                <xsd:element ref="ns1:Submission_x0020_clearance_x0020_officer_x0028_s_x0029_"/>
                <xsd:element ref="ns1:fccc_editing_startdate"/>
                <xsd:element ref="ns1:fccc_submission_date"/>
                <xsd:element ref="ns1:fccc_pages_total"/>
                <xsd:element ref="ns1:fccc_pages_for_translation"/>
                <xsd:element ref="ns1:fccc_mandate"/>
                <xsd:element ref="ns1:fccc_mandate_url"/>
                <xsd:element ref="ns1:fccc_notes" minOccurs="0"/>
                <xsd:element ref="ns3:CMS_x0020_doc_x0020_type" minOccurs="0"/>
                <xsd:element ref="ns3:Abstract" minOccurs="0"/>
                <xsd:element ref="ns3:CMS_x0020_notes" minOccurs="0"/>
                <xsd:element ref="ns3:Publication_x0020_date" minOccurs="0"/>
                <xsd:element ref="ns3:Document_x0020_highlight" minOccurs="0"/>
                <xsd:element ref="ns1:ecb85f88989e4f11bfedb6318c1ed337" minOccurs="0"/>
                <xsd:element ref="ns1:TaxCatchAllLabel" minOccurs="0"/>
                <xsd:element ref="ns3:_dlc_DocId" minOccurs="0"/>
                <xsd:element ref="ns3:_dlc_DocIdUrl" minOccurs="0"/>
                <xsd:element ref="ns3:_dlc_DocIdPersistId" minOccurs="0"/>
                <xsd:element ref="ns1:oa198490080c4764bc1f8325a2b96d35" minOccurs="0"/>
                <xsd:element ref="ns3:c51c080fb2d149e1934818200981989c" minOccurs="0"/>
                <xsd:element ref="ns3:l6e091cbada04ed4b01f309d1d8edbb4" minOccurs="0"/>
                <xsd:element ref="ns1:mb2653527eb04114b1d23d229a13893d" minOccurs="0"/>
                <xsd:element ref="ns1:TaxCatchAll" minOccurs="0"/>
                <xsd:element ref="ns1:i961c1f3d95e40d19f5413b53439d186" minOccurs="0"/>
                <xsd:element ref="ns3:Anyone_x0020_to_x0020_clear_x0020_before_x0020_the_x0020_ES" minOccurs="0"/>
                <xsd:element ref="ns3:ES_x0020_clearance_x0020_requ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fccc_doc_symbol" ma:index="0" ma:displayName="Symbol" ma:description="Official symbol (Docs use only)" ma:internalName="fccc_doc_symbol" ma:readOnly="false">
      <xsd:simpleType>
        <xsd:restriction base="dms:Text">
          <xsd:maxLength value="75"/>
        </xsd:restriction>
      </xsd:simpleType>
    </xsd:element>
    <xsd:element name="Short_x0020_Title" ma:index="3" ma:displayName="Short title" ma:indexed="true" ma:internalName="Short_x0020_Title" ma:readOnly="false">
      <xsd:simpleType>
        <xsd:restriction base="dms:Text">
          <xsd:maxLength value="255"/>
        </xsd:restriction>
      </xsd:simpleType>
    </xsd:element>
    <xsd:element name="Agenda_x0020_Item" ma:index="6" nillable="true" ma:displayName="Agenda Item" ma:internalName="Agenda_x0020_Item" ma:readOnly="false">
      <xsd:complexType>
        <xsd:complexContent>
          <xsd:extension base="dms:MultiChoice">
            <xsd:sequence>
              <xsd:element name="Value" maxOccurs="unbounded" minOccurs="0" nillable="true">
                <xsd:simpleType>
                  <xsd:restriction base="dms:Choice">
                    <xsd:enumeration value="COP 2 Organizational matters"/>
                    <xsd:enumeration value="COP 2(c) Agenda adoption"/>
                    <xsd:enumeration value="COP 2(e) Observer admission"/>
                    <xsd:enumeration value="COP 2(g) Dates and venues"/>
                    <xsd:enumeration value="COP 2(h) - CMA 2(d) - CMP 2(d) Credentials"/>
                    <xsd:enumeration value="COP 3(a) SBSTA report"/>
                    <xsd:enumeration value="COP 3(b) SBI report"/>
                    <xsd:enumeration value="COP 4 Reporting Annex I Parties"/>
                    <xsd:enumeration value="COP 5 Reporting non-Annex I Parties"/>
                    <xsd:enumeration value="COP 6 AC review"/>
                    <xsd:enumeration value="COP 7 WIM"/>
                    <xsd:enumeration value="COP 8(a) LTF"/>
                    <xsd:enumeration value="COP 8(b) SCF"/>
                    <xsd:enumeration value="COP 8(c) GCF"/>
                    <xsd:enumeration value="COP 8(d) GEF"/>
                    <xsd:enumeration value="COP 8(e) FM review"/>
                    <xsd:enumeration value="COP 8(f) PA Art. 9.5: C&amp;S and summary report"/>
                    <xsd:enumeration value="COP 8(g) L&amp;D funding"/>
                    <xsd:enumeration value="COP 9 TEC-CTCN JAR"/>
                    <xsd:enumeration value="COP 10 CB Convention"/>
                    <xsd:enumeration value="COP 11 LDCs"/>
                    <xsd:enumeration value="COP 12 RM"/>
                    <xsd:enumeration value="COP 13 Gender"/>
                    <xsd:enumeration value="COP 16(a) Budget"/>
                    <xsd:enumeration value="COP 16(b) Decision-making"/>
                    <xsd:enumeration value="COP 19(a) Draft report"/>
                    <xsd:enumeration value="COP 19(b) Closure"/>
                    <xsd:enumeration value="CMA 2 Organizational matters"/>
                    <xsd:enumeration value="CMA 2(a) Agenda adoption"/>
                    <xsd:enumeration value="CMA 3(a) SBSTA report"/>
                    <xsd:enumeration value="CMA 3(b) SBI report"/>
                    <xsd:enumeration value="CMA 4 GST"/>
                    <xsd:enumeration value="CMA 5 Just transition WP"/>
                    <xsd:enumeration value="CMA 6 Mitigation ambition WP"/>
                    <xsd:enumeration value="CMA 7 PA Art. 13: fin. and tech. support"/>
                    <xsd:enumeration value="CMA 8(a) GGA"/>
                    <xsd:enumeration value="CMA 8(b) AC review"/>
                    <xsd:enumeration value="CMA 9 WIM"/>
                    <xsd:enumeration value="CMA 10(a) SCF"/>
                    <xsd:enumeration value="CMA 10(b) GCF"/>
                    <xsd:enumeration value="CMA 10(c) GEF"/>
                    <xsd:enumeration value="CMA 10(d) AF"/>
                    <xsd:enumeration value="CMA 10(e) NCQG"/>
                    <xsd:enumeration value="CMA 10(f) Art. 9.5: C&amp;S and summary report"/>
                    <xsd:enumeration value="CMA 10(g) L&amp;D funding"/>
                    <xsd:enumeration value="CMA 11 TEC-CTCN JAR"/>
                    <xsd:enumeration value="CMA 12 CB"/>
                    <xsd:enumeration value="CMA 13 RM"/>
                    <xsd:enumeration value="CMA 14(a) Art. 6.2 cooperative approaches"/>
                    <xsd:enumeration value="CMA 14(b) Art. 6.4 mechanism"/>
                    <xsd:enumeration value="CMA 14(c) Art. 6.8 NMA framework"/>
                    <xsd:enumeration value="CMA 15 PAICC report"/>
                    <xsd:enumeration value="CMA 16 AFI"/>
                    <xsd:enumeration value="CMA 19(a) Draft report"/>
                    <xsd:enumeration value="CMA 19(b) Closure"/>
                    <xsd:enumeration value="CMP 2 Organizational matters"/>
                    <xsd:enumeration value="CMP 2(a) Agenda adoption"/>
                    <xsd:enumeration value="CMP 3(a) SBSTA report"/>
                    <xsd:enumeration value="CMP 3(b) SBI report"/>
                    <xsd:enumeration value="CMP 4(a) NCs Annex I Parties"/>
                    <xsd:enumeration value="CMP 4(b) C&amp;A"/>
                    <xsd:enumeration value="CMP 5 CDM guidance"/>
                    <xsd:enumeration value="CMP 6 JI"/>
                    <xsd:enumeration value="CMP 7 AF"/>
                    <xsd:enumeration value="CMP 8 CB"/>
                    <xsd:enumeration value="CMP 9 RM"/>
                    <xsd:enumeration value="CMP 10 KP CC"/>
                    <xsd:enumeration value="CMP 11 KP commitment ambition"/>
                    <xsd:enumeration value="CMP 12 AFI"/>
                    <xsd:enumeration value="CMP 15(a) Draft report"/>
                    <xsd:enumeration value="CMP 15(b) Closure"/>
                    <xsd:enumeration value="SBI 2(a) Agenda adoption"/>
                    <xsd:enumeration value="SBI 3(a) Status and review NCs and BRs"/>
                    <xsd:enumeration value="SBI 3(b) C&amp;S of BRs"/>
                    <xsd:enumeration value="SBI 3(c) GHG inventory data"/>
                    <xsd:enumeration value="SBI 4(a) Non-Annex I Parties NCs"/>
                    <xsd:enumeration value="SBI 4(b) FTS"/>
                    <xsd:enumeration value="SBI 4(c) CGE"/>
                    <xsd:enumeration value="SBI 4(d) BUR technical analysis reports"/>
                    <xsd:enumeration value="SBI 5 PA Art. 13: fin. and tech. support"/>
                    <xsd:enumeration value="SBI 6 CDM Trust Fund review"/>
                    <xsd:enumeration value="SBI 7 - SBSTA 7 Mitigation ambition WP"/>
                    <xsd:enumeration value="SBI 8 - SBSTA 5 GST"/>
                    <xsd:enumeration value="SBI 9 - SBSTA 8 Just transition WP"/>
                    <xsd:enumeration value="SBI 10 - SBSTA 9 RM"/>
                    <xsd:enumeration value="SBI 11 - SBSTA 10 Agriculture food security JW"/>
                    <xsd:enumeration value="SBI 12(a) - SBSTA 3(a) GGA"/>
                    <xsd:enumeration value="SBI 12(b) - SBSTA 3(b) AC report"/>
                    <xsd:enumeration value="SBI 12(c) NAPs"/>
                    <xsd:enumeration value="SBI 13(a) - SBSTA 4(a) WIM ExCom report"/>
                    <xsd:enumeration value="SBI 13(b) - SBSTA 4(b) WIM Santiago network"/>
                    <xsd:enumeration value="SBI 14 LDCs"/>
                    <xsd:enumeration value="SBI 15 - SBSTA 11 TEC-CTCN JAR"/>
                    <xsd:enumeration value="SBI 16(a) AF"/>
                    <xsd:enumeration value="SBI 16(b) SCF review"/>
                    <xsd:enumeration value="SBI 17 CB"/>
                    <xsd:enumeration value="SBI 18 Gender"/>
                    <xsd:enumeration value="SBI 19 ACE"/>
                    <xsd:enumeration value="SBI 20 AFI"/>
                    <xsd:enumeration value="SBI 22 Closure and report"/>
                    <xsd:enumeration value="SBSTA 2(a) Agenda adoption"/>
                    <xsd:enumeration value="SBSTA 6 RSO"/>
                    <xsd:enumeration value="SBSTA 12(a) GHG data interface"/>
                    <xsd:enumeration value="SBSTA 12(b) Bunkers"/>
                    <xsd:enumeration value="SBSTA 13(a) PA Art. 6.2 cooperative approaches"/>
                    <xsd:enumeration value="SBSTA 13(b) PA Art. 6.4 mechanism"/>
                    <xsd:enumeration value="SBSTA 13(c) PA Art. 6.8 NMA framework"/>
                    <xsd:enumeration value="SBSTA 14(a) Tech. review BRs/NCs"/>
                    <xsd:enumeration value="SBSTA 14(b) Tech. review GHG Convention"/>
                    <xsd:enumeration value="SBSTA 14(c) Tech. review GHG KP"/>
                    <xsd:enumeration value="SBSTA 16 Closure and report"/>
                  </xsd:restriction>
                </xsd:simpleType>
              </xsd:element>
            </xsd:sequence>
          </xsd:extension>
        </xsd:complexContent>
      </xsd:complexType>
    </xsd:element>
    <xsd:element name="fccc_contact" ma:index="7" ma:displayName="Drafting team members" ma:description="Enter names of those who need to be able to run the flows and who should get notifications about this document." ma:list="UserInfo" ma:SharePointGroup="0" ma:internalName="fccc_contact"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ubmission_x0020_clearance_x0020_officer_x0028_s_x0029_" ma:index="8" ma:displayName="Submission clearance officer(s)" ma:description="For pre-session docs usually director; for in-session docs usually director and body coordinator.]" ma:list="UserInfo" ma:SharePointGroup="0" ma:internalName="Submission_x0020_clearance_x0020_officer_x0028_s_x0029_"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fccc_editing_startdate" ma:index="9" ma:displayName="Editing start date" ma:format="DateOnly" ma:internalName="fccc_editing_startdate" ma:readOnly="false">
      <xsd:simpleType>
        <xsd:restriction base="dms:DateTime"/>
      </xsd:simpleType>
    </xsd:element>
    <xsd:element name="fccc_submission_date" ma:index="10" ma:displayName="Submit by date" ma:description="Date document will be finalized and cleared" ma:format="DateOnly" ma:internalName="fccc_submission_date" ma:readOnly="false">
      <xsd:simpleType>
        <xsd:restriction base="dms:DateTime"/>
      </xsd:simpleType>
    </xsd:element>
    <xsd:element name="fccc_pages_total" ma:index="11" ma:displayName="Total pages" ma:decimals="0" ma:description="Total number of pages" ma:internalName="fccc_pages_total" ma:readOnly="false" ma:percentage="FALSE">
      <xsd:simpleType>
        <xsd:restriction base="dms:Number">
          <xsd:maxInclusive value="999"/>
        </xsd:restriction>
      </xsd:simpleType>
    </xsd:element>
    <xsd:element name="fccc_pages_for_translation" ma:index="12" ma:displayName="Pages for translation" ma:decimals="0" ma:description="The translation word limit for CB, SB and governing body reports is 10,700 (the main document and addenda are counted together). For secretariat documents, the limit is 8,500." ma:internalName="fccc_pages_for_translation" ma:readOnly="false" ma:percentage="FALSE">
      <xsd:simpleType>
        <xsd:restriction base="dms:Number">
          <xsd:maxInclusive value="21"/>
        </xsd:restriction>
      </xsd:simpleType>
    </xsd:element>
    <xsd:element name="fccc_mandate" ma:index="13" ma:displayName="Mandate" ma:description="Specify mandate text (the decision or conclusion)" ma:internalName="fccc_mandate" ma:readOnly="false">
      <xsd:simpleType>
        <xsd:restriction base="dms:Note">
          <xsd:maxLength value="255"/>
        </xsd:restriction>
      </xsd:simpleType>
    </xsd:element>
    <xsd:element name="fccc_mandate_url" ma:index="14" ma:displayName="Mandate URL - start with http://" ma:format="Hyperlink" ma:internalName="fccc_mandate_url" ma:readOnly="false">
      <xsd:complexType>
        <xsd:complexContent>
          <xsd:extension base="dms:URL">
            <xsd:sequence>
              <xsd:element name="Url" type="dms:ValidUrl"/>
              <xsd:element name="Description" type="xsd:string"/>
            </xsd:sequence>
          </xsd:extension>
        </xsd:complexContent>
      </xsd:complexType>
    </xsd:element>
    <xsd:element name="fccc_notes" ma:index="17" nillable="true" ma:displayName="Notes" ma:internalName="fccc_notes" ma:readOnly="false">
      <xsd:simpleType>
        <xsd:restriction base="dms:Note"/>
      </xsd:simpleType>
    </xsd:element>
    <xsd:element name="ecb85f88989e4f11bfedb6318c1ed337" ma:index="26" ma:taxonomy="true" ma:internalName="ecb85f88989e4f11bfedb6318c1ed337" ma:taxonomyFieldName="fccc_Keywords" ma:displayName="Keyword(s)" ma:readOnly="false" ma:default="" ma:fieldId="{ecb85f88-989e-4f11-bfed-b6318c1ed337}" ma:taxonomyMulti="true" ma:sspId="9d8c265a-5436-43a7-80c1-713d2827ffde" ma:termSetId="ce16d9c3-1be4-4022-9de2-d4e314b4b7b7" ma:anchorId="00000000-0000-0000-0000-000000000000" ma:open="false" ma:isKeyword="false">
      <xsd:complexType>
        <xsd:sequence>
          <xsd:element ref="pc:Terms" minOccurs="0" maxOccurs="1"/>
        </xsd:sequence>
      </xsd:complexType>
    </xsd:element>
    <xsd:element name="TaxCatchAllLabel" ma:index="27" nillable="true" ma:displayName="Taxonomy Catch All Column1" ma:hidden="true" ma:list="{89b258cd-c887-4e09-be29-74285c311572}" ma:internalName="TaxCatchAllLabel" ma:readOnly="true" ma:showField="CatchAllDataLabel" ma:web="0d8f00d2-86fc-4eff-afef-8f73dd50878e">
      <xsd:complexType>
        <xsd:complexContent>
          <xsd:extension base="dms:MultiChoiceLookup">
            <xsd:sequence>
              <xsd:element name="Value" type="dms:Lookup" maxOccurs="unbounded" minOccurs="0" nillable="true"/>
            </xsd:sequence>
          </xsd:extension>
        </xsd:complexContent>
      </xsd:complexType>
    </xsd:element>
    <xsd:element name="oa198490080c4764bc1f8325a2b96d35" ma:index="32" ma:taxonomy="true" ma:internalName="oa198490080c4764bc1f8325a2b96d35" ma:taxonomyFieldName="fccc_session" ma:displayName="Session" ma:indexed="true" ma:readOnly="false" ma:default="" ma:fieldId="{8a198490-080c-4764-bc1f-8325a2b96d35}" ma:sspId="9d8c265a-5436-43a7-80c1-713d2827ffde" ma:termSetId="1611a8e0-6649-410b-8f06-808e5a09613d" ma:anchorId="00000000-0000-0000-0000-000000000000" ma:open="false" ma:isKeyword="false">
      <xsd:complexType>
        <xsd:sequence>
          <xsd:element ref="pc:Terms" minOccurs="0" maxOccurs="1"/>
        </xsd:sequence>
      </xsd:complexType>
    </xsd:element>
    <xsd:element name="mb2653527eb04114b1d23d229a13893d" ma:index="36" ma:taxonomy="true" ma:internalName="mb2653527eb04114b1d23d229a13893d" ma:taxonomyFieldName="fccc_substantive_topic" ma:displayName="Substantive topic" ma:readOnly="false" ma:default="" ma:fieldId="{6b265352-7eb0-4114-b1d2-3d229a13893d}" ma:taxonomyMulti="true" ma:sspId="9d8c265a-5436-43a7-80c1-713d2827ffde" ma:termSetId="6d73896b-a30d-450f-931e-bcec54fbb456" ma:anchorId="54ce9e4c-7f03-4b3d-9454-fdad40c853d4" ma:open="false" ma:isKeyword="false">
      <xsd:complexType>
        <xsd:sequence>
          <xsd:element ref="pc:Terms" minOccurs="0" maxOccurs="1"/>
        </xsd:sequence>
      </xsd:complexType>
    </xsd:element>
    <xsd:element name="TaxCatchAll" ma:index="40" nillable="true" ma:displayName="Taxonomy Catch All Column" ma:hidden="true" ma:list="{89b258cd-c887-4e09-be29-74285c311572}" ma:internalName="TaxCatchAll" ma:showField="CatchAllData" ma:web="0d8f00d2-86fc-4eff-afef-8f73dd50878e">
      <xsd:complexType>
        <xsd:complexContent>
          <xsd:extension base="dms:MultiChoiceLookup">
            <xsd:sequence>
              <xsd:element name="Value" type="dms:Lookup" maxOccurs="unbounded" minOccurs="0" nillable="true"/>
            </xsd:sequence>
          </xsd:extension>
        </xsd:complexContent>
      </xsd:complexType>
    </xsd:element>
    <xsd:element name="i961c1f3d95e40d19f5413b53439d186" ma:index="41" ma:taxonomy="true" ma:internalName="i961c1f3d95e40d19f5413b53439d186" ma:taxonomyFieldName="fccc_body" ma:displayName="Body" ma:readOnly="false" ma:default="" ma:fieldId="{2961c1f3-d95e-40d1-9f54-13b53439d186}" ma:taxonomyMulti="true" ma:sspId="9d8c265a-5436-43a7-80c1-713d2827ffde" ma:termSetId="7e6d52d6-747c-49c0-a8e9-ad4b794c156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8f00d2-86fc-4eff-afef-8f73dd50878e" elementFormDefault="qualified">
    <xsd:import namespace="http://schemas.microsoft.com/office/2006/documentManagement/types"/>
    <xsd:import namespace="http://schemas.microsoft.com/office/infopath/2007/PartnerControls"/>
    <xsd:element name="CMS_x0020_doc_x0020_type" ma:index="18" nillable="true" ma:displayName="CMS doc type" ma:default="Enter Choice #1" ma:format="Dropdown" ma:internalName="CMS_x0020_doc_x0020_type" ma:readOnly="false">
      <xsd:simpleType>
        <xsd:restriction base="dms:Choice">
          <xsd:enumeration value="Enter Choice #1"/>
          <xsd:enumeration value="Enter Choice #2"/>
          <xsd:enumeration value="Enter Choice #3"/>
        </xsd:restriction>
      </xsd:simpleType>
    </xsd:element>
    <xsd:element name="Abstract" ma:index="19" nillable="true" ma:displayName="Abstract" ma:internalName="Abstract" ma:readOnly="false">
      <xsd:simpleType>
        <xsd:restriction base="dms:Note">
          <xsd:maxLength value="255"/>
        </xsd:restriction>
      </xsd:simpleType>
    </xsd:element>
    <xsd:element name="CMS_x0020_notes" ma:index="22" nillable="true" ma:displayName="CMS notes" ma:internalName="CMS_x0020_notes" ma:readOnly="false">
      <xsd:simpleType>
        <xsd:restriction base="dms:Note">
          <xsd:maxLength value="255"/>
        </xsd:restriction>
      </xsd:simpleType>
    </xsd:element>
    <xsd:element name="Publication_x0020_date" ma:index="23" nillable="true" ma:displayName="Publication date" ma:format="DateOnly" ma:internalName="Publication_x0020_date" ma:readOnly="false">
      <xsd:simpleType>
        <xsd:restriction base="dms:DateTime"/>
      </xsd:simpleType>
    </xsd:element>
    <xsd:element name="Document_x0020_highlight" ma:index="24" nillable="true" ma:displayName="Document highlight" ma:default="0" ma:internalName="Document_x0020_highlight" ma:readOnly="false">
      <xsd:simpleType>
        <xsd:restriction base="dms:Boolea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c51c080fb2d149e1934818200981989c" ma:index="33" nillable="true" ma:taxonomy="true" ma:internalName="c51c080fb2d149e1934818200981989c" ma:taxonomyFieldName="Corporate_x0020_author" ma:displayName="Corporate author" ma:readOnly="false" ma:fieldId="{c51c080f-b2d1-49e1-9348-18200981989c}" ma:sspId="9d8c265a-5436-43a7-80c1-713d2827ffde" ma:termSetId="b947cb12-111a-4f80-866c-224331aefa1b" ma:anchorId="00000000-0000-0000-0000-000000000000" ma:open="false" ma:isKeyword="false">
      <xsd:complexType>
        <xsd:sequence>
          <xsd:element ref="pc:Terms" minOccurs="0" maxOccurs="1"/>
        </xsd:sequence>
      </xsd:complexType>
    </xsd:element>
    <xsd:element name="l6e091cbada04ed4b01f309d1d8edbb4" ma:index="35" nillable="true" ma:taxonomy="true" ma:internalName="l6e091cbada04ed4b01f309d1d8edbb4" ma:taxonomyFieldName="Conference" ma:displayName="Conference" ma:readOnly="false" ma:fieldId="{56e091cb-ada0-4ed4-b01f-309d1d8edbb4}" ma:sspId="9d8c265a-5436-43a7-80c1-713d2827ffde" ma:termSetId="1611a8e0-6649-410b-8f06-808e5a09613d" ma:anchorId="00000000-0000-0000-0000-000000000000" ma:open="false" ma:isKeyword="false">
      <xsd:complexType>
        <xsd:sequence>
          <xsd:element ref="pc:Terms" minOccurs="0" maxOccurs="1"/>
        </xsd:sequence>
      </xsd:complexType>
    </xsd:element>
    <xsd:element name="Anyone_x0020_to_x0020_clear_x0020_before_x0020_the_x0020_ES" ma:index="42" nillable="true" ma:displayName="Anyone to clear before the ES" ma:list="UserInfo" ma:SharePointGroup="0" ma:internalName="Anyone_x0020_to_x0020_clear_x0020_before_x0020_the_x0020_E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S_x0020_clearance_x0020_required" ma:index="43" nillable="true" ma:displayName="ES clearance required" ma:default="0" ma:internalName="ES_x0020_clearance_x0020_requir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9d8c265a-5436-43a7-80c1-713d2827ffde" ContentTypeId="0x01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C20CF-33D9-40E0-A407-19912C14238B}">
  <ds:schemaRefs>
    <ds:schemaRef ds:uri="http://schemas.microsoft.com/office/2006/metadata/properties"/>
    <ds:schemaRef ds:uri="http://schemas.microsoft.com/office/infopath/2007/PartnerControls"/>
    <ds:schemaRef ds:uri="0d8f00d2-86fc-4eff-afef-8f73dd50878e"/>
    <ds:schemaRef ds:uri="eb4559c4-8463-4985-927f-f0d558bff8f0"/>
  </ds:schemaRefs>
</ds:datastoreItem>
</file>

<file path=customXml/itemProps2.xml><?xml version="1.0" encoding="utf-8"?>
<ds:datastoreItem xmlns:ds="http://schemas.openxmlformats.org/officeDocument/2006/customXml" ds:itemID="{EA931640-A85E-4AF8-900E-9E92D142732A}"/>
</file>

<file path=customXml/itemProps3.xml><?xml version="1.0" encoding="utf-8"?>
<ds:datastoreItem xmlns:ds="http://schemas.openxmlformats.org/officeDocument/2006/customXml" ds:itemID="{DD63AE58-9890-41B2-B273-5D6360633963}">
  <ds:schemaRefs>
    <ds:schemaRef ds:uri="http://schemas.microsoft.com/sharepoint/v3/contenttype/forms"/>
  </ds:schemaRefs>
</ds:datastoreItem>
</file>

<file path=customXml/itemProps4.xml><?xml version="1.0" encoding="utf-8"?>
<ds:datastoreItem xmlns:ds="http://schemas.openxmlformats.org/officeDocument/2006/customXml" ds:itemID="{E1F023EF-5375-458A-AB13-9F42018FD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559c4-8463-4985-927f-f0d558bff8f0"/>
    <ds:schemaRef ds:uri="0d8f00d2-86fc-4eff-afef-8f73dd5087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09E319-99DD-4ED5-87A0-F84258522B02}"/>
</file>

<file path=customXml/itemProps6.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132</TotalTime>
  <Pages>19</Pages>
  <Words>7031</Words>
  <Characters>40081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fifth session. Addendum</vt:lpstr>
    </vt:vector>
  </TitlesOfParts>
  <Company>UNFCCC</Company>
  <LinksUpToDate>false</LinksUpToDate>
  <CharactersWithSpaces>47018</CharactersWithSpaces>
  <SharedDoc>false</SharedDoc>
  <HLinks>
    <vt:vector size="36" baseType="variant">
      <vt:variant>
        <vt:i4>4784139</vt:i4>
      </vt:variant>
      <vt:variant>
        <vt:i4>12</vt:i4>
      </vt:variant>
      <vt:variant>
        <vt:i4>0</vt:i4>
      </vt:variant>
      <vt:variant>
        <vt:i4>5</vt:i4>
      </vt:variant>
      <vt:variant>
        <vt:lpwstr>https://unfccc.int/event/RM-AsiaPacificWorkshop-Bangkok-2023</vt:lpwstr>
      </vt:variant>
      <vt:variant>
        <vt:lpwstr/>
      </vt:variant>
      <vt:variant>
        <vt:i4>5898268</vt:i4>
      </vt:variant>
      <vt:variant>
        <vt:i4>9</vt:i4>
      </vt:variant>
      <vt:variant>
        <vt:i4>0</vt:i4>
      </vt:variant>
      <vt:variant>
        <vt:i4>5</vt:i4>
      </vt:variant>
      <vt:variant>
        <vt:lpwstr>https://www4.unfccc.int/sites/submissionsstaging/Pages/Home.aspx</vt:lpwstr>
      </vt:variant>
      <vt:variant>
        <vt:lpwstr/>
      </vt:variant>
      <vt:variant>
        <vt:i4>3539056</vt:i4>
      </vt:variant>
      <vt:variant>
        <vt:i4>6</vt:i4>
      </vt:variant>
      <vt:variant>
        <vt:i4>0</vt:i4>
      </vt:variant>
      <vt:variant>
        <vt:i4>5</vt:i4>
      </vt:variant>
      <vt:variant>
        <vt:lpwstr>https://climate-transparency-platform.org/</vt:lpwstr>
      </vt:variant>
      <vt:variant>
        <vt:lpwstr/>
      </vt:variant>
      <vt:variant>
        <vt:i4>2359423</vt:i4>
      </vt:variant>
      <vt:variant>
        <vt:i4>3</vt:i4>
      </vt:variant>
      <vt:variant>
        <vt:i4>0</vt:i4>
      </vt:variant>
      <vt:variant>
        <vt:i4>5</vt:i4>
      </vt:variant>
      <vt:variant>
        <vt:lpwstr>https://unfccc.int/documents/634731</vt:lpwstr>
      </vt:variant>
      <vt:variant>
        <vt:lpwstr/>
      </vt:variant>
      <vt:variant>
        <vt:i4>5898268</vt:i4>
      </vt:variant>
      <vt:variant>
        <vt:i4>0</vt:i4>
      </vt:variant>
      <vt:variant>
        <vt:i4>0</vt:i4>
      </vt:variant>
      <vt:variant>
        <vt:i4>5</vt:i4>
      </vt:variant>
      <vt:variant>
        <vt:lpwstr>https://www4.unfccc.int/sites/submissionsstaging/Pages/Home.aspx</vt:lpwstr>
      </vt:variant>
      <vt:variant>
        <vt:lpwstr/>
      </vt:variant>
      <vt:variant>
        <vt:i4>2293768</vt:i4>
      </vt:variant>
      <vt:variant>
        <vt:i4>0</vt:i4>
      </vt:variant>
      <vt:variant>
        <vt:i4>0</vt:i4>
      </vt:variant>
      <vt:variant>
        <vt:i4>5</vt:i4>
      </vt:variant>
      <vt:variant>
        <vt:lpwstr>mailto:KSmith@unfccc.int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fifth session. Addendum</dc:title>
  <dc:subject/>
  <dc:creator>UNFCCC</dc:creator>
  <cp:keywords/>
  <dc:description/>
  <cp:lastModifiedBy>Corinne Cornu</cp:lastModifiedBy>
  <cp:revision>322</cp:revision>
  <cp:lastPrinted>2022-09-20T12:19:00Z</cp:lastPrinted>
  <dcterms:created xsi:type="dcterms:W3CDTF">2023-04-06T16:19:00Z</dcterms:created>
  <dcterms:modified xsi:type="dcterms:W3CDTF">2024-03-18T12:58:00Z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15/3/2023 10:25:00</vt:lpwstr>
  </property>
  <property fmtid="{D5CDD505-2E9C-101B-9397-08002B2CF9AE}" pid="4" name="ContentTypeId">
    <vt:lpwstr>0x01010093B27815B4C26448A2AC74C6D94E050B</vt:lpwstr>
  </property>
  <property fmtid="{D5CDD505-2E9C-101B-9397-08002B2CF9AE}" pid="5" name="_dlc_DocIdItemGuid">
    <vt:lpwstr>e4bcf600-3de4-4016-983d-01dceffdb83c</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kb2e315405fe407aa7f85ff4a1d5bcda">
    <vt:lpwstr/>
  </property>
  <property fmtid="{D5CDD505-2E9C-101B-9397-08002B2CF9AE}" pid="9" name="fccc_substantive_topic">
    <vt:lpwstr>46;#Sessional proceedings|ff7bdb8c-f4ee-4fbb-ab88-7747669b7746</vt:lpwstr>
  </property>
  <property fmtid="{D5CDD505-2E9C-101B-9397-08002B2CF9AE}" pid="10" name="Submission clearance officer(s)">
    <vt:lpwstr/>
  </property>
  <property fmtid="{D5CDD505-2E9C-101B-9397-08002B2CF9AE}" pid="11" name="fccc_Keywords">
    <vt:lpwstr>47;#Sessional proceedings|ff7bdb8c-f4ee-4fbb-ab88-7747669b7746</vt:lpwstr>
  </property>
  <property fmtid="{D5CDD505-2E9C-101B-9397-08002B2CF9AE}" pid="12" name="fccc_session">
    <vt:lpwstr>744;#CMA 5|a05b7314-39df-4815-af35-dc5315b9ebda</vt:lpwstr>
  </property>
  <property fmtid="{D5CDD505-2E9C-101B-9397-08002B2CF9AE}" pid="13" name="LinkedUNFCCCDocumentTracker">
    <vt:lpwstr>6052</vt:lpwstr>
  </property>
  <property fmtid="{D5CDD505-2E9C-101B-9397-08002B2CF9AE}" pid="14" name="Web_x0020_doc_x0020_type">
    <vt:lpwstr/>
  </property>
  <property fmtid="{D5CDD505-2E9C-101B-9397-08002B2CF9AE}" pid="15" name="Conference">
    <vt:lpwstr/>
  </property>
  <property fmtid="{D5CDD505-2E9C-101B-9397-08002B2CF9AE}" pid="16" name="Corporate author">
    <vt:lpwstr/>
  </property>
  <property fmtid="{D5CDD505-2E9C-101B-9397-08002B2CF9AE}" pid="17" name="Agenda Item">
    <vt:lpwstr/>
  </property>
  <property fmtid="{D5CDD505-2E9C-101B-9397-08002B2CF9AE}" pid="18" name="Web doc type">
    <vt:lpwstr/>
  </property>
  <property fmtid="{D5CDD505-2E9C-101B-9397-08002B2CF9AE}" pid="19" name="fccc_contact">
    <vt:lpwstr/>
  </property>
  <property fmtid="{D5CDD505-2E9C-101B-9397-08002B2CF9AE}" pid="20" name="Document highlight">
    <vt:bool>false</vt:bool>
  </property>
  <property fmtid="{D5CDD505-2E9C-101B-9397-08002B2CF9AE}" pid="21" name="CMS doc type">
    <vt:lpwstr>Enter Choice #1</vt:lpwstr>
  </property>
  <property fmtid="{D5CDD505-2E9C-101B-9397-08002B2CF9AE}" pid="22" name="TaxCatchAll">
    <vt:lpwstr/>
  </property>
  <property fmtid="{D5CDD505-2E9C-101B-9397-08002B2CF9AE}" pid="23" name="ecb85f88989e4f11bfedb6318c1ed337">
    <vt:lpwstr/>
  </property>
  <property fmtid="{D5CDD505-2E9C-101B-9397-08002B2CF9AE}" pid="24" name="mb2653527eb04114b1d23d229a13893d">
    <vt:lpwstr/>
  </property>
  <property fmtid="{D5CDD505-2E9C-101B-9397-08002B2CF9AE}" pid="25" name="c51c080fb2d149e1934818200981989c">
    <vt:lpwstr/>
  </property>
  <property fmtid="{D5CDD505-2E9C-101B-9397-08002B2CF9AE}" pid="26" name="l6e091cbada04ed4b01f309d1d8edbb4">
    <vt:lpwstr/>
  </property>
  <property fmtid="{D5CDD505-2E9C-101B-9397-08002B2CF9AE}" pid="27" name="i961c1f3d95e40d19f5413b53439d186">
    <vt:lpwstr/>
  </property>
  <property fmtid="{D5CDD505-2E9C-101B-9397-08002B2CF9AE}" pid="28" name="oa198490080c4764bc1f8325a2b96d35">
    <vt:lpwstr/>
  </property>
  <property fmtid="{D5CDD505-2E9C-101B-9397-08002B2CF9AE}" pid="29" name="ES clearance?">
    <vt:bool>false</vt:bool>
  </property>
  <property fmtid="{D5CDD505-2E9C-101B-9397-08002B2CF9AE}" pid="30" name="Document Group">
    <vt:lpwstr/>
  </property>
  <property fmtid="{D5CDD505-2E9C-101B-9397-08002B2CF9AE}" pid="31" name="Symbolchanged">
    <vt:bool>false</vt:bool>
  </property>
  <property fmtid="{D5CDD505-2E9C-101B-9397-08002B2CF9AE}" pid="32" name="Defer">
    <vt:bool>false</vt:bool>
  </property>
  <property fmtid="{D5CDD505-2E9C-101B-9397-08002B2CF9AE}" pid="33" name="Ready for gDoc?">
    <vt:bool>false</vt:bool>
  </property>
  <property fmtid="{D5CDD505-2E9C-101B-9397-08002B2CF9AE}" pid="34" name="Editstatus">
    <vt:lpwstr>Not edited</vt:lpwstr>
  </property>
  <property fmtid="{D5CDD505-2E9C-101B-9397-08002B2CF9AE}" pid="35" name="lcf76f155ced4ddcb4097134ff3c332f">
    <vt:lpwstr/>
  </property>
  <property fmtid="{D5CDD505-2E9C-101B-9397-08002B2CF9AE}" pid="36" name="Submitted">
    <vt:bool>false</vt:bool>
  </property>
  <property fmtid="{D5CDD505-2E9C-101B-9397-08002B2CF9AE}" pid="37" name="mc8c0c91454a4efc97cb5a2e90a99718">
    <vt:lpwstr/>
  </property>
  <property fmtid="{D5CDD505-2E9C-101B-9397-08002B2CF9AE}" pid="38" name="SharedWithUsers">
    <vt:lpwstr>430;#Anna Charles;#1818;#Luan Harford;#238;#Daniel Klein;#2060;#Christine Adam;#1356;#Gianluca Crispi;#1241;#Luisa Rodriguez</vt:lpwstr>
  </property>
  <property fmtid="{D5CDD505-2E9C-101B-9397-08002B2CF9AE}" pid="39" name="docSymbol1">
    <vt:lpwstr>FCCC/PA/CMA/2023/16/Add.3</vt:lpwstr>
  </property>
  <property fmtid="{D5CDD505-2E9C-101B-9397-08002B2CF9AE}" pid="40" name="docSymbol2">
    <vt:lpwstr/>
  </property>
</Properties>
</file>