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32.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401726BD" w14:textId="77777777">
        <w:trPr>
          <w:cantSplit/>
          <w:trHeight w:hRule="exact" w:val="1134"/>
        </w:trPr>
        <w:tc>
          <w:tcPr>
            <w:tcW w:w="1242" w:type="dxa"/>
            <w:vAlign w:val="bottom"/>
          </w:tcPr>
          <w:p w14:paraId="68DF5996" w14:textId="06C962DE" w:rsidR="002D66A2" w:rsidRPr="003F5FEE" w:rsidRDefault="00180DC8">
            <w:bookmarkStart w:id="0" w:name="_Hlk55297588"/>
            <w:bookmarkEnd w:id="0"/>
            <w:r w:rsidRPr="00491737">
              <w:rPr>
                <w:noProof/>
                <w:lang w:val="en-US" w:eastAsia="en-US"/>
              </w:rPr>
              <w:drawing>
                <wp:anchor distT="0" distB="0" distL="114300" distR="114300" simplePos="0" relativeHeight="251658240" behindDoc="1" locked="0" layoutInCell="1" allowOverlap="1" wp14:anchorId="76E29EDC" wp14:editId="6EF5514F">
                  <wp:simplePos x="0" y="0"/>
                  <wp:positionH relativeFrom="column">
                    <wp:posOffset>0</wp:posOffset>
                  </wp:positionH>
                  <wp:positionV relativeFrom="paragraph">
                    <wp:posOffset>156845</wp:posOffset>
                  </wp:positionV>
                  <wp:extent cx="668020" cy="564515"/>
                  <wp:effectExtent l="0" t="0" r="0" b="6985"/>
                  <wp:wrapNone/>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2" w:type="dxa"/>
            <w:vAlign w:val="bottom"/>
          </w:tcPr>
          <w:p w14:paraId="5B7CCAD3" w14:textId="77777777" w:rsidR="002D66A2" w:rsidRPr="00A86746" w:rsidRDefault="002D66A2">
            <w:pPr>
              <w:ind w:left="113"/>
              <w:rPr>
                <w:sz w:val="28"/>
                <w:szCs w:val="28"/>
              </w:rPr>
            </w:pPr>
            <w:r w:rsidRPr="00A86746">
              <w:rPr>
                <w:sz w:val="28"/>
                <w:szCs w:val="28"/>
              </w:rPr>
              <w:t>United Nations</w:t>
            </w:r>
          </w:p>
        </w:tc>
        <w:tc>
          <w:tcPr>
            <w:tcW w:w="5845" w:type="dxa"/>
            <w:gridSpan w:val="3"/>
            <w:vAlign w:val="bottom"/>
          </w:tcPr>
          <w:p w14:paraId="5D7DD9BE" w14:textId="21187193" w:rsidR="002D66A2" w:rsidRPr="003B5708" w:rsidRDefault="003B5708" w:rsidP="003B5708">
            <w:pPr>
              <w:jc w:val="right"/>
            </w:pPr>
            <w:r w:rsidRPr="003B5708">
              <w:rPr>
                <w:sz w:val="40"/>
              </w:rPr>
              <w:t>FCCC</w:t>
            </w:r>
            <w:r>
              <w:t>/PA/CMA/2023/</w:t>
            </w:r>
            <w:r w:rsidR="00DA6BD2">
              <w:t>16</w:t>
            </w:r>
            <w:r>
              <w:t>/Add.2</w:t>
            </w:r>
          </w:p>
        </w:tc>
      </w:tr>
      <w:tr w:rsidR="002D66A2" w14:paraId="2EB89AB1" w14:textId="77777777">
        <w:trPr>
          <w:cantSplit/>
          <w:trHeight w:hRule="exact" w:val="2552"/>
        </w:trPr>
        <w:tc>
          <w:tcPr>
            <w:tcW w:w="4511" w:type="dxa"/>
            <w:gridSpan w:val="3"/>
          </w:tcPr>
          <w:p w14:paraId="5335FCE5" w14:textId="77777777" w:rsidR="002D66A2" w:rsidRPr="003F5FEE" w:rsidRDefault="002D66A2">
            <w:r>
              <w:rPr>
                <w:noProof/>
                <w:color w:val="2B579A"/>
                <w:shd w:val="clear" w:color="auto" w:fill="E6E6E6"/>
                <w:lang w:val="en-US" w:eastAsia="en-US"/>
              </w:rPr>
              <w:drawing>
                <wp:anchor distT="0" distB="0" distL="114300" distR="114300" simplePos="0" relativeHeight="251658241" behindDoc="1" locked="0" layoutInCell="1" allowOverlap="1" wp14:anchorId="4FE1AF8E" wp14:editId="2877FE91">
                  <wp:simplePos x="0" y="0"/>
                  <wp:positionH relativeFrom="column">
                    <wp:posOffset>3241</wp:posOffset>
                  </wp:positionH>
                  <wp:positionV relativeFrom="paragraph">
                    <wp:posOffset>796</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3CE08" w14:textId="35A3DB2B" w:rsidR="002D66A2" w:rsidRDefault="002D66A2"/>
          <w:p w14:paraId="3373F7E0" w14:textId="77777777" w:rsidR="002D66A2" w:rsidRDefault="002D66A2"/>
          <w:p w14:paraId="02F92698" w14:textId="6F7A0D76" w:rsidR="002D66A2" w:rsidRPr="003F5FEE" w:rsidRDefault="002D66A2"/>
        </w:tc>
        <w:tc>
          <w:tcPr>
            <w:tcW w:w="2293" w:type="dxa"/>
          </w:tcPr>
          <w:p w14:paraId="2B4A3D02" w14:textId="77777777" w:rsidR="002D66A2" w:rsidRPr="003F5FEE" w:rsidRDefault="002D66A2"/>
        </w:tc>
        <w:tc>
          <w:tcPr>
            <w:tcW w:w="2835" w:type="dxa"/>
          </w:tcPr>
          <w:p w14:paraId="54CEB502" w14:textId="77777777" w:rsidR="007633FB" w:rsidRDefault="003B5708" w:rsidP="003B5708">
            <w:pPr>
              <w:spacing w:before="240" w:line="240" w:lineRule="exact"/>
              <w:ind w:left="143"/>
            </w:pPr>
            <w:r>
              <w:t>Distr.: General</w:t>
            </w:r>
          </w:p>
          <w:p w14:paraId="612B08EB" w14:textId="3CAE3D6E" w:rsidR="00DA6BD2" w:rsidRDefault="00DA6BD2" w:rsidP="00DA6BD2">
            <w:pPr>
              <w:spacing w:line="240" w:lineRule="exact"/>
              <w:ind w:left="143"/>
            </w:pPr>
            <w:r>
              <w:t>1</w:t>
            </w:r>
            <w:r w:rsidR="004F54BC">
              <w:t>5</w:t>
            </w:r>
            <w:r>
              <w:t xml:space="preserve"> March 2024</w:t>
            </w:r>
          </w:p>
          <w:p w14:paraId="25C53E29" w14:textId="77777777" w:rsidR="003B5708" w:rsidRDefault="003B5708" w:rsidP="003B5708">
            <w:pPr>
              <w:spacing w:line="240" w:lineRule="exact"/>
              <w:ind w:left="143"/>
            </w:pPr>
          </w:p>
          <w:p w14:paraId="5A133A83" w14:textId="1AEE802A" w:rsidR="003B5708" w:rsidRPr="00E0470D" w:rsidRDefault="003B5708" w:rsidP="003B5708">
            <w:pPr>
              <w:spacing w:line="240" w:lineRule="exact"/>
              <w:ind w:left="143"/>
            </w:pPr>
            <w:r>
              <w:t>Original: English</w:t>
            </w:r>
          </w:p>
        </w:tc>
      </w:tr>
    </w:tbl>
    <w:p w14:paraId="56B41FE3" w14:textId="77777777" w:rsidR="003E45B1" w:rsidRDefault="003E45B1" w:rsidP="003E45B1">
      <w:pPr>
        <w:spacing w:before="120"/>
        <w:rPr>
          <w:b/>
          <w:sz w:val="24"/>
          <w:szCs w:val="24"/>
        </w:rPr>
      </w:pPr>
      <w:r>
        <w:rPr>
          <w:b/>
          <w:sz w:val="24"/>
          <w:szCs w:val="24"/>
        </w:rPr>
        <w:t>Conference of the Parties</w:t>
      </w:r>
      <w:r w:rsidRPr="008B33C9">
        <w:rPr>
          <w:b/>
          <w:sz w:val="24"/>
          <w:szCs w:val="24"/>
        </w:rPr>
        <w:t xml:space="preserve"> </w:t>
      </w:r>
      <w:bookmarkStart w:id="1" w:name="_Hlk75869726"/>
      <w:r>
        <w:rPr>
          <w:b/>
          <w:sz w:val="24"/>
          <w:szCs w:val="24"/>
        </w:rPr>
        <w:t xml:space="preserve">serving as the meeting </w:t>
      </w:r>
      <w:r>
        <w:rPr>
          <w:b/>
          <w:sz w:val="24"/>
          <w:szCs w:val="24"/>
        </w:rPr>
        <w:br/>
        <w:t>of the Parties to the Paris Agreement</w:t>
      </w:r>
      <w:bookmarkEnd w:id="1"/>
    </w:p>
    <w:p w14:paraId="57383861" w14:textId="5AD31D54" w:rsidR="003E45B1" w:rsidRDefault="003E45B1" w:rsidP="00406A0D">
      <w:pPr>
        <w:pStyle w:val="RegHChG"/>
        <w:ind w:left="1135" w:hanging="454"/>
      </w:pPr>
      <w:bookmarkStart w:id="2" w:name="_Toc161241742"/>
      <w:bookmarkStart w:id="3" w:name="_Toc161241968"/>
      <w:r>
        <w:t>R</w:t>
      </w:r>
      <w:r w:rsidRPr="00DE51A7">
        <w:t xml:space="preserve">eport of the </w:t>
      </w:r>
      <w:r>
        <w:t xml:space="preserve">Conference of the Parties </w:t>
      </w:r>
      <w:r w:rsidRPr="008B33C9">
        <w:t>serving as the meeting of the Parties to the Paris Agreement</w:t>
      </w:r>
      <w:r>
        <w:t xml:space="preserve"> on its </w:t>
      </w:r>
      <w:r>
        <w:br/>
      </w:r>
      <w:r w:rsidR="00565662">
        <w:t>fifth</w:t>
      </w:r>
      <w:r>
        <w:t xml:space="preserve"> session, held in </w:t>
      </w:r>
      <w:r w:rsidR="003E26AC">
        <w:t>the United Arab Emirates</w:t>
      </w:r>
      <w:r>
        <w:t xml:space="preserve"> from </w:t>
      </w:r>
      <w:r w:rsidR="00B11D0C">
        <w:br/>
      </w:r>
      <w:r>
        <w:t>3</w:t>
      </w:r>
      <w:r w:rsidR="006921A3">
        <w:t>0</w:t>
      </w:r>
      <w:r>
        <w:t xml:space="preserve"> </w:t>
      </w:r>
      <w:r w:rsidR="006921A3">
        <w:t>November</w:t>
      </w:r>
      <w:r>
        <w:t xml:space="preserve"> to 1</w:t>
      </w:r>
      <w:r w:rsidR="0095560C">
        <w:t>3</w:t>
      </w:r>
      <w:r>
        <w:t xml:space="preserve"> </w:t>
      </w:r>
      <w:r w:rsidR="006921A3">
        <w:t>December</w:t>
      </w:r>
      <w:r>
        <w:t xml:space="preserve"> 202</w:t>
      </w:r>
      <w:r w:rsidR="006921A3">
        <w:t>3</w:t>
      </w:r>
      <w:bookmarkEnd w:id="2"/>
      <w:bookmarkEnd w:id="3"/>
    </w:p>
    <w:p w14:paraId="24E13DAF" w14:textId="15407B8B" w:rsidR="0095560C" w:rsidRDefault="0095560C" w:rsidP="00406A0D">
      <w:pPr>
        <w:pStyle w:val="RegH1G"/>
        <w:ind w:left="1135" w:hanging="454"/>
      </w:pPr>
      <w:bookmarkStart w:id="4" w:name="_Toc161241743"/>
      <w:bookmarkStart w:id="5" w:name="_Toc161241969"/>
      <w:r>
        <w:t>Addendum</w:t>
      </w:r>
      <w:bookmarkEnd w:id="4"/>
      <w:bookmarkEnd w:id="5"/>
    </w:p>
    <w:p w14:paraId="25B284F4" w14:textId="66F5C62F" w:rsidR="0095560C" w:rsidRDefault="00FA56AF" w:rsidP="00406A0D">
      <w:pPr>
        <w:pStyle w:val="RegH1G"/>
        <w:ind w:left="1135" w:hanging="454"/>
      </w:pPr>
      <w:bookmarkStart w:id="6" w:name="_Toc161241744"/>
      <w:bookmarkStart w:id="7" w:name="_Toc161241970"/>
      <w:r>
        <w:t xml:space="preserve">Part two: </w:t>
      </w:r>
      <w:r w:rsidR="00FE2C8F">
        <w:t>Action taken by the Conference of the Parties serving as the meeting of the Parties to the Paris Agreement at its fifth session</w:t>
      </w:r>
      <w:bookmarkEnd w:id="6"/>
      <w:bookmarkEnd w:id="7"/>
    </w:p>
    <w:p w14:paraId="642089AD" w14:textId="40AFEE4C" w:rsidR="00D47AB9" w:rsidRDefault="00D47AB9" w:rsidP="001236B5">
      <w:pPr>
        <w:spacing w:after="120"/>
        <w:rPr>
          <w:b/>
          <w:bCs/>
          <w:sz w:val="24"/>
          <w:szCs w:val="24"/>
        </w:rPr>
      </w:pPr>
      <w:r w:rsidRPr="001236B5">
        <w:rPr>
          <w:sz w:val="28"/>
        </w:rPr>
        <w:t>Contents</w:t>
      </w:r>
    </w:p>
    <w:p w14:paraId="16B7B072" w14:textId="4884B043" w:rsidR="00286688" w:rsidRPr="0065442D" w:rsidRDefault="0065442D" w:rsidP="00406A0D">
      <w:pPr>
        <w:pStyle w:val="RegHChG"/>
        <w:ind w:left="1135" w:hanging="454"/>
      </w:pPr>
      <w:bookmarkStart w:id="8" w:name="_Toc161241745"/>
      <w:bookmarkStart w:id="9" w:name="_Toc161241971"/>
      <w:r>
        <w:t>Decisions adopted by the Conference of the Parties serving as the meeting of the Parties to the Paris Agreement</w:t>
      </w:r>
      <w:bookmarkEnd w:id="8"/>
      <w:bookmarkEnd w:id="9"/>
    </w:p>
    <w:p w14:paraId="46A61E36" w14:textId="77777777" w:rsidR="00AB4116" w:rsidRPr="00491737" w:rsidRDefault="00AB4116" w:rsidP="00AB4116">
      <w:pPr>
        <w:tabs>
          <w:tab w:val="left" w:pos="1134"/>
          <w:tab w:val="right" w:pos="9638"/>
        </w:tabs>
        <w:spacing w:after="120"/>
        <w:ind w:left="283"/>
      </w:pPr>
      <w:r w:rsidRPr="00491737">
        <w:rPr>
          <w:i/>
          <w:sz w:val="18"/>
        </w:rPr>
        <w:tab/>
        <w:t>Decision</w:t>
      </w:r>
      <w:r w:rsidRPr="00491737">
        <w:rPr>
          <w:i/>
          <w:sz w:val="18"/>
        </w:rPr>
        <w:tab/>
        <w:t>Page</w:t>
      </w:r>
    </w:p>
    <w:p w14:paraId="7710138F" w14:textId="6D7CF9FD" w:rsidR="00835BC8" w:rsidRDefault="0001418C" w:rsidP="00B406E1">
      <w:pPr>
        <w:pStyle w:val="TOC1"/>
      </w:pPr>
      <w:r>
        <w:tab/>
      </w:r>
      <w:hyperlink w:anchor="decision6" w:history="1">
        <w:r w:rsidR="000F58F0" w:rsidRPr="00CC6EE9">
          <w:rPr>
            <w:rStyle w:val="Hyperlink"/>
          </w:rPr>
          <w:t>6/CMA.</w:t>
        </w:r>
        <w:r w:rsidR="00B74A5F" w:rsidRPr="00CC6EE9">
          <w:rPr>
            <w:rStyle w:val="Hyperlink"/>
          </w:rPr>
          <w:t>5</w:t>
        </w:r>
      </w:hyperlink>
      <w:r w:rsidR="00246FC6">
        <w:tab/>
      </w:r>
      <w:r w:rsidR="00246FC6">
        <w:tab/>
      </w:r>
      <w:r w:rsidR="00B74A5F" w:rsidRPr="005925F8">
        <w:t>Santiago</w:t>
      </w:r>
      <w:r w:rsidR="00581696" w:rsidRPr="008565C4">
        <w:t xml:space="preserve"> network for averting, minimizing and addressing loss and damage associated</w:t>
      </w:r>
      <w:r w:rsidR="003C1CE9">
        <w:br/>
      </w:r>
      <w:r w:rsidR="00581696" w:rsidRPr="008565C4">
        <w:t>with the adverse effects of climate change under the Warsaw International Mechanism</w:t>
      </w:r>
      <w:r w:rsidR="003C1CE9">
        <w:br/>
      </w:r>
      <w:r w:rsidR="00581696" w:rsidRPr="008565C4">
        <w:t>for Loss and Damage associated with Climate Change Impacts</w:t>
      </w:r>
      <w:r w:rsidR="00835BC8" w:rsidRPr="00835BC8">
        <w:tab/>
      </w:r>
      <w:r w:rsidR="00835BC8">
        <w:tab/>
      </w:r>
      <w:r w:rsidR="00804AA5" w:rsidRPr="005925F8">
        <w:t>2</w:t>
      </w:r>
    </w:p>
    <w:p w14:paraId="3E3D6038" w14:textId="7F2D7ADB" w:rsidR="00835BC8" w:rsidRDefault="008E291F" w:rsidP="00B406E1">
      <w:pPr>
        <w:pStyle w:val="TOC1"/>
      </w:pPr>
      <w:r>
        <w:tab/>
      </w:r>
      <w:r>
        <w:tab/>
      </w:r>
      <w:hyperlink w:anchor="decision7" w:history="1">
        <w:r w:rsidR="000F58F0" w:rsidRPr="00CC6EE9">
          <w:rPr>
            <w:rStyle w:val="Hyperlink"/>
          </w:rPr>
          <w:t>7/CMA.5</w:t>
        </w:r>
      </w:hyperlink>
      <w:r w:rsidR="00B74A5F" w:rsidRPr="005925F8">
        <w:tab/>
        <w:t>Report</w:t>
      </w:r>
      <w:r w:rsidR="00804AA5" w:rsidRPr="008565C4">
        <w:t xml:space="preserve"> of the Executive Committee of the Warsaw International Mechanism</w:t>
      </w:r>
      <w:r w:rsidR="003C1CE9">
        <w:br/>
      </w:r>
      <w:r w:rsidR="00804AA5" w:rsidRPr="008565C4">
        <w:t>for Loss and Damage associated with Climate Change Impacts</w:t>
      </w:r>
      <w:r w:rsidR="00835BC8" w:rsidRPr="00835BC8">
        <w:tab/>
      </w:r>
      <w:r>
        <w:tab/>
      </w:r>
      <w:r w:rsidR="000F58F0" w:rsidRPr="005925F8">
        <w:t>1</w:t>
      </w:r>
      <w:r w:rsidR="00804AA5" w:rsidRPr="005925F8">
        <w:t>4</w:t>
      </w:r>
    </w:p>
    <w:p w14:paraId="6202E88B" w14:textId="3FFCDFC0" w:rsidR="00835BC8" w:rsidRDefault="005F4B1B" w:rsidP="00B406E1">
      <w:pPr>
        <w:pStyle w:val="TOC1"/>
      </w:pPr>
      <w:hyperlink w:anchor="decision8" w:history="1">
        <w:r w:rsidR="000F58F0" w:rsidRPr="00CC6EE9">
          <w:rPr>
            <w:rStyle w:val="Hyperlink"/>
          </w:rPr>
          <w:t>8/CMA.5</w:t>
        </w:r>
      </w:hyperlink>
      <w:r w:rsidR="00246FC6">
        <w:tab/>
      </w:r>
      <w:r w:rsidR="00686DCB" w:rsidRPr="008565C4">
        <w:t>New collective quantified goal on climate finance</w:t>
      </w:r>
      <w:r w:rsidR="001A4D87" w:rsidRPr="005925F8">
        <w:tab/>
      </w:r>
      <w:r w:rsidR="001A4D87" w:rsidRPr="005925F8">
        <w:tab/>
      </w:r>
      <w:r w:rsidR="000F58F0" w:rsidRPr="005925F8">
        <w:t>1</w:t>
      </w:r>
      <w:r w:rsidR="00033206">
        <w:t>6</w:t>
      </w:r>
    </w:p>
    <w:p w14:paraId="4373DE3D" w14:textId="372F26FC" w:rsidR="00835BC8" w:rsidRDefault="005F4B1B" w:rsidP="00B406E1">
      <w:pPr>
        <w:pStyle w:val="TOC1"/>
      </w:pPr>
      <w:hyperlink w:anchor="decision9" w:history="1">
        <w:r w:rsidR="000F58F0" w:rsidRPr="00CC6EE9">
          <w:rPr>
            <w:rStyle w:val="Hyperlink"/>
          </w:rPr>
          <w:t>9/CMA.5</w:t>
        </w:r>
      </w:hyperlink>
      <w:r w:rsidR="000F58F0" w:rsidRPr="005925F8">
        <w:tab/>
      </w:r>
      <w:r w:rsidR="000A3569" w:rsidRPr="008565C4">
        <w:t>Matters relating to the Standing Committee on Finance</w:t>
      </w:r>
      <w:r w:rsidR="001A4D87" w:rsidRPr="005925F8">
        <w:tab/>
      </w:r>
      <w:r w:rsidR="001A4D87" w:rsidRPr="005925F8">
        <w:tab/>
      </w:r>
      <w:r w:rsidR="00033206">
        <w:t>19</w:t>
      </w:r>
    </w:p>
    <w:p w14:paraId="025A8341" w14:textId="26F75655" w:rsidR="00835BC8" w:rsidRDefault="005F4B1B" w:rsidP="00B406E1">
      <w:pPr>
        <w:pStyle w:val="TOC1"/>
      </w:pPr>
      <w:hyperlink w:anchor="decision10" w:history="1">
        <w:r w:rsidR="000F58F0" w:rsidRPr="00CC6EE9">
          <w:rPr>
            <w:rStyle w:val="Hyperlink"/>
          </w:rPr>
          <w:t>10/CMA.5</w:t>
        </w:r>
      </w:hyperlink>
      <w:r w:rsidR="00246FC6">
        <w:tab/>
      </w:r>
      <w:r w:rsidR="00002472" w:rsidRPr="008565C4">
        <w:t>Guidance to the Green Climate Fund</w:t>
      </w:r>
      <w:r w:rsidR="000F58F0" w:rsidRPr="005925F8">
        <w:tab/>
      </w:r>
      <w:r w:rsidR="001A4D87" w:rsidRPr="005925F8">
        <w:tab/>
      </w:r>
      <w:r w:rsidR="000F58F0" w:rsidRPr="005925F8">
        <w:t>2</w:t>
      </w:r>
      <w:r w:rsidR="00002472" w:rsidRPr="005925F8">
        <w:t>1</w:t>
      </w:r>
    </w:p>
    <w:p w14:paraId="1C0215FD" w14:textId="79B7CAF9" w:rsidR="00835BC8" w:rsidRDefault="005F4B1B" w:rsidP="00B406E1">
      <w:pPr>
        <w:pStyle w:val="TOC1"/>
      </w:pPr>
      <w:hyperlink w:anchor="decision11" w:history="1">
        <w:r w:rsidR="000F58F0" w:rsidRPr="00CC6EE9">
          <w:rPr>
            <w:rStyle w:val="Hyperlink"/>
          </w:rPr>
          <w:t>11/CMA.5</w:t>
        </w:r>
      </w:hyperlink>
      <w:r w:rsidR="00246FC6">
        <w:tab/>
      </w:r>
      <w:r w:rsidR="00002472" w:rsidRPr="008565C4">
        <w:t>Guidance to the Global Environment Facility</w:t>
      </w:r>
      <w:r w:rsidR="000F58F0" w:rsidRPr="005925F8">
        <w:tab/>
      </w:r>
      <w:r w:rsidR="001A4D87" w:rsidRPr="005925F8">
        <w:tab/>
      </w:r>
      <w:r w:rsidR="000F58F0" w:rsidRPr="005925F8">
        <w:t>2</w:t>
      </w:r>
      <w:r w:rsidR="00B959F0" w:rsidRPr="005925F8">
        <w:t>2</w:t>
      </w:r>
    </w:p>
    <w:p w14:paraId="5DAEC166" w14:textId="39FBD89F" w:rsidR="00835BC8" w:rsidRDefault="005F4B1B" w:rsidP="00B406E1">
      <w:pPr>
        <w:pStyle w:val="TOC1"/>
      </w:pPr>
      <w:hyperlink w:anchor="decision12" w:history="1">
        <w:r w:rsidR="000F58F0" w:rsidRPr="00033206">
          <w:rPr>
            <w:rStyle w:val="Hyperlink"/>
          </w:rPr>
          <w:t>12/CMA.5</w:t>
        </w:r>
      </w:hyperlink>
      <w:r w:rsidR="00963287" w:rsidRPr="008565C4">
        <w:t xml:space="preserve"> </w:t>
      </w:r>
      <w:r w:rsidR="00246FC6">
        <w:tab/>
      </w:r>
      <w:r w:rsidR="00963287" w:rsidRPr="008565C4">
        <w:t>Matters relating to the Adaptation Fund</w:t>
      </w:r>
      <w:r w:rsidR="000F58F0" w:rsidRPr="005925F8">
        <w:tab/>
      </w:r>
      <w:r w:rsidR="001A4D87" w:rsidRPr="005925F8">
        <w:tab/>
      </w:r>
      <w:r w:rsidR="000F58F0" w:rsidRPr="005925F8">
        <w:t>2</w:t>
      </w:r>
      <w:r w:rsidR="00963287" w:rsidRPr="005925F8">
        <w:t>4</w:t>
      </w:r>
    </w:p>
    <w:p w14:paraId="013BEA4F" w14:textId="18A0ECF2" w:rsidR="00835BC8" w:rsidRDefault="005F4B1B" w:rsidP="00B406E1">
      <w:pPr>
        <w:pStyle w:val="TOC1"/>
      </w:pPr>
      <w:hyperlink w:anchor="decision13" w:history="1">
        <w:r w:rsidR="000F58F0" w:rsidRPr="00033206">
          <w:rPr>
            <w:rStyle w:val="Hyperlink"/>
          </w:rPr>
          <w:t>13/CMA.5</w:t>
        </w:r>
      </w:hyperlink>
      <w:r w:rsidR="00963287" w:rsidRPr="008565C4">
        <w:t xml:space="preserve"> </w:t>
      </w:r>
      <w:r w:rsidR="00246FC6">
        <w:tab/>
      </w:r>
      <w:r w:rsidR="00963287" w:rsidRPr="008565C4">
        <w:t>Compilation and synthesis of, and summary report on the in</w:t>
      </w:r>
      <w:r w:rsidR="00963287" w:rsidRPr="005925F8">
        <w:noBreakHyphen/>
      </w:r>
      <w:r w:rsidR="00963287" w:rsidRPr="008565C4">
        <w:t>session workshop</w:t>
      </w:r>
      <w:r w:rsidR="008E291F">
        <w:br/>
      </w:r>
      <w:r w:rsidR="00963287" w:rsidRPr="008565C4">
        <w:t>on, biennial communications of information related to Article 9, paragraph 5,</w:t>
      </w:r>
      <w:r w:rsidR="008E291F">
        <w:br/>
      </w:r>
      <w:r w:rsidR="00963287" w:rsidRPr="008565C4">
        <w:t>of the Paris Agreement</w:t>
      </w:r>
      <w:r w:rsidR="001A4D87" w:rsidRPr="005925F8">
        <w:tab/>
      </w:r>
      <w:r w:rsidR="008E291F">
        <w:tab/>
      </w:r>
      <w:r w:rsidR="000F58F0" w:rsidRPr="005925F8">
        <w:t>2</w:t>
      </w:r>
      <w:r w:rsidR="00963287" w:rsidRPr="005925F8">
        <w:t>7</w:t>
      </w:r>
    </w:p>
    <w:p w14:paraId="7727AF47" w14:textId="688C49BF" w:rsidR="00835BC8" w:rsidRDefault="005F4B1B" w:rsidP="00B406E1">
      <w:pPr>
        <w:pStyle w:val="TOC1"/>
      </w:pPr>
      <w:hyperlink w:anchor="decision14" w:history="1">
        <w:r w:rsidR="000F58F0" w:rsidRPr="00033206">
          <w:rPr>
            <w:rStyle w:val="Hyperlink"/>
          </w:rPr>
          <w:t>14/CMA.5</w:t>
        </w:r>
      </w:hyperlink>
      <w:r w:rsidR="00963287" w:rsidRPr="008565C4">
        <w:t xml:space="preserve"> </w:t>
      </w:r>
      <w:r w:rsidR="00246FC6">
        <w:tab/>
      </w:r>
      <w:r w:rsidR="00963287" w:rsidRPr="008565C4">
        <w:t>Enhancing climate technology development and transfer to support implementation</w:t>
      </w:r>
      <w:r w:rsidR="008E291F">
        <w:br/>
      </w:r>
      <w:r w:rsidR="00963287" w:rsidRPr="008565C4">
        <w:t>of the Paris</w:t>
      </w:r>
      <w:r w:rsidR="00EC51CC">
        <w:t xml:space="preserve"> </w:t>
      </w:r>
      <w:r w:rsidR="00963287" w:rsidRPr="008565C4">
        <w:t>Agreement</w:t>
      </w:r>
      <w:r w:rsidR="00732D48" w:rsidRPr="008565C4">
        <w:t xml:space="preserve"> </w:t>
      </w:r>
      <w:r w:rsidR="000F309B" w:rsidRPr="000F309B">
        <w:tab/>
      </w:r>
      <w:r w:rsidR="000F309B">
        <w:tab/>
      </w:r>
      <w:r w:rsidR="000F58F0" w:rsidRPr="005925F8">
        <w:t>3</w:t>
      </w:r>
      <w:r w:rsidR="00E12CF2" w:rsidRPr="005925F8">
        <w:t>0</w:t>
      </w:r>
    </w:p>
    <w:p w14:paraId="26EF8C45" w14:textId="64C4B498" w:rsidR="00835BC8" w:rsidRDefault="005F4B1B" w:rsidP="00B406E1">
      <w:pPr>
        <w:pStyle w:val="TOC1"/>
      </w:pPr>
      <w:hyperlink w:anchor="decision15" w:history="1">
        <w:r w:rsidR="000F58F0" w:rsidRPr="00033206">
          <w:rPr>
            <w:rStyle w:val="Hyperlink"/>
          </w:rPr>
          <w:t>15/CMA.5</w:t>
        </w:r>
      </w:hyperlink>
      <w:r w:rsidR="00246FC6">
        <w:tab/>
      </w:r>
      <w:r w:rsidR="0029500F" w:rsidRPr="005925F8">
        <w:t xml:space="preserve">Annual technical </w:t>
      </w:r>
      <w:r w:rsidR="0029500F" w:rsidRPr="008565C4">
        <w:t>progress report of the Paris Committee</w:t>
      </w:r>
      <w:r w:rsidR="008E291F">
        <w:br/>
      </w:r>
      <w:r w:rsidR="0029500F" w:rsidRPr="008565C4">
        <w:t>on Capacity-building for 2023</w:t>
      </w:r>
      <w:r w:rsidR="000F58F0" w:rsidRPr="008565C4">
        <w:tab/>
      </w:r>
      <w:r w:rsidR="008E291F">
        <w:tab/>
      </w:r>
      <w:r w:rsidR="000F58F0" w:rsidRPr="008565C4">
        <w:t>3</w:t>
      </w:r>
      <w:r w:rsidR="00226BD4" w:rsidRPr="008565C4">
        <w:t>3</w:t>
      </w:r>
    </w:p>
    <w:p w14:paraId="77655093" w14:textId="7D9A19D8" w:rsidR="003E45B1" w:rsidRDefault="005F4B1B" w:rsidP="00B406E1">
      <w:pPr>
        <w:pStyle w:val="TOC1"/>
      </w:pPr>
      <w:hyperlink w:anchor="decision16" w:history="1">
        <w:r w:rsidR="000F58F0" w:rsidRPr="00033206">
          <w:rPr>
            <w:rStyle w:val="Hyperlink"/>
          </w:rPr>
          <w:t>16/CMA.5</w:t>
        </w:r>
      </w:hyperlink>
      <w:r w:rsidR="00226BD4" w:rsidRPr="008565C4">
        <w:t xml:space="preserve"> </w:t>
      </w:r>
      <w:r w:rsidR="00246FC6">
        <w:tab/>
      </w:r>
      <w:r w:rsidR="00226BD4" w:rsidRPr="005925F8">
        <w:t>Terms of reference for the second review of the Paris Committee</w:t>
      </w:r>
      <w:r w:rsidR="008E291F">
        <w:br/>
      </w:r>
      <w:r w:rsidR="00226BD4" w:rsidRPr="005925F8">
        <w:t>on Capacity-building</w:t>
      </w:r>
      <w:r w:rsidR="000F58F0" w:rsidRPr="008565C4">
        <w:tab/>
      </w:r>
      <w:r w:rsidR="008E291F">
        <w:tab/>
      </w:r>
      <w:r w:rsidR="000F58F0" w:rsidRPr="008565C4">
        <w:t>3</w:t>
      </w:r>
      <w:r w:rsidR="00571C7F" w:rsidRPr="008565C4">
        <w:t>4</w:t>
      </w:r>
    </w:p>
    <w:p w14:paraId="6764FE34" w14:textId="33C558B1" w:rsidR="00F07DC9" w:rsidRDefault="00406A0D" w:rsidP="00406A0D">
      <w:pPr>
        <w:pStyle w:val="RegSingleTxtG"/>
        <w:ind w:left="1494" w:hanging="360"/>
        <w:sectPr w:rsidR="00F07DC9" w:rsidSect="00DA6BD2">
          <w:headerReference w:type="even" r:id="rId13"/>
          <w:headerReference w:type="default" r:id="rId14"/>
          <w:footerReference w:type="even" r:id="rId15"/>
          <w:footerReference w:type="default" r:id="rId16"/>
          <w:pgSz w:w="11906" w:h="16838" w:code="9"/>
          <w:pgMar w:top="1417" w:right="1134" w:bottom="1134" w:left="1134" w:header="850" w:footer="567" w:gutter="0"/>
          <w:cols w:space="708"/>
          <w:titlePg/>
          <w:docGrid w:linePitch="360"/>
        </w:sectPr>
      </w:pPr>
      <w:r>
        <w:t>1.</w:t>
      </w:r>
      <w:r>
        <w:tab/>
      </w:r>
    </w:p>
    <w:p w14:paraId="64ACC9DA" w14:textId="747ED9E7" w:rsidR="00DC6FDF" w:rsidRDefault="00DC6FDF" w:rsidP="00406A0D">
      <w:pPr>
        <w:pStyle w:val="RegHChG"/>
        <w:ind w:left="1135" w:hanging="454"/>
      </w:pPr>
      <w:bookmarkStart w:id="10" w:name="decision6"/>
      <w:bookmarkStart w:id="11" w:name="_Toc161241746"/>
      <w:bookmarkStart w:id="12" w:name="_Toc161241972"/>
      <w:bookmarkEnd w:id="10"/>
      <w:r w:rsidRPr="00F64ED7">
        <w:lastRenderedPageBreak/>
        <w:t xml:space="preserve">Decision </w:t>
      </w:r>
      <w:r w:rsidR="002F6635">
        <w:t>6</w:t>
      </w:r>
      <w:r w:rsidRPr="00F64ED7">
        <w:t>/CMA.5</w:t>
      </w:r>
      <w:bookmarkEnd w:id="11"/>
      <w:bookmarkEnd w:id="12"/>
    </w:p>
    <w:p w14:paraId="53C8AA7A" w14:textId="0A80CCB5" w:rsidR="00DC6FDF" w:rsidRPr="009B600A" w:rsidRDefault="00D41327" w:rsidP="00406A0D">
      <w:pPr>
        <w:pStyle w:val="RegHChG"/>
        <w:ind w:left="1135" w:hanging="454"/>
      </w:pPr>
      <w:bookmarkStart w:id="13" w:name="_Hlk161242814"/>
      <w:r w:rsidRPr="00D41327">
        <w:t xml:space="preserve">Santiago network </w:t>
      </w:r>
      <w:r w:rsidR="00D00110">
        <w:t xml:space="preserve">for averting, </w:t>
      </w:r>
      <w:proofErr w:type="gramStart"/>
      <w:r w:rsidR="00D00110">
        <w:t>minimizing</w:t>
      </w:r>
      <w:proofErr w:type="gramEnd"/>
      <w:r w:rsidR="00D00110">
        <w:t xml:space="preserve"> and addressing loss and damage</w:t>
      </w:r>
      <w:r w:rsidRPr="00D41327">
        <w:t xml:space="preserve"> </w:t>
      </w:r>
      <w:r w:rsidR="00374D3B">
        <w:t>associated with the adverse effects of climate change</w:t>
      </w:r>
      <w:r w:rsidRPr="00D41327">
        <w:t xml:space="preserve"> under the Warsaw International Mechanism for Loss and Damage associated with Climate Change Impacts</w:t>
      </w:r>
      <w:bookmarkEnd w:id="13"/>
    </w:p>
    <w:p w14:paraId="5440F4F1" w14:textId="52EB43C4" w:rsidR="00DC6FDF" w:rsidRPr="00E568D2" w:rsidRDefault="00F63DBF" w:rsidP="00122DC3">
      <w:pPr>
        <w:pStyle w:val="SingleTxtG"/>
        <w:rPr>
          <w:iCs/>
        </w:rPr>
      </w:pPr>
      <w:r>
        <w:rPr>
          <w:i/>
          <w:iCs/>
        </w:rPr>
        <w:tab/>
      </w:r>
      <w:r>
        <w:rPr>
          <w:i/>
          <w:iCs/>
        </w:rPr>
        <w:tab/>
      </w:r>
      <w:r w:rsidR="00DC6FDF" w:rsidRPr="16D5E8AB">
        <w:rPr>
          <w:i/>
          <w:iCs/>
        </w:rPr>
        <w:t>The Conference of the Parties serving as the meeting of the Parties to the Paris Agreement</w:t>
      </w:r>
      <w:r w:rsidR="00DC6FDF" w:rsidRPr="00E568D2">
        <w:rPr>
          <w:iCs/>
        </w:rPr>
        <w:t>,</w:t>
      </w:r>
      <w:bookmarkStart w:id="14" w:name="_Ref158308630"/>
      <w:r w:rsidR="00DC6FDF" w:rsidRPr="080EA826">
        <w:rPr>
          <w:rStyle w:val="FootnoteReference"/>
        </w:rPr>
        <w:footnoteReference w:id="2"/>
      </w:r>
      <w:bookmarkEnd w:id="14"/>
    </w:p>
    <w:p w14:paraId="5B01AD99" w14:textId="75EEC293" w:rsidR="00DC6FDF" w:rsidRDefault="00F63DBF" w:rsidP="00F63DBF">
      <w:pPr>
        <w:pStyle w:val="SingleTxtG"/>
      </w:pPr>
      <w:r>
        <w:rPr>
          <w:i/>
          <w:iCs/>
        </w:rPr>
        <w:tab/>
      </w:r>
      <w:r>
        <w:rPr>
          <w:i/>
          <w:iCs/>
        </w:rPr>
        <w:tab/>
      </w:r>
      <w:r w:rsidR="00DC6FDF">
        <w:rPr>
          <w:i/>
          <w:iCs/>
        </w:rPr>
        <w:t>Recalling</w:t>
      </w:r>
      <w:r w:rsidR="00DC6FDF">
        <w:t xml:space="preserve"> the Paris Agreement and relevant decisions of the Conference of the Parties and the Conference of the Parties serving as the meeting of the Parties to the Paris Agreement, in particular decisions 3/CP.18, 2/CP.19, 2/CP.20, 1/CP.21, 2/CP.21, 3/CP.22, 4/CP.22, 5/CP.23, 10/CP.24, 2/CP.25, 1/CP.26, 17/CP.26, 1/CP.27, 11/CP.27, 2/CMA.2, 1/CMA.3, 19/CMA.3, 1/CMA.4 and 12/CMA.4,</w:t>
      </w:r>
    </w:p>
    <w:p w14:paraId="6A6D9D92" w14:textId="0D21890B" w:rsidR="00DC6FDF" w:rsidRPr="001E140A" w:rsidRDefault="00F63DBF" w:rsidP="00F63DBF">
      <w:pPr>
        <w:pStyle w:val="SingleTxtG"/>
      </w:pPr>
      <w:r>
        <w:rPr>
          <w:i/>
          <w:iCs/>
        </w:rPr>
        <w:tab/>
      </w:r>
      <w:r>
        <w:rPr>
          <w:i/>
          <w:iCs/>
        </w:rPr>
        <w:tab/>
      </w:r>
      <w:r w:rsidR="00DC6FDF">
        <w:rPr>
          <w:i/>
          <w:iCs/>
        </w:rPr>
        <w:t>Also r</w:t>
      </w:r>
      <w:r w:rsidR="00DC6FDF" w:rsidRPr="00307F9B">
        <w:rPr>
          <w:i/>
          <w:iCs/>
        </w:rPr>
        <w:t>ecalling</w:t>
      </w:r>
      <w:r w:rsidR="00DC6FDF">
        <w:t xml:space="preserve"> Article 8 </w:t>
      </w:r>
      <w:r w:rsidR="00DC6FDF" w:rsidRPr="001E140A">
        <w:t>of the Paris Agreement,</w:t>
      </w:r>
    </w:p>
    <w:p w14:paraId="0A42E5D3" w14:textId="2C1EC702" w:rsidR="00DC6FDF" w:rsidRPr="00E533F5" w:rsidRDefault="00406A0D" w:rsidP="00406A0D">
      <w:pPr>
        <w:pStyle w:val="RegSingleTxtG"/>
        <w:ind w:left="1134"/>
      </w:pPr>
      <w:r w:rsidRPr="00E533F5">
        <w:t>1.</w:t>
      </w:r>
      <w:r w:rsidRPr="00E533F5">
        <w:tab/>
      </w:r>
      <w:r w:rsidR="00DC6FDF" w:rsidRPr="16D5E8AB">
        <w:rPr>
          <w:i/>
          <w:iCs/>
        </w:rPr>
        <w:t>Recalls</w:t>
      </w:r>
      <w:r w:rsidR="00DC6FDF" w:rsidRPr="16D5E8AB">
        <w:rPr>
          <w:b/>
          <w:bCs/>
          <w:i/>
          <w:iCs/>
        </w:rPr>
        <w:t xml:space="preserve"> </w:t>
      </w:r>
      <w:r w:rsidR="00DC6FDF" w:rsidRPr="16D5E8AB">
        <w:t>that the Santiago network for averting, minimizing and addressing loss and damage associated with the adverse effects of climate change</w:t>
      </w:r>
      <w:r w:rsidR="00DC6FDF">
        <w:rPr>
          <w:bCs/>
        </w:rPr>
        <w:t xml:space="preserve"> </w:t>
      </w:r>
      <w:r w:rsidR="00DC6FDF" w:rsidRPr="16D5E8AB">
        <w:t xml:space="preserve">was established to catalyse the technical assistance of relevant organizations, bodies, networks and experts for the implementation of relevant approaches </w:t>
      </w:r>
      <w:r w:rsidR="00C401D4">
        <w:t>to</w:t>
      </w:r>
      <w:r w:rsidR="00DC6FDF" w:rsidRPr="16D5E8AB">
        <w:t xml:space="preserve"> averting, minimizing and addressing loss and damage associated with the adverse effects of climate change at the local, national and regional level in developing countries that are particularly vulnerable to the adverse effects of climate change;</w:t>
      </w:r>
      <w:r w:rsidR="00DC6FDF">
        <w:rPr>
          <w:rStyle w:val="FootnoteReference"/>
        </w:rPr>
        <w:footnoteReference w:id="3"/>
      </w:r>
    </w:p>
    <w:p w14:paraId="437785D3" w14:textId="6EFE480B" w:rsidR="00DC6FDF" w:rsidRPr="00307F9B" w:rsidRDefault="00406A0D" w:rsidP="00406A0D">
      <w:pPr>
        <w:pStyle w:val="RegSingleTxtG"/>
        <w:ind w:left="1134"/>
        <w:rPr>
          <w:rFonts w:eastAsia="Times New Roman"/>
          <w:color w:val="000000" w:themeColor="text1"/>
        </w:rPr>
      </w:pPr>
      <w:r w:rsidRPr="00307F9B">
        <w:rPr>
          <w:rFonts w:eastAsia="Times New Roman"/>
          <w:color w:val="000000" w:themeColor="text1"/>
        </w:rPr>
        <w:t>2.</w:t>
      </w:r>
      <w:r w:rsidRPr="00307F9B">
        <w:rPr>
          <w:rFonts w:eastAsia="Times New Roman"/>
          <w:color w:val="000000" w:themeColor="text1"/>
        </w:rPr>
        <w:tab/>
      </w:r>
      <w:r w:rsidR="00DC6FDF" w:rsidRPr="16D5E8AB">
        <w:rPr>
          <w:i/>
          <w:iCs/>
        </w:rPr>
        <w:t>Also recalls</w:t>
      </w:r>
      <w:r w:rsidR="00DC6FDF" w:rsidRPr="16D5E8AB">
        <w:rPr>
          <w:rFonts w:eastAsia="Times New Roman"/>
          <w:i/>
          <w:iCs/>
          <w:color w:val="000000" w:themeColor="text1"/>
        </w:rPr>
        <w:t xml:space="preserve"> </w:t>
      </w:r>
      <w:r w:rsidR="00DC6FDF" w:rsidRPr="00E533F5">
        <w:rPr>
          <w:rFonts w:eastAsia="Times New Roman"/>
          <w:color w:val="000000" w:themeColor="text1"/>
        </w:rPr>
        <w:t xml:space="preserve">the </w:t>
      </w:r>
      <w:r w:rsidR="00DC6FDF" w:rsidRPr="00E33C10">
        <w:t>request</w:t>
      </w:r>
      <w:r w:rsidR="00DC6FDF" w:rsidRPr="00E533F5">
        <w:rPr>
          <w:rFonts w:eastAsia="Times New Roman"/>
          <w:color w:val="000000" w:themeColor="text1"/>
        </w:rPr>
        <w:t xml:space="preserve"> for the </w:t>
      </w:r>
      <w:r w:rsidR="00DC6FDF">
        <w:rPr>
          <w:rFonts w:eastAsia="Times New Roman"/>
          <w:color w:val="000000" w:themeColor="text1"/>
        </w:rPr>
        <w:t xml:space="preserve">UNFCCC </w:t>
      </w:r>
      <w:r w:rsidR="00DC6FDF" w:rsidRPr="00E533F5">
        <w:rPr>
          <w:rFonts w:eastAsia="Times New Roman"/>
          <w:color w:val="000000" w:themeColor="text1"/>
        </w:rPr>
        <w:t xml:space="preserve">secretariat, under the guidance of the Chairs of the subsidiary bodies, to develop a draft host agreement (memorandum of understanding) with </w:t>
      </w:r>
      <w:r w:rsidR="00DC6FDF" w:rsidRPr="00232C28">
        <w:rPr>
          <w:rFonts w:eastAsia="Times New Roman"/>
          <w:color w:val="000000" w:themeColor="text1"/>
        </w:rPr>
        <w:t xml:space="preserve">the host of the Santiago network </w:t>
      </w:r>
      <w:r w:rsidR="00DC6FDF">
        <w:rPr>
          <w:rFonts w:eastAsia="Times New Roman"/>
          <w:color w:val="000000" w:themeColor="text1"/>
        </w:rPr>
        <w:t xml:space="preserve">secretariat </w:t>
      </w:r>
      <w:r w:rsidR="00DC6FDF" w:rsidRPr="00232C28">
        <w:rPr>
          <w:rFonts w:eastAsia="Times New Roman"/>
          <w:color w:val="000000" w:themeColor="text1"/>
        </w:rPr>
        <w:t>recommended by the</w:t>
      </w:r>
      <w:r w:rsidR="00DC6FDF" w:rsidRPr="00E533F5">
        <w:rPr>
          <w:rFonts w:eastAsia="Times New Roman"/>
          <w:color w:val="000000" w:themeColor="text1"/>
        </w:rPr>
        <w:t xml:space="preserve"> subsidiary bodies at their fifty-eighth sessions with a view to </w:t>
      </w:r>
      <w:r w:rsidR="00DC6FDF">
        <w:rPr>
          <w:rFonts w:eastAsia="Times New Roman"/>
          <w:color w:val="000000" w:themeColor="text1"/>
        </w:rPr>
        <w:t xml:space="preserve">it being </w:t>
      </w:r>
      <w:r w:rsidR="00DC6FDF" w:rsidRPr="00307F9B">
        <w:rPr>
          <w:rFonts w:eastAsia="Times New Roman"/>
          <w:color w:val="000000" w:themeColor="text1"/>
        </w:rPr>
        <w:t>recommend</w:t>
      </w:r>
      <w:r w:rsidR="00DC6FDF">
        <w:rPr>
          <w:rFonts w:eastAsia="Times New Roman"/>
          <w:color w:val="000000" w:themeColor="text1"/>
        </w:rPr>
        <w:t>ed</w:t>
      </w:r>
      <w:r w:rsidR="00DC6FDF" w:rsidRPr="00E533F5">
        <w:rPr>
          <w:rFonts w:eastAsia="Times New Roman"/>
          <w:color w:val="000000" w:themeColor="text1"/>
        </w:rPr>
        <w:t xml:space="preserve"> for consideration and adoption </w:t>
      </w:r>
      <w:r w:rsidR="00DC6FDF">
        <w:rPr>
          <w:rFonts w:eastAsia="Times New Roman"/>
          <w:color w:val="000000" w:themeColor="text1"/>
        </w:rPr>
        <w:t>by</w:t>
      </w:r>
      <w:r w:rsidR="00DC6FDF" w:rsidRPr="00E533F5">
        <w:rPr>
          <w:rFonts w:eastAsia="Times New Roman"/>
          <w:color w:val="000000" w:themeColor="text1"/>
        </w:rPr>
        <w:t xml:space="preserve"> the governing body or bodies</w:t>
      </w:r>
      <w:r w:rsidR="00DC6FDF">
        <w:rPr>
          <w:rStyle w:val="FootnoteReference"/>
          <w:rFonts w:eastAsia="Times New Roman"/>
          <w:color w:val="000000" w:themeColor="text1"/>
        </w:rPr>
        <w:footnoteReference w:id="4"/>
      </w:r>
      <w:r w:rsidR="00DC6FDF" w:rsidRPr="00E533F5">
        <w:rPr>
          <w:rFonts w:eastAsia="Times New Roman"/>
          <w:color w:val="000000" w:themeColor="text1"/>
        </w:rPr>
        <w:t xml:space="preserve"> </w:t>
      </w:r>
      <w:r w:rsidR="00DC6FDF">
        <w:rPr>
          <w:rFonts w:eastAsia="Times New Roman"/>
          <w:color w:val="000000" w:themeColor="text1"/>
        </w:rPr>
        <w:t xml:space="preserve">at the session(s) </w:t>
      </w:r>
      <w:r w:rsidR="00DC6FDF" w:rsidRPr="00E533F5">
        <w:rPr>
          <w:rFonts w:eastAsia="Times New Roman"/>
          <w:color w:val="000000" w:themeColor="text1"/>
        </w:rPr>
        <w:t>to be held in November–December 2023;</w:t>
      </w:r>
      <w:r w:rsidR="00DC6FDF">
        <w:rPr>
          <w:rStyle w:val="FootnoteReference"/>
          <w:rFonts w:eastAsia="Times New Roman"/>
          <w:color w:val="000000" w:themeColor="text1"/>
        </w:rPr>
        <w:footnoteReference w:id="5"/>
      </w:r>
    </w:p>
    <w:p w14:paraId="5B55D601" w14:textId="73BE84EC" w:rsidR="00DC6FDF" w:rsidRPr="00EA385A" w:rsidRDefault="00406A0D" w:rsidP="00406A0D">
      <w:pPr>
        <w:pStyle w:val="RegSingleTxtG"/>
        <w:ind w:left="1134"/>
        <w:rPr>
          <w:rFonts w:eastAsia="Times New Roman"/>
          <w:color w:val="000000" w:themeColor="text1"/>
        </w:rPr>
      </w:pPr>
      <w:r w:rsidRPr="00EA385A">
        <w:rPr>
          <w:rFonts w:eastAsia="Times New Roman"/>
          <w:color w:val="000000" w:themeColor="text1"/>
        </w:rPr>
        <w:t>3.</w:t>
      </w:r>
      <w:r w:rsidRPr="00EA385A">
        <w:rPr>
          <w:rFonts w:eastAsia="Times New Roman"/>
          <w:color w:val="000000" w:themeColor="text1"/>
        </w:rPr>
        <w:tab/>
      </w:r>
      <w:r w:rsidR="00DC6FDF" w:rsidRPr="00F805E2">
        <w:rPr>
          <w:i/>
          <w:iCs/>
        </w:rPr>
        <w:t>Expresses</w:t>
      </w:r>
      <w:r w:rsidR="00DC6FDF">
        <w:rPr>
          <w:i/>
          <w:iCs/>
        </w:rPr>
        <w:t xml:space="preserve"> </w:t>
      </w:r>
      <w:r w:rsidR="00DC6FDF" w:rsidRPr="006B4AAB">
        <w:rPr>
          <w:i/>
          <w:iCs/>
        </w:rPr>
        <w:t>appreciation</w:t>
      </w:r>
      <w:r w:rsidR="00DC6FDF" w:rsidRPr="009E1198">
        <w:t xml:space="preserve"> to Canada, Japan</w:t>
      </w:r>
      <w:r w:rsidR="00DC6FDF">
        <w:t xml:space="preserve">, </w:t>
      </w:r>
      <w:r w:rsidR="00DC6FDF" w:rsidRPr="009E1198">
        <w:t>Spain</w:t>
      </w:r>
      <w:r w:rsidR="00DC6FDF">
        <w:t>, Switzerland and the United States of America</w:t>
      </w:r>
      <w:r w:rsidR="00DC6FDF" w:rsidRPr="009E1198">
        <w:t xml:space="preserve"> for their financial contributions to the </w:t>
      </w:r>
      <w:r w:rsidR="00DC6FDF" w:rsidRPr="00EA385A">
        <w:t xml:space="preserve">work of the Santiago </w:t>
      </w:r>
      <w:proofErr w:type="gramStart"/>
      <w:r w:rsidR="00DC6FDF" w:rsidRPr="00EA385A">
        <w:t>network;</w:t>
      </w:r>
      <w:proofErr w:type="gramEnd"/>
    </w:p>
    <w:p w14:paraId="06FFC2DA" w14:textId="1A4C1496" w:rsidR="00DC6FDF" w:rsidRPr="00C2166F" w:rsidRDefault="00406A0D" w:rsidP="00406A0D">
      <w:pPr>
        <w:pStyle w:val="RegSingleTxtG"/>
        <w:ind w:left="1134"/>
      </w:pPr>
      <w:r w:rsidRPr="00C2166F">
        <w:t>4.</w:t>
      </w:r>
      <w:r w:rsidRPr="00C2166F">
        <w:tab/>
      </w:r>
      <w:r w:rsidR="00DC6FDF" w:rsidRPr="16D5E8AB">
        <w:rPr>
          <w:i/>
          <w:iCs/>
        </w:rPr>
        <w:t>Recalls</w:t>
      </w:r>
      <w:r w:rsidR="00DC6FDF" w:rsidRPr="00C2166F">
        <w:t xml:space="preserve"> decision </w:t>
      </w:r>
      <w:r w:rsidR="00DC6FDF">
        <w:t xml:space="preserve">12/CMA.4, endorsed by decision </w:t>
      </w:r>
      <w:r w:rsidR="00DC6FDF" w:rsidRPr="00C2166F">
        <w:t xml:space="preserve">11/CP.27, </w:t>
      </w:r>
      <w:r w:rsidR="00DC6FDF">
        <w:t xml:space="preserve">which </w:t>
      </w:r>
      <w:r w:rsidR="00DC6FDF" w:rsidRPr="00D0148E">
        <w:t>establish</w:t>
      </w:r>
      <w:r w:rsidR="00DC6FDF">
        <w:t>es</w:t>
      </w:r>
      <w:r w:rsidR="00DC6FDF" w:rsidRPr="00C2166F">
        <w:t xml:space="preserve"> the institutional arrangements of the Santiago network to enable its full operationalization</w:t>
      </w:r>
      <w:r w:rsidR="00DC6FDF" w:rsidRPr="00D0148E">
        <w:t>, including</w:t>
      </w:r>
      <w:r w:rsidR="00DC6FDF">
        <w:t xml:space="preserve"> to</w:t>
      </w:r>
      <w:r w:rsidR="00DC6FDF" w:rsidRPr="00D0148E">
        <w:t xml:space="preserve"> support</w:t>
      </w:r>
      <w:r w:rsidR="00DC6FDF" w:rsidRPr="00C2166F">
        <w:t xml:space="preserve"> its mandated role in catalysing technical assistance for the implementation of the relevant approaches at the local, </w:t>
      </w:r>
      <w:proofErr w:type="gramStart"/>
      <w:r w:rsidR="00DC6FDF" w:rsidRPr="00C2166F">
        <w:t>national</w:t>
      </w:r>
      <w:proofErr w:type="gramEnd"/>
      <w:r w:rsidR="00DC6FDF" w:rsidRPr="00C2166F">
        <w:t xml:space="preserve"> and regional level in developing countries that are particularly vulnerable to the adverse effects of climate change</w:t>
      </w:r>
      <w:r w:rsidR="00DC6FDF">
        <w:t>;</w:t>
      </w:r>
      <w:r w:rsidR="00DC6FDF">
        <w:rPr>
          <w:rStyle w:val="FootnoteReference"/>
        </w:rPr>
        <w:footnoteReference w:id="6"/>
      </w:r>
    </w:p>
    <w:p w14:paraId="1CE2DA8C" w14:textId="5185EFC4" w:rsidR="00DC6FDF" w:rsidRDefault="00406A0D" w:rsidP="00406A0D">
      <w:pPr>
        <w:pStyle w:val="RegSingleTxtG"/>
        <w:ind w:left="1134"/>
      </w:pPr>
      <w:r>
        <w:t>5.</w:t>
      </w:r>
      <w:r>
        <w:tab/>
      </w:r>
      <w:r w:rsidR="00DC6FDF">
        <w:rPr>
          <w:i/>
          <w:iCs/>
        </w:rPr>
        <w:t>Also r</w:t>
      </w:r>
      <w:r w:rsidR="00DC6FDF" w:rsidRPr="00D0148E">
        <w:rPr>
          <w:i/>
          <w:iCs/>
        </w:rPr>
        <w:t>ecalls</w:t>
      </w:r>
      <w:r w:rsidR="00DC6FDF" w:rsidRPr="00307F9B">
        <w:t xml:space="preserve"> </w:t>
      </w:r>
      <w:r w:rsidR="00DC6FDF">
        <w:t>paragraph 16 of decision 12/CMA.4, which states that the Santiago network secretariat will be accountable to and operate under the guidance of the governing body or bodies through the Advisory Board of the Santiago network</w:t>
      </w:r>
      <w:r w:rsidR="00DC6FDF" w:rsidRPr="00307F9B">
        <w:t xml:space="preserve"> </w:t>
      </w:r>
      <w:r w:rsidR="00DC6FDF">
        <w:t xml:space="preserve">and hosted by an organization or a consortium of organizations able to provide the necessary administrative and infrastructural support for its effective </w:t>
      </w:r>
      <w:proofErr w:type="gramStart"/>
      <w:r w:rsidR="00DC6FDF">
        <w:t>functioning;</w:t>
      </w:r>
      <w:proofErr w:type="gramEnd"/>
    </w:p>
    <w:p w14:paraId="45E6ECEC" w14:textId="67A574FD" w:rsidR="00DC6FDF" w:rsidRPr="00486866" w:rsidRDefault="00406A0D" w:rsidP="00406A0D">
      <w:pPr>
        <w:pStyle w:val="RegSingleTxtG"/>
        <w:ind w:left="1134"/>
        <w:rPr>
          <w:szCs w:val="22"/>
        </w:rPr>
      </w:pPr>
      <w:bookmarkStart w:id="15" w:name="_Ref152787836"/>
      <w:r w:rsidRPr="00486866">
        <w:rPr>
          <w:szCs w:val="22"/>
        </w:rPr>
        <w:lastRenderedPageBreak/>
        <w:t>6.</w:t>
      </w:r>
      <w:r w:rsidRPr="00486866">
        <w:rPr>
          <w:szCs w:val="22"/>
        </w:rPr>
        <w:tab/>
      </w:r>
      <w:r w:rsidR="00DC6FDF" w:rsidRPr="16D5E8AB">
        <w:rPr>
          <w:i/>
          <w:iCs/>
        </w:rPr>
        <w:t>Welcomes</w:t>
      </w:r>
      <w:r w:rsidR="00DC6FDF" w:rsidRPr="00486866">
        <w:t xml:space="preserve"> the report on the hosting of the secretariat of the Santiago network</w:t>
      </w:r>
      <w:r w:rsidR="0088249A">
        <w:t>,</w:t>
      </w:r>
      <w:r w:rsidR="00DC6FDF">
        <w:rPr>
          <w:rStyle w:val="FootnoteReference"/>
        </w:rPr>
        <w:footnoteReference w:id="7"/>
      </w:r>
      <w:r w:rsidR="00DC6FDF" w:rsidRPr="00486866">
        <w:t xml:space="preserve"> prepared by </w:t>
      </w:r>
      <w:r w:rsidR="00DC6FDF" w:rsidRPr="16D5E8AB">
        <w:t>the evaluation panel</w:t>
      </w:r>
      <w:r w:rsidR="00DC6FDF">
        <w:rPr>
          <w:szCs w:val="22"/>
        </w:rPr>
        <w:t>;</w:t>
      </w:r>
      <w:bookmarkEnd w:id="15"/>
      <w:r w:rsidR="00DC6FDF" w:rsidRPr="080EA826">
        <w:rPr>
          <w:rStyle w:val="FootnoteReference"/>
        </w:rPr>
        <w:footnoteReference w:id="8"/>
      </w:r>
    </w:p>
    <w:p w14:paraId="471BFF30" w14:textId="65C59301" w:rsidR="00DC6FDF" w:rsidRPr="00486866" w:rsidRDefault="00406A0D" w:rsidP="00406A0D">
      <w:pPr>
        <w:pStyle w:val="RegSingleTxtG"/>
        <w:ind w:left="1134"/>
      </w:pPr>
      <w:r w:rsidRPr="00486866">
        <w:t>7.</w:t>
      </w:r>
      <w:r w:rsidRPr="00486866">
        <w:tab/>
      </w:r>
      <w:r w:rsidR="00DC6FDF" w:rsidRPr="16D5E8AB">
        <w:rPr>
          <w:i/>
          <w:iCs/>
        </w:rPr>
        <w:t>Notes</w:t>
      </w:r>
      <w:r w:rsidR="00DC6FDF" w:rsidRPr="00486866">
        <w:t xml:space="preserve"> that two proposals were received in response to the call for proposals </w:t>
      </w:r>
      <w:r w:rsidR="00DC6FDF">
        <w:t>to</w:t>
      </w:r>
      <w:r w:rsidR="00DC6FDF" w:rsidRPr="00486866">
        <w:t xml:space="preserve"> host the Santiago network secretariat,</w:t>
      </w:r>
      <w:r w:rsidR="00DC6FDF">
        <w:rPr>
          <w:rStyle w:val="FootnoteReference"/>
        </w:rPr>
        <w:footnoteReference w:id="9"/>
      </w:r>
      <w:r w:rsidR="000E4242">
        <w:t xml:space="preserve"> </w:t>
      </w:r>
      <w:r w:rsidR="00DC6FDF" w:rsidRPr="00486866">
        <w:t xml:space="preserve">the executive summaries of which are available on the UNFCCC </w:t>
      </w:r>
      <w:proofErr w:type="gramStart"/>
      <w:r w:rsidR="00DC6FDF" w:rsidRPr="00486866">
        <w:t>website</w:t>
      </w:r>
      <w:r w:rsidR="00DC6FDF">
        <w:t>;</w:t>
      </w:r>
      <w:proofErr w:type="gramEnd"/>
      <w:r w:rsidR="00DC6FDF">
        <w:rPr>
          <w:rStyle w:val="FootnoteReference"/>
        </w:rPr>
        <w:footnoteReference w:id="10"/>
      </w:r>
    </w:p>
    <w:p w14:paraId="1819AC08" w14:textId="726347C7" w:rsidR="00DC6FDF" w:rsidRPr="00486866" w:rsidRDefault="00406A0D" w:rsidP="00406A0D">
      <w:pPr>
        <w:pStyle w:val="RegSingleTxtG"/>
        <w:ind w:left="1134"/>
      </w:pPr>
      <w:bookmarkStart w:id="16" w:name="_Ref157082435"/>
      <w:r w:rsidRPr="00486866">
        <w:t>8.</w:t>
      </w:r>
      <w:r w:rsidRPr="00486866">
        <w:tab/>
      </w:r>
      <w:r w:rsidR="00DC6FDF" w:rsidRPr="00486866">
        <w:rPr>
          <w:i/>
          <w:iCs/>
        </w:rPr>
        <w:t>Welcomes</w:t>
      </w:r>
      <w:r w:rsidR="00DC6FDF" w:rsidRPr="00486866">
        <w:t xml:space="preserve"> the efforts of the proponents in responding to the call for proposals</w:t>
      </w:r>
      <w:r w:rsidR="00DC6FDF">
        <w:t xml:space="preserve"> to</w:t>
      </w:r>
      <w:r w:rsidR="00DC6FDF" w:rsidRPr="00307F9B">
        <w:t xml:space="preserve"> host the Santiago network secretariat</w:t>
      </w:r>
      <w:r w:rsidR="00DC6FDF" w:rsidRPr="00486866">
        <w:t xml:space="preserve">, of the evaluation panel in assessing the proposals and preparing the report referred to in paragraph </w:t>
      </w:r>
      <w:r w:rsidR="00DC6FDF">
        <w:rPr>
          <w:cs/>
        </w:rPr>
        <w:t>‎</w:t>
      </w:r>
      <w:r w:rsidR="001B5C41">
        <w:rPr>
          <w:cs/>
        </w:rPr>
        <w:t>‎</w:t>
      </w:r>
      <w:r w:rsidR="001B5C41">
        <w:t>6 above</w:t>
      </w:r>
      <w:r w:rsidR="00DC6FDF" w:rsidRPr="00486866">
        <w:t xml:space="preserve"> and of the </w:t>
      </w:r>
      <w:r w:rsidR="00DC6FDF">
        <w:t>UNFCCC</w:t>
      </w:r>
      <w:r w:rsidR="00DC6FDF" w:rsidRPr="00486866">
        <w:t xml:space="preserve"> secretariat in providing support for the host selection process, all within a limited time </w:t>
      </w:r>
      <w:proofErr w:type="gramStart"/>
      <w:r w:rsidR="00DC6FDF" w:rsidRPr="00486866">
        <w:t>frame</w:t>
      </w:r>
      <w:r w:rsidR="00DC6FDF">
        <w:t>;</w:t>
      </w:r>
      <w:bookmarkEnd w:id="16"/>
      <w:proofErr w:type="gramEnd"/>
    </w:p>
    <w:p w14:paraId="2BE96F59" w14:textId="6E0935D6" w:rsidR="00DC6FDF" w:rsidRDefault="00406A0D" w:rsidP="00406A0D">
      <w:pPr>
        <w:pStyle w:val="RegSingleTxtG"/>
        <w:ind w:left="1134"/>
      </w:pPr>
      <w:r>
        <w:t>9.</w:t>
      </w:r>
      <w:r>
        <w:tab/>
      </w:r>
      <w:r w:rsidR="00DC6FDF">
        <w:rPr>
          <w:i/>
          <w:iCs/>
        </w:rPr>
        <w:t xml:space="preserve">Notes </w:t>
      </w:r>
      <w:r w:rsidR="00DC6FDF" w:rsidRPr="003529C6">
        <w:rPr>
          <w:i/>
          <w:iCs/>
        </w:rPr>
        <w:t>with appreciation</w:t>
      </w:r>
      <w:r w:rsidR="00DC6FDF">
        <w:t xml:space="preserve"> the completion of the selection process for the host of the secretariat of the Santiago network, which was supported by an evaluation panel comprising four members of the Executive Committee of the Warsaw International Mechanism </w:t>
      </w:r>
      <w:r w:rsidR="00DC6FDF" w:rsidRPr="00654AC2">
        <w:t>for Loss and Damage associated with Climate Change Impacts</w:t>
      </w:r>
      <w:r w:rsidR="00DC6FDF">
        <w:t>, two members of the Advisory Board of the Climate Technology Centre and Network and two members of the Paris Committee on Capacity-building and involved the participation of the two proponents that responded to the call for proposals for hosting the Santiago network secretariat;</w:t>
      </w:r>
    </w:p>
    <w:p w14:paraId="356164E7" w14:textId="246266A9" w:rsidR="00DC6FDF" w:rsidRDefault="00406A0D" w:rsidP="00406A0D">
      <w:pPr>
        <w:pStyle w:val="RegSingleTxtG"/>
        <w:ind w:left="1134"/>
      </w:pPr>
      <w:r>
        <w:t>10.</w:t>
      </w:r>
      <w:r>
        <w:tab/>
      </w:r>
      <w:r w:rsidR="00DC6FDF">
        <w:rPr>
          <w:i/>
          <w:iCs/>
        </w:rPr>
        <w:t>Expresses</w:t>
      </w:r>
      <w:r w:rsidR="00DC6FDF" w:rsidRPr="004409E0">
        <w:rPr>
          <w:i/>
          <w:iCs/>
        </w:rPr>
        <w:t xml:space="preserve"> appreciation</w:t>
      </w:r>
      <w:r w:rsidR="00DC6FDF">
        <w:t xml:space="preserve"> to both proponents that submitted proposals for hosting the Santiago network </w:t>
      </w:r>
      <w:proofErr w:type="gramStart"/>
      <w:r w:rsidR="00DC6FDF">
        <w:t>secretariat;</w:t>
      </w:r>
      <w:proofErr w:type="gramEnd"/>
    </w:p>
    <w:p w14:paraId="7468B4E7" w14:textId="3912E184" w:rsidR="00DC6FDF" w:rsidRDefault="00406A0D" w:rsidP="00406A0D">
      <w:pPr>
        <w:pStyle w:val="RegSingleTxtG"/>
        <w:ind w:left="1134"/>
      </w:pPr>
      <w:r>
        <w:t>11.</w:t>
      </w:r>
      <w:r>
        <w:tab/>
      </w:r>
      <w:r w:rsidR="00DC6FDF" w:rsidRPr="16D5E8AB">
        <w:rPr>
          <w:i/>
          <w:iCs/>
        </w:rPr>
        <w:t>Selects</w:t>
      </w:r>
      <w:r w:rsidR="00DC6FDF">
        <w:t xml:space="preserve"> the </w:t>
      </w:r>
      <w:r w:rsidR="00DC6FDF">
        <w:rPr>
          <w:rStyle w:val="ui-provider"/>
        </w:rPr>
        <w:t xml:space="preserve">joint proposal submitted by </w:t>
      </w:r>
      <w:r w:rsidR="00DC6FDF" w:rsidRPr="00FF5155">
        <w:t xml:space="preserve">the </w:t>
      </w:r>
      <w:r w:rsidR="00DC6FDF">
        <w:t xml:space="preserve">consortium of the </w:t>
      </w:r>
      <w:r w:rsidR="00DC6FDF" w:rsidRPr="00FF5155">
        <w:t>United Nations Office for Disaster Risk Reduction and the United Nations Office for Project Services</w:t>
      </w:r>
      <w:r w:rsidR="00DC6FDF">
        <w:t xml:space="preserve"> for the hosting of the Santiago network secretariat for an initial term of five years, with five-year renewal periods;</w:t>
      </w:r>
      <w:r w:rsidR="00DC6FDF">
        <w:rPr>
          <w:rStyle w:val="FootnoteReference"/>
        </w:rPr>
        <w:footnoteReference w:id="11"/>
      </w:r>
    </w:p>
    <w:p w14:paraId="6FF0EA97" w14:textId="2B821957" w:rsidR="00DC6FDF" w:rsidRDefault="00406A0D" w:rsidP="00406A0D">
      <w:pPr>
        <w:pStyle w:val="RegSingleTxtG"/>
        <w:ind w:left="1134"/>
      </w:pPr>
      <w:r>
        <w:t>12.</w:t>
      </w:r>
      <w:r>
        <w:tab/>
      </w:r>
      <w:r w:rsidR="00DC6FDF">
        <w:rPr>
          <w:i/>
          <w:iCs/>
        </w:rPr>
        <w:t>Encourages</w:t>
      </w:r>
      <w:r w:rsidR="00DC6FDF">
        <w:t xml:space="preserve"> the consortium, as </w:t>
      </w:r>
      <w:r w:rsidR="00DC6FDF" w:rsidRPr="00D0148E">
        <w:t xml:space="preserve">host of the </w:t>
      </w:r>
      <w:r w:rsidR="00DC6FDF">
        <w:t xml:space="preserve">Santiago network secretariat, to consider exploring areas </w:t>
      </w:r>
      <w:r w:rsidR="00DC6FDF" w:rsidRPr="00307F9B">
        <w:t>f</w:t>
      </w:r>
      <w:r w:rsidR="00DC6FDF">
        <w:t>or collaboration with the Caribbean Development Bank, which</w:t>
      </w:r>
      <w:r w:rsidR="00DC6FDF" w:rsidRPr="00D0148E">
        <w:t xml:space="preserve"> </w:t>
      </w:r>
      <w:r w:rsidR="00DC6FDF">
        <w:t xml:space="preserve">also submitted a proposal for hosting, where </w:t>
      </w:r>
      <w:proofErr w:type="gramStart"/>
      <w:r w:rsidR="00DC6FDF">
        <w:t>appropriate;</w:t>
      </w:r>
      <w:proofErr w:type="gramEnd"/>
    </w:p>
    <w:p w14:paraId="0864999F" w14:textId="3840DD99" w:rsidR="00DC6FDF" w:rsidRDefault="00406A0D" w:rsidP="00406A0D">
      <w:pPr>
        <w:pStyle w:val="RegSingleTxtG"/>
        <w:ind w:left="1134"/>
      </w:pPr>
      <w:r>
        <w:t>13.</w:t>
      </w:r>
      <w:r>
        <w:tab/>
      </w:r>
      <w:r w:rsidR="00DC6FDF">
        <w:rPr>
          <w:i/>
          <w:iCs/>
        </w:rPr>
        <w:t>Authorizes</w:t>
      </w:r>
      <w:r w:rsidR="00DC6FDF">
        <w:t xml:space="preserve"> the Executive Secretary to </w:t>
      </w:r>
      <w:proofErr w:type="gramStart"/>
      <w:r w:rsidR="00DC6FDF">
        <w:t>sign,</w:t>
      </w:r>
      <w:proofErr w:type="gramEnd"/>
      <w:r w:rsidR="00DC6FDF">
        <w:t xml:space="preserve"> on behalf of the governing body or bodies, the agreement between the governing body or bodies and the consortium regarding the hosting of the Santiago network secretariat; </w:t>
      </w:r>
    </w:p>
    <w:p w14:paraId="1666187E" w14:textId="5EE2A781" w:rsidR="00DC6FDF" w:rsidRPr="001710A6" w:rsidRDefault="00406A0D" w:rsidP="00406A0D">
      <w:pPr>
        <w:pStyle w:val="RegSingleTxtG"/>
        <w:ind w:left="1134"/>
      </w:pPr>
      <w:bookmarkStart w:id="17" w:name="_Ref152787870"/>
      <w:r w:rsidRPr="001710A6">
        <w:t>14.</w:t>
      </w:r>
      <w:r w:rsidRPr="001710A6">
        <w:tab/>
      </w:r>
      <w:r w:rsidR="00DC6FDF" w:rsidRPr="00D0148E">
        <w:rPr>
          <w:i/>
          <w:iCs/>
        </w:rPr>
        <w:t>Requests</w:t>
      </w:r>
      <w:r w:rsidR="00DC6FDF">
        <w:t xml:space="preserve"> the consortium, as host of the Santiago network secretariat, to ensure that the necessary arrangements are in place for the meetings of the Advisory Board of the Santiago network, </w:t>
      </w:r>
      <w:r w:rsidR="00DC6FDF" w:rsidRPr="00C2166F">
        <w:t>including privileges and immunities for members of the Boar</w:t>
      </w:r>
      <w:r w:rsidR="00DC6FDF">
        <w:t xml:space="preserve">d in line with existing </w:t>
      </w:r>
      <w:proofErr w:type="gramStart"/>
      <w:r w:rsidR="00DC6FDF">
        <w:t>practice;</w:t>
      </w:r>
      <w:bookmarkEnd w:id="17"/>
      <w:proofErr w:type="gramEnd"/>
    </w:p>
    <w:p w14:paraId="65C6684C" w14:textId="7BF41BFD" w:rsidR="00DC6FDF" w:rsidRDefault="00406A0D" w:rsidP="00406A0D">
      <w:pPr>
        <w:pStyle w:val="RegSingleTxtG"/>
        <w:ind w:left="1134"/>
      </w:pPr>
      <w:r>
        <w:t>15.</w:t>
      </w:r>
      <w:r>
        <w:tab/>
      </w:r>
      <w:r w:rsidR="00DC6FDF">
        <w:rPr>
          <w:i/>
          <w:iCs/>
        </w:rPr>
        <w:t>Also r</w:t>
      </w:r>
      <w:r w:rsidR="00DC6FDF" w:rsidRPr="00C2166F">
        <w:rPr>
          <w:i/>
          <w:iCs/>
        </w:rPr>
        <w:t xml:space="preserve">equests </w:t>
      </w:r>
      <w:r w:rsidR="00DC6FDF" w:rsidRPr="00C2166F">
        <w:t>the consortium, as host</w:t>
      </w:r>
      <w:r w:rsidR="00DC6FDF" w:rsidRPr="00C2166F" w:rsidDel="00970BDF">
        <w:t xml:space="preserve"> </w:t>
      </w:r>
      <w:r w:rsidR="00DC6FDF" w:rsidRPr="00C2166F">
        <w:t>of the Santiago network secretariat</w:t>
      </w:r>
      <w:r w:rsidR="00DC6FDF">
        <w:t>,</w:t>
      </w:r>
      <w:r w:rsidR="00DC6FDF" w:rsidRPr="00C2166F">
        <w:t xml:space="preserve"> to undertake, by</w:t>
      </w:r>
      <w:r w:rsidR="00DC6FDF">
        <w:t xml:space="preserve"> the</w:t>
      </w:r>
      <w:r w:rsidR="00DC6FDF" w:rsidRPr="00D0148E">
        <w:t xml:space="preserve"> </w:t>
      </w:r>
      <w:r w:rsidR="00DC6FDF" w:rsidRPr="00C2166F">
        <w:t>end of January 2024, an analysis of the cost-effectiveness</w:t>
      </w:r>
      <w:r w:rsidR="00DC6FDF">
        <w:t>,</w:t>
      </w:r>
      <w:r w:rsidR="00DC6FDF" w:rsidRPr="00C2166F">
        <w:t xml:space="preserve"> including a cost</w:t>
      </w:r>
      <w:r w:rsidR="00DC6FDF">
        <w:t>–</w:t>
      </w:r>
      <w:r w:rsidR="00DC6FDF" w:rsidRPr="00C2166F">
        <w:t>benefit analysis</w:t>
      </w:r>
      <w:r w:rsidR="00DC6FDF">
        <w:t>,</w:t>
      </w:r>
      <w:r w:rsidR="00DC6FDF" w:rsidRPr="00C2166F">
        <w:t xml:space="preserve"> of various </w:t>
      </w:r>
      <w:r w:rsidR="00DC6FDF" w:rsidRPr="00D0148E">
        <w:t>locations</w:t>
      </w:r>
      <w:r w:rsidR="00DC6FDF" w:rsidRPr="00C2166F">
        <w:t xml:space="preserve"> around the world as options for the location of the head office of the Santiago network secretariat from a pool </w:t>
      </w:r>
      <w:r w:rsidR="00DC6FDF">
        <w:t xml:space="preserve">of potential locations </w:t>
      </w:r>
      <w:r w:rsidR="00DC6FDF" w:rsidRPr="00C2166F">
        <w:t>that can provide</w:t>
      </w:r>
      <w:r w:rsidR="00DC6FDF">
        <w:t xml:space="preserve"> </w:t>
      </w:r>
      <w:r w:rsidR="00DC6FDF" w:rsidRPr="00C2166F">
        <w:t xml:space="preserve">the privileges and immunities referred to in paragraph </w:t>
      </w:r>
      <w:r w:rsidR="00DC6FDF">
        <w:rPr>
          <w:cs/>
        </w:rPr>
        <w:t>‎‎</w:t>
      </w:r>
      <w:r w:rsidR="001B5C41">
        <w:rPr>
          <w:cs/>
        </w:rPr>
        <w:t>‎</w:t>
      </w:r>
      <w:r w:rsidR="001B5C41">
        <w:t>14 above</w:t>
      </w:r>
      <w:r w:rsidR="00DC6FDF" w:rsidRPr="00C2166F">
        <w:t xml:space="preserve">, and to provide to the Advisory Board of the Santiago network the results of the analysis with its recommendation on which location would be the most cost-effective and suitable in the light of the roles and responsibilities and the organizational structure of the Santiago network secretariat as detailed in annex I </w:t>
      </w:r>
      <w:r w:rsidR="00DC6FDF">
        <w:t>to</w:t>
      </w:r>
      <w:r w:rsidR="00DC6FDF" w:rsidRPr="00C2166F">
        <w:t xml:space="preserve"> decision 12/CMA.4 for consideration and </w:t>
      </w:r>
      <w:r w:rsidR="00836195">
        <w:t xml:space="preserve">a decision thereon </w:t>
      </w:r>
      <w:r w:rsidR="00DC6FDF" w:rsidRPr="00C2166F">
        <w:t>by the Advisory Board at its 1</w:t>
      </w:r>
      <w:r w:rsidR="00DC6FDF" w:rsidRPr="00C2166F">
        <w:rPr>
          <w:vertAlign w:val="superscript"/>
        </w:rPr>
        <w:t>st</w:t>
      </w:r>
      <w:r w:rsidR="00DC6FDF" w:rsidRPr="00C2166F">
        <w:t xml:space="preserve"> meeting, to be held in 2024;</w:t>
      </w:r>
    </w:p>
    <w:p w14:paraId="079C133D" w14:textId="5C1064B3" w:rsidR="00DC6FDF" w:rsidRPr="00C03C81" w:rsidRDefault="00406A0D" w:rsidP="00406A0D">
      <w:pPr>
        <w:pStyle w:val="RegSingleTxtG"/>
        <w:ind w:left="1134"/>
        <w:rPr>
          <w:rFonts w:cstheme="minorHAnsi"/>
        </w:rPr>
      </w:pPr>
      <w:r w:rsidRPr="00C03C81">
        <w:rPr>
          <w:rFonts w:cstheme="minorHAnsi"/>
        </w:rPr>
        <w:t>16.</w:t>
      </w:r>
      <w:r w:rsidRPr="00C03C81">
        <w:rPr>
          <w:rFonts w:cstheme="minorHAnsi"/>
        </w:rPr>
        <w:tab/>
      </w:r>
      <w:r w:rsidR="00DC6FDF" w:rsidRPr="16D5E8AB">
        <w:rPr>
          <w:rFonts w:cstheme="minorBidi"/>
          <w:i/>
          <w:iCs/>
        </w:rPr>
        <w:t xml:space="preserve">Encourages </w:t>
      </w:r>
      <w:r w:rsidR="00DC6FDF" w:rsidRPr="16D5E8AB">
        <w:rPr>
          <w:rFonts w:cstheme="minorBidi"/>
        </w:rPr>
        <w:t xml:space="preserve">the </w:t>
      </w:r>
      <w:r w:rsidR="00DC6FDF" w:rsidRPr="00D0148E">
        <w:t>consortium</w:t>
      </w:r>
      <w:r w:rsidR="00DC6FDF">
        <w:t xml:space="preserve">, as </w:t>
      </w:r>
      <w:r w:rsidR="00DC6FDF" w:rsidRPr="16D5E8AB">
        <w:rPr>
          <w:rFonts w:cstheme="minorBidi"/>
        </w:rPr>
        <w:t xml:space="preserve">host of the Santiago network secretariat, to make the necessary arrangements to promptly launch work under the Santiago network upon conclusion of the November–December 2023 session(s) of the governing body or bodies, including the appointment of a director of the secretariat through a merit-based, open and </w:t>
      </w:r>
      <w:r w:rsidR="00DC6FDF" w:rsidRPr="16D5E8AB">
        <w:rPr>
          <w:rFonts w:cstheme="minorBidi"/>
        </w:rPr>
        <w:lastRenderedPageBreak/>
        <w:t>transparent process, who will facilitate the timely recruitment of the staff of the secretariat in line with the terms of reference of the Santiago network;</w:t>
      </w:r>
      <w:r w:rsidR="00DC6FDF">
        <w:rPr>
          <w:rStyle w:val="FootnoteReference"/>
          <w:rFonts w:cstheme="minorBidi"/>
        </w:rPr>
        <w:footnoteReference w:id="12"/>
      </w:r>
    </w:p>
    <w:p w14:paraId="099AC6A8" w14:textId="58CA183B" w:rsidR="00DC6FDF" w:rsidRPr="00C03C81" w:rsidRDefault="00406A0D" w:rsidP="00406A0D">
      <w:pPr>
        <w:pStyle w:val="RegSingleTxtG"/>
        <w:ind w:left="1134"/>
        <w:rPr>
          <w:rFonts w:cstheme="minorHAnsi"/>
        </w:rPr>
      </w:pPr>
      <w:r w:rsidRPr="00C03C81">
        <w:rPr>
          <w:rFonts w:cstheme="minorHAnsi"/>
        </w:rPr>
        <w:t>17.</w:t>
      </w:r>
      <w:r w:rsidRPr="00C03C81">
        <w:rPr>
          <w:rFonts w:cstheme="minorHAnsi"/>
        </w:rPr>
        <w:tab/>
      </w:r>
      <w:r w:rsidR="00DC6FDF" w:rsidRPr="00F805E2">
        <w:rPr>
          <w:rFonts w:cstheme="minorHAnsi"/>
          <w:i/>
          <w:iCs/>
        </w:rPr>
        <w:t>Requests</w:t>
      </w:r>
      <w:r w:rsidR="00DC6FDF" w:rsidRPr="00C2166F">
        <w:rPr>
          <w:rFonts w:cstheme="minorHAnsi"/>
        </w:rPr>
        <w:t xml:space="preserve"> </w:t>
      </w:r>
      <w:r w:rsidR="00DC6FDF" w:rsidRPr="00D0148E">
        <w:rPr>
          <w:rFonts w:cstheme="minorHAnsi"/>
        </w:rPr>
        <w:t xml:space="preserve">the </w:t>
      </w:r>
      <w:r w:rsidR="00DC6FDF">
        <w:rPr>
          <w:rFonts w:cstheme="minorHAnsi"/>
        </w:rPr>
        <w:t>Santiago network secretariat</w:t>
      </w:r>
      <w:r w:rsidR="00DC6FDF" w:rsidRPr="00D0148E">
        <w:rPr>
          <w:rFonts w:cstheme="minorHAnsi"/>
        </w:rPr>
        <w:t xml:space="preserve"> </w:t>
      </w:r>
      <w:r w:rsidR="00DC6FDF">
        <w:rPr>
          <w:rFonts w:cstheme="minorHAnsi"/>
        </w:rPr>
        <w:t>to</w:t>
      </w:r>
      <w:r w:rsidR="00DC6FDF" w:rsidRPr="00C2166F">
        <w:rPr>
          <w:rFonts w:cstheme="minorHAnsi"/>
        </w:rPr>
        <w:t xml:space="preserve"> facilitate the 1</w:t>
      </w:r>
      <w:r w:rsidR="00DC6FDF" w:rsidRPr="00C2166F">
        <w:rPr>
          <w:rFonts w:cstheme="minorHAnsi"/>
          <w:vertAlign w:val="superscript"/>
        </w:rPr>
        <w:t>st</w:t>
      </w:r>
      <w:r w:rsidR="00DC6FDF" w:rsidRPr="00C2166F">
        <w:rPr>
          <w:rFonts w:cstheme="minorHAnsi"/>
        </w:rPr>
        <w:t xml:space="preserve"> meeting of the Advisory Board</w:t>
      </w:r>
      <w:r w:rsidR="00DC6FDF">
        <w:rPr>
          <w:rFonts w:cstheme="minorHAnsi"/>
        </w:rPr>
        <w:t xml:space="preserve"> of the Santiago </w:t>
      </w:r>
      <w:r w:rsidR="00CA3077">
        <w:rPr>
          <w:rFonts w:cstheme="minorHAnsi"/>
        </w:rPr>
        <w:t>n</w:t>
      </w:r>
      <w:r w:rsidR="00DC6FDF">
        <w:rPr>
          <w:rFonts w:cstheme="minorHAnsi"/>
        </w:rPr>
        <w:t>etwork</w:t>
      </w:r>
      <w:r w:rsidR="00DC6FDF" w:rsidRPr="00C2166F">
        <w:rPr>
          <w:rFonts w:cstheme="minorHAnsi"/>
        </w:rPr>
        <w:t xml:space="preserve">, to take place in </w:t>
      </w:r>
      <w:proofErr w:type="gramStart"/>
      <w:r w:rsidR="00DC6FDF" w:rsidRPr="00C2166F">
        <w:rPr>
          <w:rFonts w:cstheme="minorHAnsi"/>
        </w:rPr>
        <w:t>2024;</w:t>
      </w:r>
      <w:proofErr w:type="gramEnd"/>
    </w:p>
    <w:p w14:paraId="11C3D70D" w14:textId="4EBA3683" w:rsidR="00DC6FDF" w:rsidRPr="00C2166F" w:rsidRDefault="00406A0D" w:rsidP="00406A0D">
      <w:pPr>
        <w:pStyle w:val="RegSingleTxtG"/>
        <w:ind w:left="1134"/>
        <w:rPr>
          <w:rFonts w:cstheme="minorHAnsi"/>
        </w:rPr>
      </w:pPr>
      <w:r w:rsidRPr="00C2166F">
        <w:rPr>
          <w:rFonts w:cstheme="minorHAnsi"/>
        </w:rPr>
        <w:t>18.</w:t>
      </w:r>
      <w:r w:rsidRPr="00C2166F">
        <w:rPr>
          <w:rFonts w:cstheme="minorHAnsi"/>
        </w:rPr>
        <w:tab/>
      </w:r>
      <w:r w:rsidR="00DC6FDF" w:rsidRPr="00C2166F">
        <w:rPr>
          <w:rFonts w:cstheme="minorHAnsi"/>
          <w:i/>
          <w:iCs/>
        </w:rPr>
        <w:t xml:space="preserve">Also requests </w:t>
      </w:r>
      <w:r w:rsidR="00DC6FDF" w:rsidRPr="00C2166F">
        <w:rPr>
          <w:rFonts w:cstheme="minorHAnsi"/>
        </w:rPr>
        <w:t>the Santiago network secretariat to start managing</w:t>
      </w:r>
      <w:r w:rsidR="00DC6FDF">
        <w:rPr>
          <w:rFonts w:cstheme="minorHAnsi"/>
        </w:rPr>
        <w:t>,</w:t>
      </w:r>
      <w:r w:rsidR="00DC6FDF" w:rsidRPr="00C2166F">
        <w:rPr>
          <w:rFonts w:cstheme="minorHAnsi"/>
        </w:rPr>
        <w:t xml:space="preserve"> as soon as possible</w:t>
      </w:r>
      <w:r w:rsidR="00DC6FDF">
        <w:rPr>
          <w:rFonts w:cstheme="minorHAnsi"/>
        </w:rPr>
        <w:t>,</w:t>
      </w:r>
      <w:r w:rsidR="00DC6FDF" w:rsidRPr="00C2166F">
        <w:rPr>
          <w:rFonts w:cstheme="minorHAnsi"/>
        </w:rPr>
        <w:t xml:space="preserve"> the day</w:t>
      </w:r>
      <w:r w:rsidR="00DC6FDF">
        <w:rPr>
          <w:rFonts w:cstheme="minorHAnsi"/>
        </w:rPr>
        <w:t>-</w:t>
      </w:r>
      <w:r w:rsidR="00DC6FDF" w:rsidRPr="00C2166F">
        <w:rPr>
          <w:rFonts w:cstheme="minorHAnsi"/>
        </w:rPr>
        <w:t>to</w:t>
      </w:r>
      <w:r w:rsidR="00DC6FDF">
        <w:rPr>
          <w:rFonts w:cstheme="minorHAnsi"/>
        </w:rPr>
        <w:t>-</w:t>
      </w:r>
      <w:r w:rsidR="00DC6FDF" w:rsidRPr="00C2166F">
        <w:rPr>
          <w:rFonts w:cstheme="minorHAnsi"/>
        </w:rPr>
        <w:t xml:space="preserve">day operations of the </w:t>
      </w:r>
      <w:r w:rsidR="00DC6FDF">
        <w:rPr>
          <w:rFonts w:cstheme="minorHAnsi"/>
        </w:rPr>
        <w:t>secretariat,</w:t>
      </w:r>
      <w:r w:rsidR="00DC6FDF" w:rsidRPr="00C2166F">
        <w:rPr>
          <w:rFonts w:cstheme="minorHAnsi"/>
        </w:rPr>
        <w:t xml:space="preserve"> in line with its role and </w:t>
      </w:r>
      <w:proofErr w:type="gramStart"/>
      <w:r w:rsidR="00DC6FDF" w:rsidRPr="00C2166F">
        <w:rPr>
          <w:rFonts w:cstheme="minorHAnsi"/>
        </w:rPr>
        <w:t>responsibilities</w:t>
      </w:r>
      <w:r w:rsidR="00DC6FDF">
        <w:rPr>
          <w:rFonts w:cstheme="minorHAnsi"/>
        </w:rPr>
        <w:t>;</w:t>
      </w:r>
      <w:proofErr w:type="gramEnd"/>
    </w:p>
    <w:p w14:paraId="211DD428" w14:textId="7828C27D" w:rsidR="00DC6FDF" w:rsidRPr="00425578" w:rsidRDefault="00406A0D" w:rsidP="00406A0D">
      <w:pPr>
        <w:pStyle w:val="RegSingleTxtG"/>
        <w:ind w:left="1134"/>
        <w:rPr>
          <w:rFonts w:cstheme="minorHAnsi"/>
        </w:rPr>
      </w:pPr>
      <w:r w:rsidRPr="00425578">
        <w:rPr>
          <w:rFonts w:cstheme="minorHAnsi"/>
        </w:rPr>
        <w:t>19.</w:t>
      </w:r>
      <w:r w:rsidRPr="00425578">
        <w:rPr>
          <w:rFonts w:cstheme="minorHAnsi"/>
        </w:rPr>
        <w:tab/>
      </w:r>
      <w:r w:rsidR="00DC6FDF" w:rsidRPr="00425578">
        <w:rPr>
          <w:rFonts w:cstheme="minorHAnsi"/>
          <w:i/>
          <w:iCs/>
        </w:rPr>
        <w:t>Adopts</w:t>
      </w:r>
      <w:r w:rsidR="00DC6FDF" w:rsidRPr="00425578">
        <w:rPr>
          <w:rFonts w:cstheme="minorHAnsi"/>
        </w:rPr>
        <w:t xml:space="preserve"> the memorandum of understanding between the Conference of the Parties and </w:t>
      </w:r>
      <w:r w:rsidR="00DC6FDF" w:rsidRPr="00311E47">
        <w:rPr>
          <w:rFonts w:cstheme="minorHAnsi"/>
        </w:rPr>
        <w:t>the</w:t>
      </w:r>
      <w:r w:rsidR="00DC6FDF" w:rsidRPr="00425578">
        <w:rPr>
          <w:rFonts w:cstheme="minorHAnsi"/>
        </w:rPr>
        <w:t xml:space="preserve"> </w:t>
      </w:r>
      <w:r w:rsidR="00DC6FDF" w:rsidRPr="00311E47">
        <w:rPr>
          <w:rFonts w:cstheme="minorHAnsi"/>
        </w:rPr>
        <w:t>Conference</w:t>
      </w:r>
      <w:r w:rsidR="00DC6FDF" w:rsidRPr="00425578">
        <w:rPr>
          <w:rFonts w:cstheme="minorHAnsi"/>
        </w:rPr>
        <w:t xml:space="preserve"> of the Parties </w:t>
      </w:r>
      <w:r w:rsidR="00DC6FDF" w:rsidRPr="00311E47">
        <w:rPr>
          <w:rFonts w:cstheme="minorHAnsi"/>
        </w:rPr>
        <w:t>serving</w:t>
      </w:r>
      <w:r w:rsidR="00DC6FDF" w:rsidRPr="00425578">
        <w:rPr>
          <w:rFonts w:cstheme="minorHAnsi"/>
        </w:rPr>
        <w:t xml:space="preserve"> as the meeting of the Parties to the Paris Agreement on the one hand and the United Nations Office for Disaster Risk Reduction and the United Nations Office for Project Services on the other regarding the hosting of the Santiago network secretariat, as contained in the </w:t>
      </w:r>
      <w:proofErr w:type="gramStart"/>
      <w:r w:rsidR="00DC6FDF" w:rsidRPr="00425578">
        <w:rPr>
          <w:rFonts w:cstheme="minorHAnsi"/>
        </w:rPr>
        <w:t>annex;</w:t>
      </w:r>
      <w:proofErr w:type="gramEnd"/>
    </w:p>
    <w:p w14:paraId="1060D27C" w14:textId="7227B3C7" w:rsidR="00DC6FDF" w:rsidRPr="00C2166F" w:rsidRDefault="00406A0D" w:rsidP="00406A0D">
      <w:pPr>
        <w:pStyle w:val="RegSingleTxtG"/>
        <w:ind w:left="1134"/>
        <w:rPr>
          <w:rFonts w:cstheme="minorHAnsi"/>
        </w:rPr>
      </w:pPr>
      <w:r w:rsidRPr="00C2166F">
        <w:rPr>
          <w:rFonts w:cstheme="minorHAnsi"/>
        </w:rPr>
        <w:t>20.</w:t>
      </w:r>
      <w:r w:rsidRPr="00C2166F">
        <w:rPr>
          <w:rFonts w:cstheme="minorHAnsi"/>
        </w:rPr>
        <w:tab/>
      </w:r>
      <w:r w:rsidR="00DC6FDF" w:rsidRPr="00C2166F">
        <w:rPr>
          <w:rFonts w:cstheme="minorHAnsi"/>
          <w:i/>
          <w:iCs/>
        </w:rPr>
        <w:t>Reaffirms</w:t>
      </w:r>
      <w:r w:rsidR="00DC6FDF" w:rsidRPr="00C2166F">
        <w:rPr>
          <w:rFonts w:cstheme="minorHAnsi"/>
        </w:rPr>
        <w:t xml:space="preserve"> that technical assistance provided under the Santiago network in a demand-driven manner will be developed through an inclusive, country-driven process, taking into account the needs of vulnerable people, Indigenous Peoples and local </w:t>
      </w:r>
      <w:proofErr w:type="gramStart"/>
      <w:r w:rsidR="00DC6FDF" w:rsidRPr="00C2166F">
        <w:rPr>
          <w:rFonts w:cstheme="minorHAnsi"/>
        </w:rPr>
        <w:t>communities;</w:t>
      </w:r>
      <w:proofErr w:type="gramEnd"/>
      <w:r w:rsidR="00DC6FDF" w:rsidRPr="00C2166F">
        <w:rPr>
          <w:rFonts w:cstheme="minorHAnsi"/>
        </w:rPr>
        <w:t xml:space="preserve"> </w:t>
      </w:r>
    </w:p>
    <w:p w14:paraId="6D778B41" w14:textId="083847D0" w:rsidR="00DC6FDF" w:rsidRPr="00C2166F" w:rsidRDefault="00406A0D" w:rsidP="00406A0D">
      <w:pPr>
        <w:pStyle w:val="RegSingleTxtG"/>
        <w:ind w:left="1134"/>
        <w:rPr>
          <w:rFonts w:cstheme="minorHAnsi"/>
        </w:rPr>
      </w:pPr>
      <w:r w:rsidRPr="00C2166F">
        <w:rPr>
          <w:rFonts w:cstheme="minorHAnsi"/>
        </w:rPr>
        <w:t>21.</w:t>
      </w:r>
      <w:r w:rsidRPr="00C2166F">
        <w:rPr>
          <w:rFonts w:cstheme="minorHAnsi"/>
        </w:rPr>
        <w:tab/>
      </w:r>
      <w:r w:rsidR="00DC6FDF" w:rsidRPr="00C2166F">
        <w:rPr>
          <w:rFonts w:cstheme="minorHAnsi"/>
          <w:i/>
          <w:iCs/>
        </w:rPr>
        <w:t>Also reaffirms</w:t>
      </w:r>
      <w:r w:rsidR="00DC6FDF" w:rsidRPr="00C2166F">
        <w:rPr>
          <w:rFonts w:cstheme="minorHAnsi"/>
        </w:rPr>
        <w:t xml:space="preserve"> that, when technical assistance is provided under the Santiago network, it should take into consideration the cross-cutting issues referred to in the eleventh preambular paragraph of the Paris </w:t>
      </w:r>
      <w:proofErr w:type="gramStart"/>
      <w:r w:rsidR="00DC6FDF" w:rsidRPr="00C2166F">
        <w:rPr>
          <w:rFonts w:cstheme="minorHAnsi"/>
        </w:rPr>
        <w:t>Agreement</w:t>
      </w:r>
      <w:r w:rsidR="00DC6FDF">
        <w:rPr>
          <w:rFonts w:cstheme="minorHAnsi"/>
        </w:rPr>
        <w:t>;</w:t>
      </w:r>
      <w:proofErr w:type="gramEnd"/>
    </w:p>
    <w:p w14:paraId="1E261CE6" w14:textId="5B9F4574" w:rsidR="00DC6FDF" w:rsidRPr="00C2166F" w:rsidRDefault="00406A0D" w:rsidP="00406A0D">
      <w:pPr>
        <w:pStyle w:val="RegSingleTxtG"/>
        <w:ind w:left="1134"/>
        <w:rPr>
          <w:rFonts w:cstheme="minorHAnsi"/>
        </w:rPr>
      </w:pPr>
      <w:bookmarkStart w:id="18" w:name="_Ref152767831"/>
      <w:r w:rsidRPr="00C2166F">
        <w:rPr>
          <w:rFonts w:cstheme="minorHAnsi"/>
        </w:rPr>
        <w:t>22.</w:t>
      </w:r>
      <w:r w:rsidRPr="00C2166F">
        <w:rPr>
          <w:rFonts w:cstheme="minorHAnsi"/>
        </w:rPr>
        <w:tab/>
      </w:r>
      <w:r w:rsidR="00DC6FDF" w:rsidRPr="16D5E8AB">
        <w:rPr>
          <w:rFonts w:cstheme="minorBidi"/>
          <w:i/>
          <w:iCs/>
        </w:rPr>
        <w:t>Reiterates</w:t>
      </w:r>
      <w:r w:rsidR="00DC6FDF" w:rsidRPr="16D5E8AB">
        <w:rPr>
          <w:rFonts w:cstheme="minorBidi"/>
        </w:rPr>
        <w:t xml:space="preserve"> the request</w:t>
      </w:r>
      <w:r w:rsidR="00DC6FDF" w:rsidRPr="16D5E8AB">
        <w:rPr>
          <w:rStyle w:val="FootnoteReference"/>
          <w:rFonts w:cstheme="minorBidi"/>
        </w:rPr>
        <w:footnoteReference w:id="13"/>
      </w:r>
      <w:r w:rsidR="00DC6FDF" w:rsidRPr="16D5E8AB">
        <w:rPr>
          <w:rFonts w:cstheme="minorBidi"/>
        </w:rPr>
        <w:t xml:space="preserve"> to the UNFCCC secretariat to continue providing support for developing countries that are particularly vulnerable to the adverse effects of climate change that may seek or wish to benefit from the technical assistance available from organizations, bodies, networks and experts under the Santiago network, until the Santiago network secretariat is </w:t>
      </w:r>
      <w:proofErr w:type="gramStart"/>
      <w:r w:rsidR="00DC6FDF" w:rsidRPr="16D5E8AB">
        <w:rPr>
          <w:rFonts w:cstheme="minorBidi"/>
        </w:rPr>
        <w:t>operational;</w:t>
      </w:r>
      <w:bookmarkEnd w:id="18"/>
      <w:proofErr w:type="gramEnd"/>
    </w:p>
    <w:p w14:paraId="372F66C4" w14:textId="2D922B99" w:rsidR="00DC6FDF" w:rsidRDefault="00406A0D" w:rsidP="00406A0D">
      <w:pPr>
        <w:pStyle w:val="RegSingleTxtG"/>
        <w:ind w:left="1134"/>
      </w:pPr>
      <w:bookmarkStart w:id="19" w:name="_Ref152788177"/>
      <w:r>
        <w:t>23.</w:t>
      </w:r>
      <w:r>
        <w:tab/>
      </w:r>
      <w:r w:rsidR="00DC6FDF" w:rsidRPr="00C2166F">
        <w:rPr>
          <w:i/>
          <w:iCs/>
        </w:rPr>
        <w:t>Requests</w:t>
      </w:r>
      <w:r w:rsidR="00DC6FDF" w:rsidRPr="00C2166F">
        <w:t xml:space="preserve"> the UNFCCC secretariat to develop draft guidelines on preventing potential and addressing actual and perceived conflicts of interest in relation to the Santiago network, including any conflicts of interest that may arise when organizations, bodies, networks and experts are engaged in providing technical support to the Santiago network secretariat while responding to technical assistance requests, or when the host of the Santiago network secretariat is responding as an organization, body, network or expert to technical assistance requests, for review and approval by the Advisory Board of the Santiago </w:t>
      </w:r>
      <w:r w:rsidR="00DC6FDF">
        <w:t>n</w:t>
      </w:r>
      <w:r w:rsidR="00DC6FDF" w:rsidRPr="00C2166F">
        <w:t>etwork at its 1</w:t>
      </w:r>
      <w:r w:rsidR="00DC6FDF" w:rsidRPr="00C2166F">
        <w:rPr>
          <w:vertAlign w:val="superscript"/>
        </w:rPr>
        <w:t>st</w:t>
      </w:r>
      <w:r w:rsidR="00DC6FDF" w:rsidRPr="00C2166F">
        <w:t xml:space="preserve"> meeting;</w:t>
      </w:r>
      <w:bookmarkEnd w:id="19"/>
    </w:p>
    <w:p w14:paraId="3086446C" w14:textId="1B7333AD" w:rsidR="00DC6FDF" w:rsidRDefault="00406A0D" w:rsidP="00406A0D">
      <w:pPr>
        <w:pStyle w:val="RegSingleTxtG"/>
        <w:ind w:left="1134"/>
        <w:rPr>
          <w:rFonts w:cstheme="minorHAnsi"/>
        </w:rPr>
      </w:pPr>
      <w:r>
        <w:rPr>
          <w:rFonts w:cstheme="minorHAnsi"/>
        </w:rPr>
        <w:t>24.</w:t>
      </w:r>
      <w:r>
        <w:rPr>
          <w:rFonts w:cstheme="minorHAnsi"/>
        </w:rPr>
        <w:tab/>
      </w:r>
      <w:r w:rsidR="00DC6FDF">
        <w:rPr>
          <w:i/>
          <w:iCs/>
        </w:rPr>
        <w:t>Also r</w:t>
      </w:r>
      <w:r w:rsidR="00DC6FDF" w:rsidRPr="008B2AEE">
        <w:rPr>
          <w:i/>
          <w:iCs/>
        </w:rPr>
        <w:t>equests</w:t>
      </w:r>
      <w:r w:rsidR="00DC6FDF" w:rsidRPr="00D57DC0">
        <w:rPr>
          <w:rFonts w:cstheme="minorHAnsi"/>
        </w:rPr>
        <w:t xml:space="preserve"> the Santiago network secretariat </w:t>
      </w:r>
      <w:r w:rsidR="00DC6FDF">
        <w:rPr>
          <w:rFonts w:cstheme="minorHAnsi"/>
        </w:rPr>
        <w:t xml:space="preserve">to: </w:t>
      </w:r>
    </w:p>
    <w:p w14:paraId="29FBA732" w14:textId="0DE814D0" w:rsidR="00DC6FDF" w:rsidRDefault="00406A0D" w:rsidP="00406A0D">
      <w:pPr>
        <w:pStyle w:val="RegSingleTxtG"/>
        <w:tabs>
          <w:tab w:val="clear" w:pos="1701"/>
          <w:tab w:val="left" w:pos="1702"/>
        </w:tabs>
        <w:ind w:left="1134" w:right="1133" w:firstLine="567"/>
        <w:rPr>
          <w:rFonts w:cstheme="minorHAnsi"/>
        </w:rPr>
      </w:pPr>
      <w:r>
        <w:rPr>
          <w:rFonts w:cstheme="minorHAnsi"/>
        </w:rPr>
        <w:t>(a)</w:t>
      </w:r>
      <w:r>
        <w:rPr>
          <w:rFonts w:cstheme="minorHAnsi"/>
        </w:rPr>
        <w:tab/>
      </w:r>
      <w:r w:rsidR="00DC6FDF">
        <w:rPr>
          <w:rFonts w:cstheme="minorHAnsi"/>
        </w:rPr>
        <w:t xml:space="preserve">Adhere to </w:t>
      </w:r>
      <w:r w:rsidR="00DC6FDF" w:rsidRPr="00F72B73">
        <w:t>the</w:t>
      </w:r>
      <w:r w:rsidR="00DC6FDF">
        <w:rPr>
          <w:rFonts w:cstheme="minorHAnsi"/>
        </w:rPr>
        <w:t xml:space="preserve"> mandate of the Santiago network and its functions, including facilitating the consideration of a wide range of topics relevant to averting, minimizing and addressing loss and damage, including but not limited to current and future impacts, priorities and actions related to averting, minimizing and addressing loss and damage pursuant to decisions 3/CP.18 and 2/CP.19; the areas referred to in Article 8, paragraph 4, of the Paris Agreement; and the strategic workstreams of the five-year rolling workplan of the Executive Committee of the Warsaw International Mechanism; </w:t>
      </w:r>
    </w:p>
    <w:p w14:paraId="3649F957" w14:textId="60EA0C55" w:rsidR="00DC6FDF" w:rsidRDefault="00406A0D" w:rsidP="00406A0D">
      <w:pPr>
        <w:pStyle w:val="RegSingleTxtG"/>
        <w:tabs>
          <w:tab w:val="clear" w:pos="1701"/>
          <w:tab w:val="left" w:pos="1702"/>
        </w:tabs>
        <w:ind w:left="1134" w:right="1133" w:firstLine="567"/>
        <w:rPr>
          <w:rFonts w:cstheme="minorHAnsi"/>
        </w:rPr>
      </w:pPr>
      <w:r>
        <w:rPr>
          <w:rFonts w:cstheme="minorHAnsi"/>
        </w:rPr>
        <w:t>(b)</w:t>
      </w:r>
      <w:r>
        <w:rPr>
          <w:rFonts w:cstheme="minorHAnsi"/>
        </w:rPr>
        <w:tab/>
      </w:r>
      <w:r w:rsidR="00DC6FDF">
        <w:rPr>
          <w:rFonts w:cstheme="minorHAnsi"/>
        </w:rPr>
        <w:t xml:space="preserve">Assume its </w:t>
      </w:r>
      <w:r w:rsidR="00DC6FDF" w:rsidRPr="007A45CE">
        <w:t>roles</w:t>
      </w:r>
      <w:r w:rsidR="00DC6FDF">
        <w:rPr>
          <w:rFonts w:cstheme="minorHAnsi"/>
        </w:rPr>
        <w:t xml:space="preserve"> and responsibilities, including that it shall be accountable to and operate under the guidance of the Advisory Board of the Santiago network, recognizing the different mandates of the host and the Santiago network, and that the Advisory Board will provide guidance and oversight to the Santiago network secretariat on the effective implementation of the functions of the </w:t>
      </w:r>
      <w:proofErr w:type="gramStart"/>
      <w:r w:rsidR="00DC6FDF">
        <w:rPr>
          <w:rFonts w:cstheme="minorHAnsi"/>
        </w:rPr>
        <w:t>network;</w:t>
      </w:r>
      <w:proofErr w:type="gramEnd"/>
      <w:r w:rsidR="00DC6FDF">
        <w:rPr>
          <w:rFonts w:cstheme="minorHAnsi"/>
        </w:rPr>
        <w:t xml:space="preserve"> </w:t>
      </w:r>
    </w:p>
    <w:p w14:paraId="4EEF3FB8" w14:textId="046CE717" w:rsidR="00DC6FDF" w:rsidRPr="00C2166F" w:rsidRDefault="00406A0D" w:rsidP="00406A0D">
      <w:pPr>
        <w:pStyle w:val="RegSingleTxtG"/>
        <w:tabs>
          <w:tab w:val="clear" w:pos="1701"/>
          <w:tab w:val="left" w:pos="1702"/>
        </w:tabs>
        <w:ind w:left="1134" w:right="1133" w:firstLine="567"/>
        <w:rPr>
          <w:rFonts w:eastAsia="Times New Roman"/>
        </w:rPr>
      </w:pPr>
      <w:r w:rsidRPr="00C2166F">
        <w:rPr>
          <w:rFonts w:eastAsia="Times New Roman"/>
        </w:rPr>
        <w:t>(c)</w:t>
      </w:r>
      <w:r w:rsidRPr="00C2166F">
        <w:rPr>
          <w:rFonts w:eastAsia="Times New Roman"/>
        </w:rPr>
        <w:tab/>
      </w:r>
      <w:r w:rsidR="00DC6FDF" w:rsidRPr="007A45CE">
        <w:rPr>
          <w:rFonts w:cstheme="minorHAnsi"/>
        </w:rPr>
        <w:t>Report</w:t>
      </w:r>
      <w:r w:rsidR="00DC6FDF" w:rsidRPr="00C2166F">
        <w:rPr>
          <w:rFonts w:eastAsia="Times New Roman"/>
        </w:rPr>
        <w:t xml:space="preserve"> annually to the Advisory Board of the Santiago network information on the in-kind </w:t>
      </w:r>
      <w:r w:rsidR="00DC6FDF" w:rsidRPr="16D5E8AB">
        <w:rPr>
          <w:rFonts w:cstheme="minorBidi"/>
        </w:rPr>
        <w:t>and</w:t>
      </w:r>
      <w:r w:rsidR="00DC6FDF" w:rsidRPr="00C2166F">
        <w:rPr>
          <w:rFonts w:eastAsia="Times New Roman"/>
        </w:rPr>
        <w:t xml:space="preserve"> other support provided by its host that has contributed to its ability to assume its roles and responsibilities, as set out in the terms of reference of the Santiago network</w:t>
      </w:r>
      <w:r w:rsidR="00DC6FDF">
        <w:rPr>
          <w:rFonts w:eastAsia="Times New Roman"/>
        </w:rPr>
        <w:t>;</w:t>
      </w:r>
      <w:r w:rsidR="00DC6FDF">
        <w:rPr>
          <w:rStyle w:val="FootnoteReference"/>
          <w:rFonts w:eastAsia="Times New Roman"/>
        </w:rPr>
        <w:footnoteReference w:id="14"/>
      </w:r>
    </w:p>
    <w:p w14:paraId="4B6C49C3" w14:textId="6D983D19" w:rsidR="00DC6FDF" w:rsidRPr="00C2166F" w:rsidRDefault="00406A0D" w:rsidP="00406A0D">
      <w:pPr>
        <w:pStyle w:val="RegSingleTxtG"/>
        <w:tabs>
          <w:tab w:val="clear" w:pos="1701"/>
          <w:tab w:val="left" w:pos="1702"/>
        </w:tabs>
        <w:ind w:left="1134" w:right="1133" w:firstLine="567"/>
        <w:rPr>
          <w:rFonts w:eastAsia="Times New Roman"/>
        </w:rPr>
      </w:pPr>
      <w:r w:rsidRPr="00C2166F">
        <w:rPr>
          <w:rFonts w:eastAsia="Times New Roman"/>
        </w:rPr>
        <w:t>(d)</w:t>
      </w:r>
      <w:r w:rsidRPr="00C2166F">
        <w:rPr>
          <w:rFonts w:eastAsia="Times New Roman"/>
        </w:rPr>
        <w:tab/>
      </w:r>
      <w:r w:rsidR="00DC6FDF" w:rsidRPr="00C2166F">
        <w:rPr>
          <w:rFonts w:eastAsia="Times New Roman"/>
        </w:rPr>
        <w:t xml:space="preserve">Make use of regional and </w:t>
      </w:r>
      <w:r w:rsidR="00DC6FDF" w:rsidRPr="00D0148E">
        <w:rPr>
          <w:rFonts w:eastAsia="Times New Roman"/>
        </w:rPr>
        <w:t>subregional</w:t>
      </w:r>
      <w:r w:rsidR="00DC6FDF" w:rsidRPr="00C2166F">
        <w:rPr>
          <w:rFonts w:eastAsia="Times New Roman"/>
        </w:rPr>
        <w:t xml:space="preserve"> </w:t>
      </w:r>
      <w:r w:rsidR="00DC6FDF">
        <w:rPr>
          <w:rFonts w:eastAsia="Times New Roman"/>
        </w:rPr>
        <w:t>United Nations</w:t>
      </w:r>
      <w:r w:rsidR="00DC6FDF" w:rsidRPr="00C2166F">
        <w:rPr>
          <w:rFonts w:eastAsia="Times New Roman"/>
        </w:rPr>
        <w:t xml:space="preserve"> offices</w:t>
      </w:r>
      <w:r w:rsidR="00DC6FDF">
        <w:rPr>
          <w:rFonts w:eastAsia="Times New Roman"/>
        </w:rPr>
        <w:t xml:space="preserve"> </w:t>
      </w:r>
      <w:r w:rsidR="00DC6FDF" w:rsidRPr="00C2166F">
        <w:rPr>
          <w:rFonts w:eastAsia="Times New Roman"/>
        </w:rPr>
        <w:t xml:space="preserve">in all </w:t>
      </w:r>
      <w:r w:rsidR="00DC6FDF">
        <w:rPr>
          <w:rFonts w:eastAsia="Times New Roman"/>
        </w:rPr>
        <w:t>United Nations</w:t>
      </w:r>
      <w:r w:rsidR="00DC6FDF" w:rsidRPr="00C2166F">
        <w:rPr>
          <w:rFonts w:eastAsia="Times New Roman"/>
        </w:rPr>
        <w:t xml:space="preserve"> geographical regions</w:t>
      </w:r>
      <w:r w:rsidR="00DC6FDF">
        <w:rPr>
          <w:rFonts w:eastAsia="Times New Roman"/>
        </w:rPr>
        <w:t>, as appropriate,</w:t>
      </w:r>
      <w:r w:rsidR="00DC6FDF" w:rsidRPr="00C2166F">
        <w:rPr>
          <w:rFonts w:eastAsia="Times New Roman"/>
        </w:rPr>
        <w:t xml:space="preserve"> to serve as designated units </w:t>
      </w:r>
      <w:r w:rsidR="00DC6FDF">
        <w:rPr>
          <w:rFonts w:eastAsia="Times New Roman"/>
        </w:rPr>
        <w:t xml:space="preserve">to </w:t>
      </w:r>
      <w:r w:rsidR="00DC6FDF" w:rsidRPr="00D0148E">
        <w:rPr>
          <w:rFonts w:eastAsia="Times New Roman"/>
        </w:rPr>
        <w:t>provid</w:t>
      </w:r>
      <w:r w:rsidR="00DC6FDF">
        <w:rPr>
          <w:rFonts w:eastAsia="Times New Roman"/>
        </w:rPr>
        <w:t>e</w:t>
      </w:r>
      <w:r w:rsidR="00DC6FDF" w:rsidRPr="00C2166F">
        <w:rPr>
          <w:rFonts w:eastAsia="Times New Roman"/>
        </w:rPr>
        <w:t xml:space="preserve"> relevant </w:t>
      </w:r>
      <w:r w:rsidR="00DC6FDF" w:rsidRPr="00C2166F">
        <w:rPr>
          <w:rFonts w:eastAsia="Times New Roman"/>
        </w:rPr>
        <w:lastRenderedPageBreak/>
        <w:t xml:space="preserve">services and support for </w:t>
      </w:r>
      <w:r w:rsidR="00DC6FDF" w:rsidRPr="00D0148E">
        <w:rPr>
          <w:rFonts w:eastAsia="Times New Roman"/>
        </w:rPr>
        <w:t>cataly</w:t>
      </w:r>
      <w:r w:rsidR="00DC6FDF">
        <w:rPr>
          <w:rFonts w:eastAsia="Times New Roman"/>
        </w:rPr>
        <w:t>s</w:t>
      </w:r>
      <w:r w:rsidR="00DC6FDF" w:rsidRPr="00D0148E">
        <w:rPr>
          <w:rFonts w:eastAsia="Times New Roman"/>
        </w:rPr>
        <w:t>ing</w:t>
      </w:r>
      <w:r w:rsidR="00DC6FDF" w:rsidRPr="00C2166F">
        <w:rPr>
          <w:rFonts w:eastAsia="Times New Roman"/>
        </w:rPr>
        <w:t xml:space="preserve"> effective and timely </w:t>
      </w:r>
      <w:r w:rsidR="00DC6FDF">
        <w:rPr>
          <w:rFonts w:eastAsia="Times New Roman"/>
        </w:rPr>
        <w:t>technical assistance</w:t>
      </w:r>
      <w:r w:rsidR="00DC6FDF" w:rsidRPr="00C2166F">
        <w:rPr>
          <w:rFonts w:eastAsia="Times New Roman"/>
        </w:rPr>
        <w:t xml:space="preserve"> in </w:t>
      </w:r>
      <w:r w:rsidR="00DC6FDF" w:rsidRPr="00C2166F">
        <w:rPr>
          <w:rFonts w:cstheme="minorHAnsi"/>
        </w:rPr>
        <w:t xml:space="preserve">developing countries particularly vulnerable to the adverse effects of climate </w:t>
      </w:r>
      <w:proofErr w:type="gramStart"/>
      <w:r w:rsidR="00DC6FDF" w:rsidRPr="00C2166F">
        <w:rPr>
          <w:rFonts w:cstheme="minorHAnsi"/>
        </w:rPr>
        <w:t>change</w:t>
      </w:r>
      <w:r w:rsidR="00DC6FDF">
        <w:rPr>
          <w:rFonts w:cstheme="minorHAnsi"/>
        </w:rPr>
        <w:t>;</w:t>
      </w:r>
      <w:proofErr w:type="gramEnd"/>
    </w:p>
    <w:p w14:paraId="1456A877" w14:textId="11365CF1" w:rsidR="00DC6FDF" w:rsidRPr="00C2166F" w:rsidRDefault="00406A0D" w:rsidP="00406A0D">
      <w:pPr>
        <w:pStyle w:val="RegSingleTxtG"/>
        <w:tabs>
          <w:tab w:val="clear" w:pos="1701"/>
          <w:tab w:val="left" w:pos="1702"/>
        </w:tabs>
        <w:ind w:left="1134" w:right="1133" w:firstLine="567"/>
        <w:rPr>
          <w:rFonts w:eastAsia="Times New Roman"/>
        </w:rPr>
      </w:pPr>
      <w:r w:rsidRPr="00C2166F">
        <w:rPr>
          <w:rFonts w:eastAsia="Times New Roman"/>
        </w:rPr>
        <w:t>(e)</w:t>
      </w:r>
      <w:r w:rsidRPr="00C2166F">
        <w:rPr>
          <w:rFonts w:eastAsia="Times New Roman"/>
        </w:rPr>
        <w:tab/>
      </w:r>
      <w:r w:rsidR="00DC6FDF">
        <w:rPr>
          <w:rFonts w:eastAsia="Times New Roman"/>
        </w:rPr>
        <w:t>I</w:t>
      </w:r>
      <w:r w:rsidR="00DC6FDF" w:rsidRPr="00C2166F">
        <w:rPr>
          <w:rFonts w:cstheme="minorHAnsi"/>
        </w:rPr>
        <w:t xml:space="preserve">nclude in its annual report to the </w:t>
      </w:r>
      <w:r w:rsidR="00DC6FDF">
        <w:rPr>
          <w:rFonts w:cstheme="minorHAnsi"/>
        </w:rPr>
        <w:t>A</w:t>
      </w:r>
      <w:r w:rsidR="00DC6FDF" w:rsidRPr="00D0148E">
        <w:rPr>
          <w:rFonts w:cstheme="minorHAnsi"/>
        </w:rPr>
        <w:t xml:space="preserve">dvisory </w:t>
      </w:r>
      <w:r w:rsidR="00DC6FDF">
        <w:rPr>
          <w:rFonts w:cstheme="minorHAnsi"/>
        </w:rPr>
        <w:t>B</w:t>
      </w:r>
      <w:r w:rsidR="00DC6FDF" w:rsidRPr="00D0148E">
        <w:rPr>
          <w:rFonts w:cstheme="minorHAnsi"/>
        </w:rPr>
        <w:t xml:space="preserve">oard </w:t>
      </w:r>
      <w:r w:rsidR="00DC6FDF">
        <w:rPr>
          <w:rFonts w:cstheme="minorHAnsi"/>
        </w:rPr>
        <w:t>of the Santiago network</w:t>
      </w:r>
      <w:r w:rsidR="00DC6FDF" w:rsidRPr="00C2166F">
        <w:rPr>
          <w:rFonts w:cstheme="minorHAnsi"/>
        </w:rPr>
        <w:t xml:space="preserve"> information on the inclusive, balanced and equitable nature of the </w:t>
      </w:r>
      <w:r w:rsidR="00DC6FDF">
        <w:rPr>
          <w:rFonts w:cstheme="minorHAnsi"/>
        </w:rPr>
        <w:t>technical assistance</w:t>
      </w:r>
      <w:r w:rsidR="00DC6FDF" w:rsidRPr="00C2166F">
        <w:rPr>
          <w:rFonts w:cstheme="minorHAnsi"/>
        </w:rPr>
        <w:t xml:space="preserve"> </w:t>
      </w:r>
      <w:r w:rsidR="00DC6FDF" w:rsidRPr="00D0148E">
        <w:rPr>
          <w:rFonts w:cstheme="minorHAnsi"/>
        </w:rPr>
        <w:t>cataly</w:t>
      </w:r>
      <w:r w:rsidR="00DC6FDF">
        <w:rPr>
          <w:rFonts w:cstheme="minorHAnsi"/>
        </w:rPr>
        <w:t>s</w:t>
      </w:r>
      <w:r w:rsidR="00DC6FDF" w:rsidRPr="00D0148E">
        <w:rPr>
          <w:rFonts w:cstheme="minorHAnsi"/>
        </w:rPr>
        <w:t>ed</w:t>
      </w:r>
      <w:r w:rsidR="00DC6FDF" w:rsidRPr="00C2166F">
        <w:rPr>
          <w:rFonts w:cstheme="minorHAnsi"/>
        </w:rPr>
        <w:t xml:space="preserve"> across all regions with developing countries particularly vulnerable to the adverse effects of climate change and take action</w:t>
      </w:r>
      <w:r w:rsidR="00DC6FDF">
        <w:rPr>
          <w:rFonts w:cstheme="minorHAnsi"/>
        </w:rPr>
        <w:t>,</w:t>
      </w:r>
      <w:r w:rsidR="00DC6FDF" w:rsidRPr="00C2166F">
        <w:rPr>
          <w:rFonts w:cstheme="minorHAnsi"/>
        </w:rPr>
        <w:t xml:space="preserve"> as </w:t>
      </w:r>
      <w:proofErr w:type="gramStart"/>
      <w:r w:rsidR="00DC6FDF" w:rsidRPr="00C2166F">
        <w:rPr>
          <w:rFonts w:cstheme="minorHAnsi"/>
        </w:rPr>
        <w:t>appropriate</w:t>
      </w:r>
      <w:r w:rsidR="00DC6FDF" w:rsidRPr="00AB6817">
        <w:rPr>
          <w:rFonts w:cstheme="minorHAnsi"/>
        </w:rPr>
        <w:t>;</w:t>
      </w:r>
      <w:proofErr w:type="gramEnd"/>
    </w:p>
    <w:p w14:paraId="5B89A2EA" w14:textId="5BE5929C" w:rsidR="00DC6FDF" w:rsidRPr="005F4462" w:rsidRDefault="00406A0D" w:rsidP="00406A0D">
      <w:pPr>
        <w:pStyle w:val="RegSingleTxtG"/>
        <w:tabs>
          <w:tab w:val="clear" w:pos="1701"/>
          <w:tab w:val="left" w:pos="1702"/>
        </w:tabs>
        <w:ind w:left="1134" w:right="1133" w:firstLine="567"/>
        <w:rPr>
          <w:rFonts w:cstheme="minorHAnsi"/>
        </w:rPr>
      </w:pPr>
      <w:r w:rsidRPr="005F4462">
        <w:rPr>
          <w:rFonts w:cstheme="minorHAnsi"/>
        </w:rPr>
        <w:t>(f)</w:t>
      </w:r>
      <w:r w:rsidRPr="005F4462">
        <w:rPr>
          <w:rFonts w:cstheme="minorHAnsi"/>
        </w:rPr>
        <w:tab/>
      </w:r>
      <w:r w:rsidR="00DC6FDF" w:rsidRPr="007A45CE">
        <w:rPr>
          <w:rFonts w:cstheme="minorHAnsi"/>
        </w:rPr>
        <w:t>Have</w:t>
      </w:r>
      <w:r w:rsidR="00DC6FDF" w:rsidRPr="16D5E8AB">
        <w:rPr>
          <w:rFonts w:cstheme="minorBidi"/>
        </w:rPr>
        <w:t xml:space="preserve"> a lean, cost-efficient organizational structure;</w:t>
      </w:r>
      <w:r w:rsidR="00DC6FDF" w:rsidRPr="16D5E8AB">
        <w:rPr>
          <w:rStyle w:val="FootnoteReference"/>
          <w:rFonts w:cstheme="minorBidi"/>
        </w:rPr>
        <w:footnoteReference w:id="15"/>
      </w:r>
    </w:p>
    <w:p w14:paraId="4A3BC200" w14:textId="2B544B9D" w:rsidR="00DC6FDF" w:rsidRDefault="00406A0D" w:rsidP="00406A0D">
      <w:pPr>
        <w:pStyle w:val="RegSingleTxtG"/>
        <w:tabs>
          <w:tab w:val="clear" w:pos="1701"/>
          <w:tab w:val="left" w:pos="1702"/>
        </w:tabs>
        <w:ind w:left="1134" w:right="1133" w:firstLine="567"/>
        <w:rPr>
          <w:rFonts w:cstheme="minorHAnsi"/>
        </w:rPr>
      </w:pPr>
      <w:r>
        <w:rPr>
          <w:rFonts w:cstheme="minorHAnsi"/>
        </w:rPr>
        <w:t>(g)</w:t>
      </w:r>
      <w:r>
        <w:rPr>
          <w:rFonts w:cstheme="minorHAnsi"/>
        </w:rPr>
        <w:tab/>
      </w:r>
      <w:r w:rsidR="00DC6FDF">
        <w:rPr>
          <w:rFonts w:cstheme="minorHAnsi"/>
        </w:rPr>
        <w:t>Make p</w:t>
      </w:r>
      <w:r w:rsidR="00DC6FDF" w:rsidRPr="00307F9B">
        <w:rPr>
          <w:rFonts w:cstheme="minorHAnsi"/>
        </w:rPr>
        <w:t>rovision</w:t>
      </w:r>
      <w:r w:rsidR="00DC6FDF">
        <w:rPr>
          <w:rFonts w:cstheme="minorHAnsi"/>
        </w:rPr>
        <w:t>s</w:t>
      </w:r>
      <w:r w:rsidR="00DC6FDF" w:rsidRPr="00307F9B">
        <w:rPr>
          <w:rFonts w:cstheme="minorHAnsi"/>
        </w:rPr>
        <w:t xml:space="preserve"> </w:t>
      </w:r>
      <w:r w:rsidR="00DC6FDF">
        <w:rPr>
          <w:rFonts w:cstheme="minorHAnsi"/>
        </w:rPr>
        <w:t xml:space="preserve">for </w:t>
      </w:r>
      <w:r w:rsidR="00DC6FDF" w:rsidRPr="00D0148E">
        <w:rPr>
          <w:rFonts w:cstheme="minorHAnsi"/>
        </w:rPr>
        <w:t>discussion</w:t>
      </w:r>
      <w:r w:rsidR="00DC6FDF">
        <w:rPr>
          <w:rFonts w:cstheme="minorHAnsi"/>
        </w:rPr>
        <w:t xml:space="preserve"> on further arrangements for the </w:t>
      </w:r>
      <w:r w:rsidR="00DC6FDF" w:rsidRPr="002A7BFD">
        <w:rPr>
          <w:rFonts w:eastAsia="Times New Roman"/>
        </w:rPr>
        <w:t>implementation</w:t>
      </w:r>
      <w:r w:rsidR="00DC6FDF">
        <w:rPr>
          <w:rFonts w:cstheme="minorHAnsi"/>
        </w:rPr>
        <w:t xml:space="preserve"> of the host agreement (memorandum of understanding)</w:t>
      </w:r>
      <w:r w:rsidR="00DC6FDF" w:rsidRPr="00D0148E">
        <w:rPr>
          <w:rFonts w:cstheme="minorHAnsi"/>
        </w:rPr>
        <w:t xml:space="preserve"> </w:t>
      </w:r>
      <w:r w:rsidR="00DC6FDF">
        <w:rPr>
          <w:rFonts w:cstheme="minorHAnsi"/>
        </w:rPr>
        <w:t xml:space="preserve">in line with future decisions of the governing body or </w:t>
      </w:r>
      <w:proofErr w:type="gramStart"/>
      <w:r w:rsidR="00DC6FDF">
        <w:rPr>
          <w:rFonts w:cstheme="minorHAnsi"/>
        </w:rPr>
        <w:t>bodies;</w:t>
      </w:r>
      <w:proofErr w:type="gramEnd"/>
    </w:p>
    <w:p w14:paraId="718E4F6A" w14:textId="1B79D104" w:rsidR="00DC6FDF" w:rsidRPr="00831BC3" w:rsidRDefault="00406A0D" w:rsidP="00406A0D">
      <w:pPr>
        <w:pStyle w:val="RegSingleTxtG"/>
        <w:tabs>
          <w:tab w:val="clear" w:pos="1701"/>
          <w:tab w:val="left" w:pos="1702"/>
        </w:tabs>
        <w:ind w:left="1134" w:right="1133" w:firstLine="567"/>
        <w:rPr>
          <w:rFonts w:eastAsia="Times New Roman"/>
        </w:rPr>
      </w:pPr>
      <w:r w:rsidRPr="00831BC3">
        <w:rPr>
          <w:rFonts w:eastAsia="Times New Roman"/>
        </w:rPr>
        <w:t>(h)</w:t>
      </w:r>
      <w:r w:rsidRPr="00831BC3">
        <w:rPr>
          <w:rFonts w:eastAsia="Times New Roman"/>
        </w:rPr>
        <w:tab/>
      </w:r>
      <w:r w:rsidR="00DC6FDF">
        <w:rPr>
          <w:rFonts w:eastAsia="Times New Roman"/>
        </w:rPr>
        <w:t xml:space="preserve">Carry </w:t>
      </w:r>
      <w:r w:rsidR="00DC6FDF" w:rsidRPr="007A45CE">
        <w:rPr>
          <w:rFonts w:cstheme="minorHAnsi"/>
        </w:rPr>
        <w:t>out</w:t>
      </w:r>
      <w:r w:rsidR="00DC6FDF" w:rsidRPr="00831BC3">
        <w:rPr>
          <w:rFonts w:eastAsia="Times New Roman"/>
        </w:rPr>
        <w:t xml:space="preserve"> financial management, auditing and reporting functions </w:t>
      </w:r>
      <w:r w:rsidR="00DC6FDF">
        <w:rPr>
          <w:rFonts w:eastAsia="Times New Roman"/>
        </w:rPr>
        <w:t xml:space="preserve">and implement </w:t>
      </w:r>
      <w:r w:rsidR="00DC6FDF" w:rsidRPr="00831BC3">
        <w:rPr>
          <w:rFonts w:eastAsia="Times New Roman"/>
        </w:rPr>
        <w:t>a robust accountability system</w:t>
      </w:r>
      <w:r w:rsidR="00DC6FDF">
        <w:rPr>
          <w:rFonts w:eastAsia="Times New Roman"/>
        </w:rPr>
        <w:t>,</w:t>
      </w:r>
      <w:r w:rsidR="00DC6FDF" w:rsidRPr="00831BC3">
        <w:rPr>
          <w:rFonts w:eastAsia="Times New Roman"/>
        </w:rPr>
        <w:t xml:space="preserve"> sound financial systems of international standard</w:t>
      </w:r>
      <w:r w:rsidR="00DC6FDF">
        <w:rPr>
          <w:rFonts w:eastAsia="Times New Roman"/>
        </w:rPr>
        <w:t>,</w:t>
      </w:r>
      <w:r w:rsidR="00DC6FDF" w:rsidRPr="00831BC3">
        <w:rPr>
          <w:rFonts w:eastAsia="Times New Roman"/>
        </w:rPr>
        <w:t xml:space="preserve"> and a fiduciary record that ensures the correct</w:t>
      </w:r>
      <w:r w:rsidR="00DC6FDF">
        <w:rPr>
          <w:rFonts w:eastAsia="Times New Roman"/>
        </w:rPr>
        <w:t>,</w:t>
      </w:r>
      <w:r w:rsidR="00DC6FDF" w:rsidRPr="00831BC3">
        <w:rPr>
          <w:rFonts w:eastAsia="Times New Roman"/>
        </w:rPr>
        <w:t xml:space="preserve"> impartial administering and disbursement of </w:t>
      </w:r>
      <w:proofErr w:type="gramStart"/>
      <w:r w:rsidR="00DC6FDF" w:rsidRPr="00831BC3">
        <w:rPr>
          <w:rFonts w:eastAsia="Times New Roman"/>
        </w:rPr>
        <w:t>funds;</w:t>
      </w:r>
      <w:proofErr w:type="gramEnd"/>
    </w:p>
    <w:p w14:paraId="7B899867" w14:textId="5EDB3B2B" w:rsidR="00DC6FDF" w:rsidRPr="00EA385A" w:rsidRDefault="00406A0D" w:rsidP="00406A0D">
      <w:pPr>
        <w:pStyle w:val="RegSingleTxtG"/>
        <w:ind w:left="1134"/>
        <w:rPr>
          <w:rFonts w:cstheme="minorHAnsi"/>
        </w:rPr>
      </w:pPr>
      <w:r w:rsidRPr="00EA385A">
        <w:rPr>
          <w:rFonts w:cstheme="minorHAnsi"/>
        </w:rPr>
        <w:t>25.</w:t>
      </w:r>
      <w:r w:rsidRPr="00EA385A">
        <w:rPr>
          <w:rFonts w:cstheme="minorHAnsi"/>
        </w:rPr>
        <w:tab/>
      </w:r>
      <w:r w:rsidR="00DC6FDF">
        <w:rPr>
          <w:rFonts w:cstheme="minorHAnsi"/>
          <w:i/>
          <w:iCs/>
        </w:rPr>
        <w:t>Further requests</w:t>
      </w:r>
      <w:r w:rsidR="00DC6FDF">
        <w:rPr>
          <w:rFonts w:cstheme="minorHAnsi"/>
        </w:rPr>
        <w:t xml:space="preserve"> the Advisory Board of </w:t>
      </w:r>
      <w:r w:rsidR="00DC6FDF" w:rsidRPr="00EA385A">
        <w:rPr>
          <w:rFonts w:cstheme="minorHAnsi"/>
        </w:rPr>
        <w:t xml:space="preserve">the Santiago network to develop its draft rules of procedure with a view to recommending them, through the subsidiary bodies at their sixty-first sessions (November 2024), for consideration and adoption by the governing body or bodies at the session(s) </w:t>
      </w:r>
      <w:r w:rsidR="00DC6FDF" w:rsidRPr="00EA385A">
        <w:t xml:space="preserve">to be held in November </w:t>
      </w:r>
      <w:proofErr w:type="gramStart"/>
      <w:r w:rsidR="00DC6FDF" w:rsidRPr="00EA385A">
        <w:t>2024</w:t>
      </w:r>
      <w:r w:rsidR="00DC6FDF" w:rsidRPr="00EA385A">
        <w:rPr>
          <w:rFonts w:cstheme="minorHAnsi"/>
        </w:rPr>
        <w:t>;</w:t>
      </w:r>
      <w:proofErr w:type="gramEnd"/>
    </w:p>
    <w:p w14:paraId="68A8B435" w14:textId="26888822" w:rsidR="00DC6FDF" w:rsidRPr="00EA385A" w:rsidRDefault="00406A0D" w:rsidP="00406A0D">
      <w:pPr>
        <w:pStyle w:val="RegSingleTxtG"/>
        <w:ind w:left="1134"/>
        <w:rPr>
          <w:rFonts w:cstheme="minorHAnsi"/>
        </w:rPr>
      </w:pPr>
      <w:r w:rsidRPr="00EA385A">
        <w:rPr>
          <w:rFonts w:cstheme="minorHAnsi"/>
        </w:rPr>
        <w:t>26.</w:t>
      </w:r>
      <w:r w:rsidRPr="00EA385A">
        <w:rPr>
          <w:rFonts w:cstheme="minorHAnsi"/>
        </w:rPr>
        <w:tab/>
      </w:r>
      <w:r w:rsidR="00DC6FDF" w:rsidRPr="16D5E8AB">
        <w:rPr>
          <w:rFonts w:cstheme="minorBidi"/>
          <w:i/>
          <w:iCs/>
        </w:rPr>
        <w:t>Invites</w:t>
      </w:r>
      <w:r w:rsidR="00DC6FDF" w:rsidRPr="16D5E8AB">
        <w:rPr>
          <w:rFonts w:cstheme="minorBidi"/>
        </w:rPr>
        <w:t xml:space="preserve"> the Advisory Board of the Santiago network to consider and take appropriate action to catalyse technical assistance of relevant organizations, bodies, networks and experts at the local, national and regional level in developing countries particularly vulnerable to the adverse effects of climate change, including through the provision of guidance for the development by the Santiago network secretariat of guidelines and procedures</w:t>
      </w:r>
      <w:r w:rsidR="00DC6FDF" w:rsidRPr="16D5E8AB">
        <w:rPr>
          <w:rStyle w:val="FootnoteReference"/>
          <w:rFonts w:cstheme="minorBidi"/>
        </w:rPr>
        <w:footnoteReference w:id="16"/>
      </w:r>
      <w:r w:rsidR="00DC6FDF" w:rsidRPr="16D5E8AB">
        <w:rPr>
          <w:rFonts w:cstheme="minorBidi"/>
        </w:rPr>
        <w:t xml:space="preserve"> for ensuring the demand-driven nature of all requests for technical assistance submitted under the Santiago network, and to safeguard against conflicts of interest in, or, as appropriate, the overconcentration of, the provision and delivery of technical assistance through or by specific organizations, bodies, networks and experts;</w:t>
      </w:r>
    </w:p>
    <w:p w14:paraId="2B163AC9" w14:textId="5EC7800E" w:rsidR="00DC6FDF" w:rsidRPr="00EA385A" w:rsidRDefault="00406A0D" w:rsidP="00406A0D">
      <w:pPr>
        <w:pStyle w:val="RegSingleTxtG"/>
        <w:ind w:left="1134"/>
        <w:rPr>
          <w:rFonts w:cstheme="minorHAnsi"/>
        </w:rPr>
      </w:pPr>
      <w:r w:rsidRPr="00EA385A">
        <w:rPr>
          <w:rFonts w:cstheme="minorHAnsi"/>
        </w:rPr>
        <w:t>27.</w:t>
      </w:r>
      <w:r w:rsidRPr="00EA385A">
        <w:rPr>
          <w:rFonts w:cstheme="minorHAnsi"/>
        </w:rPr>
        <w:tab/>
      </w:r>
      <w:r w:rsidR="00DC6FDF">
        <w:rPr>
          <w:rFonts w:cstheme="minorHAnsi"/>
          <w:i/>
          <w:iCs/>
        </w:rPr>
        <w:t>Also i</w:t>
      </w:r>
      <w:r w:rsidR="00DC6FDF" w:rsidRPr="00EA385A">
        <w:rPr>
          <w:rFonts w:cstheme="minorHAnsi"/>
          <w:i/>
          <w:iCs/>
        </w:rPr>
        <w:t>nvites</w:t>
      </w:r>
      <w:r w:rsidR="00DC6FDF" w:rsidRPr="00EA385A">
        <w:rPr>
          <w:rFonts w:cstheme="minorHAnsi"/>
        </w:rPr>
        <w:t xml:space="preserve"> the Advisory Board of the Santiago network to provide guidance to the Santiago network secretariat </w:t>
      </w:r>
      <w:r w:rsidR="00801F4F">
        <w:rPr>
          <w:rFonts w:cstheme="minorHAnsi"/>
        </w:rPr>
        <w:t>on</w:t>
      </w:r>
      <w:r w:rsidR="00DC6FDF" w:rsidRPr="00EA385A">
        <w:rPr>
          <w:rFonts w:cstheme="minorHAnsi"/>
        </w:rPr>
        <w:t xml:space="preserve"> develop</w:t>
      </w:r>
      <w:r w:rsidR="00801F4F">
        <w:rPr>
          <w:rFonts w:cstheme="minorHAnsi"/>
        </w:rPr>
        <w:t>ing</w:t>
      </w:r>
      <w:r w:rsidR="00DC6FDF" w:rsidRPr="00EA385A">
        <w:rPr>
          <w:rFonts w:cstheme="minorHAnsi"/>
        </w:rPr>
        <w:t xml:space="preserve"> guidelines and procedures for enabling access to and assisting in preparing requests for technical assistance that recognize the significant capacity constraints of the least developed countries and small island developing </w:t>
      </w:r>
      <w:proofErr w:type="gramStart"/>
      <w:r w:rsidR="00DC6FDF" w:rsidRPr="00EA385A">
        <w:rPr>
          <w:rFonts w:cstheme="minorHAnsi"/>
        </w:rPr>
        <w:t>States;</w:t>
      </w:r>
      <w:proofErr w:type="gramEnd"/>
    </w:p>
    <w:p w14:paraId="0ED9E938" w14:textId="36AE7B93" w:rsidR="00DC6FDF" w:rsidRPr="00C2166F" w:rsidRDefault="00406A0D" w:rsidP="00406A0D">
      <w:pPr>
        <w:pStyle w:val="RegSingleTxtG"/>
        <w:ind w:left="1134"/>
        <w:rPr>
          <w:rFonts w:eastAsia="Times New Roman"/>
        </w:rPr>
      </w:pPr>
      <w:r w:rsidRPr="00C2166F">
        <w:rPr>
          <w:rFonts w:eastAsia="Times New Roman"/>
        </w:rPr>
        <w:t>28.</w:t>
      </w:r>
      <w:r w:rsidRPr="00C2166F">
        <w:rPr>
          <w:rFonts w:eastAsia="Times New Roman"/>
        </w:rPr>
        <w:tab/>
      </w:r>
      <w:r w:rsidR="00DC6FDF" w:rsidRPr="009075FB">
        <w:rPr>
          <w:rFonts w:cstheme="minorHAnsi"/>
          <w:i/>
          <w:iCs/>
        </w:rPr>
        <w:t>Requests</w:t>
      </w:r>
      <w:r w:rsidR="00DC6FDF" w:rsidRPr="00C2166F">
        <w:rPr>
          <w:rFonts w:eastAsia="Times New Roman"/>
        </w:rPr>
        <w:t xml:space="preserve"> </w:t>
      </w:r>
      <w:r w:rsidR="00DC6FDF">
        <w:rPr>
          <w:rFonts w:eastAsia="Times New Roman"/>
        </w:rPr>
        <w:t xml:space="preserve">the </w:t>
      </w:r>
      <w:r w:rsidR="00DC6FDF" w:rsidRPr="00C2166F">
        <w:rPr>
          <w:rFonts w:eastAsia="Times New Roman"/>
        </w:rPr>
        <w:t xml:space="preserve">host of the </w:t>
      </w:r>
      <w:r w:rsidR="00DC6FDF">
        <w:rPr>
          <w:rFonts w:eastAsia="Times New Roman"/>
        </w:rPr>
        <w:t xml:space="preserve">Santiago network </w:t>
      </w:r>
      <w:r w:rsidR="00DC6FDF" w:rsidRPr="00C2166F">
        <w:rPr>
          <w:rFonts w:eastAsia="Times New Roman"/>
        </w:rPr>
        <w:t xml:space="preserve">secretariat to ensure that the Santiago network and its secretariat are able to receive the required financial and other support from a wide variety of sources </w:t>
      </w:r>
      <w:r w:rsidR="00DC6FDF" w:rsidRPr="00D0148E">
        <w:rPr>
          <w:rFonts w:eastAsia="Times New Roman"/>
        </w:rPr>
        <w:t>through</w:t>
      </w:r>
      <w:r w:rsidR="00DC6FDF" w:rsidRPr="00C2166F">
        <w:rPr>
          <w:rFonts w:eastAsia="Times New Roman"/>
        </w:rPr>
        <w:t xml:space="preserve"> a</w:t>
      </w:r>
      <w:r w:rsidR="00DC6FDF">
        <w:rPr>
          <w:rFonts w:eastAsia="Times New Roman"/>
        </w:rPr>
        <w:t>l</w:t>
      </w:r>
      <w:r w:rsidR="00DC6FDF" w:rsidRPr="00C2166F">
        <w:rPr>
          <w:rFonts w:eastAsia="Times New Roman"/>
        </w:rPr>
        <w:t>l parts of the consortiu</w:t>
      </w:r>
      <w:r w:rsidR="00DC6FDF">
        <w:rPr>
          <w:rFonts w:eastAsia="Times New Roman"/>
        </w:rPr>
        <w:t>m</w:t>
      </w:r>
      <w:r w:rsidR="00DC6FDF" w:rsidRPr="00C2166F">
        <w:rPr>
          <w:rFonts w:eastAsia="Times New Roman"/>
        </w:rPr>
        <w:t xml:space="preserve"> to implement the terms of reference of the Santiago </w:t>
      </w:r>
      <w:proofErr w:type="gramStart"/>
      <w:r w:rsidR="00DC6FDF" w:rsidRPr="00C2166F">
        <w:rPr>
          <w:rFonts w:eastAsia="Times New Roman"/>
        </w:rPr>
        <w:t>network;</w:t>
      </w:r>
      <w:proofErr w:type="gramEnd"/>
    </w:p>
    <w:p w14:paraId="58D4C5A9" w14:textId="36B77273" w:rsidR="00DC6FDF" w:rsidRPr="00A025B4" w:rsidRDefault="00406A0D" w:rsidP="00406A0D">
      <w:pPr>
        <w:pStyle w:val="RegSingleTxtG"/>
        <w:ind w:left="1134"/>
        <w:rPr>
          <w:rFonts w:cstheme="minorHAnsi"/>
        </w:rPr>
      </w:pPr>
      <w:r w:rsidRPr="00A025B4">
        <w:rPr>
          <w:rFonts w:cstheme="minorHAnsi"/>
        </w:rPr>
        <w:t>29.</w:t>
      </w:r>
      <w:r w:rsidRPr="00A025B4">
        <w:rPr>
          <w:rFonts w:cstheme="minorHAnsi"/>
        </w:rPr>
        <w:tab/>
      </w:r>
      <w:r w:rsidR="00DC6FDF">
        <w:rPr>
          <w:rFonts w:cstheme="minorHAnsi"/>
          <w:i/>
          <w:iCs/>
        </w:rPr>
        <w:tab/>
      </w:r>
      <w:r w:rsidR="00DC6FDF" w:rsidRPr="00E76056">
        <w:rPr>
          <w:rFonts w:cstheme="minorHAnsi"/>
          <w:i/>
          <w:iCs/>
        </w:rPr>
        <w:t>Recalls</w:t>
      </w:r>
      <w:r w:rsidR="00DC6FDF" w:rsidRPr="00E76056">
        <w:rPr>
          <w:rFonts w:cstheme="minorHAnsi"/>
        </w:rPr>
        <w:t xml:space="preserve"> paragraph 67</w:t>
      </w:r>
      <w:r w:rsidR="00DC6FDF">
        <w:rPr>
          <w:rFonts w:cstheme="minorHAnsi"/>
        </w:rPr>
        <w:t xml:space="preserve"> of</w:t>
      </w:r>
      <w:r w:rsidR="00DC6FDF" w:rsidRPr="00307F9B">
        <w:rPr>
          <w:rFonts w:cstheme="minorHAnsi"/>
        </w:rPr>
        <w:t xml:space="preserve"> decision 1/CMA.3</w:t>
      </w:r>
      <w:r w:rsidR="00DC6FDF" w:rsidRPr="00E76056">
        <w:rPr>
          <w:rFonts w:cstheme="minorHAnsi"/>
        </w:rPr>
        <w:t xml:space="preserve">, in which it was decided that the Santiago network will be provided with funds to support technical assistance for the implementation of relevant approaches to avert, </w:t>
      </w:r>
      <w:r w:rsidR="00DC6FDF" w:rsidRPr="00307F9B">
        <w:rPr>
          <w:rFonts w:cstheme="minorHAnsi"/>
        </w:rPr>
        <w:t>minimiz</w:t>
      </w:r>
      <w:r w:rsidR="00DC6FDF">
        <w:rPr>
          <w:rFonts w:cstheme="minorHAnsi"/>
        </w:rPr>
        <w:t>e</w:t>
      </w:r>
      <w:r w:rsidR="00DC6FDF" w:rsidRPr="00E76056">
        <w:rPr>
          <w:rFonts w:cstheme="minorHAnsi"/>
        </w:rPr>
        <w:t xml:space="preserve"> and address loss and damage associated with the adverse effects of climate change in developing countries in support of the functions set out in paragraph 9 of decision 19/CMA.</w:t>
      </w:r>
      <w:proofErr w:type="gramStart"/>
      <w:r w:rsidR="00DC6FDF" w:rsidRPr="00E76056">
        <w:rPr>
          <w:rFonts w:cstheme="minorHAnsi"/>
        </w:rPr>
        <w:t>3;</w:t>
      </w:r>
      <w:proofErr w:type="gramEnd"/>
      <w:r w:rsidR="00DC6FDF" w:rsidRPr="00A025B4">
        <w:rPr>
          <w:rFonts w:cstheme="minorHAnsi"/>
        </w:rPr>
        <w:t xml:space="preserve"> </w:t>
      </w:r>
    </w:p>
    <w:p w14:paraId="75AFC6B3" w14:textId="03217CA5" w:rsidR="00DC6FDF" w:rsidRPr="00C2166F" w:rsidRDefault="00406A0D" w:rsidP="00406A0D">
      <w:pPr>
        <w:pStyle w:val="RegSingleTxtG"/>
        <w:ind w:left="1134"/>
        <w:rPr>
          <w:rFonts w:cstheme="minorHAnsi"/>
        </w:rPr>
      </w:pPr>
      <w:r w:rsidRPr="00C2166F">
        <w:rPr>
          <w:rFonts w:cstheme="minorHAnsi"/>
        </w:rPr>
        <w:t>30.</w:t>
      </w:r>
      <w:r w:rsidRPr="00C2166F">
        <w:rPr>
          <w:rFonts w:cstheme="minorHAnsi"/>
        </w:rPr>
        <w:tab/>
      </w:r>
      <w:r w:rsidR="00DC6FDF" w:rsidRPr="00C2166F">
        <w:rPr>
          <w:rFonts w:cstheme="minorHAnsi"/>
          <w:i/>
          <w:iCs/>
        </w:rPr>
        <w:t xml:space="preserve">Also recalls </w:t>
      </w:r>
      <w:r w:rsidR="00DC6FDF" w:rsidRPr="00C2166F">
        <w:rPr>
          <w:rFonts w:cstheme="minorHAnsi"/>
        </w:rPr>
        <w:t xml:space="preserve">paragraph 70 of decision 1/CMA.3, which </w:t>
      </w:r>
      <w:r w:rsidR="00DC6FDF">
        <w:rPr>
          <w:rFonts w:cstheme="minorHAnsi"/>
        </w:rPr>
        <w:t xml:space="preserve">urged </w:t>
      </w:r>
      <w:r w:rsidR="00DC6FDF" w:rsidRPr="00C2166F">
        <w:rPr>
          <w:rFonts w:cstheme="minorHAnsi"/>
        </w:rPr>
        <w:t xml:space="preserve">developed country Parties to provide funds for the operation of the Santiago network and for the provision of technical assistance as set out in paragraph 67 of the same </w:t>
      </w:r>
      <w:proofErr w:type="gramStart"/>
      <w:r w:rsidR="00DC6FDF" w:rsidRPr="00C2166F">
        <w:rPr>
          <w:rFonts w:cstheme="minorHAnsi"/>
        </w:rPr>
        <w:t>decision;</w:t>
      </w:r>
      <w:proofErr w:type="gramEnd"/>
      <w:r w:rsidR="00DC6FDF" w:rsidRPr="00C2166F">
        <w:rPr>
          <w:rFonts w:cstheme="minorHAnsi"/>
        </w:rPr>
        <w:t xml:space="preserve"> </w:t>
      </w:r>
    </w:p>
    <w:p w14:paraId="7366A6DA" w14:textId="2C16D621" w:rsidR="00DC6FDF" w:rsidRPr="0061315C" w:rsidRDefault="00406A0D" w:rsidP="00406A0D">
      <w:pPr>
        <w:pStyle w:val="RegSingleTxtG"/>
        <w:ind w:left="1134"/>
        <w:rPr>
          <w:rFonts w:cstheme="minorHAnsi"/>
        </w:rPr>
      </w:pPr>
      <w:r w:rsidRPr="0061315C">
        <w:rPr>
          <w:rFonts w:cstheme="minorHAnsi"/>
        </w:rPr>
        <w:t>31.</w:t>
      </w:r>
      <w:r w:rsidRPr="0061315C">
        <w:rPr>
          <w:rFonts w:cstheme="minorHAnsi"/>
        </w:rPr>
        <w:tab/>
      </w:r>
      <w:r w:rsidR="00DC6FDF">
        <w:rPr>
          <w:rFonts w:cstheme="minorHAnsi"/>
          <w:i/>
          <w:iCs/>
        </w:rPr>
        <w:t>Further r</w:t>
      </w:r>
      <w:r w:rsidR="00DC6FDF" w:rsidRPr="00C2166F">
        <w:rPr>
          <w:rFonts w:cstheme="minorHAnsi"/>
          <w:i/>
          <w:iCs/>
        </w:rPr>
        <w:t xml:space="preserve">ecalls </w:t>
      </w:r>
      <w:r w:rsidR="00DC6FDF" w:rsidRPr="00C2166F">
        <w:rPr>
          <w:rFonts w:cstheme="minorHAnsi"/>
        </w:rPr>
        <w:t>para</w:t>
      </w:r>
      <w:r w:rsidR="00DC6FDF">
        <w:rPr>
          <w:rFonts w:cstheme="minorHAnsi"/>
        </w:rPr>
        <w:t>graph</w:t>
      </w:r>
      <w:r w:rsidR="00DC6FDF" w:rsidRPr="00C2166F">
        <w:rPr>
          <w:rFonts w:cstheme="minorHAnsi"/>
        </w:rPr>
        <w:t xml:space="preserve"> 6 </w:t>
      </w:r>
      <w:r w:rsidR="00DC6FDF">
        <w:rPr>
          <w:rFonts w:cstheme="minorHAnsi"/>
        </w:rPr>
        <w:t xml:space="preserve">of </w:t>
      </w:r>
      <w:r w:rsidR="00DC6FDF" w:rsidRPr="00D0148E">
        <w:rPr>
          <w:rFonts w:cstheme="minorHAnsi"/>
        </w:rPr>
        <w:t>decision</w:t>
      </w:r>
      <w:r w:rsidR="00DC6FDF">
        <w:rPr>
          <w:rFonts w:cstheme="minorHAnsi"/>
        </w:rPr>
        <w:t xml:space="preserve"> </w:t>
      </w:r>
      <w:r w:rsidR="00DC6FDF" w:rsidRPr="00D0148E">
        <w:rPr>
          <w:rFonts w:cstheme="minorHAnsi"/>
        </w:rPr>
        <w:t>12</w:t>
      </w:r>
      <w:r w:rsidR="00DC6FDF" w:rsidRPr="00C2166F">
        <w:rPr>
          <w:rFonts w:cstheme="minorHAnsi"/>
        </w:rPr>
        <w:t>/CMA.4</w:t>
      </w:r>
      <w:r w:rsidR="00DC6FDF">
        <w:rPr>
          <w:rFonts w:cstheme="minorHAnsi"/>
        </w:rPr>
        <w:t>,</w:t>
      </w:r>
      <w:r w:rsidR="00DC6FDF" w:rsidRPr="00C2166F">
        <w:rPr>
          <w:rFonts w:cstheme="minorHAnsi"/>
        </w:rPr>
        <w:t xml:space="preserve"> endorsed </w:t>
      </w:r>
      <w:r w:rsidR="00DC6FDF">
        <w:rPr>
          <w:rFonts w:cstheme="minorHAnsi"/>
        </w:rPr>
        <w:t>by</w:t>
      </w:r>
      <w:r w:rsidR="00DC6FDF" w:rsidRPr="00D0148E">
        <w:rPr>
          <w:rFonts w:cstheme="minorHAnsi"/>
        </w:rPr>
        <w:t xml:space="preserve"> </w:t>
      </w:r>
      <w:r w:rsidR="00DC6FDF">
        <w:rPr>
          <w:rFonts w:cstheme="minorHAnsi"/>
        </w:rPr>
        <w:t>decision</w:t>
      </w:r>
      <w:r w:rsidR="00DC6FDF" w:rsidRPr="00C2166F">
        <w:rPr>
          <w:rFonts w:cstheme="minorHAnsi"/>
        </w:rPr>
        <w:t xml:space="preserve"> 11/CP.27</w:t>
      </w:r>
      <w:r w:rsidR="00DC6FDF">
        <w:rPr>
          <w:rFonts w:cstheme="minorHAnsi"/>
        </w:rPr>
        <w:t>,</w:t>
      </w:r>
      <w:r w:rsidR="00DC6FDF" w:rsidRPr="00C2166F">
        <w:rPr>
          <w:rFonts w:cstheme="minorHAnsi"/>
        </w:rPr>
        <w:t xml:space="preserve"> which encouraged</w:t>
      </w:r>
      <w:r w:rsidR="00DC6FDF" w:rsidRPr="0061315C">
        <w:rPr>
          <w:rFonts w:cstheme="minorHAnsi"/>
        </w:rPr>
        <w:t xml:space="preserve"> </w:t>
      </w:r>
      <w:r w:rsidR="00DC6FDF" w:rsidRPr="00E76056">
        <w:rPr>
          <w:rFonts w:cstheme="minorHAnsi"/>
        </w:rPr>
        <w:t xml:space="preserve">others to provide support for the operation of the Santiago network and </w:t>
      </w:r>
      <w:r w:rsidR="00DC6FDF">
        <w:rPr>
          <w:rFonts w:cstheme="minorHAnsi"/>
        </w:rPr>
        <w:t>for the provision of</w:t>
      </w:r>
      <w:r w:rsidR="00DC6FDF" w:rsidRPr="00307F9B">
        <w:rPr>
          <w:rFonts w:cstheme="minorHAnsi"/>
        </w:rPr>
        <w:t xml:space="preserve"> </w:t>
      </w:r>
      <w:r w:rsidR="00DC6FDF" w:rsidRPr="00E76056">
        <w:rPr>
          <w:rFonts w:cstheme="minorHAnsi"/>
        </w:rPr>
        <w:t>technical assistance</w:t>
      </w:r>
      <w:r w:rsidR="00DC6FDF">
        <w:rPr>
          <w:rFonts w:cstheme="minorHAnsi"/>
        </w:rPr>
        <w:t xml:space="preserve"> under the </w:t>
      </w:r>
      <w:proofErr w:type="gramStart"/>
      <w:r w:rsidR="00DC6FDF">
        <w:rPr>
          <w:rFonts w:cstheme="minorHAnsi"/>
        </w:rPr>
        <w:t>network</w:t>
      </w:r>
      <w:r w:rsidR="00DC6FDF" w:rsidRPr="00E76056">
        <w:rPr>
          <w:rFonts w:cstheme="minorHAnsi"/>
        </w:rPr>
        <w:t>;</w:t>
      </w:r>
      <w:proofErr w:type="gramEnd"/>
      <w:r w:rsidR="00DC6FDF" w:rsidRPr="0061315C">
        <w:rPr>
          <w:rFonts w:cstheme="minorHAnsi"/>
        </w:rPr>
        <w:t xml:space="preserve"> </w:t>
      </w:r>
    </w:p>
    <w:p w14:paraId="441BF3B4" w14:textId="746A4646" w:rsidR="00DC6FDF" w:rsidRDefault="00406A0D" w:rsidP="00406A0D">
      <w:pPr>
        <w:pStyle w:val="RegSingleTxtG"/>
        <w:ind w:left="1134"/>
        <w:rPr>
          <w:rFonts w:cstheme="minorHAnsi"/>
        </w:rPr>
      </w:pPr>
      <w:r>
        <w:rPr>
          <w:rFonts w:cstheme="minorHAnsi"/>
        </w:rPr>
        <w:t>32.</w:t>
      </w:r>
      <w:r>
        <w:rPr>
          <w:rFonts w:cstheme="minorHAnsi"/>
        </w:rPr>
        <w:tab/>
      </w:r>
      <w:r w:rsidR="00DC6FDF" w:rsidRPr="16D5E8AB">
        <w:rPr>
          <w:rFonts w:cstheme="minorBidi"/>
          <w:i/>
          <w:iCs/>
        </w:rPr>
        <w:t>Welcomes</w:t>
      </w:r>
      <w:r w:rsidR="00DC6FDF" w:rsidRPr="16D5E8AB">
        <w:rPr>
          <w:rFonts w:cstheme="minorBidi"/>
        </w:rPr>
        <w:t xml:space="preserve"> the pledges made to the Santiago network as </w:t>
      </w:r>
      <w:proofErr w:type="gramStart"/>
      <w:r w:rsidR="00DC6FDF" w:rsidRPr="16D5E8AB">
        <w:rPr>
          <w:rFonts w:cstheme="minorBidi"/>
        </w:rPr>
        <w:t>at</w:t>
      </w:r>
      <w:proofErr w:type="gramEnd"/>
      <w:r w:rsidR="00DC6FDF" w:rsidRPr="16D5E8AB">
        <w:rPr>
          <w:rFonts w:cstheme="minorBidi"/>
        </w:rPr>
        <w:t xml:space="preserve"> 6 December 2023 by the European Union and its member States Denmark, Germany, Ireland and Luxembourg, and </w:t>
      </w:r>
      <w:r w:rsidR="00DC6FDF" w:rsidRPr="16D5E8AB">
        <w:rPr>
          <w:rFonts w:cstheme="minorBidi"/>
        </w:rPr>
        <w:lastRenderedPageBreak/>
        <w:t xml:space="preserve">by Switzerland and the United Kingdom of Great Britain and Northern Ireland, amounting to approximately USD </w:t>
      </w:r>
      <w:r w:rsidR="00DC6FDF">
        <w:rPr>
          <w:rStyle w:val="ui-provider"/>
        </w:rPr>
        <w:t xml:space="preserve">40.7 </w:t>
      </w:r>
      <w:r w:rsidR="00DC6FDF" w:rsidRPr="16D5E8AB">
        <w:rPr>
          <w:rFonts w:cstheme="minorBidi"/>
        </w:rPr>
        <w:t>million;</w:t>
      </w:r>
      <w:r w:rsidR="00DC6FDF" w:rsidRPr="3F980F0B">
        <w:rPr>
          <w:rStyle w:val="FootnoteReference"/>
          <w:lang w:eastAsia="en-US"/>
        </w:rPr>
        <w:footnoteReference w:id="17"/>
      </w:r>
    </w:p>
    <w:p w14:paraId="7F6119A0" w14:textId="584BF106" w:rsidR="00DC6FDF" w:rsidRPr="00A025B4" w:rsidRDefault="00406A0D" w:rsidP="00406A0D">
      <w:pPr>
        <w:pStyle w:val="RegSingleTxtG"/>
        <w:ind w:left="1134"/>
        <w:rPr>
          <w:rFonts w:cstheme="minorHAnsi"/>
        </w:rPr>
      </w:pPr>
      <w:bookmarkStart w:id="20" w:name="_Ref153209198"/>
      <w:r w:rsidRPr="00A025B4">
        <w:rPr>
          <w:rFonts w:cstheme="minorHAnsi"/>
        </w:rPr>
        <w:t>33.</w:t>
      </w:r>
      <w:r w:rsidRPr="00A025B4">
        <w:rPr>
          <w:rFonts w:cstheme="minorHAnsi"/>
        </w:rPr>
        <w:tab/>
      </w:r>
      <w:r w:rsidR="00DC6FDF" w:rsidRPr="00E76056">
        <w:rPr>
          <w:rFonts w:cstheme="minorHAnsi"/>
          <w:i/>
          <w:iCs/>
        </w:rPr>
        <w:t xml:space="preserve">Recalls </w:t>
      </w:r>
      <w:r w:rsidR="00DC6FDF">
        <w:rPr>
          <w:rFonts w:cstheme="minorHAnsi"/>
        </w:rPr>
        <w:t xml:space="preserve">paragraph 69 of </w:t>
      </w:r>
      <w:r w:rsidR="00DC6FDF" w:rsidRPr="00E76056">
        <w:rPr>
          <w:rFonts w:cstheme="minorHAnsi"/>
        </w:rPr>
        <w:t>decision 1/CMA.3</w:t>
      </w:r>
      <w:r w:rsidR="00DC6FDF">
        <w:rPr>
          <w:rFonts w:cstheme="minorHAnsi"/>
        </w:rPr>
        <w:t>,</w:t>
      </w:r>
      <w:r w:rsidR="00DC6FDF" w:rsidRPr="00307F9B">
        <w:rPr>
          <w:rFonts w:cstheme="minorHAnsi"/>
        </w:rPr>
        <w:t xml:space="preserve"> </w:t>
      </w:r>
      <w:r w:rsidR="00DC6FDF">
        <w:rPr>
          <w:rFonts w:cstheme="minorHAnsi"/>
        </w:rPr>
        <w:t>which states</w:t>
      </w:r>
      <w:r w:rsidR="00DC6FDF" w:rsidRPr="00E76056">
        <w:rPr>
          <w:rFonts w:cstheme="minorHAnsi"/>
        </w:rPr>
        <w:t xml:space="preserve"> that the Santiago network secretariat will administer the funds referred to in paragraph 67 of </w:t>
      </w:r>
      <w:r w:rsidR="00DC6FDF">
        <w:rPr>
          <w:rFonts w:cstheme="minorHAnsi"/>
        </w:rPr>
        <w:t>the same</w:t>
      </w:r>
      <w:r w:rsidR="00DC6FDF" w:rsidRPr="00E76056">
        <w:rPr>
          <w:rFonts w:cstheme="minorHAnsi"/>
        </w:rPr>
        <w:t xml:space="preserve"> </w:t>
      </w:r>
      <w:proofErr w:type="gramStart"/>
      <w:r w:rsidR="00DC6FDF" w:rsidRPr="00E76056">
        <w:rPr>
          <w:rFonts w:cstheme="minorHAnsi"/>
        </w:rPr>
        <w:t>decision;</w:t>
      </w:r>
      <w:bookmarkEnd w:id="20"/>
      <w:proofErr w:type="gramEnd"/>
    </w:p>
    <w:p w14:paraId="4B211C24" w14:textId="4DD0A4B7" w:rsidR="00DC6FDF" w:rsidRPr="00C2166F" w:rsidRDefault="00406A0D" w:rsidP="00406A0D">
      <w:pPr>
        <w:pStyle w:val="RegSingleTxtG"/>
        <w:ind w:left="1134"/>
        <w:rPr>
          <w:rFonts w:cstheme="minorHAnsi"/>
        </w:rPr>
      </w:pPr>
      <w:r w:rsidRPr="00C2166F">
        <w:rPr>
          <w:rFonts w:cstheme="minorHAnsi"/>
        </w:rPr>
        <w:t>34.</w:t>
      </w:r>
      <w:r w:rsidRPr="00C2166F">
        <w:rPr>
          <w:rFonts w:cstheme="minorHAnsi"/>
        </w:rPr>
        <w:tab/>
      </w:r>
      <w:r w:rsidR="00DC6FDF" w:rsidRPr="16D5E8AB">
        <w:rPr>
          <w:rFonts w:cstheme="minorBidi"/>
          <w:i/>
          <w:iCs/>
        </w:rPr>
        <w:t>Welcomes</w:t>
      </w:r>
      <w:r w:rsidR="00DC6FDF" w:rsidRPr="16D5E8AB">
        <w:rPr>
          <w:rFonts w:cstheme="minorBidi"/>
        </w:rPr>
        <w:t xml:space="preserve"> </w:t>
      </w:r>
      <w:r w:rsidR="00DC6FDF" w:rsidRPr="00311E47">
        <w:rPr>
          <w:rFonts w:cstheme="minorHAnsi"/>
        </w:rPr>
        <w:t>decisions</w:t>
      </w:r>
      <w:r w:rsidR="00DC6FDF" w:rsidRPr="16D5E8AB">
        <w:rPr>
          <w:rFonts w:cstheme="minorBidi"/>
        </w:rPr>
        <w:t xml:space="preserve"> </w:t>
      </w:r>
      <w:r w:rsidR="00E17176">
        <w:rPr>
          <w:rFonts w:cstheme="minorBidi"/>
        </w:rPr>
        <w:t>1</w:t>
      </w:r>
      <w:r w:rsidR="00DC6FDF" w:rsidRPr="16D5E8AB">
        <w:rPr>
          <w:rFonts w:cstheme="minorBidi"/>
        </w:rPr>
        <w:t xml:space="preserve">/CP.28 and </w:t>
      </w:r>
      <w:r w:rsidR="00395496">
        <w:rPr>
          <w:rFonts w:cstheme="minorBidi"/>
        </w:rPr>
        <w:t>5</w:t>
      </w:r>
      <w:r w:rsidR="00DC6FDF" w:rsidRPr="16D5E8AB">
        <w:rPr>
          <w:rFonts w:cstheme="minorBidi"/>
        </w:rPr>
        <w:t xml:space="preserve">/CMA.5 </w:t>
      </w:r>
      <w:r w:rsidR="00DC6FDF" w:rsidRPr="00C2166F">
        <w:rPr>
          <w:rStyle w:val="ui-provider"/>
        </w:rPr>
        <w:t xml:space="preserve">on the operationalization of the new funding arrangements, including a fund, </w:t>
      </w:r>
      <w:r w:rsidR="00DC6FDF" w:rsidRPr="007356EA">
        <w:rPr>
          <w:rStyle w:val="ui-provider"/>
        </w:rPr>
        <w:t>for assisting developing countries particularly vulnerable to the adverse effects of climate change in responding</w:t>
      </w:r>
      <w:r w:rsidR="00DC6FDF" w:rsidRPr="00C2166F">
        <w:rPr>
          <w:rStyle w:val="ui-provider"/>
        </w:rPr>
        <w:t xml:space="preserve"> to loss and damage referred to in paragraphs 2–3 of decisions 2/CP.27 and 2/CMA.4</w:t>
      </w:r>
      <w:r w:rsidR="00DC6FDF" w:rsidRPr="16D5E8AB">
        <w:rPr>
          <w:rFonts w:cstheme="minorBidi"/>
        </w:rPr>
        <w:t xml:space="preserve">, taking note of the parts of those decisions that relate to the Santiago </w:t>
      </w:r>
      <w:proofErr w:type="gramStart"/>
      <w:r w:rsidR="00DC6FDF" w:rsidRPr="16D5E8AB">
        <w:rPr>
          <w:rFonts w:cstheme="minorBidi"/>
        </w:rPr>
        <w:t>network;</w:t>
      </w:r>
      <w:proofErr w:type="gramEnd"/>
      <w:r w:rsidR="00DC6FDF" w:rsidRPr="16D5E8AB">
        <w:rPr>
          <w:rFonts w:cstheme="minorBidi"/>
        </w:rPr>
        <w:t xml:space="preserve"> </w:t>
      </w:r>
    </w:p>
    <w:p w14:paraId="50416539" w14:textId="426F95BF" w:rsidR="00DC6FDF" w:rsidRPr="00C2166F" w:rsidRDefault="00406A0D" w:rsidP="00406A0D">
      <w:pPr>
        <w:pStyle w:val="RegSingleTxtG"/>
        <w:ind w:left="1134"/>
        <w:rPr>
          <w:rFonts w:cstheme="minorHAnsi"/>
        </w:rPr>
      </w:pPr>
      <w:r w:rsidRPr="00C2166F">
        <w:rPr>
          <w:rFonts w:cstheme="minorHAnsi"/>
        </w:rPr>
        <w:t>35.</w:t>
      </w:r>
      <w:r w:rsidRPr="00C2166F">
        <w:rPr>
          <w:rFonts w:cstheme="minorHAnsi"/>
        </w:rPr>
        <w:tab/>
      </w:r>
      <w:r w:rsidR="00DC6FDF" w:rsidRPr="16D5E8AB">
        <w:rPr>
          <w:rFonts w:cstheme="minorBidi"/>
          <w:i/>
          <w:iCs/>
        </w:rPr>
        <w:t>Requests</w:t>
      </w:r>
      <w:r w:rsidR="00DC6FDF" w:rsidRPr="16D5E8AB">
        <w:rPr>
          <w:rFonts w:cstheme="minorBidi"/>
        </w:rPr>
        <w:t xml:space="preserve"> the Advisory Board of the Santiago network to designate </w:t>
      </w:r>
      <w:r w:rsidR="00040BDA">
        <w:rPr>
          <w:rFonts w:cstheme="minorBidi"/>
        </w:rPr>
        <w:t xml:space="preserve">up to two </w:t>
      </w:r>
      <w:r w:rsidR="00040BDA" w:rsidRPr="16D5E8AB">
        <w:rPr>
          <w:rFonts w:cstheme="minorBidi"/>
        </w:rPr>
        <w:t>representatives</w:t>
      </w:r>
      <w:r w:rsidR="00DC6FDF" w:rsidRPr="16D5E8AB">
        <w:rPr>
          <w:rFonts w:cstheme="minorBidi"/>
        </w:rPr>
        <w:t xml:space="preserve"> to take part in the annual high-level dialogue on coordination and complementarity with representatives of the main entities forming part of the new funding arrangements, referred to in paragraph 2 of decisions 2/CP.27 and 2/CMA.4, pursuant to paragraphs 11–16 of annex II to decisions </w:t>
      </w:r>
      <w:r w:rsidR="00E37D46">
        <w:rPr>
          <w:rFonts w:cstheme="minorBidi"/>
        </w:rPr>
        <w:t>1</w:t>
      </w:r>
      <w:r w:rsidR="00DC6FDF" w:rsidRPr="16D5E8AB">
        <w:rPr>
          <w:rFonts w:cstheme="minorBidi"/>
        </w:rPr>
        <w:t xml:space="preserve">/CP.28 and </w:t>
      </w:r>
      <w:r w:rsidR="00BA4367">
        <w:rPr>
          <w:rFonts w:cstheme="minorBidi"/>
        </w:rPr>
        <w:t>5</w:t>
      </w:r>
      <w:r w:rsidR="00DC6FDF" w:rsidRPr="16D5E8AB">
        <w:rPr>
          <w:rFonts w:cstheme="minorBidi"/>
        </w:rPr>
        <w:t>/CMA.</w:t>
      </w:r>
      <w:proofErr w:type="gramStart"/>
      <w:r w:rsidR="00DC6FDF" w:rsidRPr="16D5E8AB">
        <w:rPr>
          <w:rFonts w:cstheme="minorBidi"/>
        </w:rPr>
        <w:t>5;</w:t>
      </w:r>
      <w:proofErr w:type="gramEnd"/>
    </w:p>
    <w:p w14:paraId="77D514DE" w14:textId="0068757B" w:rsidR="00DC6FDF" w:rsidRPr="00C2166F" w:rsidRDefault="00406A0D" w:rsidP="00406A0D">
      <w:pPr>
        <w:pStyle w:val="RegSingleTxtG"/>
        <w:ind w:left="1134"/>
        <w:rPr>
          <w:rFonts w:cstheme="minorHAnsi"/>
        </w:rPr>
      </w:pPr>
      <w:r w:rsidRPr="00C2166F">
        <w:rPr>
          <w:rFonts w:cstheme="minorHAnsi"/>
        </w:rPr>
        <w:t>36.</w:t>
      </w:r>
      <w:r w:rsidRPr="00C2166F">
        <w:rPr>
          <w:rFonts w:cstheme="minorHAnsi"/>
        </w:rPr>
        <w:tab/>
      </w:r>
      <w:r w:rsidR="00DC6FDF" w:rsidRPr="00C2166F">
        <w:rPr>
          <w:rFonts w:cstheme="minorHAnsi"/>
          <w:i/>
          <w:iCs/>
        </w:rPr>
        <w:t>Invites</w:t>
      </w:r>
      <w:r w:rsidR="00DC6FDF" w:rsidRPr="00C2166F">
        <w:rPr>
          <w:rFonts w:cstheme="minorHAnsi"/>
        </w:rPr>
        <w:t xml:space="preserve"> the </w:t>
      </w:r>
      <w:r w:rsidR="00DC6FDF" w:rsidRPr="00311E47">
        <w:rPr>
          <w:rFonts w:cstheme="minorBidi"/>
        </w:rPr>
        <w:t>Santiago</w:t>
      </w:r>
      <w:r w:rsidR="00DC6FDF" w:rsidRPr="00C2166F">
        <w:rPr>
          <w:rFonts w:cstheme="minorHAnsi"/>
        </w:rPr>
        <w:t xml:space="preserve"> network secretariat to coordinate with the secretariat of the fund </w:t>
      </w:r>
      <w:r w:rsidR="00DC6FDF">
        <w:rPr>
          <w:rFonts w:cstheme="minorHAnsi"/>
        </w:rPr>
        <w:t>referred to</w:t>
      </w:r>
      <w:r w:rsidR="00DC6FDF" w:rsidRPr="00C2166F">
        <w:rPr>
          <w:rFonts w:cstheme="minorHAnsi"/>
        </w:rPr>
        <w:t xml:space="preserve"> in paragraph 3 of decisions 2/CP.27 and 2/CMA.4 in supporting developing countries</w:t>
      </w:r>
      <w:r w:rsidR="00DC6FDF" w:rsidRPr="00C2166F">
        <w:rPr>
          <w:rStyle w:val="ui-provider"/>
        </w:rPr>
        <w:t xml:space="preserve"> particularly vulnerable to the adverse effects of climate change in</w:t>
      </w:r>
      <w:r w:rsidR="00DC6FDF" w:rsidRPr="00C2166F">
        <w:rPr>
          <w:rFonts w:cstheme="minorHAnsi"/>
        </w:rPr>
        <w:t xml:space="preserve"> seeking to access the fund through technical assistance and to contribute to coherence and complementarity with the fund by aligning the technical assistance it catalyses under the Santiago network to build capacity and support programmatic approaches of the funding arrangements</w:t>
      </w:r>
      <w:r w:rsidR="00DC6FDF">
        <w:rPr>
          <w:rFonts w:cstheme="minorHAnsi"/>
        </w:rPr>
        <w:t xml:space="preserve">, </w:t>
      </w:r>
      <w:r w:rsidR="00DC6FDF" w:rsidRPr="00C2166F">
        <w:rPr>
          <w:rFonts w:cstheme="minorHAnsi"/>
        </w:rPr>
        <w:t xml:space="preserve">including a fund, </w:t>
      </w:r>
      <w:r w:rsidR="00DC6FDF">
        <w:rPr>
          <w:rFonts w:cstheme="minorHAnsi"/>
        </w:rPr>
        <w:t xml:space="preserve">referred to </w:t>
      </w:r>
      <w:r w:rsidR="00DC6FDF" w:rsidRPr="00D0148E">
        <w:rPr>
          <w:rStyle w:val="ui-provider"/>
        </w:rPr>
        <w:t>in paragraphs 2–3 of decisions 2/CP.27 and 2/CMA.4</w:t>
      </w:r>
      <w:r w:rsidR="00DC6FDF">
        <w:rPr>
          <w:rStyle w:val="ui-provider"/>
        </w:rPr>
        <w:t xml:space="preserve">, </w:t>
      </w:r>
      <w:r w:rsidR="00DC6FDF" w:rsidRPr="00C2166F">
        <w:rPr>
          <w:rFonts w:cstheme="minorHAnsi"/>
        </w:rPr>
        <w:t>as appropriate;</w:t>
      </w:r>
    </w:p>
    <w:p w14:paraId="448E8EB2" w14:textId="1BD2C8A7" w:rsidR="00DC6FDF" w:rsidRPr="00C2166F" w:rsidRDefault="00406A0D" w:rsidP="00406A0D">
      <w:pPr>
        <w:pStyle w:val="RegSingleTxtG"/>
        <w:ind w:left="1134"/>
        <w:rPr>
          <w:rFonts w:cstheme="minorHAnsi"/>
        </w:rPr>
      </w:pPr>
      <w:r w:rsidRPr="00C2166F">
        <w:rPr>
          <w:rFonts w:cstheme="minorHAnsi"/>
        </w:rPr>
        <w:t>37.</w:t>
      </w:r>
      <w:r w:rsidRPr="00C2166F">
        <w:rPr>
          <w:rFonts w:cstheme="minorHAnsi"/>
        </w:rPr>
        <w:tab/>
      </w:r>
      <w:r w:rsidR="00DC6FDF" w:rsidRPr="16D5E8AB">
        <w:rPr>
          <w:rFonts w:cstheme="minorBidi"/>
          <w:i/>
          <w:iCs/>
        </w:rPr>
        <w:t xml:space="preserve">Decides </w:t>
      </w:r>
      <w:r w:rsidR="00DC6FDF" w:rsidRPr="16D5E8AB">
        <w:rPr>
          <w:rFonts w:cstheme="minorBidi"/>
        </w:rPr>
        <w:t>that</w:t>
      </w:r>
      <w:r w:rsidR="00B05325">
        <w:rPr>
          <w:rFonts w:cstheme="minorBidi"/>
        </w:rPr>
        <w:t>,</w:t>
      </w:r>
      <w:r w:rsidR="00DC6FDF" w:rsidRPr="16D5E8AB">
        <w:rPr>
          <w:rFonts w:cstheme="minorBidi"/>
        </w:rPr>
        <w:t xml:space="preserve"> once the outstanding nominations for the Advisory Board of the Santiago network</w:t>
      </w:r>
      <w:r w:rsidR="00DC6FDF" w:rsidRPr="16D5E8AB">
        <w:rPr>
          <w:rStyle w:val="FootnoteReference"/>
          <w:rFonts w:cstheme="minorBidi"/>
        </w:rPr>
        <w:footnoteReference w:id="18"/>
      </w:r>
      <w:r w:rsidR="00DC6FDF" w:rsidRPr="16D5E8AB">
        <w:rPr>
          <w:rFonts w:cstheme="minorBidi"/>
        </w:rPr>
        <w:t xml:space="preserve"> have been received by the UNFCCC secretariat, the nominees will be deemed elected at </w:t>
      </w:r>
      <w:r w:rsidR="00DC6FDF" w:rsidRPr="16D5E8AB">
        <w:t>this session or these sessions of the governing body or bodies</w:t>
      </w:r>
      <w:r w:rsidR="00DC6FDF" w:rsidRPr="16D5E8AB">
        <w:rPr>
          <w:rFonts w:cstheme="minorBidi"/>
        </w:rPr>
        <w:t xml:space="preserve">, in accordance with established </w:t>
      </w:r>
      <w:proofErr w:type="gramStart"/>
      <w:r w:rsidR="00DC6FDF" w:rsidRPr="16D5E8AB">
        <w:rPr>
          <w:rFonts w:cstheme="minorBidi"/>
        </w:rPr>
        <w:t>practice;</w:t>
      </w:r>
      <w:proofErr w:type="gramEnd"/>
    </w:p>
    <w:p w14:paraId="2C051ADB" w14:textId="06A5A5B5" w:rsidR="00DC6FDF" w:rsidRPr="00A27292" w:rsidRDefault="00406A0D" w:rsidP="00406A0D">
      <w:pPr>
        <w:pStyle w:val="RegSingleTxtG"/>
        <w:ind w:left="1134"/>
      </w:pPr>
      <w:r w:rsidRPr="00A27292">
        <w:t>38.</w:t>
      </w:r>
      <w:r w:rsidRPr="00A27292">
        <w:tab/>
      </w:r>
      <w:r w:rsidR="00DC6FDF" w:rsidRPr="16D5E8AB">
        <w:rPr>
          <w:i/>
          <w:iCs/>
        </w:rPr>
        <w:t>Notes</w:t>
      </w:r>
      <w:r w:rsidR="00DC6FDF" w:rsidRPr="00D82985">
        <w:t xml:space="preserve"> </w:t>
      </w:r>
      <w:r w:rsidR="00DC6FDF" w:rsidRPr="00A27292">
        <w:t xml:space="preserve">that </w:t>
      </w:r>
      <w:r w:rsidR="00DC6FDF" w:rsidRPr="16D5E8AB">
        <w:rPr>
          <w:rFonts w:cstheme="minorBidi"/>
        </w:rPr>
        <w:t>considerations</w:t>
      </w:r>
      <w:r w:rsidR="00DC6FDF" w:rsidRPr="00A27292">
        <w:t xml:space="preserve"> related to the governance of the Warsaw International Mechanism will continue at its </w:t>
      </w:r>
      <w:r w:rsidR="00DC6FDF">
        <w:t>sixth</w:t>
      </w:r>
      <w:r w:rsidR="00DC6FDF" w:rsidRPr="00A27292">
        <w:t xml:space="preserve"> session (November 202</w:t>
      </w:r>
      <w:r w:rsidR="00DC6FDF">
        <w:t>4</w:t>
      </w:r>
      <w:r w:rsidR="00DC6FDF" w:rsidRPr="00A27292">
        <w:t>)</w:t>
      </w:r>
      <w:r w:rsidR="00DC6FDF">
        <w:t>;</w:t>
      </w:r>
      <w:r w:rsidR="00DC6FDF">
        <w:rPr>
          <w:rStyle w:val="FootnoteReference"/>
        </w:rPr>
        <w:footnoteReference w:id="19"/>
      </w:r>
    </w:p>
    <w:p w14:paraId="5AE41561" w14:textId="48FC0055" w:rsidR="00DC6FDF" w:rsidRPr="007F4900" w:rsidRDefault="00406A0D" w:rsidP="00406A0D">
      <w:pPr>
        <w:pStyle w:val="RegSingleTxtG"/>
        <w:ind w:left="1134"/>
        <w:rPr>
          <w:rFonts w:cstheme="minorHAnsi"/>
        </w:rPr>
      </w:pPr>
      <w:r w:rsidRPr="007F4900">
        <w:rPr>
          <w:rFonts w:cstheme="minorHAnsi"/>
        </w:rPr>
        <w:t>39.</w:t>
      </w:r>
      <w:r w:rsidRPr="007F4900">
        <w:rPr>
          <w:rFonts w:cstheme="minorHAnsi"/>
        </w:rPr>
        <w:tab/>
      </w:r>
      <w:r w:rsidR="00DC6FDF" w:rsidRPr="007F4900">
        <w:rPr>
          <w:rFonts w:cstheme="minorHAnsi"/>
          <w:i/>
          <w:iCs/>
        </w:rPr>
        <w:t xml:space="preserve">Takes </w:t>
      </w:r>
      <w:r w:rsidR="00DC6FDF" w:rsidRPr="00D0148E">
        <w:rPr>
          <w:rFonts w:cstheme="minorHAnsi"/>
          <w:i/>
        </w:rPr>
        <w:t>note</w:t>
      </w:r>
      <w:r w:rsidR="00DC6FDF" w:rsidRPr="005F4462">
        <w:rPr>
          <w:rFonts w:cstheme="minorHAnsi"/>
        </w:rPr>
        <w:t xml:space="preserve"> of the estimated budgetary implications of the activit</w:t>
      </w:r>
      <w:r w:rsidR="00DC6FDF">
        <w:rPr>
          <w:rFonts w:cstheme="minorHAnsi"/>
        </w:rPr>
        <w:t>ies</w:t>
      </w:r>
      <w:r w:rsidR="00DC6FDF" w:rsidRPr="005F4462">
        <w:rPr>
          <w:rFonts w:cstheme="minorHAnsi"/>
        </w:rPr>
        <w:t xml:space="preserve"> to be undertaken by the</w:t>
      </w:r>
      <w:r w:rsidR="00DC6FDF">
        <w:rPr>
          <w:rFonts w:cstheme="minorHAnsi"/>
        </w:rPr>
        <w:t xml:space="preserve"> UNFCCC</w:t>
      </w:r>
      <w:r w:rsidR="00DC6FDF" w:rsidRPr="005F4462">
        <w:rPr>
          <w:rFonts w:cstheme="minorHAnsi"/>
        </w:rPr>
        <w:t xml:space="preserve"> secretariat referred to in </w:t>
      </w:r>
      <w:r w:rsidR="00DC6FDF">
        <w:rPr>
          <w:rFonts w:cstheme="minorHAnsi"/>
        </w:rPr>
        <w:t xml:space="preserve">paragraphs </w:t>
      </w:r>
      <w:r w:rsidR="00DC6FDF">
        <w:rPr>
          <w:rFonts w:cstheme="minorHAnsi"/>
          <w:cs/>
        </w:rPr>
        <w:t>‎‎</w:t>
      </w:r>
      <w:r w:rsidR="00294F2F">
        <w:rPr>
          <w:rFonts w:cstheme="minorHAnsi"/>
          <w:cs/>
        </w:rPr>
        <w:t>‎</w:t>
      </w:r>
      <w:r w:rsidR="00294F2F">
        <w:rPr>
          <w:rFonts w:cstheme="minorHAnsi"/>
        </w:rPr>
        <w:t>22</w:t>
      </w:r>
      <w:r w:rsidR="009F1DFB">
        <w:t>–</w:t>
      </w:r>
      <w:r w:rsidR="00DC6FDF">
        <w:rPr>
          <w:rFonts w:cstheme="minorHAnsi"/>
          <w:cs/>
        </w:rPr>
        <w:t>‎</w:t>
      </w:r>
      <w:r w:rsidR="00294F2F">
        <w:rPr>
          <w:rFonts w:cstheme="minorHAnsi"/>
          <w:cs/>
        </w:rPr>
        <w:t>‎</w:t>
      </w:r>
      <w:r w:rsidR="00294F2F">
        <w:rPr>
          <w:rFonts w:cstheme="minorHAnsi"/>
        </w:rPr>
        <w:t xml:space="preserve">23 </w:t>
      </w:r>
      <w:proofErr w:type="gramStart"/>
      <w:r w:rsidR="00294F2F">
        <w:rPr>
          <w:rFonts w:cstheme="minorHAnsi"/>
        </w:rPr>
        <w:t>above</w:t>
      </w:r>
      <w:r w:rsidR="00DC6FDF">
        <w:rPr>
          <w:rFonts w:cstheme="minorHAnsi"/>
          <w:cs/>
        </w:rPr>
        <w:t>‎</w:t>
      </w:r>
      <w:r w:rsidR="00DC6FDF">
        <w:rPr>
          <w:rFonts w:cstheme="minorHAnsi"/>
        </w:rPr>
        <w:t>;</w:t>
      </w:r>
      <w:proofErr w:type="gramEnd"/>
    </w:p>
    <w:p w14:paraId="7B151190" w14:textId="0A786D0B" w:rsidR="00DC6FDF" w:rsidRDefault="00406A0D" w:rsidP="00406A0D">
      <w:pPr>
        <w:pStyle w:val="RegSingleTxtG"/>
        <w:ind w:left="1134"/>
        <w:rPr>
          <w:rFonts w:cstheme="minorHAnsi"/>
        </w:rPr>
        <w:sectPr w:rsidR="00DC6FDF" w:rsidSect="00DA6BD2">
          <w:headerReference w:type="even" r:id="rId17"/>
          <w:headerReference w:type="default" r:id="rId18"/>
          <w:footerReference w:type="even" r:id="rId19"/>
          <w:footerReference w:type="default" r:id="rId20"/>
          <w:headerReference w:type="first" r:id="rId21"/>
          <w:footnotePr>
            <w:numRestart w:val="eachSect"/>
          </w:footnotePr>
          <w:pgSz w:w="11906" w:h="16838" w:code="9"/>
          <w:pgMar w:top="1417" w:right="1134" w:bottom="1134" w:left="1134" w:header="850" w:footer="567" w:gutter="0"/>
          <w:cols w:space="708"/>
          <w:docGrid w:linePitch="360"/>
        </w:sectPr>
      </w:pPr>
      <w:r>
        <w:rPr>
          <w:rFonts w:cstheme="minorHAnsi"/>
        </w:rPr>
        <w:t>40.</w:t>
      </w:r>
      <w:r>
        <w:rPr>
          <w:rFonts w:cstheme="minorHAnsi"/>
        </w:rPr>
        <w:tab/>
      </w:r>
      <w:r w:rsidR="00DC6FDF" w:rsidRPr="007F4900">
        <w:rPr>
          <w:rFonts w:cstheme="minorHAnsi"/>
          <w:i/>
          <w:iCs/>
        </w:rPr>
        <w:t>Requests</w:t>
      </w:r>
      <w:r w:rsidR="00DC6FDF" w:rsidRPr="005F4462">
        <w:rPr>
          <w:rFonts w:cstheme="minorHAnsi"/>
        </w:rPr>
        <w:t xml:space="preserve"> that the actions of the </w:t>
      </w:r>
      <w:r w:rsidR="00DC6FDF">
        <w:rPr>
          <w:rFonts w:cstheme="minorHAnsi"/>
        </w:rPr>
        <w:t xml:space="preserve">UNFCCC </w:t>
      </w:r>
      <w:r w:rsidR="00DC6FDF" w:rsidRPr="005F4462">
        <w:rPr>
          <w:rFonts w:cstheme="minorHAnsi"/>
        </w:rPr>
        <w:t>secretariat called for in this decision be undertaken subject to the availability of financial resources.</w:t>
      </w:r>
    </w:p>
    <w:p w14:paraId="724FADA8" w14:textId="77777777" w:rsidR="00DC6FDF" w:rsidRDefault="00DC6FDF" w:rsidP="00406A0D">
      <w:pPr>
        <w:pStyle w:val="RegHChG"/>
        <w:spacing w:before="240"/>
        <w:ind w:hanging="454"/>
      </w:pPr>
      <w:bookmarkStart w:id="21" w:name="_Toc161241747"/>
      <w:bookmarkStart w:id="22" w:name="_Toc161241973"/>
      <w:r>
        <w:lastRenderedPageBreak/>
        <w:t>Annex</w:t>
      </w:r>
      <w:bookmarkEnd w:id="21"/>
      <w:bookmarkEnd w:id="22"/>
    </w:p>
    <w:p w14:paraId="75C5F90B" w14:textId="1FF045FD" w:rsidR="00DC6FDF" w:rsidRPr="00E13FE6" w:rsidRDefault="00DC6FDF" w:rsidP="00406A0D">
      <w:pPr>
        <w:pStyle w:val="RegHChG"/>
        <w:tabs>
          <w:tab w:val="left" w:pos="8222"/>
        </w:tabs>
        <w:ind w:left="1134" w:right="850" w:hanging="454"/>
      </w:pPr>
      <w:r w:rsidRPr="00E13FE6">
        <w:t xml:space="preserve">Memorandum of understanding between the Conference of the Parties </w:t>
      </w:r>
      <w:r w:rsidRPr="00E13FE6" w:rsidDel="00E028F3">
        <w:t xml:space="preserve">to the United Nations Framework Convention on Climate Change </w:t>
      </w:r>
      <w:r w:rsidRPr="00E13FE6">
        <w:t xml:space="preserve">and the Conference of the Parties serving as the meeting of the Parties to the Paris Agreement, on the one hand, and the United Nations Office for Disaster Risk Reduction and the United Nations Office for Project Services, on the other, regarding the hosting of the Santiago </w:t>
      </w:r>
      <w:sdt>
        <w:sdtPr>
          <w:rPr>
            <w:color w:val="2B579A"/>
            <w:shd w:val="clear" w:color="auto" w:fill="E6E6E6"/>
          </w:rPr>
          <w:tag w:val="goog_rdk_7"/>
          <w:id w:val="1460377262"/>
        </w:sdtPr>
        <w:sdtEndPr>
          <w:rPr>
            <w:color w:val="auto"/>
            <w:shd w:val="clear" w:color="auto" w:fill="auto"/>
          </w:rPr>
        </w:sdtEndPr>
        <w:sdtContent>
          <w:r w:rsidRPr="00E13FE6">
            <w:t>n</w:t>
          </w:r>
        </w:sdtContent>
      </w:sdt>
      <w:r w:rsidRPr="00E13FE6">
        <w:t>etwork secretariat</w:t>
      </w:r>
    </w:p>
    <w:p w14:paraId="0347D12D" w14:textId="14BC46D7" w:rsidR="00DC6FDF" w:rsidRPr="00BB0029" w:rsidRDefault="00DC6FDF" w:rsidP="00311E47">
      <w:pPr>
        <w:spacing w:after="120"/>
        <w:ind w:left="1134" w:right="992"/>
        <w:jc w:val="both"/>
      </w:pPr>
      <w:r w:rsidRPr="00E22347">
        <w:rPr>
          <w:rFonts w:asciiTheme="majorBidi" w:hAnsiTheme="majorBidi" w:cstheme="majorBidi"/>
        </w:rPr>
        <w:tab/>
      </w:r>
      <w:r w:rsidRPr="00E22347">
        <w:rPr>
          <w:rFonts w:asciiTheme="majorBidi" w:hAnsiTheme="majorBidi" w:cstheme="majorBidi"/>
        </w:rPr>
        <w:tab/>
      </w:r>
      <w:r w:rsidRPr="000C3DBA">
        <w:t xml:space="preserve">This memorandum of understanding (MOU) is concluded between the Conference of the Parties to the United Nations Framework Convention on Climate Change (COP) and the Conference of the Parties serving as the meeting of the Parties to the Paris Agreement (CMA) (hereinafter referred to as the </w:t>
      </w:r>
      <w:r w:rsidR="00E215AD" w:rsidRPr="000C3DBA">
        <w:t>“</w:t>
      </w:r>
      <w:r w:rsidRPr="000C3DBA">
        <w:t>governing body or bodies</w:t>
      </w:r>
      <w:r w:rsidR="005341E9" w:rsidRPr="00BB0029">
        <w:t>”</w:t>
      </w:r>
      <w:r w:rsidRPr="00311E47">
        <w:rPr>
          <w:rStyle w:val="FootnoteReference"/>
          <w:rFonts w:asciiTheme="majorBidi" w:hAnsiTheme="majorBidi" w:cstheme="majorBidi"/>
          <w:szCs w:val="18"/>
        </w:rPr>
        <w:footnoteReference w:id="20"/>
      </w:r>
      <w:r w:rsidRPr="00BB0029">
        <w:t xml:space="preserve">) on the one hand </w:t>
      </w:r>
      <w:sdt>
        <w:sdtPr>
          <w:tag w:val="goog_rdk_22"/>
          <w:id w:val="-985552987"/>
        </w:sdtPr>
        <w:sdtEndPr/>
        <w:sdtContent>
          <w:r w:rsidRPr="00BB0029">
            <w:t xml:space="preserve">and </w:t>
          </w:r>
        </w:sdtContent>
      </w:sdt>
      <w:r w:rsidRPr="00BB0029">
        <w:t>the United Nations Office for Disaster Risk Reduction (UNDRR) and the United Nations Office for Project Services (UNOPS)</w:t>
      </w:r>
      <w:r w:rsidR="00F820F9" w:rsidRPr="00BB0029">
        <w:t xml:space="preserve"> </w:t>
      </w:r>
      <w:r w:rsidR="00A14282" w:rsidRPr="00BB0029">
        <w:t xml:space="preserve">on the other </w:t>
      </w:r>
      <w:r w:rsidRPr="00BB0029">
        <w:t xml:space="preserve">(hereinafter each referred to as “the Party” and collectively referred to as “the Parties”), regarding the hosting </w:t>
      </w:r>
      <w:sdt>
        <w:sdtPr>
          <w:tag w:val="goog_rdk_31"/>
          <w:id w:val="-250505474"/>
        </w:sdtPr>
        <w:sdtEndPr/>
        <w:sdtContent>
          <w:r w:rsidRPr="00BB0029">
            <w:t xml:space="preserve">of </w:t>
          </w:r>
        </w:sdtContent>
      </w:sdt>
      <w:r w:rsidRPr="00BB0029">
        <w:t>the secretariat of the Santiago network for averting, minimizing and addressing loss and damage associated with the adverse effects of climate change.</w:t>
      </w:r>
      <w:r w:rsidR="00A14282" w:rsidRPr="00BB0029">
        <w:t xml:space="preserve"> </w:t>
      </w:r>
    </w:p>
    <w:p w14:paraId="5C0032D5" w14:textId="33F907DE" w:rsidR="00DC6FDF" w:rsidRPr="00BB0029" w:rsidRDefault="00DC6FDF" w:rsidP="00311E47">
      <w:pPr>
        <w:spacing w:after="120"/>
        <w:ind w:left="1134" w:right="992" w:firstLine="567"/>
        <w:jc w:val="both"/>
      </w:pPr>
      <w:r w:rsidRPr="00BB0029">
        <w:rPr>
          <w:b/>
          <w:bCs/>
          <w:i/>
          <w:iCs/>
        </w:rPr>
        <w:t>Whereas</w:t>
      </w:r>
      <w:r w:rsidRPr="00BB0029">
        <w:t xml:space="preserve">, </w:t>
      </w:r>
      <w:r w:rsidRPr="00A31219">
        <w:t>the CMA, by decision 2/CMA.2, noted by the COP in decision 2/CP.25, established, as part of the Warsaw International Mechanism</w:t>
      </w:r>
      <w:r w:rsidR="00E43C0C" w:rsidRPr="00A31219">
        <w:t xml:space="preserve"> for Loss and Damage </w:t>
      </w:r>
      <w:r w:rsidR="00E43C0C" w:rsidRPr="00654AC2">
        <w:t>associated with Climate Change Impacts</w:t>
      </w:r>
      <w:r w:rsidRPr="00A31219">
        <w:t>, the Santiago network</w:t>
      </w:r>
      <w:r w:rsidR="000B5EA7" w:rsidRPr="00BB0029">
        <w:t xml:space="preserve"> for averting, </w:t>
      </w:r>
      <w:proofErr w:type="gramStart"/>
      <w:r w:rsidR="000B5EA7" w:rsidRPr="00BB0029">
        <w:t>minimizing</w:t>
      </w:r>
      <w:proofErr w:type="gramEnd"/>
      <w:r w:rsidR="000B5EA7" w:rsidRPr="00BB0029">
        <w:t xml:space="preserve"> and addressing loss and damage associated with the adverse effects of climate change</w:t>
      </w:r>
      <w:r w:rsidRPr="00BB0029">
        <w:t>,</w:t>
      </w:r>
    </w:p>
    <w:p w14:paraId="0EAB0999" w14:textId="3142E2AE" w:rsidR="00DC6FDF" w:rsidRPr="00BB0029" w:rsidRDefault="00DC6FDF" w:rsidP="00311E47">
      <w:pPr>
        <w:spacing w:after="120"/>
        <w:ind w:left="1134" w:right="992" w:firstLine="567"/>
        <w:jc w:val="both"/>
      </w:pPr>
      <w:proofErr w:type="gramStart"/>
      <w:r w:rsidRPr="00BB0029">
        <w:rPr>
          <w:b/>
          <w:bCs/>
          <w:i/>
          <w:iCs/>
        </w:rPr>
        <w:t>Whereas</w:t>
      </w:r>
      <w:r w:rsidRPr="00BB0029">
        <w:t>,</w:t>
      </w:r>
      <w:proofErr w:type="gramEnd"/>
      <w:r w:rsidRPr="00BB0029">
        <w:t xml:space="preserve"> the mission of the Santiago network is to catalyse the technical assistance of relevant organizations, bodies, networks and experts for the implementation of relevant approaches </w:t>
      </w:r>
      <w:r w:rsidR="00466290" w:rsidRPr="00BB0029">
        <w:t>f</w:t>
      </w:r>
      <w:r w:rsidR="00F87B84" w:rsidRPr="00BB0029">
        <w:t>o</w:t>
      </w:r>
      <w:r w:rsidR="00466290" w:rsidRPr="00BB0029">
        <w:t>r</w:t>
      </w:r>
      <w:r w:rsidR="00F87B84" w:rsidRPr="00BB0029">
        <w:t xml:space="preserve"> </w:t>
      </w:r>
      <w:r w:rsidRPr="00BB0029">
        <w:t>averting, minimizing and addressing loss and damage associated with the adverse effects of climate change at the local, national and regional level in developing countries that are particularly vulnerable to the adverse effects of climate change,</w:t>
      </w:r>
    </w:p>
    <w:p w14:paraId="529BDB7E" w14:textId="27B6720D" w:rsidR="00DC6FDF" w:rsidRPr="00BB0029" w:rsidRDefault="00DC6FDF" w:rsidP="00311E47">
      <w:pPr>
        <w:spacing w:after="120"/>
        <w:ind w:left="1134" w:right="992" w:firstLine="567"/>
        <w:jc w:val="both"/>
      </w:pPr>
      <w:r w:rsidRPr="00BB0029">
        <w:rPr>
          <w:b/>
          <w:bCs/>
          <w:i/>
          <w:iCs/>
        </w:rPr>
        <w:t>Whereas</w:t>
      </w:r>
      <w:r w:rsidRPr="00BB0029">
        <w:t>, the CMA</w:t>
      </w:r>
      <w:r w:rsidR="008032E1" w:rsidRPr="00BB0029">
        <w:t>,</w:t>
      </w:r>
      <w:r w:rsidRPr="00BB0029">
        <w:t xml:space="preserve"> by decision 19/CMA.3, endorsed by the COP in decision 17/CP.26, decided the functions of the Santiago network,</w:t>
      </w:r>
      <w:r w:rsidRPr="00365CC4">
        <w:rPr>
          <w:rStyle w:val="FootnoteReference"/>
          <w:rFonts w:asciiTheme="majorBidi" w:hAnsiTheme="majorBidi" w:cstheme="majorBidi"/>
          <w:szCs w:val="18"/>
        </w:rPr>
        <w:footnoteReference w:id="21"/>
      </w:r>
      <w:r w:rsidRPr="00BB0029">
        <w:t xml:space="preserve"> which include facilitating the consideration of a wide range of topics relevant to averting, minimizing and addressing loss and damage approaches, including but not limited to current and future impacts, priorities and actions related to averting, minimizing and addressing loss and damage, pursuant to decisions 3/CP.18 and 2/CP.19, the areas referred to in Article 8, paragraph 4, of the Paris Agreement and the strategic workstreams of the five-year rolling workplan of the Executive Committee of the Warsaw International Mechanism (here</w:t>
      </w:r>
      <w:r w:rsidR="00E42F3D" w:rsidRPr="00BB0029">
        <w:t>in</w:t>
      </w:r>
      <w:r w:rsidRPr="00BB0029">
        <w:t>after referred to as the “Executive Committee”),</w:t>
      </w:r>
    </w:p>
    <w:p w14:paraId="4040515B" w14:textId="09BF9477" w:rsidR="00DC6FDF" w:rsidRPr="00BB0029" w:rsidRDefault="00DC6FDF" w:rsidP="00311E47">
      <w:pPr>
        <w:spacing w:after="120"/>
        <w:ind w:left="1134" w:right="992" w:firstLine="567"/>
        <w:jc w:val="both"/>
      </w:pPr>
      <w:r w:rsidRPr="00BB0029">
        <w:rPr>
          <w:b/>
          <w:bCs/>
          <w:i/>
          <w:iCs/>
        </w:rPr>
        <w:t>Whereas</w:t>
      </w:r>
      <w:r w:rsidRPr="00BB0029">
        <w:t>, the CMA</w:t>
      </w:r>
      <w:r w:rsidR="008032E1" w:rsidRPr="00BB0029">
        <w:t>,</w:t>
      </w:r>
      <w:r w:rsidRPr="00BB0029">
        <w:t xml:space="preserve"> by decision 12/CMA.4, endorsed by the COP in decision 11/CP.27, adopted the terms of reference of the Santiago network</w:t>
      </w:r>
      <w:r w:rsidR="004D12BE" w:rsidRPr="00365CC4">
        <w:rPr>
          <w:rStyle w:val="FootnoteReference"/>
          <w:rFonts w:asciiTheme="majorBidi" w:hAnsiTheme="majorBidi" w:cstheme="majorBidi"/>
          <w:szCs w:val="18"/>
        </w:rPr>
        <w:footnoteReference w:id="22"/>
      </w:r>
      <w:r w:rsidRPr="00BB0029">
        <w:t xml:space="preserve"> (hereinafter referred to as the “terms of reference”) and decided that as part of its structure the Santiago network will have a hosted secretariat, to be known as the Santiago network secretariat, an Advisory Board and a network of member organizations, bodies, networks and experts,</w:t>
      </w:r>
      <w:r w:rsidRPr="00365CC4">
        <w:rPr>
          <w:rStyle w:val="FootnoteReference"/>
          <w:rFonts w:asciiTheme="majorBidi" w:hAnsiTheme="majorBidi" w:cstheme="majorBidi"/>
          <w:szCs w:val="18"/>
        </w:rPr>
        <w:footnoteReference w:id="23"/>
      </w:r>
    </w:p>
    <w:p w14:paraId="7E7DEF10" w14:textId="4E34AEA4" w:rsidR="00DC6FDF" w:rsidRPr="00BB0029" w:rsidRDefault="00DC6FDF" w:rsidP="00311E47">
      <w:pPr>
        <w:spacing w:after="120"/>
        <w:ind w:left="1134" w:right="992" w:firstLine="567"/>
        <w:jc w:val="both"/>
      </w:pPr>
      <w:proofErr w:type="gramStart"/>
      <w:r w:rsidRPr="00BB0029">
        <w:rPr>
          <w:b/>
          <w:bCs/>
          <w:i/>
          <w:iCs/>
        </w:rPr>
        <w:t>Whereas</w:t>
      </w:r>
      <w:r w:rsidRPr="00BB0029">
        <w:t>,</w:t>
      </w:r>
      <w:proofErr w:type="gramEnd"/>
      <w:r w:rsidRPr="00BB0029">
        <w:t xml:space="preserve"> UNDRR and UNOPS submitted a joint proposal dated 31 March 2023 (hereinafter referred to as the “Proposal”) regarding the hosting of the Santiago network secretariat,</w:t>
      </w:r>
    </w:p>
    <w:p w14:paraId="4049454E" w14:textId="2A8530BB" w:rsidR="00DC6FDF" w:rsidRPr="00CF6DBB" w:rsidRDefault="00DC6FDF" w:rsidP="00CF6DBB">
      <w:pPr>
        <w:pStyle w:val="RegSingleTxtG"/>
        <w:tabs>
          <w:tab w:val="clear" w:pos="1701"/>
        </w:tabs>
        <w:ind w:left="1134" w:right="1133" w:firstLine="567"/>
      </w:pPr>
      <w:proofErr w:type="gramStart"/>
      <w:r w:rsidRPr="00CF6DBB">
        <w:rPr>
          <w:b/>
          <w:bCs/>
          <w:i/>
          <w:iCs/>
        </w:rPr>
        <w:lastRenderedPageBreak/>
        <w:t>Whereas</w:t>
      </w:r>
      <w:r w:rsidRPr="00CF6DBB">
        <w:t>,</w:t>
      </w:r>
      <w:proofErr w:type="gramEnd"/>
      <w:r w:rsidRPr="00CF6DBB">
        <w:t xml:space="preserve"> UNDRR aims to substantially reduce the risk and losses in</w:t>
      </w:r>
      <w:r w:rsidRPr="00CF6DBB" w:rsidDel="00ED0E77">
        <w:t xml:space="preserve"> </w:t>
      </w:r>
      <w:r w:rsidRPr="00CF6DBB">
        <w:t>lives, livelihoods and health and in the economic, physical, social, cultural and environmental assets of persons, businesses, communities and countries as part of its mandate to support the implementation, follow-up and review of the Sendai Framework for Disaster Risk Reduction 2015–2030,</w:t>
      </w:r>
    </w:p>
    <w:p w14:paraId="55F48AFD" w14:textId="77777777" w:rsidR="00DC6FDF" w:rsidRPr="00CF6DBB" w:rsidRDefault="00DC6FDF" w:rsidP="00CF6DBB">
      <w:pPr>
        <w:pStyle w:val="RegSingleTxtG"/>
        <w:tabs>
          <w:tab w:val="clear" w:pos="1701"/>
        </w:tabs>
        <w:ind w:left="1134" w:right="1133" w:firstLine="567"/>
      </w:pPr>
      <w:proofErr w:type="gramStart"/>
      <w:r w:rsidRPr="00CF6DBB">
        <w:rPr>
          <w:b/>
          <w:bCs/>
          <w:i/>
          <w:iCs/>
        </w:rPr>
        <w:t>Whereas</w:t>
      </w:r>
      <w:r w:rsidRPr="00CF6DBB">
        <w:t>,</w:t>
      </w:r>
      <w:proofErr w:type="gramEnd"/>
      <w:r w:rsidRPr="00CF6DBB">
        <w:t xml:space="preserve"> UNOPS is an operational arm of the United Nations established by United Nations General Assembly decision 48/501 of 19 September 1994 and acts as a central resource for the United Nations system in procurement, contracts management and other capacity development activities, as well as providing efficient, cost-effective services to partners in its specialized areas,</w:t>
      </w:r>
    </w:p>
    <w:p w14:paraId="2184FAF5" w14:textId="43267CE3" w:rsidR="00DC6FDF" w:rsidRPr="00CF6DBB" w:rsidRDefault="00DC6FDF" w:rsidP="00CF6DBB">
      <w:pPr>
        <w:pStyle w:val="RegSingleTxtG"/>
        <w:tabs>
          <w:tab w:val="clear" w:pos="1701"/>
        </w:tabs>
        <w:ind w:left="1134" w:right="1133" w:firstLine="567"/>
      </w:pPr>
      <w:r w:rsidRPr="00CF6DBB">
        <w:rPr>
          <w:b/>
          <w:bCs/>
          <w:i/>
          <w:iCs/>
        </w:rPr>
        <w:t>Whereas</w:t>
      </w:r>
      <w:r w:rsidRPr="00CF6DBB">
        <w:t xml:space="preserve">, the CMA, by decision </w:t>
      </w:r>
      <w:r w:rsidR="00073F49" w:rsidRPr="00CF6DBB">
        <w:t>6</w:t>
      </w:r>
      <w:r w:rsidRPr="00CF6DBB">
        <w:t xml:space="preserve">/CMA.5, endorsed by decision </w:t>
      </w:r>
      <w:r w:rsidR="00073F49" w:rsidRPr="00CF6DBB">
        <w:t>2</w:t>
      </w:r>
      <w:r w:rsidRPr="00CF6DBB">
        <w:t xml:space="preserve">/CP.28, selected the Proposal for the hosting of the Santiago </w:t>
      </w:r>
      <w:sdt>
        <w:sdtPr>
          <w:tag w:val="goog_rdk_72"/>
          <w:id w:val="58994213"/>
        </w:sdtPr>
        <w:sdtEndPr/>
        <w:sdtContent>
          <w:r w:rsidRPr="00CF6DBB">
            <w:t>n</w:t>
          </w:r>
        </w:sdtContent>
      </w:sdt>
      <w:r w:rsidRPr="00CF6DBB">
        <w:t xml:space="preserve">etwork </w:t>
      </w:r>
      <w:sdt>
        <w:sdtPr>
          <w:tag w:val="goog_rdk_74"/>
          <w:id w:val="-796609619"/>
        </w:sdtPr>
        <w:sdtEndPr/>
        <w:sdtContent>
          <w:r w:rsidRPr="00CF6DBB">
            <w:t>s</w:t>
          </w:r>
        </w:sdtContent>
      </w:sdt>
      <w:r w:rsidRPr="00CF6DBB">
        <w:t xml:space="preserve">ecretariat, </w:t>
      </w:r>
    </w:p>
    <w:p w14:paraId="059C43D4" w14:textId="77777777" w:rsidR="00DC6FDF" w:rsidRPr="00CF6DBB" w:rsidRDefault="00DC6FDF" w:rsidP="00CF6DBB">
      <w:pPr>
        <w:pStyle w:val="RegSingleTxtG"/>
        <w:tabs>
          <w:tab w:val="clear" w:pos="1701"/>
        </w:tabs>
        <w:ind w:left="1134" w:right="1133" w:firstLine="567"/>
      </w:pPr>
      <w:proofErr w:type="gramStart"/>
      <w:r w:rsidRPr="00CF6DBB">
        <w:rPr>
          <w:b/>
          <w:bCs/>
          <w:i/>
          <w:iCs/>
        </w:rPr>
        <w:t>Whereas</w:t>
      </w:r>
      <w:r w:rsidRPr="00CF6DBB">
        <w:t>,</w:t>
      </w:r>
      <w:proofErr w:type="gramEnd"/>
      <w:r w:rsidRPr="00CF6DBB">
        <w:t xml:space="preserve"> UNOPS confirms that it has the necessary authorization to enter into this MOU,</w:t>
      </w:r>
    </w:p>
    <w:p w14:paraId="56E2BFAE" w14:textId="22C1537D" w:rsidR="00DC6FDF" w:rsidRPr="00CF6DBB" w:rsidRDefault="00DC6FDF" w:rsidP="00CF6DBB">
      <w:pPr>
        <w:pStyle w:val="RegSingleTxtG"/>
        <w:tabs>
          <w:tab w:val="clear" w:pos="1701"/>
        </w:tabs>
        <w:ind w:left="1134" w:right="1133" w:firstLine="567"/>
      </w:pPr>
      <w:r w:rsidRPr="00CF6DBB">
        <w:rPr>
          <w:b/>
          <w:bCs/>
          <w:i/>
          <w:iCs/>
        </w:rPr>
        <w:t>Whereas</w:t>
      </w:r>
      <w:r w:rsidRPr="00CF6DBB">
        <w:t>, the United Nations General Assembly</w:t>
      </w:r>
      <w:r w:rsidR="00FF3A08" w:rsidRPr="00CF6DBB">
        <w:t>,</w:t>
      </w:r>
      <w:r w:rsidRPr="00CF6DBB">
        <w:t xml:space="preserve"> by decision </w:t>
      </w:r>
      <w:r w:rsidR="0016494C" w:rsidRPr="00CF6DBB">
        <w:t>78/546,</w:t>
      </w:r>
      <w:r w:rsidR="003447BD" w:rsidRPr="00365CC4">
        <w:rPr>
          <w:rStyle w:val="FootnoteReference"/>
          <w:rFonts w:asciiTheme="majorBidi" w:hAnsiTheme="majorBidi" w:cstheme="majorBidi"/>
          <w:szCs w:val="18"/>
        </w:rPr>
        <w:footnoteReference w:id="24"/>
      </w:r>
      <w:r w:rsidR="0016494C" w:rsidRPr="00CF6DBB">
        <w:t xml:space="preserve"> </w:t>
      </w:r>
      <w:r w:rsidRPr="00CF6DBB">
        <w:t xml:space="preserve">authorized UNDRR to </w:t>
      </w:r>
      <w:proofErr w:type="gramStart"/>
      <w:r w:rsidRPr="00CF6DBB">
        <w:t>enter into</w:t>
      </w:r>
      <w:proofErr w:type="gramEnd"/>
      <w:r w:rsidRPr="00CF6DBB">
        <w:t xml:space="preserve"> this MOU,</w:t>
      </w:r>
    </w:p>
    <w:p w14:paraId="53E061BB" w14:textId="77777777" w:rsidR="00DC6FDF" w:rsidRPr="00CF6DBB" w:rsidRDefault="00DC6FDF" w:rsidP="00CF6DBB">
      <w:pPr>
        <w:pStyle w:val="RegSingleTxtG"/>
        <w:tabs>
          <w:tab w:val="clear" w:pos="1701"/>
        </w:tabs>
        <w:ind w:left="1134" w:right="1133" w:firstLine="567"/>
      </w:pPr>
      <w:proofErr w:type="gramStart"/>
      <w:r w:rsidRPr="00CF6DBB">
        <w:rPr>
          <w:b/>
          <w:bCs/>
          <w:i/>
          <w:iCs/>
        </w:rPr>
        <w:t>Whereas</w:t>
      </w:r>
      <w:r w:rsidRPr="00CF6DBB">
        <w:t>,</w:t>
      </w:r>
      <w:proofErr w:type="gramEnd"/>
      <w:r w:rsidRPr="00CF6DBB">
        <w:t xml:space="preserve"> the UNFCCC Executive Secretary is authorized by the governing body or bodies to sign this MOU on behalf of the governing body or bodies, </w:t>
      </w:r>
    </w:p>
    <w:p w14:paraId="621235DF" w14:textId="77777777" w:rsidR="00DC6FDF" w:rsidRPr="00CF6DBB" w:rsidRDefault="00DC6FDF" w:rsidP="00CF6DBB">
      <w:pPr>
        <w:pStyle w:val="RegSingleTxtG"/>
        <w:tabs>
          <w:tab w:val="clear" w:pos="1701"/>
        </w:tabs>
        <w:ind w:left="1134" w:right="1133" w:firstLine="567"/>
      </w:pPr>
      <w:r w:rsidRPr="00CF6DBB">
        <w:rPr>
          <w:b/>
          <w:bCs/>
          <w:i/>
          <w:iCs/>
        </w:rPr>
        <w:t>NOW THEREFORE</w:t>
      </w:r>
      <w:r w:rsidRPr="00CF6DBB">
        <w:t xml:space="preserve"> the Parties to this MOU have agreed to the following:</w:t>
      </w:r>
    </w:p>
    <w:p w14:paraId="6FA99E46" w14:textId="1FB8AAAD" w:rsidR="00DC6FDF" w:rsidRPr="005E1DBC" w:rsidRDefault="00406A0D" w:rsidP="00406A0D">
      <w:pPr>
        <w:pStyle w:val="RegHChG"/>
        <w:tabs>
          <w:tab w:val="left" w:pos="1135"/>
        </w:tabs>
        <w:ind w:left="1135" w:hanging="454"/>
        <w:rPr>
          <w:rFonts w:asciiTheme="majorBidi" w:hAnsiTheme="majorBidi" w:cstheme="majorBidi"/>
        </w:rPr>
      </w:pPr>
      <w:bookmarkStart w:id="23" w:name="_Toc161241748"/>
      <w:bookmarkStart w:id="24" w:name="_Toc161241974"/>
      <w:r w:rsidRPr="005E1DBC">
        <w:t>I.</w:t>
      </w:r>
      <w:r w:rsidRPr="005E1DBC">
        <w:tab/>
      </w:r>
      <w:r w:rsidR="00DC6FDF" w:rsidRPr="005E1DBC">
        <w:rPr>
          <w:rFonts w:asciiTheme="majorBidi" w:hAnsiTheme="majorBidi" w:cstheme="majorBidi"/>
        </w:rPr>
        <w:t>Purpose</w:t>
      </w:r>
      <w:bookmarkEnd w:id="23"/>
      <w:bookmarkEnd w:id="24"/>
    </w:p>
    <w:p w14:paraId="5929E3B5" w14:textId="0334E819" w:rsidR="00DC6FDF" w:rsidRPr="008F4FAE" w:rsidRDefault="00406A0D" w:rsidP="00406A0D">
      <w:pPr>
        <w:pStyle w:val="RegSingleTxtG"/>
        <w:ind w:left="1134"/>
      </w:pPr>
      <w:r w:rsidRPr="008F4FAE">
        <w:rPr>
          <w:rFonts w:eastAsia="Times New Roman"/>
        </w:rPr>
        <w:t>1.</w:t>
      </w:r>
      <w:r w:rsidRPr="008F4FAE">
        <w:rPr>
          <w:rFonts w:eastAsia="Times New Roman"/>
        </w:rPr>
        <w:tab/>
      </w:r>
      <w:r w:rsidR="00DC6FDF" w:rsidRPr="008F4FAE">
        <w:t xml:space="preserve">The purpose of this MOU is to stipulate the terms of the relationship between the governing body or bodies </w:t>
      </w:r>
      <w:sdt>
        <w:sdtPr>
          <w:tag w:val="goog_rdk_91"/>
          <w:id w:val="1573858556"/>
        </w:sdtPr>
        <w:sdtEndPr/>
        <w:sdtContent>
          <w:r w:rsidR="00DC6FDF" w:rsidRPr="008F4FAE">
            <w:t xml:space="preserve">and </w:t>
          </w:r>
        </w:sdtContent>
      </w:sdt>
      <w:r w:rsidR="00DC6FDF" w:rsidRPr="008F4FAE">
        <w:t xml:space="preserve">UNDRR and UNOPS with respect to the hosting </w:t>
      </w:r>
      <w:sdt>
        <w:sdtPr>
          <w:tag w:val="goog_rdk_95"/>
          <w:id w:val="1879590960"/>
        </w:sdtPr>
        <w:sdtEndPr/>
        <w:sdtContent>
          <w:r w:rsidR="00DC6FDF" w:rsidRPr="008F4FAE">
            <w:t>of</w:t>
          </w:r>
        </w:sdtContent>
      </w:sdt>
      <w:r w:rsidR="00DC6FDF" w:rsidRPr="008F4FAE">
        <w:t xml:space="preserve"> the Santiago network </w:t>
      </w:r>
      <w:sdt>
        <w:sdtPr>
          <w:tag w:val="goog_rdk_99"/>
          <w:id w:val="88894969"/>
        </w:sdtPr>
        <w:sdtEndPr/>
        <w:sdtContent>
          <w:r w:rsidR="00DC6FDF" w:rsidRPr="008F4FAE">
            <w:t>s</w:t>
          </w:r>
        </w:sdtContent>
      </w:sdt>
      <w:r w:rsidR="00DC6FDF" w:rsidRPr="008F4FAE">
        <w:t xml:space="preserve">ecretariat in accordance with decision </w:t>
      </w:r>
      <w:r w:rsidR="003A0152" w:rsidRPr="008F4FAE">
        <w:t>6</w:t>
      </w:r>
      <w:r w:rsidR="00DC6FDF" w:rsidRPr="008F4FAE">
        <w:t xml:space="preserve">/CMA.5, endorsed by the COP in decision </w:t>
      </w:r>
      <w:r w:rsidR="003A0152" w:rsidRPr="008F4FAE">
        <w:t>2</w:t>
      </w:r>
      <w:r w:rsidR="00DC6FDF" w:rsidRPr="008F4FAE">
        <w:t>/CP.28.</w:t>
      </w:r>
    </w:p>
    <w:p w14:paraId="37116F65" w14:textId="36E4D10E" w:rsidR="00DC6FDF" w:rsidRPr="00E22347" w:rsidRDefault="00406A0D" w:rsidP="00406A0D">
      <w:pPr>
        <w:pStyle w:val="RegHChG"/>
        <w:tabs>
          <w:tab w:val="left" w:pos="1135"/>
        </w:tabs>
        <w:ind w:left="1135" w:hanging="454"/>
        <w:rPr>
          <w:rFonts w:asciiTheme="majorBidi" w:hAnsiTheme="majorBidi" w:cstheme="majorBidi"/>
        </w:rPr>
      </w:pPr>
      <w:bookmarkStart w:id="25" w:name="_Toc161241749"/>
      <w:bookmarkStart w:id="26" w:name="_Toc161241975"/>
      <w:r w:rsidRPr="00E22347">
        <w:t>II.</w:t>
      </w:r>
      <w:r w:rsidRPr="00E22347">
        <w:tab/>
      </w:r>
      <w:r w:rsidR="00DC6FDF" w:rsidRPr="16D5E8AB">
        <w:rPr>
          <w:rFonts w:asciiTheme="majorBidi" w:hAnsiTheme="majorBidi" w:cstheme="majorBidi"/>
        </w:rPr>
        <w:t xml:space="preserve">Role and responsibilities of the </w:t>
      </w:r>
      <w:sdt>
        <w:sdtPr>
          <w:rPr>
            <w:rFonts w:asciiTheme="majorBidi" w:hAnsiTheme="majorBidi" w:cstheme="majorBidi"/>
            <w:color w:val="2B579A"/>
            <w:shd w:val="clear" w:color="auto" w:fill="E6E6E6"/>
          </w:rPr>
          <w:tag w:val="goog_rdk_102"/>
          <w:id w:val="91742751"/>
        </w:sdtPr>
        <w:sdtEndPr/>
        <w:sdtContent>
          <w:r w:rsidR="00DC6FDF" w:rsidRPr="16D5E8AB">
            <w:rPr>
              <w:rFonts w:asciiTheme="majorBidi" w:hAnsiTheme="majorBidi" w:cstheme="majorBidi"/>
            </w:rPr>
            <w:t>g</w:t>
          </w:r>
        </w:sdtContent>
      </w:sdt>
      <w:r w:rsidR="00DC6FDF" w:rsidRPr="16D5E8AB">
        <w:rPr>
          <w:rFonts w:asciiTheme="majorBidi" w:hAnsiTheme="majorBidi" w:cstheme="majorBidi"/>
        </w:rPr>
        <w:t>overning body or bodies</w:t>
      </w:r>
      <w:r w:rsidR="00DC6FDF" w:rsidRPr="16D5E8AB">
        <w:rPr>
          <w:rStyle w:val="FootnoteReference"/>
          <w:rFonts w:asciiTheme="majorBidi" w:hAnsiTheme="majorBidi" w:cstheme="majorBidi"/>
          <w:sz w:val="24"/>
          <w:szCs w:val="24"/>
        </w:rPr>
        <w:footnoteReference w:id="25"/>
      </w:r>
      <w:bookmarkEnd w:id="25"/>
      <w:bookmarkEnd w:id="26"/>
    </w:p>
    <w:p w14:paraId="32EB4AF6" w14:textId="24283E25" w:rsidR="00DC6FDF" w:rsidRPr="00A01AC8" w:rsidRDefault="00406A0D" w:rsidP="00406A0D">
      <w:pPr>
        <w:pStyle w:val="RegSingleTxtG"/>
        <w:ind w:left="1134"/>
      </w:pPr>
      <w:r w:rsidRPr="00A01AC8">
        <w:rPr>
          <w:rFonts w:eastAsia="Times New Roman"/>
        </w:rPr>
        <w:t>2.</w:t>
      </w:r>
      <w:r w:rsidRPr="00A01AC8">
        <w:rPr>
          <w:rFonts w:eastAsia="Times New Roman"/>
        </w:rPr>
        <w:tab/>
      </w:r>
      <w:r w:rsidR="00DC6FDF" w:rsidRPr="00A01AC8">
        <w:t xml:space="preserve">The Santiago network secretariat shall be accountable to and operate under the guidance of the governing body or bodies through the Advisory Board of the Santiago network (hereinafter referred to as the </w:t>
      </w:r>
      <w:r w:rsidR="003A0152" w:rsidRPr="00A01AC8">
        <w:t>“</w:t>
      </w:r>
      <w:r w:rsidR="00DC6FDF" w:rsidRPr="00A01AC8">
        <w:t>Advisory Board</w:t>
      </w:r>
      <w:r w:rsidR="003A0152" w:rsidRPr="00A01AC8">
        <w:t>”</w:t>
      </w:r>
      <w:r w:rsidR="00DC6FDF" w:rsidRPr="00A01AC8">
        <w:t>).</w:t>
      </w:r>
    </w:p>
    <w:p w14:paraId="07A78DF9" w14:textId="34E083AC" w:rsidR="00DC6FDF" w:rsidRPr="00A01AC8" w:rsidRDefault="00406A0D" w:rsidP="00406A0D">
      <w:pPr>
        <w:pStyle w:val="RegSingleTxtG"/>
        <w:ind w:left="1134"/>
      </w:pPr>
      <w:r w:rsidRPr="00A01AC8">
        <w:rPr>
          <w:rFonts w:eastAsia="Times New Roman"/>
        </w:rPr>
        <w:t>3.</w:t>
      </w:r>
      <w:r w:rsidRPr="00A01AC8">
        <w:rPr>
          <w:rFonts w:eastAsia="Times New Roman"/>
        </w:rPr>
        <w:tab/>
      </w:r>
      <w:r w:rsidR="00DC6FDF" w:rsidRPr="00A01AC8">
        <w:t>The governing body or bodies shall consider the joint annual report of the Santiago network and the Executive Committee, submitted through the subsidiary bodies in accordance with paragraph 19 of annex I to decision 12/CMA.4, endorsed by decision 11/CP.27, and other future decisions of the governing body or bodies, and provide guidance thereon.</w:t>
      </w:r>
    </w:p>
    <w:p w14:paraId="41FE2B53" w14:textId="3D27A48D" w:rsidR="00DC6FDF" w:rsidRPr="00A01AC8" w:rsidRDefault="00406A0D" w:rsidP="00406A0D">
      <w:pPr>
        <w:pStyle w:val="RegSingleTxtG"/>
        <w:ind w:left="1134"/>
      </w:pPr>
      <w:r w:rsidRPr="00A01AC8">
        <w:rPr>
          <w:rFonts w:eastAsia="Times New Roman"/>
        </w:rPr>
        <w:t>4.</w:t>
      </w:r>
      <w:r w:rsidRPr="00A01AC8">
        <w:rPr>
          <w:rFonts w:eastAsia="Times New Roman"/>
        </w:rPr>
        <w:tab/>
      </w:r>
      <w:r w:rsidR="00DC6FDF" w:rsidRPr="00A01AC8">
        <w:t xml:space="preserve">In taking decisions that would affect the hosting of the Santiago </w:t>
      </w:r>
      <w:sdt>
        <w:sdtPr>
          <w:tag w:val="goog_rdk_132"/>
          <w:id w:val="-1409230212"/>
        </w:sdtPr>
        <w:sdtEndPr/>
        <w:sdtContent>
          <w:r w:rsidR="00DC6FDF" w:rsidRPr="00A01AC8">
            <w:t>n</w:t>
          </w:r>
        </w:sdtContent>
      </w:sdt>
      <w:r w:rsidR="00DC6FDF" w:rsidRPr="00A01AC8">
        <w:t xml:space="preserve">etwork </w:t>
      </w:r>
      <w:sdt>
        <w:sdtPr>
          <w:tag w:val="goog_rdk_134"/>
          <w:id w:val="-1081215464"/>
        </w:sdtPr>
        <w:sdtEndPr/>
        <w:sdtContent>
          <w:r w:rsidR="00DC6FDF" w:rsidRPr="00A01AC8">
            <w:t>s</w:t>
          </w:r>
        </w:sdtContent>
      </w:sdt>
      <w:r w:rsidR="00DC6FDF" w:rsidRPr="00A01AC8">
        <w:t>ecretariat, the governing body or bodies shall take into consideration any views and information provided by UNDRR and UNOPS as host of the Santiago network secretariat.</w:t>
      </w:r>
    </w:p>
    <w:p w14:paraId="4ED0ECE3" w14:textId="088DA60B" w:rsidR="00DC6FDF" w:rsidRPr="00E22347" w:rsidRDefault="00406A0D" w:rsidP="00406A0D">
      <w:pPr>
        <w:pStyle w:val="RegHChG"/>
        <w:tabs>
          <w:tab w:val="left" w:pos="1135"/>
        </w:tabs>
        <w:ind w:left="1135" w:hanging="454"/>
        <w:rPr>
          <w:rFonts w:asciiTheme="majorBidi" w:hAnsiTheme="majorBidi" w:cstheme="majorBidi"/>
        </w:rPr>
      </w:pPr>
      <w:bookmarkStart w:id="27" w:name="_Toc161241750"/>
      <w:bookmarkStart w:id="28" w:name="_Toc161241976"/>
      <w:r w:rsidRPr="00E22347">
        <w:t>III.</w:t>
      </w:r>
      <w:r w:rsidRPr="00E22347">
        <w:tab/>
      </w:r>
      <w:r w:rsidR="00DC6FDF" w:rsidRPr="00E22347">
        <w:rPr>
          <w:rFonts w:asciiTheme="majorBidi" w:hAnsiTheme="majorBidi" w:cstheme="majorBidi"/>
        </w:rPr>
        <w:t>Role and responsibilities of the Advisory Board of the Santiago network</w:t>
      </w:r>
      <w:bookmarkEnd w:id="27"/>
      <w:bookmarkEnd w:id="28"/>
      <w:r w:rsidR="00DC6FDF" w:rsidRPr="00E22347">
        <w:rPr>
          <w:rFonts w:asciiTheme="majorBidi" w:hAnsiTheme="majorBidi" w:cstheme="majorBidi"/>
        </w:rPr>
        <w:t xml:space="preserve"> </w:t>
      </w:r>
    </w:p>
    <w:p w14:paraId="401CA338" w14:textId="1BD65528" w:rsidR="00DC6FDF" w:rsidRPr="00000791" w:rsidRDefault="00406A0D" w:rsidP="00406A0D">
      <w:pPr>
        <w:pStyle w:val="RegSingleTxtG"/>
        <w:ind w:left="1134"/>
      </w:pPr>
      <w:r w:rsidRPr="00000791">
        <w:rPr>
          <w:rFonts w:eastAsia="Times New Roman"/>
        </w:rPr>
        <w:t>5.</w:t>
      </w:r>
      <w:r w:rsidRPr="00000791">
        <w:rPr>
          <w:rFonts w:eastAsia="Times New Roman"/>
        </w:rPr>
        <w:tab/>
      </w:r>
      <w:r w:rsidR="00DC6FDF" w:rsidRPr="00000791">
        <w:t>The members of the Advisory Board shall be elected in accordance with decision 12/CMA.4, endorsed by decision 11/CP.27.</w:t>
      </w:r>
    </w:p>
    <w:p w14:paraId="25AE849F" w14:textId="5E0FB66D" w:rsidR="00DC6FDF" w:rsidRPr="00275065" w:rsidRDefault="00406A0D" w:rsidP="00406A0D">
      <w:pPr>
        <w:pStyle w:val="RegSingleTxtG"/>
        <w:ind w:left="1134"/>
      </w:pPr>
      <w:r w:rsidRPr="00275065">
        <w:rPr>
          <w:rFonts w:eastAsia="Times New Roman"/>
        </w:rPr>
        <w:lastRenderedPageBreak/>
        <w:t>6.</w:t>
      </w:r>
      <w:r w:rsidRPr="00275065">
        <w:rPr>
          <w:rFonts w:eastAsia="Times New Roman"/>
        </w:rPr>
        <w:tab/>
      </w:r>
      <w:r w:rsidR="00DC6FDF" w:rsidRPr="00275065">
        <w:t xml:space="preserve">The Advisory Board shall provide guidance and oversight to the Santiago </w:t>
      </w:r>
      <w:sdt>
        <w:sdtPr>
          <w:tag w:val="goog_rdk_147"/>
          <w:id w:val="-1438597649"/>
        </w:sdtPr>
        <w:sdtEndPr/>
        <w:sdtContent>
          <w:r w:rsidR="00DC6FDF" w:rsidRPr="00275065">
            <w:t>n</w:t>
          </w:r>
        </w:sdtContent>
      </w:sdt>
      <w:r w:rsidR="00DC6FDF" w:rsidRPr="00275065">
        <w:t xml:space="preserve">etwork </w:t>
      </w:r>
      <w:sdt>
        <w:sdtPr>
          <w:tag w:val="goog_rdk_149"/>
          <w:id w:val="88273338"/>
        </w:sdtPr>
        <w:sdtEndPr/>
        <w:sdtContent>
          <w:r w:rsidR="00DC6FDF" w:rsidRPr="00275065">
            <w:t>s</w:t>
          </w:r>
        </w:sdtContent>
      </w:sdt>
      <w:r w:rsidR="00DC6FDF" w:rsidRPr="00275065">
        <w:t xml:space="preserve">ecretariat on the effective implementation of the functions of the Santiago network in accordance with its </w:t>
      </w:r>
      <w:sdt>
        <w:sdtPr>
          <w:tag w:val="goog_rdk_150"/>
          <w:id w:val="-665792925"/>
        </w:sdtPr>
        <w:sdtEndPr/>
        <w:sdtContent>
          <w:r w:rsidR="00DC6FDF" w:rsidRPr="00275065">
            <w:t>t</w:t>
          </w:r>
        </w:sdtContent>
      </w:sdt>
      <w:r w:rsidR="00DC6FDF" w:rsidRPr="00275065">
        <w:t xml:space="preserve">erms of </w:t>
      </w:r>
      <w:sdt>
        <w:sdtPr>
          <w:tag w:val="goog_rdk_152"/>
          <w:id w:val="-1153446089"/>
        </w:sdtPr>
        <w:sdtEndPr/>
        <w:sdtContent>
          <w:r w:rsidR="00DC6FDF" w:rsidRPr="00275065">
            <w:t>r</w:t>
          </w:r>
        </w:sdtContent>
      </w:sdt>
      <w:r w:rsidR="00DC6FDF" w:rsidRPr="00275065">
        <w:t>eference.</w:t>
      </w:r>
      <w:r w:rsidR="007F20C0" w:rsidRPr="00275065" w:rsidDel="007F20C0">
        <w:t xml:space="preserve"> </w:t>
      </w:r>
    </w:p>
    <w:p w14:paraId="3322831B" w14:textId="3ABC1F76" w:rsidR="00DC6FDF" w:rsidRPr="00664AF5" w:rsidRDefault="00406A0D" w:rsidP="00406A0D">
      <w:pPr>
        <w:pStyle w:val="RegHChG"/>
        <w:tabs>
          <w:tab w:val="left" w:pos="1135"/>
        </w:tabs>
        <w:ind w:left="1135" w:hanging="454"/>
        <w:rPr>
          <w:szCs w:val="28"/>
        </w:rPr>
      </w:pPr>
      <w:bookmarkStart w:id="29" w:name="_Toc161241751"/>
      <w:bookmarkStart w:id="30" w:name="_Toc161241977"/>
      <w:r w:rsidRPr="00664AF5">
        <w:rPr>
          <w:szCs w:val="28"/>
        </w:rPr>
        <w:t>IV.</w:t>
      </w:r>
      <w:r w:rsidRPr="00664AF5">
        <w:rPr>
          <w:szCs w:val="28"/>
        </w:rPr>
        <w:tab/>
      </w:r>
      <w:r w:rsidR="00DC6FDF" w:rsidRPr="00664AF5">
        <w:rPr>
          <w:szCs w:val="28"/>
        </w:rPr>
        <w:t>Role and responsibilities of the United Nations Office for Disaster Risk Reduction and the United Nations Office for Project Services</w:t>
      </w:r>
      <w:bookmarkEnd w:id="29"/>
      <w:bookmarkEnd w:id="30"/>
    </w:p>
    <w:p w14:paraId="4E0C7741" w14:textId="55EB30CE" w:rsidR="00DC6FDF" w:rsidRPr="00664AF5" w:rsidRDefault="00406A0D" w:rsidP="00406A0D">
      <w:pPr>
        <w:pStyle w:val="RegSingleTxtG"/>
        <w:ind w:left="1134"/>
      </w:pPr>
      <w:r w:rsidRPr="00664AF5">
        <w:rPr>
          <w:rFonts w:eastAsia="Times New Roman"/>
        </w:rPr>
        <w:t>7.</w:t>
      </w:r>
      <w:r w:rsidRPr="00664AF5">
        <w:rPr>
          <w:rFonts w:eastAsia="Times New Roman"/>
        </w:rPr>
        <w:tab/>
      </w:r>
      <w:r w:rsidR="00DC6FDF" w:rsidRPr="00664AF5">
        <w:t xml:space="preserve">UNDRR and UNOPS will host the Santiago </w:t>
      </w:r>
      <w:sdt>
        <w:sdtPr>
          <w:tag w:val="goog_rdk_175"/>
          <w:id w:val="1919283180"/>
        </w:sdtPr>
        <w:sdtEndPr/>
        <w:sdtContent>
          <w:r w:rsidR="00DC6FDF" w:rsidRPr="00664AF5">
            <w:t>n</w:t>
          </w:r>
        </w:sdtContent>
      </w:sdt>
      <w:r w:rsidR="00DC6FDF" w:rsidRPr="00664AF5">
        <w:t xml:space="preserve">etwork </w:t>
      </w:r>
      <w:sdt>
        <w:sdtPr>
          <w:tag w:val="goog_rdk_178"/>
          <w:id w:val="1150100328"/>
        </w:sdtPr>
        <w:sdtEndPr/>
        <w:sdtContent>
          <w:r w:rsidR="00DC6FDF" w:rsidRPr="00664AF5">
            <w:t>s</w:t>
          </w:r>
        </w:sdtContent>
      </w:sdt>
      <w:r w:rsidR="00DC6FDF" w:rsidRPr="00664AF5">
        <w:t xml:space="preserve">ecretariat as a dedicated secretariat in accordance with the provisions of this MOU and the terms of reference, as well as with their respective legal and regulatory frameworks, including regulations, </w:t>
      </w:r>
      <w:proofErr w:type="gramStart"/>
      <w:r w:rsidR="00DC6FDF" w:rsidRPr="00664AF5">
        <w:t>rules</w:t>
      </w:r>
      <w:proofErr w:type="gramEnd"/>
      <w:r w:rsidR="00DC6FDF" w:rsidRPr="00664AF5">
        <w:t xml:space="preserve"> and procedures. Cooperation between UNDRR and UNOPS will be addressed in a separate agreement between the two organizations.</w:t>
      </w:r>
    </w:p>
    <w:p w14:paraId="4F47C74A" w14:textId="5FA84851" w:rsidR="00DC6FDF" w:rsidRPr="00664AF5" w:rsidRDefault="00406A0D" w:rsidP="00406A0D">
      <w:pPr>
        <w:pStyle w:val="RegSingleTxtG"/>
        <w:ind w:left="1134"/>
      </w:pPr>
      <w:r w:rsidRPr="00664AF5">
        <w:rPr>
          <w:rFonts w:eastAsia="Times New Roman"/>
        </w:rPr>
        <w:t>8.</w:t>
      </w:r>
      <w:r w:rsidRPr="00664AF5">
        <w:rPr>
          <w:rFonts w:eastAsia="Times New Roman"/>
        </w:rPr>
        <w:tab/>
      </w:r>
      <w:r w:rsidR="00DC6FDF" w:rsidRPr="00664AF5">
        <w:t>UNDRR and UNOPS shall make regional and subregional UNDRR offices in all United Nations geographical regions available, as appropriate, to serve as designated units for providing relevant services and support for catalysing effective and timely technical assistance in developing countries that are particularly vulnerable to the adverse effects of climate change.</w:t>
      </w:r>
    </w:p>
    <w:p w14:paraId="0FB53116" w14:textId="7B46A156" w:rsidR="00DC6FDF" w:rsidRPr="00664AF5" w:rsidRDefault="00406A0D" w:rsidP="00406A0D">
      <w:pPr>
        <w:pStyle w:val="RegSingleTxtG"/>
        <w:ind w:left="1134"/>
      </w:pPr>
      <w:r w:rsidRPr="00664AF5">
        <w:rPr>
          <w:rFonts w:eastAsia="Times New Roman"/>
        </w:rPr>
        <w:t>9.</w:t>
      </w:r>
      <w:r w:rsidRPr="00664AF5">
        <w:rPr>
          <w:rFonts w:eastAsia="Times New Roman"/>
        </w:rPr>
        <w:tab/>
      </w:r>
      <w:r w:rsidR="00DC6FDF" w:rsidRPr="00664AF5">
        <w:t xml:space="preserve">UNOPS, in consultation with UNDRR, shall design a lean, cost-effective organizational structure and provide the necessary administrative and infrastructural support for the effective functioning of the Santiago </w:t>
      </w:r>
      <w:sdt>
        <w:sdtPr>
          <w:tag w:val="goog_rdk_210"/>
          <w:id w:val="-402759118"/>
        </w:sdtPr>
        <w:sdtEndPr/>
        <w:sdtContent>
          <w:r w:rsidR="00DC6FDF" w:rsidRPr="00664AF5">
            <w:t>n</w:t>
          </w:r>
        </w:sdtContent>
      </w:sdt>
      <w:r w:rsidR="00DC6FDF" w:rsidRPr="00664AF5">
        <w:t xml:space="preserve">etwork </w:t>
      </w:r>
      <w:sdt>
        <w:sdtPr>
          <w:tag w:val="goog_rdk_212"/>
          <w:id w:val="-326374477"/>
        </w:sdtPr>
        <w:sdtEndPr/>
        <w:sdtContent>
          <w:r w:rsidR="00DC6FDF" w:rsidRPr="00664AF5">
            <w:t>s</w:t>
          </w:r>
        </w:sdtContent>
      </w:sdt>
      <w:r w:rsidR="00DC6FDF" w:rsidRPr="00664AF5">
        <w:t xml:space="preserve">ecretariat, in accordance with relevant UNOPS regulations, rules and procedures, and subject to the financing provided pursuant to </w:t>
      </w:r>
      <w:r w:rsidR="00C64EF1" w:rsidRPr="00664AF5">
        <w:t xml:space="preserve">chapter </w:t>
      </w:r>
      <w:r w:rsidR="00DC6FDF" w:rsidRPr="00664AF5">
        <w:rPr>
          <w:cs/>
        </w:rPr>
        <w:t>‎</w:t>
      </w:r>
      <w:r w:rsidR="00294F2F" w:rsidRPr="00664AF5">
        <w:rPr>
          <w:cs/>
        </w:rPr>
        <w:t>‎</w:t>
      </w:r>
      <w:r w:rsidR="00294F2F" w:rsidRPr="00664AF5">
        <w:t>VII</w:t>
      </w:r>
      <w:r w:rsidR="00DC6FDF" w:rsidRPr="00664AF5">
        <w:t xml:space="preserve"> below.</w:t>
      </w:r>
    </w:p>
    <w:p w14:paraId="3528CC3E" w14:textId="0E1FF6AA" w:rsidR="00DC6FDF" w:rsidRPr="00664AF5" w:rsidRDefault="00406A0D" w:rsidP="00406A0D">
      <w:pPr>
        <w:pStyle w:val="RegSingleTxtG"/>
        <w:ind w:left="1134"/>
      </w:pPr>
      <w:r w:rsidRPr="00664AF5">
        <w:rPr>
          <w:rFonts w:eastAsia="Times New Roman"/>
        </w:rPr>
        <w:t>10.</w:t>
      </w:r>
      <w:r w:rsidRPr="00664AF5">
        <w:rPr>
          <w:rFonts w:eastAsia="Times New Roman"/>
        </w:rPr>
        <w:tab/>
      </w:r>
      <w:r w:rsidR="00DC6FDF" w:rsidRPr="00664AF5">
        <w:t>UNOPS shall appoint, in consultation with UNDRR, subject to the endorsement of the Advisory Board</w:t>
      </w:r>
      <w:r w:rsidR="00DC6FDF" w:rsidRPr="005B15F4">
        <w:rPr>
          <w:rStyle w:val="FootnoteReference"/>
          <w:rFonts w:asciiTheme="majorBidi" w:hAnsiTheme="majorBidi" w:cstheme="majorBidi"/>
        </w:rPr>
        <w:footnoteReference w:id="26"/>
      </w:r>
      <w:r w:rsidR="00DC6FDF" w:rsidRPr="00664AF5">
        <w:t xml:space="preserve"> and pursuant to the Staff Regulations and Rules of the United Nations,</w:t>
      </w:r>
      <w:r w:rsidR="00DC6FDF" w:rsidRPr="005B15F4">
        <w:rPr>
          <w:rStyle w:val="FootnoteReference"/>
          <w:rFonts w:asciiTheme="majorBidi" w:hAnsiTheme="majorBidi" w:cstheme="majorBidi"/>
          <w:szCs w:val="18"/>
        </w:rPr>
        <w:footnoteReference w:id="27"/>
      </w:r>
      <w:r w:rsidR="00DC6FDF" w:rsidRPr="00664AF5">
        <w:t xml:space="preserve"> the Director of the Santiago </w:t>
      </w:r>
      <w:sdt>
        <w:sdtPr>
          <w:tag w:val="goog_rdk_217"/>
          <w:id w:val="675539428"/>
        </w:sdtPr>
        <w:sdtEndPr/>
        <w:sdtContent>
          <w:r w:rsidR="00DC6FDF" w:rsidRPr="00664AF5">
            <w:t>n</w:t>
          </w:r>
        </w:sdtContent>
      </w:sdt>
      <w:r w:rsidR="00DC6FDF" w:rsidRPr="00664AF5">
        <w:t xml:space="preserve">etwork secretariat through a merit-based, </w:t>
      </w:r>
      <w:proofErr w:type="gramStart"/>
      <w:r w:rsidR="00DC6FDF" w:rsidRPr="00664AF5">
        <w:t>open</w:t>
      </w:r>
      <w:proofErr w:type="gramEnd"/>
      <w:r w:rsidR="00DC6FDF" w:rsidRPr="00664AF5">
        <w:t xml:space="preserve"> and transparent process.</w:t>
      </w:r>
    </w:p>
    <w:p w14:paraId="793049A7" w14:textId="09EE181E" w:rsidR="00DC6FDF" w:rsidRPr="005B15F4" w:rsidRDefault="00406A0D" w:rsidP="00406A0D">
      <w:pPr>
        <w:pStyle w:val="RegSingleTxtG"/>
        <w:ind w:left="1134"/>
      </w:pPr>
      <w:r w:rsidRPr="005B15F4">
        <w:rPr>
          <w:rFonts w:eastAsia="Times New Roman"/>
        </w:rPr>
        <w:t>11.</w:t>
      </w:r>
      <w:r w:rsidRPr="005B15F4">
        <w:rPr>
          <w:rFonts w:eastAsia="Times New Roman"/>
        </w:rPr>
        <w:tab/>
      </w:r>
      <w:r w:rsidR="00DC6FDF" w:rsidRPr="005B15F4">
        <w:t>UNOPS shall appoint, in consultation with UNDRR and in accordance with technical guidance from UNDRR, pursuant to the Staff Regulations and Rules of the United Nations, consistent</w:t>
      </w:r>
      <w:r w:rsidR="00FA1A4A" w:rsidRPr="005B15F4">
        <w:t>ly</w:t>
      </w:r>
      <w:r w:rsidR="00DC6FDF" w:rsidRPr="005B15F4">
        <w:t xml:space="preserve"> with paragraph </w:t>
      </w:r>
      <w:r w:rsidR="00DC6FDF" w:rsidRPr="005B15F4">
        <w:rPr>
          <w:cs/>
        </w:rPr>
        <w:t>‎</w:t>
      </w:r>
      <w:r w:rsidR="00294F2F" w:rsidRPr="005B15F4">
        <w:rPr>
          <w:cs/>
        </w:rPr>
        <w:t>‎</w:t>
      </w:r>
      <w:r w:rsidR="00294F2F" w:rsidRPr="005B15F4">
        <w:t>33 below</w:t>
      </w:r>
      <w:r w:rsidR="00DC6FDF" w:rsidRPr="005B15F4">
        <w:t>, a small core team of professional and administrative staff, managed by the Director, to support the Santiago network secretariat in meeting its responsibilities and performing its functions efficiently and effectively.</w:t>
      </w:r>
    </w:p>
    <w:p w14:paraId="4C86716C" w14:textId="7D92F5D6" w:rsidR="00DC6FDF" w:rsidRPr="005B15F4" w:rsidRDefault="00406A0D" w:rsidP="00406A0D">
      <w:pPr>
        <w:pStyle w:val="RegSingleTxtG"/>
        <w:ind w:left="1134"/>
      </w:pPr>
      <w:r w:rsidRPr="005B15F4">
        <w:rPr>
          <w:rFonts w:eastAsia="Times New Roman"/>
        </w:rPr>
        <w:t>12.</w:t>
      </w:r>
      <w:r w:rsidRPr="005B15F4">
        <w:rPr>
          <w:rFonts w:eastAsia="Times New Roman"/>
        </w:rPr>
        <w:tab/>
      </w:r>
      <w:r w:rsidR="00DC6FDF" w:rsidRPr="005B15F4">
        <w:t xml:space="preserve">UNDRR will provide the Santiago network secretariat with technical backstopping and expertise in the domain of averting, </w:t>
      </w:r>
      <w:proofErr w:type="gramStart"/>
      <w:r w:rsidR="00DC6FDF" w:rsidRPr="005B15F4">
        <w:t>minimizing</w:t>
      </w:r>
      <w:proofErr w:type="gramEnd"/>
      <w:r w:rsidR="00DC6FDF" w:rsidRPr="005B15F4">
        <w:t xml:space="preserve"> and addressing loss and damage consistently with the guidelines for preventing potential and addressing actual and perceived conflicts of interest in relation to the Santiago network (see para. </w:t>
      </w:r>
      <w:r w:rsidR="00DC6FDF" w:rsidRPr="005B15F4">
        <w:rPr>
          <w:cs/>
        </w:rPr>
        <w:t>‎</w:t>
      </w:r>
      <w:r w:rsidR="00294F2F" w:rsidRPr="005B15F4">
        <w:rPr>
          <w:cs/>
        </w:rPr>
        <w:t>‎</w:t>
      </w:r>
      <w:r w:rsidR="0054163E" w:rsidRPr="005B15F4" w:rsidDel="00294F2F">
        <w:t>15 below</w:t>
      </w:r>
      <w:r w:rsidR="00DC6FDF" w:rsidRPr="005B15F4">
        <w:t>).</w:t>
      </w:r>
    </w:p>
    <w:p w14:paraId="5CBA097C" w14:textId="1FAE522B" w:rsidR="00DC6FDF" w:rsidRPr="005B15F4" w:rsidRDefault="00406A0D" w:rsidP="00406A0D">
      <w:pPr>
        <w:pStyle w:val="RegSingleTxtG"/>
        <w:ind w:left="1134"/>
      </w:pPr>
      <w:r w:rsidRPr="005B15F4">
        <w:rPr>
          <w:rFonts w:eastAsia="Times New Roman"/>
        </w:rPr>
        <w:t>13.</w:t>
      </w:r>
      <w:r w:rsidRPr="005B15F4">
        <w:rPr>
          <w:rFonts w:eastAsia="Times New Roman"/>
        </w:rPr>
        <w:tab/>
      </w:r>
      <w:r w:rsidR="00DC6FDF" w:rsidRPr="005B15F4">
        <w:t xml:space="preserve">UNDRR and UNOPS shall provide in-kind and other support for the Santiago </w:t>
      </w:r>
      <w:sdt>
        <w:sdtPr>
          <w:tag w:val="goog_rdk_239"/>
          <w:id w:val="396015016"/>
        </w:sdtPr>
        <w:sdtEndPr/>
        <w:sdtContent>
          <w:r w:rsidR="00DC6FDF" w:rsidRPr="005B15F4">
            <w:t>n</w:t>
          </w:r>
        </w:sdtContent>
      </w:sdt>
      <w:r w:rsidR="00DC6FDF" w:rsidRPr="005B15F4">
        <w:t xml:space="preserve">etwork </w:t>
      </w:r>
      <w:sdt>
        <w:sdtPr>
          <w:tag w:val="goog_rdk_241"/>
          <w:id w:val="1663121997"/>
        </w:sdtPr>
        <w:sdtEndPr/>
        <w:sdtContent>
          <w:r w:rsidR="00DC6FDF" w:rsidRPr="005B15F4">
            <w:t>s</w:t>
          </w:r>
        </w:sdtContent>
      </w:sdt>
      <w:r w:rsidR="00DC6FDF" w:rsidRPr="005B15F4">
        <w:t>ecretariat to carry out its roles and responsibilities, as set out in the terms of reference of the Santiago network.</w:t>
      </w:r>
    </w:p>
    <w:p w14:paraId="680ABE4C" w14:textId="52F51834" w:rsidR="00DC6FDF" w:rsidRPr="005B15F4" w:rsidRDefault="00406A0D" w:rsidP="00406A0D">
      <w:pPr>
        <w:pStyle w:val="RegSingleTxtG"/>
        <w:ind w:left="1134"/>
      </w:pPr>
      <w:r w:rsidRPr="005B15F4">
        <w:rPr>
          <w:rFonts w:eastAsia="Times New Roman"/>
        </w:rPr>
        <w:t>14.</w:t>
      </w:r>
      <w:r w:rsidRPr="005B15F4">
        <w:rPr>
          <w:rFonts w:eastAsia="Times New Roman"/>
        </w:rPr>
        <w:tab/>
      </w:r>
      <w:r w:rsidR="00DC6FDF" w:rsidRPr="005B15F4">
        <w:t xml:space="preserve">UNDRR and UNOPS shall provide periodic updates on matters regarding the Santiago </w:t>
      </w:r>
      <w:sdt>
        <w:sdtPr>
          <w:tag w:val="goog_rdk_262"/>
          <w:id w:val="-493106688"/>
        </w:sdtPr>
        <w:sdtEndPr/>
        <w:sdtContent>
          <w:r w:rsidR="00DC6FDF" w:rsidRPr="005B15F4">
            <w:t>n</w:t>
          </w:r>
        </w:sdtContent>
      </w:sdt>
      <w:r w:rsidR="00DC6FDF" w:rsidRPr="005B15F4">
        <w:t xml:space="preserve">etwork </w:t>
      </w:r>
      <w:sdt>
        <w:sdtPr>
          <w:tag w:val="goog_rdk_264"/>
          <w:id w:val="-928960940"/>
        </w:sdtPr>
        <w:sdtEndPr/>
        <w:sdtContent>
          <w:r w:rsidR="00DC6FDF" w:rsidRPr="005B15F4">
            <w:t>s</w:t>
          </w:r>
        </w:sdtContent>
      </w:sdt>
      <w:r w:rsidR="00DC6FDF" w:rsidRPr="005B15F4">
        <w:t>ecretariat, and the Santiago network secretariat shall make this information available in the annual report prepared in accordance with paragraph 19 of annex</w:t>
      </w:r>
      <w:r w:rsidR="00DA4CEA" w:rsidRPr="005B15F4">
        <w:t> </w:t>
      </w:r>
      <w:r w:rsidR="00DC6FDF" w:rsidRPr="005B15F4">
        <w:t>I to decision 12/CMA.4, endorsed by decision 11/CP.27.</w:t>
      </w:r>
    </w:p>
    <w:p w14:paraId="7F336B28" w14:textId="1098DA23" w:rsidR="00DC6FDF" w:rsidRPr="005B15F4" w:rsidRDefault="00406A0D" w:rsidP="00406A0D">
      <w:pPr>
        <w:pStyle w:val="RegSingleTxtG"/>
        <w:ind w:left="1134"/>
      </w:pPr>
      <w:bookmarkStart w:id="31" w:name="_Ref153063689"/>
      <w:r w:rsidRPr="005B15F4">
        <w:rPr>
          <w:rFonts w:eastAsia="Times New Roman"/>
        </w:rPr>
        <w:t>15.</w:t>
      </w:r>
      <w:r w:rsidRPr="005B15F4">
        <w:rPr>
          <w:rFonts w:eastAsia="Times New Roman"/>
        </w:rPr>
        <w:tab/>
      </w:r>
      <w:r w:rsidR="00DC6FDF" w:rsidRPr="005B15F4">
        <w:t>UNDRR and UNOPS shall implement the guidelines preventing potential and addressing actual and perceived conflicts of interest in relation to the Santiago network, including any conflicts of interest that may arise when organizations, bodies, networks and experts are engaged in providing technical support to the Santiago network secretariat while responding to technical assistance requests, or when the host of the Santiago network secretariat is responding as an organization, body, network or expert to technical assistance requests, which shall be approved by the Advisory Board at its 1st meeting.</w:t>
      </w:r>
      <w:bookmarkEnd w:id="31"/>
    </w:p>
    <w:p w14:paraId="72A2DFE7" w14:textId="6CCD072A" w:rsidR="00DC6FDF" w:rsidRPr="005B15F4" w:rsidRDefault="00406A0D" w:rsidP="00406A0D">
      <w:pPr>
        <w:pStyle w:val="RegSingleTxtG"/>
        <w:ind w:left="1134"/>
      </w:pPr>
      <w:r w:rsidRPr="005B15F4">
        <w:rPr>
          <w:rFonts w:eastAsia="Times New Roman"/>
        </w:rPr>
        <w:lastRenderedPageBreak/>
        <w:t>16.</w:t>
      </w:r>
      <w:r w:rsidRPr="005B15F4">
        <w:rPr>
          <w:rFonts w:eastAsia="Times New Roman"/>
        </w:rPr>
        <w:tab/>
      </w:r>
      <w:r w:rsidR="00DC6FDF" w:rsidRPr="005B15F4">
        <w:t xml:space="preserve">UNDRR and UNOPS shall provide support </w:t>
      </w:r>
      <w:r w:rsidR="00AB7E40" w:rsidRPr="005B15F4">
        <w:t>t</w:t>
      </w:r>
      <w:r w:rsidR="001C7EE8" w:rsidRPr="005B15F4">
        <w:t>o</w:t>
      </w:r>
      <w:r w:rsidR="00DC6FDF" w:rsidRPr="005B15F4">
        <w:t xml:space="preserve"> the work of the Advisory Board and ensure that </w:t>
      </w:r>
      <w:sdt>
        <w:sdtPr>
          <w:tag w:val="goog_rdk_276"/>
          <w:id w:val="-1901356584"/>
        </w:sdtPr>
        <w:sdtEndPr/>
        <w:sdtContent>
          <w:r w:rsidR="00DC6FDF" w:rsidRPr="005B15F4">
            <w:t xml:space="preserve">the necessary </w:t>
          </w:r>
        </w:sdtContent>
      </w:sdt>
      <w:r w:rsidR="00DC6FDF" w:rsidRPr="005B15F4">
        <w:t>arrangements are in place for the meetings of the Advisory Board, including privileges and immunities for members of the Board in line with existing practice.</w:t>
      </w:r>
    </w:p>
    <w:p w14:paraId="6D74A337" w14:textId="6AC398E2" w:rsidR="00DC6FDF" w:rsidRPr="005B15F4" w:rsidRDefault="00406A0D" w:rsidP="00406A0D">
      <w:pPr>
        <w:pStyle w:val="RegSingleTxtG"/>
        <w:ind w:left="1134"/>
      </w:pPr>
      <w:r w:rsidRPr="005B15F4">
        <w:rPr>
          <w:rFonts w:eastAsia="Times New Roman"/>
        </w:rPr>
        <w:t>17.</w:t>
      </w:r>
      <w:r w:rsidRPr="005B15F4">
        <w:rPr>
          <w:rFonts w:eastAsia="Times New Roman"/>
        </w:rPr>
        <w:tab/>
      </w:r>
      <w:r w:rsidR="00DC6FDF" w:rsidRPr="005B15F4">
        <w:t xml:space="preserve">The respective heads of UNDRR and UNOPS shall be responsible for the execution of the functions of UNDRR and UNOPS under this MOU in accordance with their respective legal and regulatory frameworks, including their regulations, rules, </w:t>
      </w:r>
      <w:proofErr w:type="gramStart"/>
      <w:r w:rsidR="00DC6FDF" w:rsidRPr="005B15F4">
        <w:t>policies</w:t>
      </w:r>
      <w:proofErr w:type="gramEnd"/>
      <w:r w:rsidR="00DC6FDF" w:rsidRPr="005B15F4">
        <w:t xml:space="preserve"> and procedures. UNDRR and UNOPS shall be legally responsible for any allegations, claims and/or damages arising from the activities performed pursuant to this MOU in the event of gross negligence or wilful misconduct on the respective parts of UNDRR and UNOPS and their personnel.</w:t>
      </w:r>
    </w:p>
    <w:p w14:paraId="2EA67064" w14:textId="1421ABAC" w:rsidR="00DC6FDF" w:rsidRPr="0065385F" w:rsidRDefault="00406A0D" w:rsidP="00406A0D">
      <w:pPr>
        <w:pStyle w:val="RegHChG"/>
        <w:tabs>
          <w:tab w:val="left" w:pos="1135"/>
        </w:tabs>
        <w:ind w:left="1135" w:hanging="454"/>
      </w:pPr>
      <w:bookmarkStart w:id="32" w:name="_Toc161241752"/>
      <w:bookmarkStart w:id="33" w:name="_Toc161241978"/>
      <w:r w:rsidRPr="0065385F">
        <w:t>V.</w:t>
      </w:r>
      <w:r w:rsidRPr="0065385F">
        <w:tab/>
      </w:r>
      <w:r w:rsidR="00DC6FDF" w:rsidRPr="0065385F">
        <w:t xml:space="preserve">Role and functions of the Santiago </w:t>
      </w:r>
      <w:sdt>
        <w:sdtPr>
          <w:tag w:val="goog_rdk_290"/>
          <w:id w:val="1106003357"/>
        </w:sdtPr>
        <w:sdtEndPr/>
        <w:sdtContent>
          <w:r w:rsidR="00DC6FDF" w:rsidRPr="0065385F">
            <w:t>n</w:t>
          </w:r>
        </w:sdtContent>
      </w:sdt>
      <w:r w:rsidR="00DC6FDF" w:rsidRPr="0065385F">
        <w:t xml:space="preserve">etwork </w:t>
      </w:r>
      <w:sdt>
        <w:sdtPr>
          <w:tag w:val="goog_rdk_292"/>
          <w:id w:val="735898787"/>
        </w:sdtPr>
        <w:sdtEndPr/>
        <w:sdtContent>
          <w:r w:rsidR="00DC6FDF" w:rsidRPr="0065385F">
            <w:t>s</w:t>
          </w:r>
        </w:sdtContent>
      </w:sdt>
      <w:r w:rsidR="00DC6FDF" w:rsidRPr="0065385F">
        <w:t>ecretariat</w:t>
      </w:r>
      <w:bookmarkEnd w:id="32"/>
      <w:bookmarkEnd w:id="33"/>
      <w:r w:rsidR="00DC6FDF" w:rsidRPr="0065385F">
        <w:t xml:space="preserve"> </w:t>
      </w:r>
    </w:p>
    <w:p w14:paraId="42326619" w14:textId="571678B5" w:rsidR="00DC6FDF" w:rsidRPr="0065385F" w:rsidRDefault="00406A0D" w:rsidP="00406A0D">
      <w:pPr>
        <w:pStyle w:val="RegSingleTxtG"/>
        <w:ind w:left="1134"/>
      </w:pPr>
      <w:r w:rsidRPr="0065385F">
        <w:rPr>
          <w:rFonts w:eastAsia="Times New Roman"/>
        </w:rPr>
        <w:t>18.</w:t>
      </w:r>
      <w:r w:rsidRPr="0065385F">
        <w:rPr>
          <w:rFonts w:eastAsia="Times New Roman"/>
        </w:rPr>
        <w:tab/>
      </w:r>
      <w:r w:rsidR="00DC6FDF" w:rsidRPr="0065385F">
        <w:t xml:space="preserve">The Santiago network secretariat shall operate within its </w:t>
      </w:r>
      <w:sdt>
        <w:sdtPr>
          <w:tag w:val="goog_rdk_297"/>
          <w:id w:val="-61721108"/>
        </w:sdtPr>
        <w:sdtEndPr/>
        <w:sdtContent>
          <w:r w:rsidR="00DC6FDF" w:rsidRPr="0065385F">
            <w:t>t</w:t>
          </w:r>
        </w:sdtContent>
      </w:sdt>
      <w:r w:rsidR="00DC6FDF" w:rsidRPr="0065385F">
        <w:t xml:space="preserve">erms of </w:t>
      </w:r>
      <w:sdt>
        <w:sdtPr>
          <w:tag w:val="goog_rdk_299"/>
          <w:id w:val="-1038586173"/>
        </w:sdtPr>
        <w:sdtEndPr/>
        <w:sdtContent>
          <w:r w:rsidR="00DC6FDF" w:rsidRPr="0065385F">
            <w:t>r</w:t>
          </w:r>
        </w:sdtContent>
      </w:sdt>
      <w:r w:rsidR="00DC6FDF" w:rsidRPr="0065385F">
        <w:t>eference</w:t>
      </w:r>
      <w:r w:rsidR="00DC6FDF" w:rsidRPr="0051693B">
        <w:rPr>
          <w:rStyle w:val="FootnoteReference"/>
          <w:rFonts w:asciiTheme="majorBidi" w:hAnsiTheme="majorBidi" w:cstheme="majorBidi"/>
        </w:rPr>
        <w:footnoteReference w:id="28"/>
      </w:r>
      <w:r w:rsidR="00DC6FDF" w:rsidRPr="0051693B">
        <w:rPr>
          <w:rStyle w:val="FootnoteReference"/>
          <w:rFonts w:asciiTheme="majorBidi" w:hAnsiTheme="majorBidi" w:cstheme="majorBidi"/>
        </w:rPr>
        <w:t xml:space="preserve"> </w:t>
      </w:r>
      <w:r w:rsidR="00DC6FDF" w:rsidRPr="0065385F">
        <w:t xml:space="preserve">and shall </w:t>
      </w:r>
      <w:sdt>
        <w:sdtPr>
          <w:tag w:val="goog_rdk_302"/>
          <w:id w:val="1286157799"/>
        </w:sdtPr>
        <w:sdtEndPr/>
        <w:sdtContent>
          <w:r w:rsidR="00DC6FDF" w:rsidRPr="0065385F">
            <w:t>be accountable</w:t>
          </w:r>
        </w:sdtContent>
      </w:sdt>
      <w:r w:rsidR="00DC6FDF" w:rsidRPr="0065385F">
        <w:t xml:space="preserve"> to and operate under the guidance of the Advisory Board and in accordance</w:t>
      </w:r>
      <w:r w:rsidR="00DC6FDF" w:rsidRPr="0051693B">
        <w:t xml:space="preserve"> </w:t>
      </w:r>
      <w:r w:rsidR="00DC6FDF" w:rsidRPr="0065385F">
        <w:t>with relevant decisions of the governing body or bodies.</w:t>
      </w:r>
    </w:p>
    <w:p w14:paraId="2283A8A6" w14:textId="2457CB14" w:rsidR="00DC6FDF" w:rsidRPr="0051693B" w:rsidRDefault="00406A0D" w:rsidP="00406A0D">
      <w:pPr>
        <w:pStyle w:val="RegSingleTxtG"/>
        <w:ind w:left="1134"/>
      </w:pPr>
      <w:r w:rsidRPr="0051693B">
        <w:rPr>
          <w:rFonts w:eastAsia="Times New Roman"/>
        </w:rPr>
        <w:t>19.</w:t>
      </w:r>
      <w:r w:rsidRPr="0051693B">
        <w:rPr>
          <w:rFonts w:eastAsia="Times New Roman"/>
        </w:rPr>
        <w:tab/>
      </w:r>
      <w:r w:rsidR="00DC6FDF" w:rsidRPr="0051693B">
        <w:t xml:space="preserve">The Santiago network secretariat shall facilitate the implementation of the functions of the network and shall manage its day-to-day operations in accordance with decision 12/CMA.4, paragraph 6, endorsed by decision 11/CP.27, and other relevant decisions of the governing body or bodies. </w:t>
      </w:r>
    </w:p>
    <w:p w14:paraId="2FE99A6F" w14:textId="4FCDC6FD" w:rsidR="00DC6FDF" w:rsidRPr="0051693B" w:rsidRDefault="00406A0D" w:rsidP="00406A0D">
      <w:pPr>
        <w:pStyle w:val="RegSingleTxtG"/>
        <w:ind w:left="1134"/>
      </w:pPr>
      <w:r w:rsidRPr="0051693B">
        <w:rPr>
          <w:rFonts w:eastAsia="Times New Roman"/>
        </w:rPr>
        <w:t>20.</w:t>
      </w:r>
      <w:r w:rsidRPr="0051693B">
        <w:rPr>
          <w:rFonts w:eastAsia="Times New Roman"/>
        </w:rPr>
        <w:tab/>
      </w:r>
      <w:r w:rsidR="00DC6FDF" w:rsidRPr="0051693B">
        <w:t xml:space="preserve">The Santiago </w:t>
      </w:r>
      <w:sdt>
        <w:sdtPr>
          <w:tag w:val="goog_rdk_325"/>
          <w:id w:val="-797917106"/>
        </w:sdtPr>
        <w:sdtEndPr/>
        <w:sdtContent>
          <w:r w:rsidR="00DC6FDF" w:rsidRPr="0051693B">
            <w:t>n</w:t>
          </w:r>
        </w:sdtContent>
      </w:sdt>
      <w:r w:rsidR="00DC6FDF" w:rsidRPr="0051693B">
        <w:t xml:space="preserve">etwork </w:t>
      </w:r>
      <w:sdt>
        <w:sdtPr>
          <w:tag w:val="goog_rdk_327"/>
          <w:id w:val="-1506437939"/>
        </w:sdtPr>
        <w:sdtEndPr/>
        <w:sdtContent>
          <w:r w:rsidR="00DC6FDF" w:rsidRPr="0051693B">
            <w:t>s</w:t>
          </w:r>
        </w:sdtContent>
      </w:sdt>
      <w:r w:rsidR="00DC6FDF" w:rsidRPr="0051693B">
        <w:t>ecretariat shall elaborate modalities and procedures for the network under the guidance of and by the approval of the Advisory Board.</w:t>
      </w:r>
      <w:r w:rsidR="00DC6FDF" w:rsidRPr="0065385F">
        <w:rPr>
          <w:rStyle w:val="FootnoteReference"/>
          <w:rFonts w:asciiTheme="majorBidi" w:hAnsiTheme="majorBidi" w:cstheme="majorBidi"/>
          <w:szCs w:val="18"/>
        </w:rPr>
        <w:footnoteReference w:id="29"/>
      </w:r>
    </w:p>
    <w:p w14:paraId="2FD65BA8" w14:textId="2FFE74A6" w:rsidR="00DC6FDF" w:rsidRPr="00406A0D" w:rsidRDefault="00406A0D" w:rsidP="00406A0D">
      <w:pPr>
        <w:tabs>
          <w:tab w:val="left" w:pos="1701"/>
        </w:tabs>
        <w:suppressAutoHyphens w:val="0"/>
        <w:snapToGrid w:val="0"/>
        <w:spacing w:after="120"/>
        <w:ind w:left="1134" w:right="1134"/>
        <w:jc w:val="both"/>
        <w:rPr>
          <w:rFonts w:asciiTheme="majorBidi" w:hAnsiTheme="majorBidi" w:cstheme="majorBidi"/>
        </w:rPr>
      </w:pPr>
      <w:r w:rsidRPr="00E22347">
        <w:rPr>
          <w:rFonts w:eastAsia="Times New Roman"/>
        </w:rPr>
        <w:t>21.</w:t>
      </w:r>
      <w:r w:rsidRPr="00E22347">
        <w:rPr>
          <w:rFonts w:eastAsia="Times New Roman"/>
        </w:rPr>
        <w:tab/>
      </w:r>
      <w:r w:rsidR="00DC6FDF" w:rsidRPr="00406A0D">
        <w:rPr>
          <w:rFonts w:asciiTheme="majorBidi" w:hAnsiTheme="majorBidi" w:cstheme="majorBidi"/>
        </w:rPr>
        <w:t xml:space="preserve">The Santiago </w:t>
      </w:r>
      <w:sdt>
        <w:sdtPr>
          <w:rPr>
            <w:color w:val="2B579A"/>
            <w:shd w:val="clear" w:color="auto" w:fill="E6E6E6"/>
          </w:rPr>
          <w:tag w:val="goog_rdk_325"/>
          <w:id w:val="-513156299"/>
        </w:sdtPr>
        <w:sdtEndPr/>
        <w:sdtContent>
          <w:r w:rsidR="00DC6FDF" w:rsidRPr="00406A0D">
            <w:rPr>
              <w:rFonts w:asciiTheme="majorBidi" w:hAnsiTheme="majorBidi" w:cstheme="majorBidi"/>
            </w:rPr>
            <w:t>n</w:t>
          </w:r>
        </w:sdtContent>
      </w:sdt>
      <w:r w:rsidR="00DC6FDF" w:rsidRPr="00406A0D">
        <w:rPr>
          <w:rFonts w:asciiTheme="majorBidi" w:hAnsiTheme="majorBidi" w:cstheme="majorBidi"/>
        </w:rPr>
        <w:t xml:space="preserve">etwork </w:t>
      </w:r>
      <w:sdt>
        <w:sdtPr>
          <w:rPr>
            <w:color w:val="2B579A"/>
            <w:shd w:val="clear" w:color="auto" w:fill="E6E6E6"/>
          </w:rPr>
          <w:tag w:val="goog_rdk_327"/>
          <w:id w:val="-286354643"/>
        </w:sdtPr>
        <w:sdtEndPr/>
        <w:sdtContent>
          <w:r w:rsidR="00DC6FDF" w:rsidRPr="00406A0D">
            <w:rPr>
              <w:rFonts w:asciiTheme="majorBidi" w:hAnsiTheme="majorBidi" w:cstheme="majorBidi"/>
            </w:rPr>
            <w:t>s</w:t>
          </w:r>
        </w:sdtContent>
      </w:sdt>
      <w:r w:rsidR="00DC6FDF" w:rsidRPr="00406A0D">
        <w:rPr>
          <w:rFonts w:asciiTheme="majorBidi" w:hAnsiTheme="majorBidi" w:cstheme="majorBidi"/>
        </w:rPr>
        <w:t>ecretariat shall develop and execute a work programme, to be approved by the Advisory Board, building on synergies with the five-year rolling workplan of the Executive Committee.</w:t>
      </w:r>
      <w:r w:rsidR="00DC6FDF" w:rsidRPr="0051693B">
        <w:rPr>
          <w:rStyle w:val="FootnoteReference"/>
          <w:rFonts w:asciiTheme="majorBidi" w:hAnsiTheme="majorBidi" w:cstheme="majorBidi"/>
          <w:szCs w:val="18"/>
        </w:rPr>
        <w:footnoteReference w:id="30"/>
      </w:r>
    </w:p>
    <w:p w14:paraId="4D8712DF" w14:textId="4C19ECBE" w:rsidR="00DC6FDF" w:rsidRPr="0079740F" w:rsidRDefault="00406A0D" w:rsidP="00406A0D">
      <w:pPr>
        <w:pStyle w:val="RegSingleTxtG"/>
        <w:ind w:left="1134"/>
      </w:pPr>
      <w:r w:rsidRPr="0079740F">
        <w:rPr>
          <w:rFonts w:eastAsia="Times New Roman"/>
        </w:rPr>
        <w:t>22.</w:t>
      </w:r>
      <w:r w:rsidRPr="0079740F">
        <w:rPr>
          <w:rFonts w:eastAsia="Times New Roman"/>
        </w:rPr>
        <w:tab/>
      </w:r>
      <w:r w:rsidR="00DC6FDF" w:rsidRPr="0079740F">
        <w:t xml:space="preserve">The Santiago network secretariat shall manage and direct the disbursement of funds provided for the network consistently with </w:t>
      </w:r>
      <w:r w:rsidR="00B83747" w:rsidRPr="0079740F">
        <w:t xml:space="preserve">respective </w:t>
      </w:r>
      <w:r w:rsidR="00DC6FDF" w:rsidRPr="0079740F">
        <w:t xml:space="preserve">UNOPS and UNDRR fiduciary principles and standards that promote a high level of integrity. </w:t>
      </w:r>
    </w:p>
    <w:p w14:paraId="51EBE2DB" w14:textId="22199FF3" w:rsidR="00DC6FDF" w:rsidRPr="0051693B" w:rsidRDefault="00406A0D" w:rsidP="00406A0D">
      <w:pPr>
        <w:pStyle w:val="RegSingleTxtG"/>
        <w:ind w:left="1134"/>
      </w:pPr>
      <w:r w:rsidRPr="0051693B">
        <w:rPr>
          <w:rFonts w:eastAsia="Times New Roman"/>
        </w:rPr>
        <w:t>23.</w:t>
      </w:r>
      <w:r w:rsidRPr="0051693B">
        <w:rPr>
          <w:rFonts w:eastAsia="Times New Roman"/>
        </w:rPr>
        <w:tab/>
      </w:r>
      <w:r w:rsidR="00DC6FDF" w:rsidRPr="0051693B">
        <w:t>The Santiago network secretariat shall make use of regional and subregional United Nations offices in all United Nations geographical regions, as appropriate, to serve as designated units to provide relevant services and support for catalysing effective and timely technical assistance in developing countries particularly vulnerable to the adverse effects of climate change.</w:t>
      </w:r>
    </w:p>
    <w:p w14:paraId="616AD056" w14:textId="180C11F5" w:rsidR="00DC6FDF" w:rsidRPr="0079740F" w:rsidRDefault="00406A0D" w:rsidP="00406A0D">
      <w:pPr>
        <w:pStyle w:val="RegSingleTxtG"/>
        <w:ind w:left="1134"/>
      </w:pPr>
      <w:r w:rsidRPr="0079740F">
        <w:rPr>
          <w:rFonts w:eastAsia="Times New Roman"/>
        </w:rPr>
        <w:t>24.</w:t>
      </w:r>
      <w:r w:rsidRPr="0079740F">
        <w:rPr>
          <w:rFonts w:eastAsia="Times New Roman"/>
        </w:rPr>
        <w:tab/>
      </w:r>
      <w:r w:rsidR="00DC6FDF" w:rsidRPr="0079740F">
        <w:t xml:space="preserve">The Santiago </w:t>
      </w:r>
      <w:sdt>
        <w:sdtPr>
          <w:tag w:val="goog_rdk_330"/>
          <w:id w:val="-1932191364"/>
        </w:sdtPr>
        <w:sdtEndPr/>
        <w:sdtContent>
          <w:r w:rsidR="00DC6FDF" w:rsidRPr="0079740F">
            <w:t>n</w:t>
          </w:r>
        </w:sdtContent>
      </w:sdt>
      <w:r w:rsidR="00DC6FDF" w:rsidRPr="0079740F">
        <w:t xml:space="preserve">etwork </w:t>
      </w:r>
      <w:sdt>
        <w:sdtPr>
          <w:tag w:val="goog_rdk_332"/>
          <w:id w:val="-1917155529"/>
        </w:sdtPr>
        <w:sdtEndPr/>
        <w:sdtContent>
          <w:r w:rsidR="00DC6FDF" w:rsidRPr="0079740F">
            <w:t>s</w:t>
          </w:r>
        </w:sdtContent>
      </w:sdt>
      <w:r w:rsidR="00DC6FDF" w:rsidRPr="0079740F">
        <w:t xml:space="preserve">ecretariat shall prepare, under the guidance of the Advisory Board, an annual report on the activities of the Santiago </w:t>
      </w:r>
      <w:sdt>
        <w:sdtPr>
          <w:tag w:val="goog_rdk_334"/>
          <w:id w:val="-1711101832"/>
        </w:sdtPr>
        <w:sdtEndPr/>
        <w:sdtContent>
          <w:r w:rsidR="00DC6FDF" w:rsidRPr="0079740F">
            <w:t>n</w:t>
          </w:r>
        </w:sdtContent>
      </w:sdt>
      <w:r w:rsidR="00DC6FDF" w:rsidRPr="0079740F">
        <w:t>etwork secretariat and the Santiago network and on the performance of their respective functions for consideration and approval by the Advisory Board.</w:t>
      </w:r>
      <w:r w:rsidR="00DC6FDF" w:rsidRPr="0079740F">
        <w:rPr>
          <w:rStyle w:val="FootnoteReference"/>
          <w:rFonts w:asciiTheme="majorBidi" w:hAnsiTheme="majorBidi" w:cstheme="majorBidi"/>
          <w:szCs w:val="18"/>
        </w:rPr>
        <w:footnoteReference w:id="31"/>
      </w:r>
      <w:r w:rsidR="00DC6FDF" w:rsidRPr="0079740F">
        <w:t xml:space="preserve"> The annual report shall include the elements referred to in paragraph 18 of annex I to decision 12/CMA.4, endorsed by decision 11/CP.27.</w:t>
      </w:r>
    </w:p>
    <w:p w14:paraId="59C758D8" w14:textId="2A8DABFF" w:rsidR="00DC6FDF" w:rsidRPr="0079740F" w:rsidRDefault="00406A0D" w:rsidP="00406A0D">
      <w:pPr>
        <w:pStyle w:val="RegSingleTxtG"/>
        <w:ind w:left="1134"/>
      </w:pPr>
      <w:r w:rsidRPr="0079740F">
        <w:rPr>
          <w:rFonts w:eastAsia="Times New Roman"/>
        </w:rPr>
        <w:t>25.</w:t>
      </w:r>
      <w:r w:rsidRPr="0079740F">
        <w:rPr>
          <w:rFonts w:eastAsia="Times New Roman"/>
        </w:rPr>
        <w:tab/>
      </w:r>
      <w:r w:rsidR="00DC6FDF" w:rsidRPr="0079740F">
        <w:t>The Santiago network secretariat shall report annually to the Advisory Board information on the in-kind and other support provided by UNDRR and UNOPS that has contributed to its ability to carry out its roles and responsibilities, as set out in the terms of reference.</w:t>
      </w:r>
    </w:p>
    <w:p w14:paraId="4FA83BFF" w14:textId="70027D4B" w:rsidR="00DC6FDF" w:rsidRPr="0079740F" w:rsidRDefault="00406A0D" w:rsidP="00406A0D">
      <w:pPr>
        <w:pStyle w:val="RegSingleTxtG"/>
        <w:ind w:left="1134"/>
      </w:pPr>
      <w:r w:rsidRPr="0079740F">
        <w:rPr>
          <w:rFonts w:eastAsia="Times New Roman"/>
        </w:rPr>
        <w:t>26.</w:t>
      </w:r>
      <w:r w:rsidRPr="0079740F">
        <w:rPr>
          <w:rFonts w:eastAsia="Times New Roman"/>
        </w:rPr>
        <w:tab/>
      </w:r>
      <w:r w:rsidR="00DC6FDF" w:rsidRPr="0079740F">
        <w:t>The Santiago network secretariat shall administer, through UNOPS and</w:t>
      </w:r>
      <w:r w:rsidR="00431A36" w:rsidRPr="0079740F">
        <w:t>,</w:t>
      </w:r>
      <w:r w:rsidR="00DC6FDF" w:rsidRPr="0079740F">
        <w:t xml:space="preserve"> where required, UNDRR, in accordance with their respective regulations, rules and procedures, the funds that will be provided to the Santiago network to support technical assistance for the implementation of relevant approaches to averting, minimizing and addressing loss and damage associated with the adverse effects of climate change in developing countries that are particularly vulnerable to those effects</w:t>
      </w:r>
      <w:r w:rsidR="00DC6FDF" w:rsidRPr="0079740F" w:rsidDel="003F48EE">
        <w:t xml:space="preserve"> </w:t>
      </w:r>
      <w:r w:rsidR="00DC6FDF" w:rsidRPr="0079740F">
        <w:t xml:space="preserve">in support of the functions of the Santiago network, including the engagement of appropriate organizations, bodies, networks and </w:t>
      </w:r>
      <w:r w:rsidR="00DC6FDF" w:rsidRPr="0079740F">
        <w:lastRenderedPageBreak/>
        <w:t>experts. The funds will be managed in accordance with the respective regulations and rules of UNOPS and UNDRR, as applicable.</w:t>
      </w:r>
    </w:p>
    <w:p w14:paraId="04128433" w14:textId="1901AACF" w:rsidR="00DC6FDF" w:rsidRPr="0079740F" w:rsidRDefault="00406A0D" w:rsidP="00406A0D">
      <w:pPr>
        <w:pStyle w:val="RegSingleTxtG"/>
        <w:ind w:left="1134"/>
      </w:pPr>
      <w:r w:rsidRPr="0079740F">
        <w:rPr>
          <w:rFonts w:eastAsia="Times New Roman"/>
        </w:rPr>
        <w:t>27.</w:t>
      </w:r>
      <w:r w:rsidRPr="0079740F">
        <w:rPr>
          <w:rFonts w:eastAsia="Times New Roman"/>
        </w:rPr>
        <w:tab/>
      </w:r>
      <w:r w:rsidR="00DC6FDF" w:rsidRPr="0079740F">
        <w:t xml:space="preserve">The Santiago network secretariat shall carry out financial management, auditing and reporting functions and implement a robust accountability system, sound financial systems of international standard, and a fiduciary record that ensures the correct, impartial administering and disbursement of funds. The annual financial audit, in accordance with the </w:t>
      </w:r>
      <w:r w:rsidR="001D5C84" w:rsidRPr="0079740F">
        <w:t xml:space="preserve">United Nations </w:t>
      </w:r>
      <w:r w:rsidR="00AD3777" w:rsidRPr="0079740F">
        <w:t>single</w:t>
      </w:r>
      <w:r w:rsidR="00DC6FDF" w:rsidRPr="0079740F">
        <w:t xml:space="preserve"> audit principle, shall be carried out in accordance with UNOPS regulations, rules and policies regarding audit, and will be made available to the Advisory Board and the funding sources within six months of the closure of the financial year. </w:t>
      </w:r>
    </w:p>
    <w:p w14:paraId="556654D8" w14:textId="695FBDCF" w:rsidR="00DC6FDF" w:rsidRPr="0079740F" w:rsidRDefault="00406A0D" w:rsidP="00406A0D">
      <w:pPr>
        <w:pStyle w:val="RegSingleTxtG"/>
        <w:ind w:left="1134"/>
      </w:pPr>
      <w:r w:rsidRPr="0079740F">
        <w:rPr>
          <w:rFonts w:eastAsia="Times New Roman"/>
        </w:rPr>
        <w:t>28.</w:t>
      </w:r>
      <w:r w:rsidRPr="0079740F">
        <w:rPr>
          <w:rFonts w:eastAsia="Times New Roman"/>
        </w:rPr>
        <w:tab/>
      </w:r>
      <w:r w:rsidR="00DC6FDF" w:rsidRPr="0079740F">
        <w:t>The Santiago network secretariat shall ensure the coordination and collaboration of the Santiago network with relevant UNFCCC constituted bodies, in particular the Executive Committee, as well as exploring synergies with other initiatives and networks.</w:t>
      </w:r>
    </w:p>
    <w:p w14:paraId="51D1C4C6" w14:textId="7DF98B3E" w:rsidR="00DC6FDF" w:rsidRPr="00A261FF" w:rsidRDefault="00406A0D" w:rsidP="00406A0D">
      <w:pPr>
        <w:pStyle w:val="RegHChG"/>
        <w:tabs>
          <w:tab w:val="left" w:pos="1135"/>
        </w:tabs>
        <w:ind w:left="1135" w:hanging="454"/>
        <w:rPr>
          <w:szCs w:val="28"/>
        </w:rPr>
      </w:pPr>
      <w:bookmarkStart w:id="34" w:name="_Toc161241753"/>
      <w:bookmarkStart w:id="35" w:name="_Toc161241979"/>
      <w:r w:rsidRPr="00A261FF">
        <w:rPr>
          <w:szCs w:val="28"/>
        </w:rPr>
        <w:t>VI.</w:t>
      </w:r>
      <w:r w:rsidRPr="00A261FF">
        <w:rPr>
          <w:szCs w:val="28"/>
        </w:rPr>
        <w:tab/>
      </w:r>
      <w:r w:rsidR="00DC6FDF" w:rsidRPr="00A261FF">
        <w:rPr>
          <w:szCs w:val="28"/>
        </w:rPr>
        <w:t>Role and functions of the Director and staff of the Santiago network secretariat</w:t>
      </w:r>
      <w:bookmarkEnd w:id="34"/>
      <w:bookmarkEnd w:id="35"/>
    </w:p>
    <w:p w14:paraId="7776C5C1" w14:textId="47E381DB" w:rsidR="00DC6FDF" w:rsidRPr="00A261FF" w:rsidRDefault="00406A0D" w:rsidP="00406A0D">
      <w:pPr>
        <w:pStyle w:val="RegSingleTxtG"/>
        <w:ind w:left="1134"/>
      </w:pPr>
      <w:r w:rsidRPr="00A261FF">
        <w:rPr>
          <w:rFonts w:eastAsia="Times New Roman"/>
        </w:rPr>
        <w:t>29.</w:t>
      </w:r>
      <w:r w:rsidRPr="00A261FF">
        <w:rPr>
          <w:rFonts w:eastAsia="Times New Roman"/>
        </w:rPr>
        <w:tab/>
      </w:r>
      <w:r w:rsidR="00DC6FDF" w:rsidRPr="00A261FF">
        <w:t>The Director of the Santiago network secretariat shall provide strategic leadership to the network and manage its secretariat.</w:t>
      </w:r>
    </w:p>
    <w:p w14:paraId="228D778C" w14:textId="5D029A3A" w:rsidR="00DC6FDF" w:rsidRPr="00A261FF" w:rsidRDefault="00406A0D" w:rsidP="00406A0D">
      <w:pPr>
        <w:pStyle w:val="RegSingleTxtG"/>
        <w:ind w:left="1134"/>
      </w:pPr>
      <w:r w:rsidRPr="00A261FF">
        <w:rPr>
          <w:rFonts w:eastAsia="Times New Roman"/>
        </w:rPr>
        <w:t>30.</w:t>
      </w:r>
      <w:r w:rsidRPr="00A261FF">
        <w:rPr>
          <w:rFonts w:eastAsia="Times New Roman"/>
        </w:rPr>
        <w:tab/>
      </w:r>
      <w:r w:rsidR="00DC6FDF" w:rsidRPr="00A261FF">
        <w:t>The Director shall have a fixed term of office no longer than the term of the MOU, which may be renewed subject to endorsement by the Advisory Board.</w:t>
      </w:r>
    </w:p>
    <w:p w14:paraId="28300835" w14:textId="00F5491D" w:rsidR="00DC6FDF" w:rsidRPr="00A261FF" w:rsidRDefault="00406A0D" w:rsidP="00406A0D">
      <w:pPr>
        <w:pStyle w:val="RegSingleTxtG"/>
        <w:ind w:left="1134"/>
      </w:pPr>
      <w:r w:rsidRPr="00A261FF">
        <w:rPr>
          <w:rFonts w:eastAsia="Times New Roman"/>
        </w:rPr>
        <w:t>31.</w:t>
      </w:r>
      <w:r w:rsidRPr="00A261FF">
        <w:rPr>
          <w:rFonts w:eastAsia="Times New Roman"/>
        </w:rPr>
        <w:tab/>
      </w:r>
      <w:r w:rsidR="00DC6FDF" w:rsidRPr="00A261FF">
        <w:t xml:space="preserve">The Director shall be accountable to the Executive Director of UNOPS for administrative issues relating to the administrative effectiveness and efficiency of the Santiago network secretariat in accordance with relevant UNOPS regulations, </w:t>
      </w:r>
      <w:proofErr w:type="gramStart"/>
      <w:r w:rsidR="00DC6FDF" w:rsidRPr="00A261FF">
        <w:t>rules</w:t>
      </w:r>
      <w:proofErr w:type="gramEnd"/>
      <w:r w:rsidR="00DC6FDF" w:rsidRPr="00A261FF">
        <w:t xml:space="preserve"> and procedures</w:t>
      </w:r>
      <w:sdt>
        <w:sdtPr>
          <w:tag w:val="goog_rdk_399"/>
          <w:id w:val="48496059"/>
        </w:sdtPr>
        <w:sdtEndPr/>
        <w:sdtContent/>
      </w:sdt>
      <w:r w:rsidR="00DC6FDF" w:rsidRPr="00A261FF">
        <w:t>, and to the Advisory Board for the effective implementation of the functions of the Santiago network. UNDRR may provide technical advice to the Director as needed.</w:t>
      </w:r>
    </w:p>
    <w:p w14:paraId="55B7A4A1" w14:textId="3828669C" w:rsidR="00DC6FDF" w:rsidRPr="00A261FF" w:rsidRDefault="00406A0D" w:rsidP="00406A0D">
      <w:pPr>
        <w:pStyle w:val="RegSingleTxtG"/>
        <w:ind w:left="1134"/>
      </w:pPr>
      <w:r w:rsidRPr="00A261FF">
        <w:rPr>
          <w:rFonts w:eastAsia="Times New Roman"/>
        </w:rPr>
        <w:t>32.</w:t>
      </w:r>
      <w:r w:rsidRPr="00A261FF">
        <w:rPr>
          <w:rFonts w:eastAsia="Times New Roman"/>
        </w:rPr>
        <w:tab/>
      </w:r>
      <w:r w:rsidR="00DC6FDF" w:rsidRPr="00A261FF">
        <w:t>The Director shall serve as the secretary to the Advisory Board and be responsible for facilitating and providing support for its work.</w:t>
      </w:r>
    </w:p>
    <w:p w14:paraId="0133AA5B" w14:textId="4E33E6C1" w:rsidR="00DC6FDF" w:rsidRPr="00A261FF" w:rsidRDefault="00406A0D" w:rsidP="00406A0D">
      <w:pPr>
        <w:pStyle w:val="RegSingleTxtG"/>
        <w:ind w:left="1134"/>
      </w:pPr>
      <w:bookmarkStart w:id="36" w:name="_Ref155899318"/>
      <w:r w:rsidRPr="00A261FF">
        <w:rPr>
          <w:rFonts w:eastAsia="Times New Roman"/>
        </w:rPr>
        <w:t>33.</w:t>
      </w:r>
      <w:r w:rsidRPr="00A261FF">
        <w:rPr>
          <w:rFonts w:eastAsia="Times New Roman"/>
        </w:rPr>
        <w:tab/>
      </w:r>
      <w:r w:rsidR="00DC6FDF" w:rsidRPr="00A261FF">
        <w:t>The Director shall facilitate timely recruitment of the staff of the secretariat in line with the terms of reference.</w:t>
      </w:r>
      <w:bookmarkEnd w:id="36"/>
    </w:p>
    <w:p w14:paraId="361B0DD2" w14:textId="0ED64C25" w:rsidR="00DC6FDF" w:rsidRPr="00E22347" w:rsidRDefault="00406A0D" w:rsidP="00406A0D">
      <w:pPr>
        <w:pStyle w:val="RegHChG"/>
        <w:tabs>
          <w:tab w:val="left" w:pos="1135"/>
        </w:tabs>
        <w:ind w:left="1135" w:hanging="454"/>
        <w:rPr>
          <w:rFonts w:asciiTheme="majorBidi" w:hAnsiTheme="majorBidi" w:cstheme="majorBidi"/>
        </w:rPr>
      </w:pPr>
      <w:bookmarkStart w:id="37" w:name="_Ref153063626"/>
      <w:bookmarkStart w:id="38" w:name="_Toc161241754"/>
      <w:bookmarkStart w:id="39" w:name="_Toc161241980"/>
      <w:r w:rsidRPr="00E22347">
        <w:t>VII.</w:t>
      </w:r>
      <w:r w:rsidRPr="00E22347">
        <w:tab/>
      </w:r>
      <w:r w:rsidR="00DC6FDF" w:rsidRPr="00E22347">
        <w:rPr>
          <w:rFonts w:asciiTheme="majorBidi" w:hAnsiTheme="majorBidi" w:cstheme="majorBidi"/>
        </w:rPr>
        <w:t>Financial arrangements of the Santiago network secretariat</w:t>
      </w:r>
      <w:bookmarkEnd w:id="37"/>
      <w:bookmarkEnd w:id="38"/>
      <w:bookmarkEnd w:id="39"/>
    </w:p>
    <w:p w14:paraId="46EE03F0" w14:textId="50E225F0" w:rsidR="00DC6FDF" w:rsidRPr="001348E5" w:rsidRDefault="00406A0D" w:rsidP="00406A0D">
      <w:pPr>
        <w:pStyle w:val="RegSingleTxtG"/>
        <w:ind w:left="1134"/>
      </w:pPr>
      <w:r w:rsidRPr="001348E5">
        <w:rPr>
          <w:rFonts w:eastAsia="Times New Roman"/>
        </w:rPr>
        <w:t>34.</w:t>
      </w:r>
      <w:r w:rsidRPr="001348E5">
        <w:rPr>
          <w:rFonts w:eastAsia="Times New Roman"/>
        </w:rPr>
        <w:tab/>
      </w:r>
      <w:r w:rsidR="00DC6FDF" w:rsidRPr="001348E5">
        <w:t>The costs associated with the Santiago network secretariat and the mobilization of the services of the network will be funded consistent</w:t>
      </w:r>
      <w:r w:rsidR="00D62FA7" w:rsidRPr="001348E5">
        <w:t>ly</w:t>
      </w:r>
      <w:r w:rsidR="00DC6FDF" w:rsidRPr="001348E5">
        <w:t xml:space="preserve"> with decision 1/CMA.3, paragraph 70, and decision 12/CMA.4, paragraph 6, subject to separate funding agreements to be entered into on behalf of the Santiago network secretariat by UNDRR and/or UNOPS as applicable, and the funding sources, and in-kind and other support from UNDRR and UNOPS as outlined in the Proposal.</w:t>
      </w:r>
    </w:p>
    <w:p w14:paraId="3419DA8A" w14:textId="28C60CB4" w:rsidR="00DC6FDF" w:rsidRPr="001348E5" w:rsidRDefault="00406A0D" w:rsidP="00406A0D">
      <w:pPr>
        <w:pStyle w:val="RegSingleTxtG"/>
        <w:ind w:left="1134"/>
      </w:pPr>
      <w:r w:rsidRPr="001348E5">
        <w:rPr>
          <w:rFonts w:eastAsia="Times New Roman"/>
        </w:rPr>
        <w:t>35.</w:t>
      </w:r>
      <w:r w:rsidRPr="001348E5">
        <w:rPr>
          <w:rFonts w:eastAsia="Times New Roman"/>
        </w:rPr>
        <w:tab/>
      </w:r>
      <w:r w:rsidR="00DC6FDF" w:rsidRPr="001348E5">
        <w:t xml:space="preserve">UNDRR and UNOPS shall ensure that the Santiago </w:t>
      </w:r>
      <w:sdt>
        <w:sdtPr>
          <w:tag w:val="goog_rdk_425"/>
          <w:id w:val="1351840868"/>
        </w:sdtPr>
        <w:sdtEndPr/>
        <w:sdtContent>
          <w:r w:rsidR="00DC6FDF" w:rsidRPr="001348E5">
            <w:t>n</w:t>
          </w:r>
        </w:sdtContent>
      </w:sdt>
      <w:r w:rsidR="00DC6FDF" w:rsidRPr="001348E5">
        <w:t>etwork and its secretariat are able to receive the required financial and other support from a wide variety of sources through both UNDRR and UNOPS to implement the terms of reference.</w:t>
      </w:r>
    </w:p>
    <w:p w14:paraId="5EE1BD7E" w14:textId="4EEE5880" w:rsidR="00DC6FDF" w:rsidRPr="001348E5" w:rsidRDefault="00406A0D" w:rsidP="00406A0D">
      <w:pPr>
        <w:pStyle w:val="RegSingleTxtG"/>
        <w:ind w:left="1134"/>
      </w:pPr>
      <w:r w:rsidRPr="001348E5">
        <w:rPr>
          <w:rFonts w:eastAsia="Times New Roman"/>
        </w:rPr>
        <w:t>36.</w:t>
      </w:r>
      <w:r w:rsidRPr="001348E5">
        <w:rPr>
          <w:rFonts w:eastAsia="Times New Roman"/>
        </w:rPr>
        <w:tab/>
      </w:r>
      <w:r w:rsidR="00DC6FDF" w:rsidRPr="001348E5">
        <w:t xml:space="preserve">For the implementation of the workplan of the Santiago network secretariat, a management fee will be applied </w:t>
      </w:r>
      <w:r w:rsidR="00DE52B3" w:rsidRPr="001348E5">
        <w:t xml:space="preserve">to </w:t>
      </w:r>
      <w:r w:rsidR="00DC6FDF" w:rsidRPr="001348E5">
        <w:t>the overall budget in accordance with the relevant UNOPS regulations and rules on cost recovery for its services.</w:t>
      </w:r>
    </w:p>
    <w:p w14:paraId="152F710E" w14:textId="1192FC86" w:rsidR="00DC6FDF" w:rsidRPr="001348E5" w:rsidRDefault="00406A0D" w:rsidP="00406A0D">
      <w:pPr>
        <w:pStyle w:val="RegSingleTxtG"/>
        <w:ind w:left="1134"/>
      </w:pPr>
      <w:r w:rsidRPr="001348E5">
        <w:rPr>
          <w:rFonts w:eastAsia="Times New Roman"/>
        </w:rPr>
        <w:t>37.</w:t>
      </w:r>
      <w:r w:rsidRPr="001348E5">
        <w:rPr>
          <w:rFonts w:eastAsia="Times New Roman"/>
        </w:rPr>
        <w:tab/>
      </w:r>
      <w:r w:rsidR="00DC6FDF" w:rsidRPr="001348E5">
        <w:t>UNDRR will manage any dedicated funding received in accordance with the United Nations regulations and rules for the management of voluntary contributions and will recover any direct cost incurred while hosting the Santiago network secretariat,</w:t>
      </w:r>
      <w:r w:rsidR="002E3273" w:rsidRPr="001348E5">
        <w:t xml:space="preserve"> in</w:t>
      </w:r>
      <w:r w:rsidR="00DC6FDF" w:rsidRPr="001348E5">
        <w:t xml:space="preserve"> accord</w:t>
      </w:r>
      <w:r w:rsidR="002E3273" w:rsidRPr="001348E5">
        <w:t xml:space="preserve">ance with </w:t>
      </w:r>
      <w:r w:rsidR="00DC6FDF" w:rsidRPr="001348E5">
        <w:t>its rules and regulations.</w:t>
      </w:r>
    </w:p>
    <w:p w14:paraId="5810D73D" w14:textId="0F99926C" w:rsidR="00DC6FDF" w:rsidRPr="00DD25B2" w:rsidRDefault="00406A0D" w:rsidP="00406A0D">
      <w:pPr>
        <w:pStyle w:val="RegHChG"/>
        <w:tabs>
          <w:tab w:val="left" w:pos="1135"/>
        </w:tabs>
        <w:ind w:left="1135" w:hanging="454"/>
        <w:rPr>
          <w:szCs w:val="28"/>
        </w:rPr>
      </w:pPr>
      <w:bookmarkStart w:id="40" w:name="_Toc161241755"/>
      <w:bookmarkStart w:id="41" w:name="_Toc161241981"/>
      <w:r w:rsidRPr="00DD25B2">
        <w:rPr>
          <w:szCs w:val="28"/>
        </w:rPr>
        <w:lastRenderedPageBreak/>
        <w:t>VIII.</w:t>
      </w:r>
      <w:r w:rsidRPr="00DD25B2">
        <w:rPr>
          <w:szCs w:val="28"/>
        </w:rPr>
        <w:tab/>
      </w:r>
      <w:r w:rsidR="00DC6FDF" w:rsidRPr="00DD25B2">
        <w:rPr>
          <w:szCs w:val="28"/>
        </w:rPr>
        <w:t xml:space="preserve">Review of the Santiago network </w:t>
      </w:r>
      <w:sdt>
        <w:sdtPr>
          <w:rPr>
            <w:szCs w:val="28"/>
          </w:rPr>
          <w:tag w:val="goog_rdk_440"/>
          <w:id w:val="405036535"/>
        </w:sdtPr>
        <w:sdtEndPr/>
        <w:sdtContent>
          <w:r w:rsidR="00DC6FDF" w:rsidRPr="00DD25B2">
            <w:rPr>
              <w:szCs w:val="28"/>
            </w:rPr>
            <w:t>s</w:t>
          </w:r>
        </w:sdtContent>
      </w:sdt>
      <w:r w:rsidR="00DC6FDF" w:rsidRPr="00DD25B2">
        <w:rPr>
          <w:szCs w:val="28"/>
        </w:rPr>
        <w:t>ecretariat</w:t>
      </w:r>
      <w:bookmarkEnd w:id="40"/>
      <w:bookmarkEnd w:id="41"/>
    </w:p>
    <w:p w14:paraId="191E1EFF" w14:textId="3085945D" w:rsidR="00DC6FDF" w:rsidRPr="00DD25B2" w:rsidRDefault="00406A0D" w:rsidP="00406A0D">
      <w:pPr>
        <w:pStyle w:val="RegSingleTxtG"/>
        <w:ind w:left="1134"/>
      </w:pPr>
      <w:r w:rsidRPr="00DD25B2">
        <w:rPr>
          <w:rFonts w:eastAsia="Times New Roman"/>
        </w:rPr>
        <w:t>38.</w:t>
      </w:r>
      <w:r w:rsidRPr="00DD25B2">
        <w:rPr>
          <w:rFonts w:eastAsia="Times New Roman"/>
        </w:rPr>
        <w:tab/>
      </w:r>
      <w:r w:rsidR="00DC6FDF" w:rsidRPr="00DD25B2">
        <w:t xml:space="preserve">The Santiago network </w:t>
      </w:r>
      <w:sdt>
        <w:sdtPr>
          <w:tag w:val="goog_rdk_444"/>
          <w:id w:val="240150336"/>
        </w:sdtPr>
        <w:sdtEndPr/>
        <w:sdtContent>
          <w:r w:rsidR="00DC6FDF" w:rsidRPr="00DD25B2">
            <w:t>s</w:t>
          </w:r>
        </w:sdtContent>
      </w:sdt>
      <w:r w:rsidR="00DC6FDF" w:rsidRPr="00DD25B2">
        <w:t>ecretariat shall commission one independent review of the performance of the network, including sustainability and sources of funding, adequacy of funding levels relative to technical assistance requests, timelines, effectiveness, engagement, gender-responsiveness and delivery of technical assistance to communities particularly vulnerable to the adverse effects of climate change, in a timely manner so that the findings of the review can feed into the subsequent review of the Warsaw International Mechanism</w:t>
      </w:r>
      <w:r w:rsidR="00DC6FDF" w:rsidRPr="0096244A">
        <w:rPr>
          <w:rStyle w:val="FootnoteReference"/>
        </w:rPr>
        <w:footnoteReference w:id="32"/>
      </w:r>
      <w:r w:rsidR="00DC6FDF" w:rsidRPr="00DD25B2">
        <w:t xml:space="preserve"> for determining the need for further independent reviews of the performance of the Santiago network.</w:t>
      </w:r>
      <w:r w:rsidR="00DC6FDF" w:rsidRPr="0096244A">
        <w:rPr>
          <w:rStyle w:val="FootnoteReference"/>
        </w:rPr>
        <w:footnoteReference w:id="33"/>
      </w:r>
    </w:p>
    <w:p w14:paraId="3397DC54" w14:textId="6AAE01BD" w:rsidR="00DC6FDF" w:rsidRPr="00E22347" w:rsidRDefault="00406A0D" w:rsidP="00406A0D">
      <w:pPr>
        <w:pStyle w:val="RegHChG"/>
        <w:tabs>
          <w:tab w:val="left" w:pos="1135"/>
        </w:tabs>
        <w:ind w:left="1135" w:hanging="454"/>
        <w:rPr>
          <w:rFonts w:asciiTheme="majorBidi" w:hAnsiTheme="majorBidi" w:cstheme="majorBidi"/>
        </w:rPr>
      </w:pPr>
      <w:bookmarkStart w:id="42" w:name="_Toc161241756"/>
      <w:bookmarkStart w:id="43" w:name="_Toc161241982"/>
      <w:r w:rsidRPr="00E22347">
        <w:t>IX.</w:t>
      </w:r>
      <w:r w:rsidRPr="00E22347">
        <w:tab/>
      </w:r>
      <w:r w:rsidR="00DC6FDF" w:rsidRPr="00E22347">
        <w:rPr>
          <w:rFonts w:asciiTheme="majorBidi" w:hAnsiTheme="majorBidi" w:cstheme="majorBidi"/>
        </w:rPr>
        <w:t>Implementation of this memorandum of understanding</w:t>
      </w:r>
      <w:bookmarkEnd w:id="42"/>
      <w:bookmarkEnd w:id="43"/>
    </w:p>
    <w:p w14:paraId="63EC4520" w14:textId="5B6FCA3A" w:rsidR="00DC6FDF" w:rsidRPr="0096244A" w:rsidRDefault="00406A0D" w:rsidP="00406A0D">
      <w:pPr>
        <w:pStyle w:val="RegSingleTxtG"/>
        <w:ind w:left="1134"/>
      </w:pPr>
      <w:r w:rsidRPr="0096244A">
        <w:rPr>
          <w:rFonts w:eastAsia="Times New Roman"/>
        </w:rPr>
        <w:t>39.</w:t>
      </w:r>
      <w:r w:rsidRPr="0096244A">
        <w:rPr>
          <w:rFonts w:eastAsia="Times New Roman"/>
        </w:rPr>
        <w:tab/>
      </w:r>
      <w:r w:rsidR="00DC6FDF" w:rsidRPr="0096244A">
        <w:t>The Advisory Board,</w:t>
      </w:r>
      <w:sdt>
        <w:sdtPr>
          <w:tag w:val="goog_rdk_447"/>
          <w:id w:val="-1156922726"/>
        </w:sdtPr>
        <w:sdtEndPr/>
        <w:sdtContent>
          <w:r w:rsidR="00DC6FDF" w:rsidRPr="0096244A">
            <w:t xml:space="preserve"> </w:t>
          </w:r>
        </w:sdtContent>
      </w:sdt>
      <w:r w:rsidR="00DC6FDF" w:rsidRPr="0096244A">
        <w:t xml:space="preserve">UNDRR and UNOPS may agree on further arrangements for the implementation of this MOU in line with future decisions of the governing body or bodies and report thereon to the governing body or bodies. Future arrangements for the implementation of this MOU do not in any way amend the existing provisions of this MOU. </w:t>
      </w:r>
    </w:p>
    <w:p w14:paraId="7A24C8D1" w14:textId="6D75CE14" w:rsidR="00DC6FDF" w:rsidRPr="0096244A" w:rsidRDefault="00406A0D" w:rsidP="00406A0D">
      <w:pPr>
        <w:pStyle w:val="RegSingleTxtG"/>
        <w:ind w:left="1134"/>
      </w:pPr>
      <w:r w:rsidRPr="0096244A">
        <w:rPr>
          <w:rFonts w:eastAsia="Times New Roman"/>
        </w:rPr>
        <w:t>40.</w:t>
      </w:r>
      <w:r w:rsidRPr="0096244A">
        <w:rPr>
          <w:rFonts w:eastAsia="Times New Roman"/>
        </w:rPr>
        <w:tab/>
      </w:r>
      <w:r w:rsidR="00DC6FDF" w:rsidRPr="0096244A">
        <w:t>Nothing in or relating to this MOU will be deemed a waiver, express or implied, of any of the privileges and immunities of the United Nations, including its subsidiary organs.</w:t>
      </w:r>
    </w:p>
    <w:p w14:paraId="70390537" w14:textId="78E7BE20" w:rsidR="00DC6FDF" w:rsidRPr="00E22347" w:rsidRDefault="00406A0D" w:rsidP="00406A0D">
      <w:pPr>
        <w:pStyle w:val="RegHChG"/>
        <w:tabs>
          <w:tab w:val="left" w:pos="1135"/>
        </w:tabs>
        <w:ind w:left="1135" w:hanging="454"/>
        <w:rPr>
          <w:rFonts w:asciiTheme="majorBidi" w:hAnsiTheme="majorBidi" w:cstheme="majorBidi"/>
        </w:rPr>
      </w:pPr>
      <w:bookmarkStart w:id="44" w:name="_Toc161241757"/>
      <w:bookmarkStart w:id="45" w:name="_Toc161241983"/>
      <w:r w:rsidRPr="00E22347">
        <w:t>X.</w:t>
      </w:r>
      <w:r w:rsidRPr="00E22347">
        <w:tab/>
      </w:r>
      <w:r w:rsidR="00DC6FDF" w:rsidRPr="00E22347">
        <w:rPr>
          <w:rFonts w:asciiTheme="majorBidi" w:hAnsiTheme="majorBidi" w:cstheme="majorBidi"/>
        </w:rPr>
        <w:t>Dispute settlement</w:t>
      </w:r>
      <w:bookmarkEnd w:id="44"/>
      <w:bookmarkEnd w:id="45"/>
    </w:p>
    <w:p w14:paraId="568A0298" w14:textId="0744E3E7" w:rsidR="00DC6FDF" w:rsidRPr="0096244A" w:rsidRDefault="00406A0D" w:rsidP="00406A0D">
      <w:pPr>
        <w:pStyle w:val="RegSingleTxtG"/>
        <w:ind w:left="1134"/>
      </w:pPr>
      <w:r w:rsidRPr="0096244A">
        <w:rPr>
          <w:rFonts w:eastAsia="Times New Roman"/>
        </w:rPr>
        <w:t>41.</w:t>
      </w:r>
      <w:r w:rsidRPr="0096244A">
        <w:rPr>
          <w:rFonts w:eastAsia="Times New Roman"/>
        </w:rPr>
        <w:tab/>
      </w:r>
      <w:r w:rsidR="00DC6FDF" w:rsidRPr="0096244A">
        <w:t>The governing body or bodies, through the Advisory Board, and as facilitated by the UNFCCC secretariat, and UNDRR and UNOPS shall make their best efforts to amicably resolve any disputes, controversies or claims arising out of or relating to this MOU, including through use of mutually agreed dispute resolution methods.</w:t>
      </w:r>
    </w:p>
    <w:p w14:paraId="0792658D" w14:textId="4DE93937" w:rsidR="00DC6FDF" w:rsidRPr="00E22347" w:rsidRDefault="00406A0D" w:rsidP="00406A0D">
      <w:pPr>
        <w:pStyle w:val="RegHChG"/>
        <w:tabs>
          <w:tab w:val="left" w:pos="1135"/>
        </w:tabs>
        <w:ind w:left="1135" w:hanging="454"/>
        <w:rPr>
          <w:rFonts w:asciiTheme="majorBidi" w:hAnsiTheme="majorBidi" w:cstheme="majorBidi"/>
        </w:rPr>
      </w:pPr>
      <w:bookmarkStart w:id="46" w:name="_Toc161241758"/>
      <w:bookmarkStart w:id="47" w:name="_Toc161241984"/>
      <w:r w:rsidRPr="00E22347">
        <w:t>XI.</w:t>
      </w:r>
      <w:r w:rsidRPr="00E22347">
        <w:tab/>
      </w:r>
      <w:r w:rsidR="00DC6FDF" w:rsidRPr="00E22347">
        <w:rPr>
          <w:rFonts w:asciiTheme="majorBidi" w:hAnsiTheme="majorBidi" w:cstheme="majorBidi"/>
        </w:rPr>
        <w:t>Entire agreement</w:t>
      </w:r>
      <w:bookmarkEnd w:id="46"/>
      <w:bookmarkEnd w:id="47"/>
    </w:p>
    <w:p w14:paraId="164E8E05" w14:textId="25EE9C27" w:rsidR="00DC6FDF" w:rsidRPr="0096244A" w:rsidRDefault="00406A0D" w:rsidP="00406A0D">
      <w:pPr>
        <w:pStyle w:val="RegSingleTxtG"/>
        <w:ind w:left="1134"/>
      </w:pPr>
      <w:r w:rsidRPr="0096244A">
        <w:rPr>
          <w:rFonts w:eastAsia="Times New Roman"/>
        </w:rPr>
        <w:t>42.</w:t>
      </w:r>
      <w:r w:rsidRPr="0096244A">
        <w:rPr>
          <w:rFonts w:eastAsia="Times New Roman"/>
        </w:rPr>
        <w:tab/>
      </w:r>
      <w:r w:rsidR="00DC6FDF" w:rsidRPr="0096244A">
        <w:t xml:space="preserve">Any annex to this MOU that is concluded in the future will be considered an integral part of this MOU. References to this MOU will be construed as including any annexes, as </w:t>
      </w:r>
      <w:proofErr w:type="gramStart"/>
      <w:r w:rsidR="00DC6FDF" w:rsidRPr="0096244A">
        <w:t>varied</w:t>
      </w:r>
      <w:proofErr w:type="gramEnd"/>
      <w:r w:rsidR="00DC6FDF" w:rsidRPr="0096244A">
        <w:t xml:space="preserve"> or amended in accordance with the terms of this MOU. This MOU represents the complete understanding between the Parties.</w:t>
      </w:r>
    </w:p>
    <w:p w14:paraId="5EAB0758" w14:textId="0E8881F7" w:rsidR="00DC6FDF" w:rsidRPr="00E22347" w:rsidRDefault="00406A0D" w:rsidP="00406A0D">
      <w:pPr>
        <w:pStyle w:val="RegHChG"/>
        <w:tabs>
          <w:tab w:val="left" w:pos="1135"/>
        </w:tabs>
        <w:ind w:left="1135" w:hanging="454"/>
        <w:rPr>
          <w:rFonts w:asciiTheme="majorBidi" w:hAnsiTheme="majorBidi" w:cstheme="majorBidi"/>
        </w:rPr>
      </w:pPr>
      <w:bookmarkStart w:id="48" w:name="_Toc161241759"/>
      <w:bookmarkStart w:id="49" w:name="_Toc161241985"/>
      <w:r w:rsidRPr="00E22347">
        <w:t>XII.</w:t>
      </w:r>
      <w:r w:rsidRPr="00E22347">
        <w:tab/>
      </w:r>
      <w:r w:rsidR="00DC6FDF" w:rsidRPr="00E22347">
        <w:rPr>
          <w:rFonts w:asciiTheme="majorBidi" w:hAnsiTheme="majorBidi" w:cstheme="majorBidi"/>
        </w:rPr>
        <w:t>Interpretation</w:t>
      </w:r>
      <w:bookmarkEnd w:id="48"/>
      <w:bookmarkEnd w:id="49"/>
      <w:r w:rsidR="00DC6FDF" w:rsidRPr="00E22347">
        <w:rPr>
          <w:rFonts w:asciiTheme="majorBidi" w:hAnsiTheme="majorBidi" w:cstheme="majorBidi"/>
        </w:rPr>
        <w:t xml:space="preserve"> </w:t>
      </w:r>
    </w:p>
    <w:p w14:paraId="62459747" w14:textId="1DF30160" w:rsidR="00DC6FDF" w:rsidRPr="0096244A" w:rsidRDefault="00406A0D" w:rsidP="00406A0D">
      <w:pPr>
        <w:pStyle w:val="RegSingleTxtG"/>
        <w:ind w:left="1134"/>
      </w:pPr>
      <w:r w:rsidRPr="0096244A">
        <w:rPr>
          <w:rFonts w:eastAsia="Times New Roman"/>
        </w:rPr>
        <w:t>43.</w:t>
      </w:r>
      <w:r w:rsidRPr="0096244A">
        <w:rPr>
          <w:rFonts w:eastAsia="Times New Roman"/>
        </w:rPr>
        <w:tab/>
      </w:r>
      <w:r w:rsidR="00DC6FDF" w:rsidRPr="0096244A">
        <w:t xml:space="preserve">This MOU will be interpreted in accordance with relevant decisions of the governing body or bodies and the legal and regulatory framework of UNOPS and UNDRR, as applicable, including the regulations, rules, </w:t>
      </w:r>
      <w:proofErr w:type="gramStart"/>
      <w:r w:rsidR="00DC6FDF" w:rsidRPr="0096244A">
        <w:t>policies</w:t>
      </w:r>
      <w:proofErr w:type="gramEnd"/>
      <w:r w:rsidR="00DC6FDF" w:rsidRPr="0096244A">
        <w:t xml:space="preserve"> and procedures of the United Nations Secretariat.</w:t>
      </w:r>
    </w:p>
    <w:p w14:paraId="22C9769B" w14:textId="0EBA58F2" w:rsidR="00DC6FDF" w:rsidRPr="0096244A" w:rsidRDefault="00406A0D" w:rsidP="00406A0D">
      <w:pPr>
        <w:pStyle w:val="RegSingleTxtG"/>
        <w:ind w:left="1134"/>
      </w:pPr>
      <w:r w:rsidRPr="0096244A">
        <w:rPr>
          <w:rFonts w:eastAsia="Times New Roman"/>
        </w:rPr>
        <w:t>44.</w:t>
      </w:r>
      <w:r w:rsidRPr="0096244A">
        <w:rPr>
          <w:rFonts w:eastAsia="Times New Roman"/>
        </w:rPr>
        <w:tab/>
      </w:r>
      <w:r w:rsidR="00DC6FDF" w:rsidRPr="0096244A">
        <w:t>Any Party’s failure to request the implementation of a provision of this MOU will not constitute a waiver of that or any other provision of this MOU.</w:t>
      </w:r>
    </w:p>
    <w:p w14:paraId="25D7DCCC" w14:textId="0FCB8BAE" w:rsidR="00DC6FDF" w:rsidRPr="00E22347" w:rsidRDefault="00406A0D" w:rsidP="00406A0D">
      <w:pPr>
        <w:pStyle w:val="RegHChG"/>
        <w:tabs>
          <w:tab w:val="left" w:pos="1135"/>
        </w:tabs>
        <w:ind w:left="1135" w:hanging="454"/>
        <w:rPr>
          <w:rFonts w:asciiTheme="majorBidi" w:hAnsiTheme="majorBidi" w:cstheme="majorBidi"/>
        </w:rPr>
      </w:pPr>
      <w:bookmarkStart w:id="50" w:name="_Ref153041918"/>
      <w:bookmarkStart w:id="51" w:name="_Ref158364879"/>
      <w:bookmarkStart w:id="52" w:name="_Toc161241760"/>
      <w:bookmarkStart w:id="53" w:name="_Toc161241986"/>
      <w:r w:rsidRPr="00E22347">
        <w:t>XIII.</w:t>
      </w:r>
      <w:r w:rsidRPr="00E22347">
        <w:tab/>
      </w:r>
      <w:r w:rsidR="00DC6FDF" w:rsidRPr="00E22347">
        <w:rPr>
          <w:rFonts w:asciiTheme="majorBidi" w:hAnsiTheme="majorBidi" w:cstheme="majorBidi"/>
        </w:rPr>
        <w:t xml:space="preserve">Term of this memorandum of </w:t>
      </w:r>
      <w:bookmarkEnd w:id="50"/>
      <w:r w:rsidR="00DC6FDF" w:rsidRPr="00E22347">
        <w:rPr>
          <w:rFonts w:asciiTheme="majorBidi" w:hAnsiTheme="majorBidi" w:cstheme="majorBidi"/>
        </w:rPr>
        <w:t>understanding</w:t>
      </w:r>
      <w:bookmarkEnd w:id="51"/>
      <w:bookmarkEnd w:id="52"/>
      <w:bookmarkEnd w:id="53"/>
    </w:p>
    <w:p w14:paraId="653E3255" w14:textId="4F126578" w:rsidR="00DC6FDF" w:rsidRPr="0096244A" w:rsidRDefault="00406A0D" w:rsidP="00406A0D">
      <w:pPr>
        <w:pStyle w:val="RegSingleTxtG"/>
        <w:ind w:left="1134"/>
      </w:pPr>
      <w:r w:rsidRPr="0096244A">
        <w:rPr>
          <w:rFonts w:eastAsia="Times New Roman"/>
        </w:rPr>
        <w:t>45.</w:t>
      </w:r>
      <w:r w:rsidRPr="0096244A">
        <w:rPr>
          <w:rFonts w:eastAsia="Times New Roman"/>
        </w:rPr>
        <w:tab/>
      </w:r>
      <w:r w:rsidR="00DC6FDF" w:rsidRPr="0096244A">
        <w:t xml:space="preserve">The initial term of this MOU shall be five years from its entry into force, with five-year renewal periods, if </w:t>
      </w:r>
      <w:proofErr w:type="gramStart"/>
      <w:r w:rsidR="00DC6FDF" w:rsidRPr="0096244A">
        <w:t>so</w:t>
      </w:r>
      <w:proofErr w:type="gramEnd"/>
      <w:r w:rsidR="00DC6FDF" w:rsidRPr="0096244A">
        <w:t xml:space="preserve"> decided by the governing body or bodies and UNDRR and UNOPS.</w:t>
      </w:r>
    </w:p>
    <w:p w14:paraId="1E1DD7E0" w14:textId="14AD152F" w:rsidR="00DC6FDF" w:rsidRPr="00E22347" w:rsidRDefault="00406A0D" w:rsidP="00406A0D">
      <w:pPr>
        <w:pStyle w:val="RegHChG"/>
        <w:tabs>
          <w:tab w:val="left" w:pos="1135"/>
        </w:tabs>
        <w:ind w:left="1135" w:hanging="454"/>
        <w:rPr>
          <w:rFonts w:asciiTheme="majorBidi" w:hAnsiTheme="majorBidi" w:cstheme="majorBidi"/>
        </w:rPr>
      </w:pPr>
      <w:bookmarkStart w:id="54" w:name="_Toc161241761"/>
      <w:bookmarkStart w:id="55" w:name="_Toc161241987"/>
      <w:r w:rsidRPr="00E22347">
        <w:lastRenderedPageBreak/>
        <w:t>XIV.</w:t>
      </w:r>
      <w:r w:rsidRPr="00E22347">
        <w:tab/>
      </w:r>
      <w:r w:rsidR="00DC6FDF" w:rsidRPr="00E22347">
        <w:rPr>
          <w:rFonts w:asciiTheme="majorBidi" w:hAnsiTheme="majorBidi" w:cstheme="majorBidi"/>
        </w:rPr>
        <w:t>Notification and amendment</w:t>
      </w:r>
      <w:bookmarkEnd w:id="54"/>
      <w:bookmarkEnd w:id="55"/>
    </w:p>
    <w:p w14:paraId="79EF5C8D" w14:textId="68D6D4C2" w:rsidR="00DC6FDF" w:rsidRPr="006445DE" w:rsidRDefault="00406A0D" w:rsidP="00406A0D">
      <w:pPr>
        <w:pStyle w:val="RegSingleTxtG"/>
        <w:ind w:left="1134"/>
      </w:pPr>
      <w:r w:rsidRPr="006445DE">
        <w:rPr>
          <w:rFonts w:eastAsia="Times New Roman"/>
        </w:rPr>
        <w:t>46.</w:t>
      </w:r>
      <w:r w:rsidRPr="006445DE">
        <w:rPr>
          <w:rFonts w:eastAsia="Times New Roman"/>
        </w:rPr>
        <w:tab/>
      </w:r>
      <w:r w:rsidR="00DC6FDF" w:rsidRPr="006445DE">
        <w:t>Each Party will promptly notify the other in writing of any anticipated or actual material changes that will affect the execution of this MOU.</w:t>
      </w:r>
    </w:p>
    <w:p w14:paraId="6EBE858E" w14:textId="73C1B201" w:rsidR="00DC6FDF" w:rsidRPr="006445DE" w:rsidRDefault="00406A0D" w:rsidP="00406A0D">
      <w:pPr>
        <w:pStyle w:val="RegSingleTxtG"/>
        <w:ind w:left="1134"/>
      </w:pPr>
      <w:r w:rsidRPr="006445DE">
        <w:rPr>
          <w:rFonts w:eastAsia="Times New Roman"/>
        </w:rPr>
        <w:t>47.</w:t>
      </w:r>
      <w:r w:rsidRPr="006445DE">
        <w:rPr>
          <w:rFonts w:eastAsia="Times New Roman"/>
        </w:rPr>
        <w:tab/>
      </w:r>
      <w:r w:rsidR="00DC6FDF" w:rsidRPr="006445DE">
        <w:t>The Parties may amend this MOU by mutual written agreement.</w:t>
      </w:r>
    </w:p>
    <w:p w14:paraId="1E168E00" w14:textId="7959593F" w:rsidR="00DC6FDF" w:rsidRPr="00E22347" w:rsidRDefault="00406A0D" w:rsidP="00406A0D">
      <w:pPr>
        <w:pStyle w:val="RegHChG"/>
        <w:tabs>
          <w:tab w:val="left" w:pos="1135"/>
        </w:tabs>
        <w:ind w:left="1135" w:hanging="454"/>
        <w:rPr>
          <w:rFonts w:asciiTheme="majorBidi" w:hAnsiTheme="majorBidi" w:cstheme="majorBidi"/>
        </w:rPr>
      </w:pPr>
      <w:bookmarkStart w:id="56" w:name="_Toc161241762"/>
      <w:bookmarkStart w:id="57" w:name="_Toc161241988"/>
      <w:r w:rsidRPr="00E22347">
        <w:t>XV.</w:t>
      </w:r>
      <w:r w:rsidRPr="00E22347">
        <w:tab/>
      </w:r>
      <w:r w:rsidR="00DC6FDF" w:rsidRPr="00E22347">
        <w:rPr>
          <w:rFonts w:asciiTheme="majorBidi" w:hAnsiTheme="majorBidi" w:cstheme="majorBidi"/>
        </w:rPr>
        <w:t>Entry into force</w:t>
      </w:r>
      <w:bookmarkEnd w:id="56"/>
      <w:bookmarkEnd w:id="57"/>
    </w:p>
    <w:p w14:paraId="625261C0" w14:textId="786FF00F" w:rsidR="00DC6FDF" w:rsidRPr="006445DE" w:rsidRDefault="00406A0D" w:rsidP="00406A0D">
      <w:pPr>
        <w:pStyle w:val="RegSingleTxtG"/>
        <w:ind w:left="1134"/>
      </w:pPr>
      <w:r w:rsidRPr="006445DE">
        <w:rPr>
          <w:rFonts w:eastAsia="Times New Roman"/>
        </w:rPr>
        <w:t>48.</w:t>
      </w:r>
      <w:r w:rsidRPr="006445DE">
        <w:rPr>
          <w:rFonts w:eastAsia="Times New Roman"/>
        </w:rPr>
        <w:tab/>
      </w:r>
      <w:r w:rsidR="00DC6FDF" w:rsidRPr="006445DE">
        <w:t>This MOU will enter into force upon the last date of signature by the duly authorized representatives of the Parties.</w:t>
      </w:r>
    </w:p>
    <w:p w14:paraId="0D7CF518" w14:textId="53FBA82F" w:rsidR="00DC6FDF" w:rsidRPr="00E22347" w:rsidRDefault="00406A0D" w:rsidP="00406A0D">
      <w:pPr>
        <w:pStyle w:val="RegHChG"/>
        <w:tabs>
          <w:tab w:val="left" w:pos="1135"/>
        </w:tabs>
        <w:ind w:left="1135" w:hanging="454"/>
        <w:rPr>
          <w:rFonts w:asciiTheme="majorBidi" w:hAnsiTheme="majorBidi" w:cstheme="majorBidi"/>
        </w:rPr>
      </w:pPr>
      <w:bookmarkStart w:id="58" w:name="_Toc161241763"/>
      <w:bookmarkStart w:id="59" w:name="_Toc161241989"/>
      <w:r w:rsidRPr="00E22347">
        <w:t>XVI.</w:t>
      </w:r>
      <w:r w:rsidRPr="00E22347">
        <w:tab/>
      </w:r>
      <w:r w:rsidR="00DC6FDF" w:rsidRPr="00E22347">
        <w:rPr>
          <w:rFonts w:asciiTheme="majorBidi" w:hAnsiTheme="majorBidi" w:cstheme="majorBidi"/>
        </w:rPr>
        <w:t>Termination</w:t>
      </w:r>
      <w:bookmarkEnd w:id="58"/>
      <w:bookmarkEnd w:id="59"/>
    </w:p>
    <w:p w14:paraId="0DD3543E" w14:textId="45C28F2E" w:rsidR="00DC6FDF" w:rsidRPr="006445DE" w:rsidRDefault="00406A0D" w:rsidP="00406A0D">
      <w:pPr>
        <w:pStyle w:val="RegSingleTxtG"/>
        <w:ind w:left="1134"/>
      </w:pPr>
      <w:r w:rsidRPr="006445DE">
        <w:rPr>
          <w:rFonts w:eastAsia="Times New Roman"/>
        </w:rPr>
        <w:t>49.</w:t>
      </w:r>
      <w:r w:rsidRPr="006445DE">
        <w:rPr>
          <w:rFonts w:eastAsia="Times New Roman"/>
        </w:rPr>
        <w:tab/>
      </w:r>
      <w:r w:rsidR="00DC6FDF" w:rsidRPr="006445DE">
        <w:t xml:space="preserve">Subject to </w:t>
      </w:r>
      <w:r w:rsidR="00E64B10" w:rsidRPr="006445DE">
        <w:t xml:space="preserve">chapter </w:t>
      </w:r>
      <w:r w:rsidR="00DC6FDF" w:rsidRPr="006445DE">
        <w:rPr>
          <w:cs/>
        </w:rPr>
        <w:t>‎</w:t>
      </w:r>
      <w:r w:rsidR="002878AC" w:rsidRPr="006445DE">
        <w:rPr>
          <w:cs/>
        </w:rPr>
        <w:t>‎</w:t>
      </w:r>
      <w:r w:rsidR="002878AC" w:rsidRPr="006445DE">
        <w:t>XIII</w:t>
      </w:r>
      <w:r w:rsidR="00DC6FDF" w:rsidRPr="006445DE">
        <w:t xml:space="preserve"> above, </w:t>
      </w:r>
      <w:r w:rsidR="00166CDD" w:rsidRPr="006445DE">
        <w:t>any</w:t>
      </w:r>
      <w:r w:rsidR="00AC19AA" w:rsidRPr="006445DE" w:rsidDel="00166CDD">
        <w:t xml:space="preserve"> </w:t>
      </w:r>
      <w:r w:rsidR="00DC6FDF" w:rsidRPr="006445DE">
        <w:t>Party may terminate this MOU by giving one year’s prior written notice to the other Part</w:t>
      </w:r>
      <w:r w:rsidR="007A1D35" w:rsidRPr="006445DE">
        <w:t>ies</w:t>
      </w:r>
      <w:r w:rsidR="00DC6FDF" w:rsidRPr="006445DE">
        <w:t xml:space="preserve">. The termination shall come into effect one year from the date of the receipt of such a communication. </w:t>
      </w:r>
    </w:p>
    <w:p w14:paraId="13A0628D" w14:textId="214A9854" w:rsidR="00127D9F" w:rsidRPr="00D027CC" w:rsidRDefault="00406A0D" w:rsidP="00406A0D">
      <w:pPr>
        <w:pStyle w:val="RegSingleTxtG"/>
        <w:ind w:left="1134"/>
      </w:pPr>
      <w:r w:rsidRPr="00D027CC">
        <w:rPr>
          <w:rFonts w:eastAsia="Times New Roman"/>
        </w:rPr>
        <w:t>50.</w:t>
      </w:r>
      <w:r w:rsidRPr="00D027CC">
        <w:rPr>
          <w:rFonts w:eastAsia="Times New Roman"/>
        </w:rPr>
        <w:tab/>
      </w:r>
      <w:r w:rsidR="00DC6FDF" w:rsidRPr="006445DE">
        <w:t xml:space="preserve">Following the termination of this MOU, UNDRR and UNOPS shall take all necessary action to conclude their operations relating to the Santiago network </w:t>
      </w:r>
      <w:sdt>
        <w:sdtPr>
          <w:tag w:val="goog_rdk_491"/>
          <w:id w:val="585121234"/>
        </w:sdtPr>
        <w:sdtEndPr/>
        <w:sdtContent>
          <w:r w:rsidR="00DC6FDF" w:rsidRPr="006445DE">
            <w:t>s</w:t>
          </w:r>
        </w:sdtContent>
      </w:sdt>
      <w:r w:rsidR="00DC6FDF" w:rsidRPr="006445DE">
        <w:t>ecretariat in an expeditious manner. Any termination of this MOU will be without prejudice to any other rights and obligations of the Parties accrued prior to the date of the termination under this MOU or any legal instrument executed pursuant to this MOU.</w:t>
      </w:r>
    </w:p>
    <w:p w14:paraId="763C51EC" w14:textId="493DC191" w:rsidR="00127D9F" w:rsidRPr="000F6262" w:rsidRDefault="00127D9F" w:rsidP="00311E47">
      <w:pPr>
        <w:tabs>
          <w:tab w:val="left" w:pos="1701"/>
        </w:tabs>
        <w:spacing w:line="20" w:lineRule="atLeast"/>
        <w:ind w:left="6521" w:right="1134"/>
        <w:jc w:val="right"/>
        <w:rPr>
          <w:i/>
          <w:iCs/>
        </w:rPr>
      </w:pPr>
      <w:r>
        <w:rPr>
          <w:i/>
          <w:iCs/>
        </w:rPr>
        <w:t>5</w:t>
      </w:r>
      <w:r w:rsidRPr="00127D9F">
        <w:rPr>
          <w:i/>
          <w:iCs/>
          <w:vertAlign w:val="superscript"/>
        </w:rPr>
        <w:t>th</w:t>
      </w:r>
      <w:r>
        <w:rPr>
          <w:i/>
          <w:iCs/>
        </w:rPr>
        <w:t xml:space="preserve"> </w:t>
      </w:r>
      <w:r w:rsidRPr="000F6262">
        <w:rPr>
          <w:i/>
          <w:iCs/>
        </w:rPr>
        <w:t>plenary meeting</w:t>
      </w:r>
    </w:p>
    <w:p w14:paraId="031FBB5B" w14:textId="3BF7BF53" w:rsidR="00127D9F" w:rsidRPr="000F6262" w:rsidRDefault="00127D9F" w:rsidP="00311E47">
      <w:pPr>
        <w:tabs>
          <w:tab w:val="left" w:pos="1701"/>
        </w:tabs>
        <w:spacing w:line="20" w:lineRule="atLeast"/>
        <w:ind w:left="6521" w:right="1134"/>
        <w:jc w:val="right"/>
        <w:rPr>
          <w:i/>
          <w:iCs/>
        </w:rPr>
      </w:pPr>
      <w:r w:rsidRPr="000F6262">
        <w:rPr>
          <w:i/>
          <w:iCs/>
        </w:rPr>
        <w:t>1</w:t>
      </w:r>
      <w:r w:rsidR="00C85E04">
        <w:rPr>
          <w:i/>
          <w:iCs/>
        </w:rPr>
        <w:t>1</w:t>
      </w:r>
      <w:r w:rsidRPr="000F6262">
        <w:rPr>
          <w:i/>
          <w:iCs/>
        </w:rPr>
        <w:t xml:space="preserve"> December 2023</w:t>
      </w:r>
    </w:p>
    <w:p w14:paraId="18C5D439" w14:textId="77777777" w:rsidR="0093723F" w:rsidRDefault="0093723F" w:rsidP="00311E47">
      <w:pPr>
        <w:pStyle w:val="ListParagraph"/>
        <w:ind w:left="1135"/>
        <w:rPr>
          <w:rFonts w:asciiTheme="majorBidi" w:hAnsiTheme="majorBidi" w:cstheme="majorBidi"/>
        </w:rPr>
      </w:pPr>
    </w:p>
    <w:p w14:paraId="6BD3F756" w14:textId="39112EC7" w:rsidR="000A50EF" w:rsidRDefault="000A50EF" w:rsidP="001C2517">
      <w:pPr>
        <w:pStyle w:val="ListParagraph"/>
        <w:ind w:left="1135"/>
        <w:jc w:val="center"/>
        <w:rPr>
          <w:rFonts w:asciiTheme="majorBidi" w:hAnsiTheme="majorBidi" w:cstheme="majorBidi"/>
        </w:rPr>
        <w:sectPr w:rsidR="000A50EF" w:rsidSect="00DA6BD2">
          <w:headerReference w:type="even" r:id="rId22"/>
          <w:headerReference w:type="default" r:id="rId23"/>
          <w:footerReference w:type="even" r:id="rId24"/>
          <w:footerReference w:type="default" r:id="rId25"/>
          <w:footnotePr>
            <w:numRestart w:val="eachSect"/>
          </w:footnotePr>
          <w:pgSz w:w="11906" w:h="16838" w:code="9"/>
          <w:pgMar w:top="1417" w:right="1134" w:bottom="1134" w:left="1134" w:header="850" w:footer="567" w:gutter="0"/>
          <w:cols w:space="708"/>
          <w:docGrid w:linePitch="360"/>
        </w:sectPr>
      </w:pPr>
    </w:p>
    <w:p w14:paraId="49346F5B" w14:textId="45164923" w:rsidR="00B728AE" w:rsidRPr="00E9124B" w:rsidRDefault="00CE67F9" w:rsidP="00406A0D">
      <w:pPr>
        <w:pStyle w:val="RegHChG"/>
        <w:spacing w:before="240"/>
        <w:ind w:left="1135" w:hanging="454"/>
      </w:pPr>
      <w:bookmarkStart w:id="60" w:name="_Toc161241764"/>
      <w:bookmarkStart w:id="61" w:name="_Toc161241990"/>
      <w:bookmarkStart w:id="62" w:name="decision7"/>
      <w:r w:rsidRPr="00E9124B">
        <w:lastRenderedPageBreak/>
        <w:t>D</w:t>
      </w:r>
      <w:r w:rsidR="00B728AE" w:rsidRPr="00E9124B">
        <w:t xml:space="preserve">ecision </w:t>
      </w:r>
      <w:r w:rsidR="004B51DB" w:rsidRPr="00E9124B">
        <w:t>7</w:t>
      </w:r>
      <w:r w:rsidR="00B728AE" w:rsidRPr="00E9124B">
        <w:t>/CMA.5</w:t>
      </w:r>
      <w:bookmarkEnd w:id="60"/>
      <w:bookmarkEnd w:id="61"/>
    </w:p>
    <w:p w14:paraId="51555613" w14:textId="77777777" w:rsidR="00B728AE" w:rsidRPr="00941A10" w:rsidRDefault="005B34E3" w:rsidP="005B34E3">
      <w:pPr>
        <w:pStyle w:val="HChG"/>
      </w:pPr>
      <w:r>
        <w:tab/>
      </w:r>
      <w:r>
        <w:tab/>
      </w:r>
      <w:r w:rsidR="00B728AE" w:rsidRPr="00941A10">
        <w:t>Report of the Executive Committee of the Warsaw International Mechanism for Loss and Damage associated with Climate Change Impacts</w:t>
      </w:r>
    </w:p>
    <w:p w14:paraId="4468E3E2" w14:textId="30F1ED7D" w:rsidR="00530ED7" w:rsidRPr="00941A10" w:rsidRDefault="00675F99" w:rsidP="00565B57">
      <w:pPr>
        <w:pStyle w:val="RegSingleTxtG"/>
        <w:ind w:left="1134"/>
      </w:pPr>
      <w:bookmarkStart w:id="63" w:name="_Ref152444620"/>
      <w:r>
        <w:tab/>
      </w:r>
      <w:r>
        <w:tab/>
      </w:r>
      <w:r w:rsidR="00530ED7" w:rsidRPr="00895DEF">
        <w:t>The</w:t>
      </w:r>
      <w:r w:rsidR="00530ED7" w:rsidRPr="1C65FAAA">
        <w:rPr>
          <w:i/>
          <w:iCs/>
        </w:rPr>
        <w:t xml:space="preserve"> Conference of the Parties serving as the meeting of the Parties to the Paris Agreement</w:t>
      </w:r>
      <w:r w:rsidR="00530ED7" w:rsidRPr="00E45A49">
        <w:t>,</w:t>
      </w:r>
      <w:r w:rsidR="00530ED7">
        <w:rPr>
          <w:rStyle w:val="FootnoteReference"/>
        </w:rPr>
        <w:footnoteReference w:id="34"/>
      </w:r>
    </w:p>
    <w:p w14:paraId="06FB291A" w14:textId="6E5A965F" w:rsidR="00530ED7" w:rsidRPr="00D730D9" w:rsidRDefault="00BC7D9B" w:rsidP="00D730D9">
      <w:pPr>
        <w:pStyle w:val="RegSingleTxtG"/>
        <w:ind w:left="1134"/>
        <w:rPr>
          <w:color w:val="000000" w:themeColor="text1"/>
        </w:rPr>
      </w:pPr>
      <w:r>
        <w:tab/>
      </w:r>
      <w:r w:rsidR="00530ED7" w:rsidRPr="00D730D9">
        <w:rPr>
          <w:i/>
          <w:iCs/>
        </w:rPr>
        <w:tab/>
      </w:r>
      <w:r w:rsidR="00530ED7" w:rsidRPr="00D730D9">
        <w:rPr>
          <w:i/>
          <w:iCs/>
          <w:color w:val="000000" w:themeColor="text1"/>
        </w:rPr>
        <w:t>Recalling</w:t>
      </w:r>
      <w:r w:rsidR="00530ED7" w:rsidRPr="00D730D9">
        <w:rPr>
          <w:color w:val="000000" w:themeColor="text1"/>
        </w:rPr>
        <w:t xml:space="preserve"> the Paris Agreement and relevant decisions of the Conference of the Parties and the Conference of the Parties serving as the meeting of the Parties to the Paris Agreement, </w:t>
      </w:r>
    </w:p>
    <w:p w14:paraId="6C646F4F" w14:textId="0B3592BA" w:rsidR="00530ED7" w:rsidRPr="00D730D9" w:rsidRDefault="00406A0D" w:rsidP="00406A0D">
      <w:pPr>
        <w:pStyle w:val="RegSingleTxtG"/>
        <w:ind w:left="1134"/>
        <w:rPr>
          <w:color w:val="000000" w:themeColor="text1"/>
        </w:rPr>
      </w:pPr>
      <w:bookmarkStart w:id="64" w:name="_Ref153304851"/>
      <w:r w:rsidRPr="00D730D9">
        <w:rPr>
          <w:color w:val="000000" w:themeColor="text1"/>
        </w:rPr>
        <w:t>1.</w:t>
      </w:r>
      <w:r w:rsidRPr="00D730D9">
        <w:rPr>
          <w:color w:val="000000" w:themeColor="text1"/>
        </w:rPr>
        <w:tab/>
      </w:r>
      <w:r w:rsidR="00D730D9">
        <w:rPr>
          <w:color w:val="000000" w:themeColor="text1"/>
        </w:rPr>
        <w:tab/>
      </w:r>
      <w:r w:rsidR="00530ED7" w:rsidRPr="00D730D9">
        <w:rPr>
          <w:i/>
          <w:iCs/>
          <w:color w:val="000000" w:themeColor="text1"/>
        </w:rPr>
        <w:t>Welcomes</w:t>
      </w:r>
      <w:r w:rsidR="00530ED7" w:rsidRPr="00D730D9">
        <w:rPr>
          <w:color w:val="000000" w:themeColor="text1"/>
        </w:rPr>
        <w:t xml:space="preserve"> the 2023 report</w:t>
      </w:r>
      <w:r w:rsidR="00530ED7" w:rsidRPr="00D730D9" w:rsidDel="00D63B39">
        <w:rPr>
          <w:color w:val="000000" w:themeColor="text1"/>
        </w:rPr>
        <w:t xml:space="preserve"> </w:t>
      </w:r>
      <w:r w:rsidR="00530ED7" w:rsidRPr="00D730D9">
        <w:rPr>
          <w:color w:val="000000" w:themeColor="text1"/>
        </w:rPr>
        <w:t xml:space="preserve">of the </w:t>
      </w:r>
      <w:r w:rsidR="00530ED7" w:rsidRPr="00B54E49">
        <w:rPr>
          <w:color w:val="000000" w:themeColor="text1"/>
        </w:rPr>
        <w:t>Executive</w:t>
      </w:r>
      <w:r w:rsidR="00530ED7" w:rsidRPr="00D730D9">
        <w:rPr>
          <w:color w:val="000000" w:themeColor="text1"/>
        </w:rPr>
        <w:t xml:space="preserve"> Committee of the Warsaw International Mechanism for Loss and Damage </w:t>
      </w:r>
      <w:r w:rsidR="00530ED7" w:rsidRPr="00204A7D">
        <w:rPr>
          <w:iCs/>
        </w:rPr>
        <w:t>associated</w:t>
      </w:r>
      <w:r w:rsidR="00530ED7" w:rsidRPr="00D730D9">
        <w:rPr>
          <w:color w:val="000000" w:themeColor="text1"/>
        </w:rPr>
        <w:t xml:space="preserve"> with Climate Change Impacts</w:t>
      </w:r>
      <w:r w:rsidR="00530ED7" w:rsidRPr="001A6F3E">
        <w:rPr>
          <w:rStyle w:val="FootnoteReference"/>
        </w:rPr>
        <w:footnoteReference w:id="35"/>
      </w:r>
      <w:r w:rsidR="00530ED7" w:rsidRPr="00D730D9">
        <w:rPr>
          <w:color w:val="000000" w:themeColor="text1"/>
        </w:rPr>
        <w:t xml:space="preserve"> and</w:t>
      </w:r>
      <w:r w:rsidR="00530ED7" w:rsidRPr="00D730D9" w:rsidDel="007735D5">
        <w:rPr>
          <w:color w:val="000000" w:themeColor="text1"/>
        </w:rPr>
        <w:t xml:space="preserve"> </w:t>
      </w:r>
      <w:r w:rsidR="00530ED7" w:rsidRPr="00D730D9">
        <w:rPr>
          <w:color w:val="000000" w:themeColor="text1"/>
        </w:rPr>
        <w:t xml:space="preserve">endorses the recommendations in the </w:t>
      </w:r>
      <w:proofErr w:type="gramStart"/>
      <w:r w:rsidR="00530ED7" w:rsidRPr="00D730D9">
        <w:rPr>
          <w:color w:val="000000" w:themeColor="text1"/>
        </w:rPr>
        <w:t>report;</w:t>
      </w:r>
      <w:bookmarkEnd w:id="64"/>
      <w:proofErr w:type="gramEnd"/>
      <w:r w:rsidR="00530ED7" w:rsidRPr="00D730D9">
        <w:rPr>
          <w:color w:val="000000" w:themeColor="text1"/>
        </w:rPr>
        <w:t xml:space="preserve"> </w:t>
      </w:r>
    </w:p>
    <w:p w14:paraId="640F119F" w14:textId="14BF553C" w:rsidR="00530ED7" w:rsidRPr="00D166CF" w:rsidRDefault="00406A0D" w:rsidP="00406A0D">
      <w:pPr>
        <w:pStyle w:val="RegSingleTxtG"/>
        <w:ind w:left="1134"/>
        <w:rPr>
          <w:iCs/>
        </w:rPr>
      </w:pPr>
      <w:r w:rsidRPr="00D166CF">
        <w:rPr>
          <w:iCs/>
        </w:rPr>
        <w:t>2.</w:t>
      </w:r>
      <w:r w:rsidRPr="00D166CF">
        <w:rPr>
          <w:iCs/>
        </w:rPr>
        <w:tab/>
      </w:r>
      <w:r w:rsidR="00530ED7" w:rsidRPr="00D166CF">
        <w:rPr>
          <w:i/>
        </w:rPr>
        <w:t>Notes with appreciation</w:t>
      </w:r>
      <w:r w:rsidR="00530ED7" w:rsidRPr="00D166CF">
        <w:rPr>
          <w:iCs/>
        </w:rPr>
        <w:t xml:space="preserve"> the work of the Executive Committee and its thematic expert groups (three expert groups, a technical expert group and a task force) to date, including their progress in advancing the development of technical guides</w:t>
      </w:r>
      <w:r w:rsidR="00530ED7" w:rsidRPr="001D2C62">
        <w:rPr>
          <w:rStyle w:val="FootnoteReference"/>
        </w:rPr>
        <w:footnoteReference w:id="36"/>
      </w:r>
      <w:r w:rsidR="00530ED7" w:rsidRPr="00D166CF">
        <w:rPr>
          <w:iCs/>
        </w:rPr>
        <w:t xml:space="preserve"> informed by the best available science, and the efforts of the Executive Committee to organize activities to commemorate the tenth anniversary of the establishment of the Warsaw International </w:t>
      </w:r>
      <w:proofErr w:type="gramStart"/>
      <w:r w:rsidR="00530ED7" w:rsidRPr="00D166CF">
        <w:rPr>
          <w:iCs/>
        </w:rPr>
        <w:t>Mechanism;</w:t>
      </w:r>
      <w:proofErr w:type="gramEnd"/>
    </w:p>
    <w:p w14:paraId="3123FE91" w14:textId="3710A60F" w:rsidR="00530ED7" w:rsidRPr="001D2C62" w:rsidRDefault="00406A0D" w:rsidP="00406A0D">
      <w:pPr>
        <w:pStyle w:val="RegSingleTxtG"/>
        <w:ind w:left="1134"/>
      </w:pPr>
      <w:bookmarkStart w:id="65" w:name="_Ref153304888"/>
      <w:r w:rsidRPr="001D2C62">
        <w:t>3.</w:t>
      </w:r>
      <w:r w:rsidRPr="001D2C62">
        <w:tab/>
      </w:r>
      <w:r w:rsidR="00530ED7" w:rsidRPr="001D2C62">
        <w:rPr>
          <w:i/>
          <w:iCs/>
        </w:rPr>
        <w:t>Expresse</w:t>
      </w:r>
      <w:r w:rsidR="00530ED7" w:rsidRPr="00F37397">
        <w:rPr>
          <w:i/>
          <w:iCs/>
        </w:rPr>
        <w:t>s appreciation</w:t>
      </w:r>
      <w:r w:rsidR="00530ED7" w:rsidRPr="001D2C62">
        <w:t xml:space="preserve"> to the </w:t>
      </w:r>
      <w:r w:rsidR="00530ED7" w:rsidRPr="00D166CF">
        <w:rPr>
          <w:iCs/>
        </w:rPr>
        <w:t>organizations</w:t>
      </w:r>
      <w:r w:rsidR="00530ED7" w:rsidRPr="001D2C62">
        <w:t>,</w:t>
      </w:r>
      <w:r w:rsidR="00530ED7" w:rsidRPr="001D2C62" w:rsidDel="008538AE">
        <w:t xml:space="preserve"> </w:t>
      </w:r>
      <w:r w:rsidR="00530ED7" w:rsidRPr="001D2C62">
        <w:t xml:space="preserve">experts and relevant stakeholders that contributed to the work reported in the document referred to in paragraph </w:t>
      </w:r>
      <w:r w:rsidR="00C1011F">
        <w:rPr>
          <w:cs/>
        </w:rPr>
        <w:t>‎</w:t>
      </w:r>
      <w:r w:rsidR="00C1011F">
        <w:t>1 above</w:t>
      </w:r>
      <w:r w:rsidR="00530ED7" w:rsidRPr="001D2C62">
        <w:t>, including in relation to:</w:t>
      </w:r>
      <w:bookmarkEnd w:id="65"/>
    </w:p>
    <w:p w14:paraId="70958E68" w14:textId="1A868E60" w:rsidR="00734BE0" w:rsidRPr="00E45A49" w:rsidRDefault="00406A0D" w:rsidP="00406A0D">
      <w:pPr>
        <w:pStyle w:val="RegSingleTxtG"/>
        <w:tabs>
          <w:tab w:val="clear" w:pos="1701"/>
          <w:tab w:val="left" w:pos="1702"/>
        </w:tabs>
        <w:ind w:left="1134" w:right="1133" w:firstLine="567"/>
      </w:pPr>
      <w:r w:rsidRPr="00E45A49">
        <w:rPr>
          <w:szCs w:val="28"/>
        </w:rPr>
        <w:t>(a)</w:t>
      </w:r>
      <w:r w:rsidRPr="00E45A49">
        <w:rPr>
          <w:szCs w:val="28"/>
        </w:rPr>
        <w:tab/>
      </w:r>
      <w:r w:rsidR="00734BE0" w:rsidRPr="00E45A49">
        <w:t xml:space="preserve">The achievements of the thematic expert groups of the Executive </w:t>
      </w:r>
      <w:proofErr w:type="gramStart"/>
      <w:r w:rsidR="00734BE0" w:rsidRPr="00E45A49">
        <w:t>Committee;</w:t>
      </w:r>
      <w:proofErr w:type="gramEnd"/>
    </w:p>
    <w:p w14:paraId="424B6D4E" w14:textId="7C9FD3A0" w:rsidR="00530ED7" w:rsidRPr="00E45A49" w:rsidRDefault="00406A0D" w:rsidP="00406A0D">
      <w:pPr>
        <w:pStyle w:val="RegSingleTxtG2"/>
        <w:tabs>
          <w:tab w:val="left" w:pos="1702"/>
        </w:tabs>
        <w:ind w:left="1134" w:firstLine="567"/>
      </w:pPr>
      <w:r w:rsidRPr="00E45A49">
        <w:rPr>
          <w:szCs w:val="28"/>
        </w:rPr>
        <w:t>(b)</w:t>
      </w:r>
      <w:r w:rsidRPr="00E45A49">
        <w:rPr>
          <w:szCs w:val="28"/>
        </w:rPr>
        <w:tab/>
      </w:r>
      <w:r w:rsidR="00530ED7" w:rsidRPr="00E45A49">
        <w:t xml:space="preserve">The submission of information pursuant to paragraph 44 of decision 2/CMA.2, which is noted in decision 2/CP.25, relevant to the Santiago network for averting, minimizing and addressing loss and damage associated with the adverse effects of climate </w:t>
      </w:r>
      <w:proofErr w:type="gramStart"/>
      <w:r w:rsidR="00530ED7" w:rsidRPr="00E45A49">
        <w:t>change;</w:t>
      </w:r>
      <w:proofErr w:type="gramEnd"/>
    </w:p>
    <w:p w14:paraId="62AD31EF" w14:textId="043EE9E6" w:rsidR="00530ED7" w:rsidRPr="00E45A49" w:rsidRDefault="00406A0D" w:rsidP="00406A0D">
      <w:pPr>
        <w:pStyle w:val="RegSingleTxtG2"/>
        <w:tabs>
          <w:tab w:val="left" w:pos="1702"/>
        </w:tabs>
        <w:ind w:left="1134" w:firstLine="567"/>
      </w:pPr>
      <w:r w:rsidRPr="00E45A49">
        <w:rPr>
          <w:szCs w:val="28"/>
        </w:rPr>
        <w:t>(c)</w:t>
      </w:r>
      <w:r w:rsidRPr="00E45A49">
        <w:rPr>
          <w:szCs w:val="28"/>
        </w:rPr>
        <w:tab/>
      </w:r>
      <w:r w:rsidR="00530ED7" w:rsidRPr="00E45A49">
        <w:t>Activities related to the tenth anniversary of the establishment of the Warsaw International Mechanism, such as the submission of photographs for the photography exhibition;</w:t>
      </w:r>
      <w:r w:rsidR="00530ED7">
        <w:rPr>
          <w:rStyle w:val="FootnoteReference"/>
        </w:rPr>
        <w:footnoteReference w:id="37"/>
      </w:r>
    </w:p>
    <w:p w14:paraId="29618D8B" w14:textId="1BCC35F6" w:rsidR="00530ED7" w:rsidRPr="00F77F5E" w:rsidRDefault="00406A0D" w:rsidP="00406A0D">
      <w:pPr>
        <w:pStyle w:val="RegSingleTxtG"/>
        <w:ind w:left="1134"/>
      </w:pPr>
      <w:r w:rsidRPr="00F77F5E">
        <w:t>4.</w:t>
      </w:r>
      <w:r w:rsidRPr="00F77F5E">
        <w:tab/>
      </w:r>
      <w:r w:rsidR="00530ED7" w:rsidRPr="00F77F5E">
        <w:rPr>
          <w:i/>
          <w:iCs/>
        </w:rPr>
        <w:t>Also</w:t>
      </w:r>
      <w:r w:rsidR="00530ED7" w:rsidRPr="00337703">
        <w:rPr>
          <w:i/>
          <w:iCs/>
        </w:rPr>
        <w:t xml:space="preserve"> </w:t>
      </w:r>
      <w:r w:rsidR="00530ED7" w:rsidRPr="00F37397">
        <w:rPr>
          <w:i/>
          <w:iCs/>
        </w:rPr>
        <w:t>expresses appreciation</w:t>
      </w:r>
      <w:r w:rsidR="00530ED7" w:rsidRPr="001A6F3E">
        <w:t xml:space="preserve"> </w:t>
      </w:r>
      <w:r w:rsidR="00530ED7" w:rsidRPr="00F77F5E">
        <w:t>to the Government of the Philippines for hosting the 18</w:t>
      </w:r>
      <w:r w:rsidR="00530ED7" w:rsidRPr="00F77F5E">
        <w:rPr>
          <w:vertAlign w:val="superscript"/>
        </w:rPr>
        <w:t>th</w:t>
      </w:r>
      <w:r w:rsidR="00530ED7" w:rsidRPr="00F77F5E">
        <w:t xml:space="preserve"> meeting of the Executive Committee and </w:t>
      </w:r>
      <w:r w:rsidR="00530ED7" w:rsidRPr="001A6F3E">
        <w:t>invites</w:t>
      </w:r>
      <w:r w:rsidR="00530ED7" w:rsidRPr="00F77F5E">
        <w:t xml:space="preserve"> other Parties to offer to host future meetings of the Committee, as appropriate, with a view to broadening the range of stakeholders involved, and facilitating active engagement of Parties, in the work of the Committee across </w:t>
      </w:r>
      <w:proofErr w:type="gramStart"/>
      <w:r w:rsidR="00530ED7" w:rsidRPr="00F77F5E">
        <w:t>regions;</w:t>
      </w:r>
      <w:proofErr w:type="gramEnd"/>
      <w:r w:rsidR="00530ED7" w:rsidRPr="00F77F5E">
        <w:t xml:space="preserve"> </w:t>
      </w:r>
    </w:p>
    <w:p w14:paraId="1E7FE0AB" w14:textId="2A79C01F" w:rsidR="00530ED7" w:rsidRPr="00F77F5E" w:rsidRDefault="00406A0D" w:rsidP="00406A0D">
      <w:pPr>
        <w:pStyle w:val="RegSingleTxtG"/>
        <w:ind w:left="1134"/>
      </w:pPr>
      <w:r w:rsidRPr="00F77F5E">
        <w:t>5.</w:t>
      </w:r>
      <w:r w:rsidRPr="00F77F5E">
        <w:tab/>
      </w:r>
      <w:r w:rsidR="00530ED7" w:rsidRPr="00F77F5E">
        <w:rPr>
          <w:i/>
          <w:iCs/>
        </w:rPr>
        <w:t>Enco</w:t>
      </w:r>
      <w:r w:rsidR="00530ED7" w:rsidRPr="00F37397">
        <w:rPr>
          <w:i/>
          <w:iCs/>
        </w:rPr>
        <w:t>urages</w:t>
      </w:r>
      <w:r w:rsidR="00530ED7" w:rsidRPr="00F77F5E">
        <w:t xml:space="preserve"> relevant organizations and experts to continue to contribute as referred to in paragraph </w:t>
      </w:r>
      <w:r w:rsidR="00204A7D">
        <w:rPr>
          <w:cs/>
        </w:rPr>
        <w:t>‎</w:t>
      </w:r>
      <w:r w:rsidR="00204A7D">
        <w:t>3</w:t>
      </w:r>
      <w:r w:rsidR="00530ED7" w:rsidRPr="00F77F5E">
        <w:t xml:space="preserve">(a−b) </w:t>
      </w:r>
      <w:proofErr w:type="gramStart"/>
      <w:r w:rsidR="00530ED7" w:rsidRPr="00F77F5E">
        <w:t>above;</w:t>
      </w:r>
      <w:proofErr w:type="gramEnd"/>
    </w:p>
    <w:p w14:paraId="2ADACB6D" w14:textId="3A2B4EC5" w:rsidR="00530ED7" w:rsidRPr="00E45A49" w:rsidRDefault="00406A0D" w:rsidP="00406A0D">
      <w:pPr>
        <w:pStyle w:val="RegSingleTxtG"/>
        <w:ind w:left="1134"/>
      </w:pPr>
      <w:r w:rsidRPr="00E45A49">
        <w:t>6.</w:t>
      </w:r>
      <w:r w:rsidRPr="00E45A49">
        <w:tab/>
      </w:r>
      <w:r w:rsidR="00530ED7" w:rsidRPr="00E45A49">
        <w:rPr>
          <w:i/>
          <w:iCs/>
        </w:rPr>
        <w:t>Also</w:t>
      </w:r>
      <w:r w:rsidR="00530ED7" w:rsidRPr="00337703">
        <w:rPr>
          <w:i/>
          <w:iCs/>
        </w:rPr>
        <w:t xml:space="preserve"> </w:t>
      </w:r>
      <w:r w:rsidR="00530ED7" w:rsidRPr="00F37397">
        <w:rPr>
          <w:i/>
          <w:iCs/>
        </w:rPr>
        <w:t>encourages</w:t>
      </w:r>
      <w:r w:rsidR="00530ED7" w:rsidRPr="00E45A49">
        <w:t xml:space="preserve"> the Executive Committee to continue to strengthen dialogue, coordination, coherence and synergies with relevant bodies </w:t>
      </w:r>
      <w:r w:rsidR="00530ED7" w:rsidRPr="00E45A49" w:rsidDel="00F450CC">
        <w:t xml:space="preserve">and </w:t>
      </w:r>
      <w:r w:rsidR="00530ED7" w:rsidRPr="00E45A49">
        <w:t xml:space="preserve">organizations under and outside the Convention and the Paris </w:t>
      </w:r>
      <w:proofErr w:type="gramStart"/>
      <w:r w:rsidR="00530ED7" w:rsidRPr="00E45A49">
        <w:t>Agreement;</w:t>
      </w:r>
      <w:proofErr w:type="gramEnd"/>
    </w:p>
    <w:p w14:paraId="26BADD21" w14:textId="1F8E8905" w:rsidR="00530ED7" w:rsidRPr="00E45A49" w:rsidRDefault="00406A0D" w:rsidP="00406A0D">
      <w:pPr>
        <w:pStyle w:val="RegSingleTxtG"/>
        <w:ind w:left="1134"/>
      </w:pPr>
      <w:bookmarkStart w:id="66" w:name="_Ref153304947"/>
      <w:r w:rsidRPr="00E45A49">
        <w:t>7.</w:t>
      </w:r>
      <w:r w:rsidRPr="00E45A49">
        <w:tab/>
      </w:r>
      <w:r w:rsidR="00530ED7" w:rsidRPr="1C65FAAA">
        <w:rPr>
          <w:i/>
          <w:iCs/>
        </w:rPr>
        <w:t>Requests</w:t>
      </w:r>
      <w:r w:rsidR="00530ED7" w:rsidRPr="00E45A49">
        <w:t xml:space="preserve"> the Executive Committee</w:t>
      </w:r>
      <w:r w:rsidR="00530ED7">
        <w:t>,</w:t>
      </w:r>
      <w:r w:rsidR="00530ED7" w:rsidRPr="00E45A49">
        <w:t xml:space="preserve"> in implementing its functions</w:t>
      </w:r>
      <w:r w:rsidR="00530ED7">
        <w:t>,</w:t>
      </w:r>
      <w:r w:rsidR="00530ED7">
        <w:rPr>
          <w:rStyle w:val="FootnoteReference"/>
        </w:rPr>
        <w:footnoteReference w:id="38"/>
      </w:r>
      <w:r w:rsidR="00530ED7" w:rsidRPr="00E45A49">
        <w:t xml:space="preserve"> to:</w:t>
      </w:r>
      <w:bookmarkEnd w:id="66"/>
    </w:p>
    <w:p w14:paraId="69C20E3B" w14:textId="7FE56CDE" w:rsidR="00530ED7" w:rsidRPr="00E45A49" w:rsidRDefault="00406A0D" w:rsidP="00406A0D">
      <w:pPr>
        <w:pStyle w:val="RegSingleTxtG"/>
        <w:tabs>
          <w:tab w:val="clear" w:pos="1701"/>
          <w:tab w:val="left" w:pos="1702"/>
        </w:tabs>
        <w:ind w:left="1134" w:right="1133" w:firstLine="567"/>
      </w:pPr>
      <w:r w:rsidRPr="00E45A49">
        <w:rPr>
          <w:szCs w:val="28"/>
        </w:rPr>
        <w:lastRenderedPageBreak/>
        <w:t>(a)</w:t>
      </w:r>
      <w:r w:rsidRPr="00E45A49">
        <w:rPr>
          <w:szCs w:val="28"/>
        </w:rPr>
        <w:tab/>
      </w:r>
      <w:r w:rsidR="00530ED7" w:rsidRPr="00E45A49">
        <w:t xml:space="preserve">Consider ways to collaborate with the </w:t>
      </w:r>
      <w:r w:rsidR="00530ED7" w:rsidRPr="00F62ECF">
        <w:t xml:space="preserve">entities that form part of </w:t>
      </w:r>
      <w:r w:rsidR="00530ED7">
        <w:t xml:space="preserve">the </w:t>
      </w:r>
      <w:r w:rsidR="00530ED7" w:rsidRPr="00E45A49">
        <w:t xml:space="preserve">funding arrangements, including </w:t>
      </w:r>
      <w:r w:rsidR="00530ED7" w:rsidRPr="00E45A49" w:rsidDel="002C71E9">
        <w:t>a</w:t>
      </w:r>
      <w:r w:rsidR="00530ED7" w:rsidRPr="00E45A49">
        <w:t xml:space="preserve"> fund</w:t>
      </w:r>
      <w:r w:rsidR="00530ED7" w:rsidRPr="00E45A49" w:rsidDel="002C71E9">
        <w:t>,</w:t>
      </w:r>
      <w:r w:rsidR="00530ED7" w:rsidRPr="00E45A49">
        <w:t xml:space="preserve"> established in paragraphs 2–3 of decisions 2/CP.27 and 2/CMA.4,</w:t>
      </w:r>
      <w:r w:rsidR="00530ED7">
        <w:rPr>
          <w:rStyle w:val="FootnoteReference"/>
        </w:rPr>
        <w:footnoteReference w:id="39"/>
      </w:r>
      <w:r w:rsidR="00530ED7" w:rsidRPr="00E45A49" w:rsidDel="00BB0E00">
        <w:t xml:space="preserve"> and report </w:t>
      </w:r>
      <w:r w:rsidR="00530ED7" w:rsidRPr="00E45A49">
        <w:t xml:space="preserve">on the outcomes of that consideration in its annual </w:t>
      </w:r>
      <w:proofErr w:type="gramStart"/>
      <w:r w:rsidR="00530ED7" w:rsidRPr="00E45A49">
        <w:t>reports;</w:t>
      </w:r>
      <w:proofErr w:type="gramEnd"/>
    </w:p>
    <w:p w14:paraId="54A8E611" w14:textId="3DF1CA29" w:rsidR="00530ED7" w:rsidRPr="00E45A49" w:rsidRDefault="00406A0D" w:rsidP="00406A0D">
      <w:pPr>
        <w:pStyle w:val="RegSingleTxtG2"/>
        <w:tabs>
          <w:tab w:val="left" w:pos="1702"/>
        </w:tabs>
        <w:ind w:left="1134" w:firstLine="567"/>
      </w:pPr>
      <w:r w:rsidRPr="00E45A49">
        <w:rPr>
          <w:szCs w:val="28"/>
        </w:rPr>
        <w:t>(b)</w:t>
      </w:r>
      <w:r w:rsidRPr="00E45A49">
        <w:rPr>
          <w:szCs w:val="28"/>
        </w:rPr>
        <w:tab/>
      </w:r>
      <w:r w:rsidR="00530ED7" w:rsidRPr="00E45A49">
        <w:t>Engage actively in the work</w:t>
      </w:r>
      <w:r w:rsidR="00530ED7" w:rsidRPr="00E45A49" w:rsidDel="00E22A08">
        <w:t xml:space="preserve"> </w:t>
      </w:r>
      <w:r w:rsidR="00530ED7" w:rsidRPr="0049133B">
        <w:t>under the Santiago network and collaborate with</w:t>
      </w:r>
      <w:r w:rsidR="00530ED7" w:rsidRPr="00E45A49">
        <w:t xml:space="preserve"> the Advisory Board of the Santiago network through </w:t>
      </w:r>
      <w:r w:rsidR="00530ED7">
        <w:t>the</w:t>
      </w:r>
      <w:r w:rsidR="00530ED7" w:rsidRPr="00E45A49">
        <w:t xml:space="preserve"> representation </w:t>
      </w:r>
      <w:r w:rsidR="00530ED7">
        <w:t xml:space="preserve">of the Executive Committee on the Board </w:t>
      </w:r>
      <w:r w:rsidR="00530ED7" w:rsidRPr="00E45A49">
        <w:t>as provided</w:t>
      </w:r>
      <w:r w:rsidR="00530ED7">
        <w:t xml:space="preserve"> for</w:t>
      </w:r>
      <w:r w:rsidR="00530ED7" w:rsidRPr="00E45A49">
        <w:t xml:space="preserve"> in </w:t>
      </w:r>
      <w:r w:rsidR="00530ED7">
        <w:t>decision 12/CMA.4 and endorsed in decision</w:t>
      </w:r>
      <w:r w:rsidR="00530ED7" w:rsidRPr="00E45A49">
        <w:t xml:space="preserve"> 11/CP.</w:t>
      </w:r>
      <w:proofErr w:type="gramStart"/>
      <w:r w:rsidR="00530ED7" w:rsidRPr="00E45A49">
        <w:t>27;</w:t>
      </w:r>
      <w:proofErr w:type="gramEnd"/>
    </w:p>
    <w:p w14:paraId="6E8F04F2" w14:textId="6CDEE486" w:rsidR="00530ED7" w:rsidRPr="00E45A49" w:rsidRDefault="00406A0D" w:rsidP="00406A0D">
      <w:pPr>
        <w:pStyle w:val="RegSingleTxtG2"/>
        <w:tabs>
          <w:tab w:val="left" w:pos="1702"/>
        </w:tabs>
        <w:ind w:left="1134" w:firstLine="567"/>
      </w:pPr>
      <w:r w:rsidRPr="00E45A49">
        <w:rPr>
          <w:szCs w:val="28"/>
        </w:rPr>
        <w:t>(c)</w:t>
      </w:r>
      <w:r w:rsidRPr="00E45A49">
        <w:rPr>
          <w:szCs w:val="28"/>
        </w:rPr>
        <w:tab/>
      </w:r>
      <w:r w:rsidR="00530ED7" w:rsidRPr="00E45A49">
        <w:t xml:space="preserve">Promote the use of the technical guides and knowledge products developed by the Executive Committee and its thematic expert groups, at the regional and national level, including for </w:t>
      </w:r>
      <w:r w:rsidR="00530ED7">
        <w:t>undertaking</w:t>
      </w:r>
      <w:r w:rsidR="00530ED7" w:rsidRPr="00E45A49">
        <w:t xml:space="preserve"> activities under the Santiago network and </w:t>
      </w:r>
      <w:r w:rsidR="00530ED7">
        <w:t>during</w:t>
      </w:r>
      <w:r w:rsidR="00530ED7" w:rsidRPr="00E45A49">
        <w:t xml:space="preserve"> dedicated virtual meeting</w:t>
      </w:r>
      <w:r w:rsidR="00530ED7">
        <w:t>s,</w:t>
      </w:r>
      <w:r w:rsidR="00530ED7" w:rsidRPr="00E45A49">
        <w:t xml:space="preserve"> as </w:t>
      </w:r>
      <w:proofErr w:type="gramStart"/>
      <w:r w:rsidR="00530ED7" w:rsidRPr="00E45A49">
        <w:t>appropriate;</w:t>
      </w:r>
      <w:proofErr w:type="gramEnd"/>
    </w:p>
    <w:p w14:paraId="7FBDB1E5" w14:textId="3D9DE174" w:rsidR="00530ED7" w:rsidRPr="00E45A49" w:rsidRDefault="00406A0D" w:rsidP="00406A0D">
      <w:pPr>
        <w:pStyle w:val="RegSingleTxtG2"/>
        <w:tabs>
          <w:tab w:val="left" w:pos="1702"/>
        </w:tabs>
        <w:ind w:left="1134" w:firstLine="567"/>
      </w:pPr>
      <w:r w:rsidRPr="00E45A49">
        <w:rPr>
          <w:szCs w:val="28"/>
        </w:rPr>
        <w:t>(d)</w:t>
      </w:r>
      <w:r w:rsidRPr="00E45A49">
        <w:rPr>
          <w:szCs w:val="28"/>
        </w:rPr>
        <w:tab/>
      </w:r>
      <w:r w:rsidR="00530ED7" w:rsidRPr="00E45A49">
        <w:t>Consider translating</w:t>
      </w:r>
      <w:r w:rsidR="00530ED7">
        <w:t>, as appropriate,</w:t>
      </w:r>
      <w:r w:rsidR="00530ED7" w:rsidRPr="00E45A49">
        <w:t xml:space="preserve"> relevant outputs of the work of the Executive Committee and its </w:t>
      </w:r>
      <w:r w:rsidR="009824A8">
        <w:t xml:space="preserve">thematic </w:t>
      </w:r>
      <w:r w:rsidR="00530ED7" w:rsidRPr="00E45A49">
        <w:t xml:space="preserve">expert groups into all official United Nations languages so as to maximize their added value </w:t>
      </w:r>
      <w:r w:rsidR="00530ED7">
        <w:t xml:space="preserve">and </w:t>
      </w:r>
      <w:r w:rsidR="00530ED7" w:rsidRPr="00E45A49">
        <w:t xml:space="preserve">promote </w:t>
      </w:r>
      <w:r w:rsidR="00530ED7">
        <w:t xml:space="preserve">their </w:t>
      </w:r>
      <w:proofErr w:type="gramStart"/>
      <w:r w:rsidR="00530ED7" w:rsidRPr="00E45A49">
        <w:t>dissemination;</w:t>
      </w:r>
      <w:proofErr w:type="gramEnd"/>
      <w:r w:rsidR="00530ED7" w:rsidRPr="00E45A49">
        <w:t xml:space="preserve"> </w:t>
      </w:r>
    </w:p>
    <w:p w14:paraId="2B5E934E" w14:textId="597D7928" w:rsidR="00530ED7" w:rsidRPr="00E45A49" w:rsidRDefault="00406A0D" w:rsidP="00406A0D">
      <w:pPr>
        <w:pStyle w:val="RegSingleTxtG2"/>
        <w:tabs>
          <w:tab w:val="left" w:pos="1702"/>
        </w:tabs>
        <w:ind w:left="1134" w:firstLine="567"/>
      </w:pPr>
      <w:r w:rsidRPr="00E45A49">
        <w:rPr>
          <w:szCs w:val="28"/>
        </w:rPr>
        <w:t>(e)</w:t>
      </w:r>
      <w:r w:rsidRPr="00E45A49">
        <w:rPr>
          <w:szCs w:val="28"/>
        </w:rPr>
        <w:tab/>
      </w:r>
      <w:r w:rsidR="00530ED7">
        <w:t>Continue to d</w:t>
      </w:r>
      <w:r w:rsidR="00530ED7" w:rsidRPr="00E45A49">
        <w:t>evelop,</w:t>
      </w:r>
      <w:r w:rsidR="00530ED7">
        <w:t xml:space="preserve"> as appropriate and</w:t>
      </w:r>
      <w:r w:rsidR="00530ED7" w:rsidRPr="00E45A49">
        <w:t xml:space="preserve"> in collaboration with its thematic expert groups, technical guides on relevant topics </w:t>
      </w:r>
      <w:r w:rsidR="00530ED7">
        <w:t>under</w:t>
      </w:r>
      <w:r w:rsidR="00530ED7" w:rsidRPr="00E45A49">
        <w:t xml:space="preserve"> </w:t>
      </w:r>
      <w:r w:rsidR="00530ED7">
        <w:t xml:space="preserve">all </w:t>
      </w:r>
      <w:r w:rsidR="00530ED7" w:rsidRPr="00E45A49">
        <w:t>the strategic workstreams of its five-year rolling workplan</w:t>
      </w:r>
      <w:r w:rsidR="00530ED7">
        <w:t>;</w:t>
      </w:r>
      <w:r w:rsidR="00530ED7">
        <w:rPr>
          <w:rStyle w:val="FootnoteReference"/>
        </w:rPr>
        <w:footnoteReference w:id="40"/>
      </w:r>
    </w:p>
    <w:p w14:paraId="6645ED94" w14:textId="0D463575" w:rsidR="00530ED7" w:rsidRPr="00A27292" w:rsidRDefault="00406A0D" w:rsidP="00406A0D">
      <w:pPr>
        <w:pStyle w:val="AnnoSingleTxtG"/>
        <w:tabs>
          <w:tab w:val="left" w:pos="1702"/>
        </w:tabs>
        <w:ind w:left="1134" w:firstLine="0"/>
      </w:pPr>
      <w:r w:rsidRPr="00A27292">
        <w:t>8.</w:t>
      </w:r>
      <w:r w:rsidRPr="00A27292">
        <w:tab/>
      </w:r>
      <w:r w:rsidR="00530ED7" w:rsidRPr="1C65FAAA">
        <w:rPr>
          <w:i/>
          <w:iCs/>
        </w:rPr>
        <w:t>Not</w:t>
      </w:r>
      <w:r w:rsidR="00530ED7" w:rsidRPr="00F37397">
        <w:rPr>
          <w:i/>
          <w:iCs/>
        </w:rPr>
        <w:t>es</w:t>
      </w:r>
      <w:r w:rsidR="00530ED7" w:rsidRPr="00D82985">
        <w:t xml:space="preserve"> </w:t>
      </w:r>
      <w:r w:rsidR="00530ED7" w:rsidRPr="00A27292">
        <w:t xml:space="preserve">that considerations related to the governance of the Warsaw International Mechanism will continue at its </w:t>
      </w:r>
      <w:r w:rsidR="00530ED7">
        <w:t>sixth</w:t>
      </w:r>
      <w:r w:rsidR="00530ED7" w:rsidRPr="00A27292">
        <w:t xml:space="preserve"> session (November 202</w:t>
      </w:r>
      <w:r w:rsidR="00530ED7">
        <w:t>4</w:t>
      </w:r>
      <w:r w:rsidR="00530ED7" w:rsidRPr="00A27292">
        <w:t>)</w:t>
      </w:r>
      <w:r w:rsidR="00530ED7">
        <w:t>;</w:t>
      </w:r>
      <w:r w:rsidR="00530ED7">
        <w:rPr>
          <w:rStyle w:val="FootnoteReference"/>
        </w:rPr>
        <w:footnoteReference w:id="41"/>
      </w:r>
    </w:p>
    <w:p w14:paraId="23B8233B" w14:textId="3878CC66" w:rsidR="00530ED7" w:rsidRPr="00E45A49" w:rsidRDefault="00406A0D" w:rsidP="00406A0D">
      <w:pPr>
        <w:pStyle w:val="RegSingleTxtG"/>
        <w:ind w:left="1134"/>
      </w:pPr>
      <w:r w:rsidRPr="00E45A49">
        <w:t>9.</w:t>
      </w:r>
      <w:r w:rsidRPr="00E45A49">
        <w:tab/>
      </w:r>
      <w:r w:rsidR="00530ED7" w:rsidRPr="00E45A49">
        <w:rPr>
          <w:i/>
          <w:iCs/>
        </w:rPr>
        <w:t>Take</w:t>
      </w:r>
      <w:r w:rsidR="00530ED7" w:rsidRPr="00F37397">
        <w:rPr>
          <w:i/>
          <w:iCs/>
        </w:rPr>
        <w:t>s note</w:t>
      </w:r>
      <w:r w:rsidR="00530ED7" w:rsidRPr="00941A10">
        <w:t xml:space="preserve"> </w:t>
      </w:r>
      <w:r w:rsidR="00530ED7" w:rsidRPr="00E45A49">
        <w:t xml:space="preserve">of the estimated budgetary implications of the activities to be undertaken by the secretariat referred to in paragraphs </w:t>
      </w:r>
      <w:r w:rsidR="00530ED7">
        <w:rPr>
          <w:cs/>
        </w:rPr>
        <w:t>‎</w:t>
      </w:r>
      <w:r w:rsidR="00204A7D">
        <w:rPr>
          <w:cs/>
        </w:rPr>
        <w:t>‎</w:t>
      </w:r>
      <w:r w:rsidR="00204A7D">
        <w:t>1</w:t>
      </w:r>
      <w:r w:rsidR="00530ED7" w:rsidRPr="00E45A49">
        <w:t xml:space="preserve"> and </w:t>
      </w:r>
      <w:r w:rsidR="00204A7D">
        <w:rPr>
          <w:cs/>
        </w:rPr>
        <w:t>‎</w:t>
      </w:r>
      <w:r w:rsidR="00204A7D">
        <w:t xml:space="preserve">7 </w:t>
      </w:r>
      <w:proofErr w:type="gramStart"/>
      <w:r w:rsidR="00204A7D">
        <w:t>above</w:t>
      </w:r>
      <w:r w:rsidR="00530ED7" w:rsidRPr="00E45A49">
        <w:t>;</w:t>
      </w:r>
      <w:proofErr w:type="gramEnd"/>
    </w:p>
    <w:p w14:paraId="6A2C4774" w14:textId="6C70A50D" w:rsidR="00530ED7" w:rsidRDefault="00406A0D" w:rsidP="00406A0D">
      <w:pPr>
        <w:pStyle w:val="RegSingleTxtG"/>
        <w:ind w:left="1134"/>
      </w:pPr>
      <w:r>
        <w:t>10.</w:t>
      </w:r>
      <w:r>
        <w:tab/>
      </w:r>
      <w:r w:rsidR="00530ED7" w:rsidRPr="00E45A49">
        <w:rPr>
          <w:i/>
          <w:iCs/>
        </w:rPr>
        <w:t>Requests</w:t>
      </w:r>
      <w:r w:rsidR="00530ED7" w:rsidRPr="00E45A49">
        <w:t xml:space="preserve"> that the actions of the secretariat called for in this decision be undertaken subject to the availability of financial resources.</w:t>
      </w:r>
    </w:p>
    <w:p w14:paraId="029AF07A" w14:textId="5B9C6231" w:rsidR="00E4447C" w:rsidRPr="000F6262" w:rsidRDefault="00013B7D" w:rsidP="00311E47">
      <w:pPr>
        <w:tabs>
          <w:tab w:val="left" w:pos="1701"/>
        </w:tabs>
        <w:spacing w:line="20" w:lineRule="atLeast"/>
        <w:ind w:left="6521" w:right="1134"/>
        <w:jc w:val="right"/>
        <w:rPr>
          <w:i/>
          <w:iCs/>
        </w:rPr>
      </w:pPr>
      <w:r>
        <w:rPr>
          <w:i/>
          <w:iCs/>
        </w:rPr>
        <w:t>5</w:t>
      </w:r>
      <w:r w:rsidRPr="00013B7D">
        <w:rPr>
          <w:i/>
          <w:iCs/>
          <w:vertAlign w:val="superscript"/>
        </w:rPr>
        <w:t>th</w:t>
      </w:r>
      <w:r>
        <w:rPr>
          <w:i/>
          <w:iCs/>
        </w:rPr>
        <w:t xml:space="preserve"> </w:t>
      </w:r>
      <w:r w:rsidR="00E4447C" w:rsidRPr="000F6262">
        <w:rPr>
          <w:i/>
          <w:iCs/>
        </w:rPr>
        <w:t>plenary meeting</w:t>
      </w:r>
    </w:p>
    <w:p w14:paraId="0D081B17" w14:textId="3422F168" w:rsidR="00E4447C" w:rsidRPr="000F6262" w:rsidRDefault="00E4447C" w:rsidP="00311E47">
      <w:pPr>
        <w:tabs>
          <w:tab w:val="left" w:pos="1701"/>
        </w:tabs>
        <w:spacing w:line="20" w:lineRule="atLeast"/>
        <w:ind w:left="6521" w:right="1134"/>
        <w:jc w:val="right"/>
        <w:rPr>
          <w:i/>
          <w:iCs/>
        </w:rPr>
      </w:pPr>
      <w:r w:rsidRPr="000F6262">
        <w:rPr>
          <w:i/>
          <w:iCs/>
        </w:rPr>
        <w:t>1</w:t>
      </w:r>
      <w:r w:rsidR="00013B7D">
        <w:rPr>
          <w:i/>
          <w:iCs/>
        </w:rPr>
        <w:t>1</w:t>
      </w:r>
      <w:r w:rsidRPr="000F6262">
        <w:rPr>
          <w:i/>
          <w:iCs/>
        </w:rPr>
        <w:t xml:space="preserve"> December 2023</w:t>
      </w:r>
    </w:p>
    <w:bookmarkEnd w:id="62"/>
    <w:p w14:paraId="19E26692" w14:textId="77777777" w:rsidR="00E4447C" w:rsidRPr="00E45A49" w:rsidRDefault="00E4447C" w:rsidP="00E4447C">
      <w:pPr>
        <w:pStyle w:val="AnnoSingleTxtG"/>
        <w:tabs>
          <w:tab w:val="clear" w:pos="1702"/>
        </w:tabs>
        <w:ind w:left="1134" w:firstLine="0"/>
      </w:pPr>
    </w:p>
    <w:p w14:paraId="2CB80121" w14:textId="77777777" w:rsidR="00B6542D" w:rsidRDefault="00B6542D" w:rsidP="00406A0D">
      <w:pPr>
        <w:pStyle w:val="RegH4G"/>
        <w:ind w:hanging="454"/>
        <w:rPr>
          <w:b w:val="0"/>
        </w:rPr>
        <w:sectPr w:rsidR="00B6542D" w:rsidSect="00DA6BD2">
          <w:headerReference w:type="even" r:id="rId26"/>
          <w:headerReference w:type="default" r:id="rId27"/>
          <w:footerReference w:type="even" r:id="rId28"/>
          <w:footerReference w:type="default" r:id="rId29"/>
          <w:footnotePr>
            <w:numRestart w:val="eachSect"/>
          </w:footnotePr>
          <w:pgSz w:w="11906" w:h="16838" w:code="9"/>
          <w:pgMar w:top="1417" w:right="1134" w:bottom="1134" w:left="1134" w:header="850" w:footer="567" w:gutter="0"/>
          <w:cols w:space="708"/>
          <w:docGrid w:linePitch="360"/>
        </w:sectPr>
      </w:pPr>
    </w:p>
    <w:p w14:paraId="29CF1A17" w14:textId="1A10FF48" w:rsidR="00886CFB" w:rsidRDefault="00886CFB" w:rsidP="00406A0D">
      <w:pPr>
        <w:pStyle w:val="RegHChG"/>
        <w:ind w:left="1135" w:hanging="454"/>
      </w:pPr>
      <w:bookmarkStart w:id="67" w:name="_Toc161241765"/>
      <w:bookmarkStart w:id="68" w:name="_Toc161241991"/>
      <w:bookmarkStart w:id="69" w:name="decision8"/>
      <w:r w:rsidRPr="00AD08E3">
        <w:lastRenderedPageBreak/>
        <w:t xml:space="preserve">Decision </w:t>
      </w:r>
      <w:r w:rsidR="00381ED0">
        <w:t>8</w:t>
      </w:r>
      <w:r w:rsidRPr="00AD08E3">
        <w:t>/CMA.</w:t>
      </w:r>
      <w:r>
        <w:t>5</w:t>
      </w:r>
      <w:bookmarkEnd w:id="67"/>
      <w:bookmarkEnd w:id="68"/>
    </w:p>
    <w:p w14:paraId="76442D50" w14:textId="15C42BDC" w:rsidR="00886CFB" w:rsidRPr="009B600A" w:rsidRDefault="005B34E3" w:rsidP="005B34E3">
      <w:pPr>
        <w:pStyle w:val="HChG"/>
      </w:pPr>
      <w:r>
        <w:tab/>
      </w:r>
      <w:r>
        <w:tab/>
      </w:r>
      <w:r w:rsidR="00886CFB" w:rsidRPr="00163554">
        <w:t>New collective quantified goal on climate finance</w:t>
      </w:r>
      <w:r w:rsidR="00886CFB">
        <w:t xml:space="preserve"> </w:t>
      </w:r>
    </w:p>
    <w:p w14:paraId="01FB9D41" w14:textId="5C5C61A9" w:rsidR="00163C47" w:rsidRDefault="0048016A" w:rsidP="00197066">
      <w:pPr>
        <w:pStyle w:val="RegSingleTxtG"/>
        <w:ind w:left="1134"/>
      </w:pPr>
      <w:r w:rsidRPr="00F37397">
        <w:rPr>
          <w:bCs/>
        </w:rPr>
        <w:tab/>
      </w:r>
      <w:r w:rsidR="00AC6B47" w:rsidRPr="00F37397">
        <w:rPr>
          <w:i/>
          <w:iCs/>
        </w:rPr>
        <w:tab/>
      </w:r>
      <w:r w:rsidR="00886CFB" w:rsidRPr="004326F8" w:rsidDel="00673F06">
        <w:rPr>
          <w:i/>
          <w:iCs/>
        </w:rPr>
        <w:t>The</w:t>
      </w:r>
      <w:r w:rsidR="00886CFB" w:rsidRPr="00F37397" w:rsidDel="00673F06">
        <w:rPr>
          <w:i/>
          <w:iCs/>
        </w:rPr>
        <w:t xml:space="preserve"> </w:t>
      </w:r>
      <w:r w:rsidR="00163C47" w:rsidRPr="000B4617">
        <w:rPr>
          <w:i/>
          <w:iCs/>
        </w:rPr>
        <w:t>Conference of the Parties serving as the meeting of the Parties to the Paris Agreement</w:t>
      </w:r>
      <w:r w:rsidR="00163C47">
        <w:t>,</w:t>
      </w:r>
    </w:p>
    <w:p w14:paraId="128004B0" w14:textId="6A06A108" w:rsidR="00B65C8F" w:rsidRPr="00E53257" w:rsidRDefault="00197066" w:rsidP="00197066">
      <w:pPr>
        <w:pStyle w:val="RegSingleTxtG"/>
        <w:ind w:left="1134"/>
        <w:rPr>
          <w:lang w:val="en-US"/>
        </w:rPr>
      </w:pPr>
      <w:r>
        <w:rPr>
          <w:i/>
          <w:iCs/>
        </w:rPr>
        <w:tab/>
      </w:r>
      <w:r w:rsidR="00886CFB" w:rsidRPr="004E722D">
        <w:rPr>
          <w:i/>
          <w:iCs/>
        </w:rPr>
        <w:t>Recalling</w:t>
      </w:r>
      <w:r w:rsidR="00886CFB" w:rsidRPr="00CE3BCE">
        <w:rPr>
          <w:i/>
          <w:iCs/>
        </w:rPr>
        <w:t xml:space="preserve"> </w:t>
      </w:r>
      <w:r w:rsidR="00886CFB" w:rsidRPr="000B03F5">
        <w:t xml:space="preserve">decisions 1/CP.21, paragraph 53, 14/CMA.1, 9/CMA.3 </w:t>
      </w:r>
      <w:r w:rsidR="00886CFB" w:rsidRPr="0071138F">
        <w:rPr>
          <w:lang w:val="en-US"/>
        </w:rPr>
        <w:t>and 5/CMA.4,</w:t>
      </w:r>
    </w:p>
    <w:p w14:paraId="72D4CA37" w14:textId="52B10744" w:rsidR="00886CFB" w:rsidRPr="00F37397" w:rsidRDefault="00406A0D" w:rsidP="00406A0D">
      <w:pPr>
        <w:pStyle w:val="RegSingleTxtG"/>
        <w:tabs>
          <w:tab w:val="left" w:pos="568"/>
        </w:tabs>
        <w:ind w:left="1135"/>
      </w:pPr>
      <w:r w:rsidRPr="00F37397">
        <w:t>1.</w:t>
      </w:r>
      <w:r w:rsidRPr="00F37397">
        <w:tab/>
      </w:r>
      <w:r w:rsidR="00886CFB" w:rsidRPr="008703F4">
        <w:rPr>
          <w:i/>
          <w:iCs/>
        </w:rPr>
        <w:t>Re-emphasizes</w:t>
      </w:r>
      <w:r w:rsidR="00886CFB" w:rsidRPr="00A57EC8">
        <w:rPr>
          <w:i/>
          <w:iCs/>
        </w:rPr>
        <w:t xml:space="preserve"> </w:t>
      </w:r>
      <w:r w:rsidR="00886CFB" w:rsidRPr="00A57EC8">
        <w:t>that deliberations on setting the new collective quantified goal on climate finance will conclude in 2024 and</w:t>
      </w:r>
      <w:r w:rsidR="00886CFB" w:rsidRPr="008703F4">
        <w:rPr>
          <w:i/>
          <w:iCs/>
        </w:rPr>
        <w:t xml:space="preserve"> </w:t>
      </w:r>
      <w:r w:rsidR="00886CFB" w:rsidRPr="001D1903">
        <w:rPr>
          <w:i/>
          <w:iCs/>
        </w:rPr>
        <w:t>decides</w:t>
      </w:r>
      <w:r w:rsidR="00886CFB" w:rsidRPr="00A57EC8">
        <w:t xml:space="preserve"> to transition to a mode of work to enable the development of a draft negotiating text for consideration by the </w:t>
      </w:r>
      <w:r w:rsidR="00886CFB" w:rsidRPr="00A57EC8">
        <w:rPr>
          <w:rFonts w:hint="eastAsia"/>
        </w:rPr>
        <w:t xml:space="preserve">Conference of the Parties serving as the meeting of the </w:t>
      </w:r>
      <w:r w:rsidR="00886CFB" w:rsidRPr="00A57EC8">
        <w:t>P</w:t>
      </w:r>
      <w:r w:rsidR="00886CFB" w:rsidRPr="00A57EC8">
        <w:rPr>
          <w:rFonts w:hint="eastAsia"/>
        </w:rPr>
        <w:t>arties to the Paris Agreement</w:t>
      </w:r>
      <w:r w:rsidR="00886CFB" w:rsidRPr="00A57EC8">
        <w:t xml:space="preserve"> at its sixth session (November 2024), noting that this does not set a precedent for other </w:t>
      </w:r>
      <w:proofErr w:type="gramStart"/>
      <w:r w:rsidR="00886CFB" w:rsidRPr="00A57EC8">
        <w:t>processes;</w:t>
      </w:r>
      <w:proofErr w:type="gramEnd"/>
    </w:p>
    <w:p w14:paraId="685EA294" w14:textId="26E8F94F" w:rsidR="00886CFB" w:rsidRPr="00F37397" w:rsidRDefault="00406A0D" w:rsidP="00406A0D">
      <w:pPr>
        <w:pStyle w:val="RegSingleTxtG"/>
        <w:ind w:left="1134"/>
      </w:pPr>
      <w:r w:rsidRPr="00F37397">
        <w:t>2.</w:t>
      </w:r>
      <w:r w:rsidRPr="00F37397">
        <w:tab/>
      </w:r>
      <w:r w:rsidR="00886CFB">
        <w:rPr>
          <w:i/>
          <w:iCs/>
        </w:rPr>
        <w:t>Notes</w:t>
      </w:r>
      <w:r w:rsidR="00886CFB" w:rsidRPr="00ED7DFC">
        <w:rPr>
          <w:i/>
          <w:iCs/>
        </w:rPr>
        <w:t xml:space="preserve"> </w:t>
      </w:r>
      <w:r w:rsidR="00886CFB" w:rsidRPr="005048D5">
        <w:rPr>
          <w:i/>
          <w:iCs/>
        </w:rPr>
        <w:t>with appreciation</w:t>
      </w:r>
      <w:r w:rsidR="00886CFB" w:rsidRPr="00D94EB7">
        <w:rPr>
          <w:i/>
          <w:iCs/>
        </w:rPr>
        <w:t xml:space="preserve"> </w:t>
      </w:r>
      <w:r w:rsidR="00886CFB" w:rsidRPr="00434489">
        <w:t>the work of the co-chairs of the ad hoc work programme on the new collective quantified goal on climate finance in 2023,</w:t>
      </w:r>
      <w:r w:rsidR="00886CFB" w:rsidRPr="00D94EB7">
        <w:rPr>
          <w:i/>
          <w:iCs/>
        </w:rPr>
        <w:t xml:space="preserve"> </w:t>
      </w:r>
      <w:r w:rsidR="00886CFB">
        <w:rPr>
          <w:i/>
          <w:iCs/>
        </w:rPr>
        <w:t xml:space="preserve">takes note </w:t>
      </w:r>
      <w:r w:rsidR="00886CFB" w:rsidRPr="00434489">
        <w:t>of the annual report on the ad hoc work programme by the co-chairs,</w:t>
      </w:r>
      <w:r w:rsidR="00886CFB" w:rsidRPr="003524DE">
        <w:rPr>
          <w:sz w:val="18"/>
          <w:szCs w:val="18"/>
          <w:vertAlign w:val="superscript"/>
        </w:rPr>
        <w:footnoteReference w:id="42"/>
      </w:r>
      <w:r w:rsidR="00886CFB" w:rsidRPr="00751581">
        <w:t xml:space="preserve"> </w:t>
      </w:r>
      <w:r w:rsidR="00886CFB" w:rsidRPr="00434489">
        <w:t xml:space="preserve">including the summary and key findings of the technical expert dialogues in 2023 and the overview of possible options identified during the technical expert dialogues, and </w:t>
      </w:r>
      <w:r w:rsidR="00886CFB" w:rsidRPr="002F2A7F">
        <w:rPr>
          <w:i/>
          <w:iCs/>
        </w:rPr>
        <w:t>encourages</w:t>
      </w:r>
      <w:r w:rsidR="00886CFB" w:rsidRPr="00434489">
        <w:t xml:space="preserve"> Parties and all stakeholders to continue to work in a constructive and inclusive manner in 2024</w:t>
      </w:r>
      <w:r w:rsidR="00886CFB" w:rsidRPr="00F37397">
        <w:t>;</w:t>
      </w:r>
    </w:p>
    <w:p w14:paraId="118FF8B0" w14:textId="6BF81275" w:rsidR="00886CFB" w:rsidRPr="00F37397" w:rsidRDefault="00406A0D" w:rsidP="00406A0D">
      <w:pPr>
        <w:pStyle w:val="RegSingleTxtG"/>
        <w:ind w:left="1134"/>
      </w:pPr>
      <w:r w:rsidRPr="00F37397">
        <w:t>3.</w:t>
      </w:r>
      <w:r w:rsidRPr="00F37397">
        <w:tab/>
      </w:r>
      <w:r w:rsidR="00886CFB" w:rsidRPr="008922EF">
        <w:rPr>
          <w:i/>
          <w:iCs/>
        </w:rPr>
        <w:t>Acknowledges</w:t>
      </w:r>
      <w:r w:rsidR="00886CFB">
        <w:rPr>
          <w:i/>
          <w:iCs/>
        </w:rPr>
        <w:t xml:space="preserve"> </w:t>
      </w:r>
      <w:r w:rsidR="00886CFB" w:rsidRPr="00F50104">
        <w:t xml:space="preserve">the significant progress made under the ad hoc work programme in 2023 and </w:t>
      </w:r>
      <w:r w:rsidR="00886CFB">
        <w:rPr>
          <w:i/>
          <w:iCs/>
        </w:rPr>
        <w:t>e</w:t>
      </w:r>
      <w:r w:rsidR="00886CFB" w:rsidRPr="00500ACD">
        <w:rPr>
          <w:i/>
          <w:iCs/>
        </w:rPr>
        <w:t xml:space="preserve">xpresses </w:t>
      </w:r>
      <w:r w:rsidR="00886CFB" w:rsidRPr="00B7031D">
        <w:rPr>
          <w:i/>
          <w:iCs/>
        </w:rPr>
        <w:t>gratitude</w:t>
      </w:r>
      <w:r w:rsidR="00886CFB" w:rsidRPr="00F06733">
        <w:rPr>
          <w:i/>
          <w:iCs/>
        </w:rPr>
        <w:t xml:space="preserve"> </w:t>
      </w:r>
      <w:r w:rsidR="00886CFB" w:rsidRPr="00F50104">
        <w:t xml:space="preserve">to the co-chairs for their leadership and efforts to strengthen the ad hoc work programme in </w:t>
      </w:r>
      <w:proofErr w:type="gramStart"/>
      <w:r w:rsidR="00886CFB" w:rsidRPr="00F50104">
        <w:t>2023</w:t>
      </w:r>
      <w:r w:rsidR="00886CFB" w:rsidRPr="00F37397">
        <w:t>;</w:t>
      </w:r>
      <w:proofErr w:type="gramEnd"/>
    </w:p>
    <w:p w14:paraId="5B442126" w14:textId="3A0EFC76" w:rsidR="00886CFB" w:rsidRPr="00F37397" w:rsidRDefault="00406A0D" w:rsidP="00406A0D">
      <w:pPr>
        <w:pStyle w:val="RegSingleTxtG"/>
        <w:ind w:left="1134"/>
      </w:pPr>
      <w:r w:rsidRPr="00F37397">
        <w:t>4.</w:t>
      </w:r>
      <w:r w:rsidRPr="00F37397">
        <w:tab/>
      </w:r>
      <w:r w:rsidR="00886CFB" w:rsidRPr="00014A63">
        <w:rPr>
          <w:i/>
          <w:iCs/>
        </w:rPr>
        <w:t>Notes with appreciation</w:t>
      </w:r>
      <w:r w:rsidR="00886CFB" w:rsidRPr="00241B92">
        <w:rPr>
          <w:i/>
          <w:iCs/>
        </w:rPr>
        <w:t xml:space="preserve"> </w:t>
      </w:r>
      <w:r w:rsidR="00886CFB" w:rsidRPr="003048F3">
        <w:t>the deliberations at the 2023 high-level ministerial dialogue on the new collective quantified goal on climate finance and</w:t>
      </w:r>
      <w:r w:rsidR="00886CFB" w:rsidRPr="00241B92">
        <w:rPr>
          <w:i/>
          <w:iCs/>
        </w:rPr>
        <w:t xml:space="preserve"> </w:t>
      </w:r>
      <w:r w:rsidR="00886CFB" w:rsidRPr="00666773">
        <w:rPr>
          <w:i/>
          <w:iCs/>
        </w:rPr>
        <w:t>takes note</w:t>
      </w:r>
      <w:r w:rsidR="00886CFB" w:rsidRPr="00241B92">
        <w:rPr>
          <w:i/>
          <w:iCs/>
        </w:rPr>
        <w:t xml:space="preserve"> </w:t>
      </w:r>
      <w:r w:rsidR="00886CFB" w:rsidRPr="00A95319">
        <w:t>of the summary of those deliberations prepared by the President of the fifth session of the Conference of the Parties serving as the meeting of the Parties to the Paris Agreement, including the recommendations therein</w:t>
      </w:r>
      <w:r w:rsidR="00886CFB" w:rsidRPr="008D057F">
        <w:t>;</w:t>
      </w:r>
      <w:r w:rsidR="00886CFB" w:rsidRPr="006708BE">
        <w:rPr>
          <w:sz w:val="18"/>
          <w:szCs w:val="18"/>
          <w:vertAlign w:val="superscript"/>
        </w:rPr>
        <w:footnoteReference w:id="43"/>
      </w:r>
      <w:r w:rsidR="00886CFB" w:rsidRPr="008D057F">
        <w:t xml:space="preserve"> </w:t>
      </w:r>
    </w:p>
    <w:p w14:paraId="5FB884E5" w14:textId="599EBEEA" w:rsidR="00886CFB" w:rsidRPr="00F37397" w:rsidRDefault="00406A0D" w:rsidP="00406A0D">
      <w:pPr>
        <w:pStyle w:val="RegSingleTxtG"/>
        <w:ind w:left="1134"/>
      </w:pPr>
      <w:r w:rsidRPr="00F37397">
        <w:t>5.</w:t>
      </w:r>
      <w:r w:rsidRPr="00F37397">
        <w:tab/>
      </w:r>
      <w:r w:rsidR="00886CFB" w:rsidRPr="008B6A99">
        <w:rPr>
          <w:i/>
          <w:iCs/>
        </w:rPr>
        <w:t>Expresses</w:t>
      </w:r>
      <w:r w:rsidR="00886CFB" w:rsidRPr="00F218F1">
        <w:rPr>
          <w:i/>
          <w:iCs/>
        </w:rPr>
        <w:t xml:space="preserve"> </w:t>
      </w:r>
      <w:r w:rsidR="00886CFB" w:rsidRPr="00D45C7E">
        <w:rPr>
          <w:i/>
          <w:iCs/>
        </w:rPr>
        <w:t>gratitude</w:t>
      </w:r>
      <w:r w:rsidR="00886CFB" w:rsidRPr="00F218F1">
        <w:rPr>
          <w:i/>
          <w:iCs/>
        </w:rPr>
        <w:t xml:space="preserve"> </w:t>
      </w:r>
      <w:r w:rsidR="00886CFB" w:rsidRPr="00BE72E3">
        <w:t xml:space="preserve">for the support provided for the work under the ad hoc work programme in </w:t>
      </w:r>
      <w:proofErr w:type="gramStart"/>
      <w:r w:rsidR="00886CFB" w:rsidRPr="00BE72E3">
        <w:t>2023;</w:t>
      </w:r>
      <w:proofErr w:type="gramEnd"/>
      <w:r w:rsidR="00886CFB" w:rsidRPr="00F37397">
        <w:t xml:space="preserve"> </w:t>
      </w:r>
    </w:p>
    <w:p w14:paraId="44CF3A14" w14:textId="165518A2" w:rsidR="00886CFB" w:rsidRPr="00F37397" w:rsidRDefault="00406A0D" w:rsidP="00406A0D">
      <w:pPr>
        <w:pStyle w:val="RegSingleTxtG"/>
        <w:ind w:left="1134"/>
      </w:pPr>
      <w:r w:rsidRPr="00F37397">
        <w:t>6.</w:t>
      </w:r>
      <w:r w:rsidRPr="00F37397">
        <w:tab/>
      </w:r>
      <w:r w:rsidR="00886CFB" w:rsidRPr="00ED7DFC">
        <w:rPr>
          <w:i/>
          <w:iCs/>
        </w:rPr>
        <w:t>Decides</w:t>
      </w:r>
      <w:r w:rsidR="00886CFB" w:rsidRPr="00694A99">
        <w:rPr>
          <w:i/>
          <w:iCs/>
        </w:rPr>
        <w:t xml:space="preserve"> </w:t>
      </w:r>
      <w:r w:rsidR="00886CFB" w:rsidRPr="00674373">
        <w:t xml:space="preserve">on the continuation of the current co-chairs of the ad hoc work programme in 2024 in order to ensure continuity of the </w:t>
      </w:r>
      <w:proofErr w:type="gramStart"/>
      <w:r w:rsidR="00886CFB" w:rsidRPr="00674373">
        <w:t>proces</w:t>
      </w:r>
      <w:r w:rsidR="00886CFB" w:rsidRPr="00BF7FE6">
        <w:t>s;</w:t>
      </w:r>
      <w:proofErr w:type="gramEnd"/>
      <w:r w:rsidR="00886CFB" w:rsidRPr="00F37397">
        <w:t xml:space="preserve"> </w:t>
      </w:r>
    </w:p>
    <w:p w14:paraId="5CF3F8E4" w14:textId="711A3AF7" w:rsidR="00886CFB" w:rsidRPr="00903C50" w:rsidRDefault="00406A0D" w:rsidP="00406A0D">
      <w:pPr>
        <w:pStyle w:val="RegSingleTxtG"/>
        <w:ind w:left="1134"/>
      </w:pPr>
      <w:r w:rsidRPr="00903C50">
        <w:t>7.</w:t>
      </w:r>
      <w:r w:rsidRPr="00903C50">
        <w:tab/>
      </w:r>
      <w:r w:rsidR="00886CFB" w:rsidRPr="00AB65F7">
        <w:rPr>
          <w:i/>
          <w:iCs/>
        </w:rPr>
        <w:t>Acknowledges</w:t>
      </w:r>
      <w:r w:rsidR="00886CFB" w:rsidRPr="00903C50">
        <w:rPr>
          <w:i/>
          <w:iCs/>
        </w:rPr>
        <w:t xml:space="preserve"> </w:t>
      </w:r>
      <w:r w:rsidR="00886CFB" w:rsidRPr="00903C50">
        <w:t xml:space="preserve">the need for the ad hoc work programme to build on the technical work conducted and the submissions made thereunder and allow for deliberations among Parties that are conducive to the development of a draft negotiating text for consideration by the </w:t>
      </w:r>
      <w:r w:rsidR="00886CFB" w:rsidRPr="00903C50">
        <w:rPr>
          <w:rFonts w:hint="eastAsia"/>
        </w:rPr>
        <w:t xml:space="preserve">Conference of the Parties serving as the meeting of the </w:t>
      </w:r>
      <w:r w:rsidR="00886CFB" w:rsidRPr="00903C50">
        <w:t>P</w:t>
      </w:r>
      <w:r w:rsidR="00886CFB" w:rsidRPr="00903C50">
        <w:rPr>
          <w:rFonts w:hint="eastAsia"/>
        </w:rPr>
        <w:t>arties to the Paris Agreement</w:t>
      </w:r>
      <w:r w:rsidR="00886CFB" w:rsidRPr="00903C50">
        <w:t xml:space="preserve"> at its sixth </w:t>
      </w:r>
      <w:proofErr w:type="gramStart"/>
      <w:r w:rsidR="00886CFB" w:rsidRPr="00903C50">
        <w:t>session;</w:t>
      </w:r>
      <w:proofErr w:type="gramEnd"/>
    </w:p>
    <w:p w14:paraId="16A024B0" w14:textId="6369E8F0" w:rsidR="00886CFB" w:rsidRPr="001A348E" w:rsidRDefault="00406A0D" w:rsidP="00406A0D">
      <w:pPr>
        <w:pStyle w:val="RegSingleTxtG"/>
        <w:ind w:left="1134"/>
      </w:pPr>
      <w:bookmarkStart w:id="70" w:name="_Ref155886611"/>
      <w:r w:rsidRPr="001A348E">
        <w:t>8.</w:t>
      </w:r>
      <w:r w:rsidRPr="001A348E">
        <w:tab/>
      </w:r>
      <w:r w:rsidR="00886CFB">
        <w:rPr>
          <w:i/>
          <w:iCs/>
        </w:rPr>
        <w:t xml:space="preserve">Requests </w:t>
      </w:r>
      <w:r w:rsidR="00886CFB" w:rsidRPr="001A348E">
        <w:t xml:space="preserve">the co-chairs to include in their annual report, to be issued no later than four weeks prior to the sixth session of the Conference of the Parties serving as the meeting of the Parties to the Paris Agreement, a substantive framework for a draft negotiating text capturing progress made for consideration by the Conference of the Parties serving as the meeting of the Parties to the Paris Agreement at that </w:t>
      </w:r>
      <w:proofErr w:type="gramStart"/>
      <w:r w:rsidR="00886CFB" w:rsidRPr="001A348E">
        <w:t>session;</w:t>
      </w:r>
      <w:bookmarkEnd w:id="70"/>
      <w:proofErr w:type="gramEnd"/>
    </w:p>
    <w:p w14:paraId="18AC2FF5" w14:textId="2923F48F" w:rsidR="00886CFB" w:rsidRPr="00A673D8" w:rsidRDefault="00406A0D" w:rsidP="00406A0D">
      <w:pPr>
        <w:pStyle w:val="RegSingleTxtG"/>
        <w:ind w:left="1134"/>
      </w:pPr>
      <w:bookmarkStart w:id="71" w:name="_Ref155886548"/>
      <w:r w:rsidRPr="00A673D8">
        <w:t>9.</w:t>
      </w:r>
      <w:r w:rsidRPr="00A673D8">
        <w:tab/>
      </w:r>
      <w:r w:rsidR="00886CFB" w:rsidRPr="00A34545">
        <w:rPr>
          <w:i/>
          <w:iCs/>
        </w:rPr>
        <w:t>Decides</w:t>
      </w:r>
      <w:r w:rsidR="00886CFB" w:rsidRPr="00A673D8">
        <w:rPr>
          <w:i/>
          <w:iCs/>
        </w:rPr>
        <w:t xml:space="preserve">, </w:t>
      </w:r>
      <w:r w:rsidR="00886CFB" w:rsidRPr="00A673D8">
        <w:t xml:space="preserve">with respect to the technical expert dialogues referred to in paragraph 5 of decision 9/CMA.3, to conduct at least three technical expert dialogues in 2024 to allow for in-depth technical discussions on the elements of the new collective quantified goal on climate finance with a view to informing the meetings under the ad hoc work programme referred to in paragraph </w:t>
      </w:r>
      <w:r w:rsidR="00204A7D">
        <w:rPr>
          <w:cs/>
        </w:rPr>
        <w:t>‎</w:t>
      </w:r>
      <w:r w:rsidR="00204A7D">
        <w:t>10 below</w:t>
      </w:r>
      <w:r w:rsidR="00886CFB" w:rsidRPr="00A673D8">
        <w:t xml:space="preserve">, with one dialogue to take place in advance of the sixtieth sessions of the subsidiary bodies (June 2024), one in conjunction with those sessions and one well before the sixth session of the Conference of the Parties serving as the meeting of the Parties to the Paris Agreement, and two of the dialogues to be </w:t>
      </w:r>
      <w:r w:rsidR="00886CFB" w:rsidRPr="00A673D8" w:rsidDel="000C1B32">
        <w:t>organized</w:t>
      </w:r>
      <w:r w:rsidR="00886CFB" w:rsidRPr="00A673D8">
        <w:t xml:space="preserve"> in separate regions with a view to facilitating inclusive and balanced geographical participation;</w:t>
      </w:r>
      <w:bookmarkEnd w:id="71"/>
    </w:p>
    <w:p w14:paraId="20B89070" w14:textId="52873C5F" w:rsidR="00886CFB" w:rsidRPr="00F37397" w:rsidRDefault="00406A0D" w:rsidP="00406A0D">
      <w:pPr>
        <w:pStyle w:val="RegSingleTxtG"/>
        <w:ind w:left="1134"/>
      </w:pPr>
      <w:bookmarkStart w:id="72" w:name="_Ref155886539"/>
      <w:r w:rsidRPr="00F37397">
        <w:lastRenderedPageBreak/>
        <w:t>10.</w:t>
      </w:r>
      <w:r w:rsidRPr="00F37397">
        <w:tab/>
      </w:r>
      <w:r w:rsidR="00886CFB">
        <w:rPr>
          <w:i/>
          <w:iCs/>
        </w:rPr>
        <w:t>Also</w:t>
      </w:r>
      <w:r w:rsidR="00886CFB" w:rsidRPr="00770149">
        <w:rPr>
          <w:i/>
          <w:iCs/>
        </w:rPr>
        <w:t xml:space="preserve"> decides</w:t>
      </w:r>
      <w:r w:rsidR="00886CFB" w:rsidRPr="004A0CBF">
        <w:rPr>
          <w:i/>
          <w:iCs/>
        </w:rPr>
        <w:t xml:space="preserve"> </w:t>
      </w:r>
      <w:r w:rsidR="00886CFB">
        <w:t xml:space="preserve">to conduct at least three meetings under the ad hoc work programme in 2024, back-to-back with the technical expert dialogues referred to in paragraph </w:t>
      </w:r>
      <w:r w:rsidR="00204A7D">
        <w:rPr>
          <w:cs/>
        </w:rPr>
        <w:t>‎</w:t>
      </w:r>
      <w:r w:rsidR="00204A7D">
        <w:t>9 above</w:t>
      </w:r>
      <w:r w:rsidR="00886CFB">
        <w:t xml:space="preserve">, to enable Parties to engage in developing the </w:t>
      </w:r>
      <w:r w:rsidR="00886CFB" w:rsidRPr="00283A0E">
        <w:t>substantive framework for a draft negotiating text capturing progress made</w:t>
      </w:r>
      <w:r w:rsidR="00886CFB" w:rsidDel="00E44597">
        <w:t xml:space="preserve"> </w:t>
      </w:r>
      <w:r w:rsidR="00886CFB">
        <w:t xml:space="preserve">referred to in paragraph </w:t>
      </w:r>
      <w:r w:rsidR="008E1ADA">
        <w:t xml:space="preserve">8 </w:t>
      </w:r>
      <w:proofErr w:type="gramStart"/>
      <w:r w:rsidR="008E1ADA">
        <w:t>above</w:t>
      </w:r>
      <w:r w:rsidR="00886CFB">
        <w:t>;</w:t>
      </w:r>
      <w:bookmarkEnd w:id="72"/>
      <w:proofErr w:type="gramEnd"/>
    </w:p>
    <w:p w14:paraId="6389E8A2" w14:textId="4A62FCC0" w:rsidR="00886CFB" w:rsidRPr="00F37397" w:rsidRDefault="00406A0D" w:rsidP="00406A0D">
      <w:pPr>
        <w:pStyle w:val="RegSingleTxtG"/>
        <w:ind w:left="1134"/>
      </w:pPr>
      <w:r w:rsidRPr="00F37397">
        <w:t>11.</w:t>
      </w:r>
      <w:r w:rsidRPr="00F37397">
        <w:tab/>
      </w:r>
      <w:r w:rsidR="00886CFB" w:rsidRPr="1CCAD3E6">
        <w:rPr>
          <w:i/>
          <w:iCs/>
        </w:rPr>
        <w:t>Further decides</w:t>
      </w:r>
      <w:r w:rsidR="00886CFB" w:rsidRPr="00A16B8D">
        <w:rPr>
          <w:i/>
          <w:iCs/>
        </w:rPr>
        <w:t xml:space="preserve"> </w:t>
      </w:r>
      <w:r w:rsidR="00886CFB" w:rsidRPr="00A16B8D">
        <w:t xml:space="preserve">to conduct the meetings under the ad hoc work programme referred to in paragraph </w:t>
      </w:r>
      <w:r w:rsidR="00204A7D">
        <w:rPr>
          <w:cs/>
        </w:rPr>
        <w:t>‎</w:t>
      </w:r>
      <w:r w:rsidR="00204A7D">
        <w:t>10 above</w:t>
      </w:r>
      <w:r w:rsidR="00886CFB" w:rsidRPr="00A16B8D">
        <w:t xml:space="preserve"> in an open-ended, </w:t>
      </w:r>
      <w:proofErr w:type="gramStart"/>
      <w:r w:rsidR="00886CFB" w:rsidRPr="00A16B8D">
        <w:t>inclusive</w:t>
      </w:r>
      <w:proofErr w:type="gramEnd"/>
      <w:r w:rsidR="00886CFB" w:rsidRPr="00A16B8D">
        <w:t xml:space="preserve"> and Party-driven manner open to observers, guided by the draft rules of procedure of the Conference of the Parties and its subsidiary bodies;</w:t>
      </w:r>
      <w:r w:rsidR="00886CFB" w:rsidRPr="006708BE">
        <w:rPr>
          <w:sz w:val="18"/>
          <w:szCs w:val="18"/>
          <w:vertAlign w:val="superscript"/>
        </w:rPr>
        <w:footnoteReference w:id="44"/>
      </w:r>
    </w:p>
    <w:p w14:paraId="3CAE87C9" w14:textId="530A3A14" w:rsidR="00886CFB" w:rsidRDefault="00406A0D" w:rsidP="00406A0D">
      <w:pPr>
        <w:pStyle w:val="RegSingleTxtG"/>
        <w:ind w:left="1134"/>
      </w:pPr>
      <w:bookmarkStart w:id="73" w:name="_Ref155886915"/>
      <w:r>
        <w:t>12.</w:t>
      </w:r>
      <w:r>
        <w:tab/>
      </w:r>
      <w:r w:rsidR="00886CFB">
        <w:rPr>
          <w:i/>
          <w:iCs/>
        </w:rPr>
        <w:t>R</w:t>
      </w:r>
      <w:r w:rsidR="00886CFB" w:rsidRPr="0071098E">
        <w:rPr>
          <w:i/>
          <w:iCs/>
        </w:rPr>
        <w:t>equests</w:t>
      </w:r>
      <w:r w:rsidR="00886CFB" w:rsidRPr="009D595B">
        <w:t xml:space="preserve"> the co-chairs of the ad hoc work programme</w:t>
      </w:r>
      <w:r w:rsidR="00886CFB">
        <w:t xml:space="preserve"> to:</w:t>
      </w:r>
      <w:bookmarkEnd w:id="73"/>
      <w:r w:rsidR="00886CFB">
        <w:t xml:space="preserve"> </w:t>
      </w:r>
    </w:p>
    <w:p w14:paraId="0E9C0A4E" w14:textId="001F7CFA" w:rsidR="00886CFB" w:rsidRDefault="00406A0D" w:rsidP="00406A0D">
      <w:pPr>
        <w:pStyle w:val="RegSingleTxtG2"/>
        <w:tabs>
          <w:tab w:val="left" w:pos="1702"/>
        </w:tabs>
        <w:ind w:left="1134" w:firstLine="567"/>
      </w:pPr>
      <w:bookmarkStart w:id="74" w:name="_Ref155886667"/>
      <w:r>
        <w:rPr>
          <w:szCs w:val="28"/>
        </w:rPr>
        <w:t>(a)</w:t>
      </w:r>
      <w:r>
        <w:rPr>
          <w:szCs w:val="28"/>
        </w:rPr>
        <w:tab/>
      </w:r>
      <w:r w:rsidR="00886CFB">
        <w:t>Develop and make available,</w:t>
      </w:r>
      <w:r w:rsidR="00886CFB" w:rsidRPr="00955F53">
        <w:t xml:space="preserve"> </w:t>
      </w:r>
      <w:r w:rsidR="00886CFB">
        <w:t>as soon as possible and no later than March 2024,</w:t>
      </w:r>
      <w:r w:rsidR="00886CFB" w:rsidRPr="00776DFC">
        <w:t xml:space="preserve"> </w:t>
      </w:r>
      <w:r w:rsidR="00886CFB">
        <w:t xml:space="preserve">a workplan for 2024, </w:t>
      </w:r>
      <w:r w:rsidR="00886CFB" w:rsidRPr="00652195">
        <w:t xml:space="preserve">in accordance with paragraph </w:t>
      </w:r>
      <w:r w:rsidR="00204A7D">
        <w:rPr>
          <w:cs/>
        </w:rPr>
        <w:t>‎</w:t>
      </w:r>
      <w:r w:rsidR="00204A7D">
        <w:t>8 above</w:t>
      </w:r>
      <w:r w:rsidR="00886CFB" w:rsidRPr="00652195">
        <w:t xml:space="preserve"> and taking into account the submissions referred to in paragraph </w:t>
      </w:r>
      <w:r w:rsidR="00204A7D">
        <w:rPr>
          <w:cs/>
        </w:rPr>
        <w:t>‎</w:t>
      </w:r>
      <w:r w:rsidR="00204A7D">
        <w:t xml:space="preserve">13 </w:t>
      </w:r>
      <w:proofErr w:type="gramStart"/>
      <w:r w:rsidR="00204A7D">
        <w:t>below</w:t>
      </w:r>
      <w:r w:rsidR="00886CFB" w:rsidRPr="00135AC7">
        <w:t>;</w:t>
      </w:r>
      <w:bookmarkEnd w:id="74"/>
      <w:proofErr w:type="gramEnd"/>
    </w:p>
    <w:p w14:paraId="1344157A" w14:textId="212E1670" w:rsidR="00886CFB" w:rsidRDefault="00406A0D" w:rsidP="00406A0D">
      <w:pPr>
        <w:pStyle w:val="RegSingleTxtG2"/>
        <w:tabs>
          <w:tab w:val="left" w:pos="1702"/>
        </w:tabs>
        <w:ind w:left="1134" w:firstLine="567"/>
      </w:pPr>
      <w:r>
        <w:rPr>
          <w:szCs w:val="28"/>
        </w:rPr>
        <w:t>(b)</w:t>
      </w:r>
      <w:r>
        <w:rPr>
          <w:szCs w:val="28"/>
        </w:rPr>
        <w:tab/>
      </w:r>
      <w:r w:rsidR="00886CFB">
        <w:t xml:space="preserve">Continue to organize the technical expert dialogues in an open, transparent, participatory and inclusive manner, in line with </w:t>
      </w:r>
      <w:r w:rsidR="00886CFB" w:rsidRPr="004716A1">
        <w:t>paragraphs 1 and 8</w:t>
      </w:r>
      <w:r w:rsidR="00886CFB" w:rsidRPr="00BA1D54">
        <w:t xml:space="preserve"> </w:t>
      </w:r>
      <w:r w:rsidR="00886CFB">
        <w:t xml:space="preserve">of decision </w:t>
      </w:r>
      <w:r w:rsidR="00886CFB" w:rsidRPr="004716A1">
        <w:t>9/CMA.3</w:t>
      </w:r>
      <w:r w:rsidR="00886CFB">
        <w:t xml:space="preserve">, with a view to providing specific technical input and facilitating broad participation of non-State actors, multilateral development banks, the private sector, civil society, youth, Indigenous Peoples, local communities, academia and external technical experts, aiming for balanced geographical </w:t>
      </w:r>
      <w:proofErr w:type="gramStart"/>
      <w:r w:rsidR="00886CFB">
        <w:t>representation;</w:t>
      </w:r>
      <w:proofErr w:type="gramEnd"/>
    </w:p>
    <w:p w14:paraId="35F89335" w14:textId="22909EF0" w:rsidR="00886CFB" w:rsidRDefault="00406A0D" w:rsidP="00406A0D">
      <w:pPr>
        <w:pStyle w:val="RegSingleTxtG2"/>
        <w:tabs>
          <w:tab w:val="left" w:pos="1702"/>
        </w:tabs>
        <w:ind w:left="1134" w:firstLine="567"/>
      </w:pPr>
      <w:r>
        <w:rPr>
          <w:szCs w:val="28"/>
        </w:rPr>
        <w:t>(c)</w:t>
      </w:r>
      <w:r>
        <w:rPr>
          <w:szCs w:val="28"/>
        </w:rPr>
        <w:tab/>
      </w:r>
      <w:r w:rsidR="00886CFB">
        <w:t>Allow for, i</w:t>
      </w:r>
      <w:r w:rsidR="00886CFB" w:rsidRPr="00291E8D">
        <w:t xml:space="preserve">n preparing the </w:t>
      </w:r>
      <w:r w:rsidR="00886CFB" w:rsidRPr="00AE2702">
        <w:t>substantive framework for a draft negotiating text capturing progress made</w:t>
      </w:r>
      <w:r w:rsidR="00886CFB">
        <w:t xml:space="preserve"> referred to in paragraph </w:t>
      </w:r>
      <w:r w:rsidR="00420FB6">
        <w:t>8 above</w:t>
      </w:r>
      <w:r w:rsidR="00886CFB" w:rsidRPr="00291E8D">
        <w:t xml:space="preserve">, iterative </w:t>
      </w:r>
      <w:r w:rsidR="00886CFB">
        <w:t>development</w:t>
      </w:r>
      <w:r w:rsidR="00886CFB" w:rsidRPr="00291E8D">
        <w:t>,</w:t>
      </w:r>
      <w:r w:rsidR="00886CFB">
        <w:t xml:space="preserve"> taking into consideration the annual report of the co-chairs of the ad hoc work programme, submissions made in 2022–2023, the submissions referred to in paragraph </w:t>
      </w:r>
      <w:r w:rsidR="00420FB6">
        <w:t>14 below</w:t>
      </w:r>
      <w:r w:rsidR="00886CFB">
        <w:t xml:space="preserve">, work undertaken in the context of the technical expert dialogues and the deliberations at the meetings under the ad hoc work programme, </w:t>
      </w:r>
      <w:r w:rsidR="00886CFB" w:rsidRPr="00291E8D">
        <w:t xml:space="preserve">aiming to </w:t>
      </w:r>
      <w:r w:rsidR="00886CFB">
        <w:t xml:space="preserve">finalize the </w:t>
      </w:r>
      <w:r w:rsidR="00886CFB" w:rsidRPr="00AE2702">
        <w:t>substantive framework for a draft negotiating text capturing progress mad</w:t>
      </w:r>
      <w:r w:rsidR="00886CFB">
        <w:t>e well in advance of the sixth session of the Conference of the Parties serving as the meeting of the Parties to the Paris Agreement</w:t>
      </w:r>
      <w:r w:rsidR="00886CFB" w:rsidRPr="009A4BE1">
        <w:t>;</w:t>
      </w:r>
    </w:p>
    <w:p w14:paraId="1C342056" w14:textId="00D2659B" w:rsidR="00886CFB" w:rsidRDefault="00406A0D" w:rsidP="00406A0D">
      <w:pPr>
        <w:pStyle w:val="RegSingleTxtG2"/>
        <w:tabs>
          <w:tab w:val="left" w:pos="1702"/>
        </w:tabs>
        <w:ind w:left="1134" w:firstLine="567"/>
      </w:pPr>
      <w:r>
        <w:rPr>
          <w:szCs w:val="28"/>
        </w:rPr>
        <w:t>(d)</w:t>
      </w:r>
      <w:r>
        <w:rPr>
          <w:szCs w:val="28"/>
        </w:rPr>
        <w:tab/>
      </w:r>
      <w:r w:rsidR="00886CFB">
        <w:t xml:space="preserve">Prepare a summary of the discussions at each technical expert dialogue and information on progress made at each meeting under the ad hoc work programme and the way forward following each </w:t>
      </w:r>
      <w:proofErr w:type="gramStart"/>
      <w:r w:rsidR="00886CFB">
        <w:t>meeting;</w:t>
      </w:r>
      <w:proofErr w:type="gramEnd"/>
    </w:p>
    <w:p w14:paraId="16C9530B" w14:textId="3E48903E" w:rsidR="00886CFB" w:rsidRPr="00F37397" w:rsidRDefault="00406A0D" w:rsidP="00406A0D">
      <w:pPr>
        <w:pStyle w:val="RegSingleTxtG"/>
        <w:ind w:left="1134"/>
      </w:pPr>
      <w:bookmarkStart w:id="75" w:name="_Ref155886635"/>
      <w:r w:rsidRPr="00F37397">
        <w:t>13.</w:t>
      </w:r>
      <w:r w:rsidRPr="00F37397">
        <w:tab/>
      </w:r>
      <w:r w:rsidR="00886CFB" w:rsidRPr="00FF6D90">
        <w:rPr>
          <w:i/>
          <w:iCs/>
        </w:rPr>
        <w:t xml:space="preserve">Invites </w:t>
      </w:r>
      <w:r w:rsidR="00886CFB" w:rsidRPr="003F555E">
        <w:t>Parties to submit views on issues to be addressed as part of the 2024 workplan referred to in paragraph 12</w:t>
      </w:r>
      <w:r w:rsidR="00605CF6">
        <w:rPr>
          <w:cs/>
        </w:rPr>
        <w:t>‎</w:t>
      </w:r>
      <w:r w:rsidR="00605CF6">
        <w:t>(a) above</w:t>
      </w:r>
      <w:r w:rsidR="00886CFB" w:rsidRPr="003F555E">
        <w:t xml:space="preserve"> via the submission portal</w:t>
      </w:r>
      <w:r w:rsidR="00886CFB" w:rsidRPr="008F17AF">
        <w:rPr>
          <w:sz w:val="18"/>
          <w:szCs w:val="18"/>
          <w:vertAlign w:val="superscript"/>
        </w:rPr>
        <w:footnoteReference w:id="45"/>
      </w:r>
      <w:r w:rsidR="00886CFB" w:rsidRPr="003F555E">
        <w:t xml:space="preserve"> by 31 January </w:t>
      </w:r>
      <w:proofErr w:type="gramStart"/>
      <w:r w:rsidR="00886CFB" w:rsidRPr="003F555E">
        <w:t>2024;</w:t>
      </w:r>
      <w:bookmarkEnd w:id="75"/>
      <w:proofErr w:type="gramEnd"/>
      <w:r w:rsidR="00886CFB" w:rsidRPr="00F37397">
        <w:t xml:space="preserve"> </w:t>
      </w:r>
    </w:p>
    <w:p w14:paraId="448391A1" w14:textId="63B8A96C" w:rsidR="00886CFB" w:rsidRPr="002A1F7E" w:rsidRDefault="00406A0D" w:rsidP="00406A0D">
      <w:pPr>
        <w:pStyle w:val="RegSingleTxtG"/>
        <w:ind w:left="1134"/>
      </w:pPr>
      <w:bookmarkStart w:id="76" w:name="_Ref155886653"/>
      <w:r w:rsidRPr="002A1F7E">
        <w:t>14.</w:t>
      </w:r>
      <w:r w:rsidRPr="002A1F7E">
        <w:tab/>
      </w:r>
      <w:r w:rsidR="00886CFB">
        <w:rPr>
          <w:i/>
          <w:iCs/>
        </w:rPr>
        <w:t>Also i</w:t>
      </w:r>
      <w:r w:rsidR="00886CFB" w:rsidRPr="00F839AD">
        <w:rPr>
          <w:i/>
          <w:iCs/>
        </w:rPr>
        <w:t>nvites</w:t>
      </w:r>
      <w:r w:rsidR="00886CFB" w:rsidRPr="00755809">
        <w:rPr>
          <w:i/>
          <w:iCs/>
        </w:rPr>
        <w:t xml:space="preserve"> </w:t>
      </w:r>
      <w:r w:rsidR="00886CFB" w:rsidRPr="002A1F7E">
        <w:t xml:space="preserve">Parties, constituted bodies under the Convention and the Paris Agreement, the operating entities of the Financial Mechanism, climate finance institutions, observers and other stakeholders, including from the private sector, to submit views in advance of each technical expert dialogue and meeting under the ad hoc work programme via the submission </w:t>
      </w:r>
      <w:proofErr w:type="gramStart"/>
      <w:r w:rsidR="00886CFB" w:rsidRPr="002A1F7E">
        <w:t>portal;</w:t>
      </w:r>
      <w:bookmarkEnd w:id="76"/>
      <w:proofErr w:type="gramEnd"/>
    </w:p>
    <w:p w14:paraId="0676B604" w14:textId="74D32829" w:rsidR="00886CFB" w:rsidRPr="008A0828" w:rsidRDefault="00406A0D" w:rsidP="00406A0D">
      <w:pPr>
        <w:pStyle w:val="RegSingleTxtG"/>
        <w:ind w:left="1134"/>
      </w:pPr>
      <w:r w:rsidRPr="008A0828">
        <w:t>15.</w:t>
      </w:r>
      <w:r w:rsidRPr="008A0828">
        <w:tab/>
      </w:r>
      <w:r w:rsidR="00886CFB" w:rsidRPr="00851A6F">
        <w:rPr>
          <w:i/>
          <w:iCs/>
        </w:rPr>
        <w:t>Requests</w:t>
      </w:r>
      <w:r w:rsidR="00886CFB" w:rsidRPr="008A0828">
        <w:t xml:space="preserve"> the secretariat to prepare a compilation and synthesis of the submissions referred to in paragraph </w:t>
      </w:r>
      <w:r w:rsidR="00605CF6">
        <w:rPr>
          <w:cs/>
        </w:rPr>
        <w:t>‎</w:t>
      </w:r>
      <w:r w:rsidR="00605CF6">
        <w:t>14 above</w:t>
      </w:r>
      <w:r w:rsidR="00886CFB" w:rsidRPr="008A0828">
        <w:t xml:space="preserve"> as input to the technical expert dialogues and meetings under the ad hoc work </w:t>
      </w:r>
      <w:proofErr w:type="gramStart"/>
      <w:r w:rsidR="00886CFB" w:rsidRPr="008A0828">
        <w:t>programme;</w:t>
      </w:r>
      <w:proofErr w:type="gramEnd"/>
    </w:p>
    <w:p w14:paraId="133179D8" w14:textId="1A2E1472" w:rsidR="00886CFB" w:rsidRPr="00E60AFC" w:rsidRDefault="00406A0D" w:rsidP="00406A0D">
      <w:pPr>
        <w:pStyle w:val="RegSingleTxtG"/>
        <w:ind w:left="1134"/>
      </w:pPr>
      <w:bookmarkStart w:id="77" w:name="_Ref155886904"/>
      <w:r w:rsidRPr="00E60AFC">
        <w:t>16.</w:t>
      </w:r>
      <w:r w:rsidRPr="00E60AFC">
        <w:tab/>
      </w:r>
      <w:r w:rsidR="00886CFB">
        <w:rPr>
          <w:i/>
          <w:iCs/>
        </w:rPr>
        <w:t>Also r</w:t>
      </w:r>
      <w:r w:rsidR="00886CFB" w:rsidRPr="000B7754">
        <w:rPr>
          <w:i/>
          <w:iCs/>
        </w:rPr>
        <w:t>equests</w:t>
      </w:r>
      <w:r w:rsidR="00886CFB" w:rsidRPr="00E60AFC">
        <w:t xml:space="preserve"> the secretariat to facilitate the inclusive participation of all Parties, in particular developing country Parties, in the work under the ad hoc work </w:t>
      </w:r>
      <w:proofErr w:type="gramStart"/>
      <w:r w:rsidR="00886CFB" w:rsidRPr="00E60AFC">
        <w:t>programme;</w:t>
      </w:r>
      <w:bookmarkEnd w:id="77"/>
      <w:proofErr w:type="gramEnd"/>
      <w:r w:rsidR="00886CFB" w:rsidRPr="00E60AFC">
        <w:t xml:space="preserve"> </w:t>
      </w:r>
    </w:p>
    <w:p w14:paraId="6C1C0465" w14:textId="77D7503C" w:rsidR="00886CFB" w:rsidRPr="00E60AFC" w:rsidRDefault="00406A0D" w:rsidP="00406A0D">
      <w:pPr>
        <w:pStyle w:val="RegSingleTxtG"/>
        <w:ind w:left="1134"/>
      </w:pPr>
      <w:r w:rsidRPr="00E60AFC">
        <w:t>17.</w:t>
      </w:r>
      <w:r w:rsidRPr="00E60AFC">
        <w:tab/>
      </w:r>
      <w:r w:rsidR="00886CFB">
        <w:rPr>
          <w:i/>
          <w:iCs/>
        </w:rPr>
        <w:t>Emphasizes</w:t>
      </w:r>
      <w:r w:rsidR="00886CFB" w:rsidRPr="00E60AFC">
        <w:t xml:space="preserve"> the need for effective, inclusive and meaningful political engagement, including but not limited to the high-level ministerial dialogue referred to in paragraph</w:t>
      </w:r>
      <w:r w:rsidR="00FE12BB">
        <w:t xml:space="preserve"> 18 below</w:t>
      </w:r>
      <w:r w:rsidR="00886CFB" w:rsidRPr="00E60AFC">
        <w:t xml:space="preserve">, well in advance of the sixth session of the </w:t>
      </w:r>
      <w:r w:rsidR="00886CFB" w:rsidRPr="00E60AFC">
        <w:rPr>
          <w:rFonts w:hint="eastAsia"/>
        </w:rPr>
        <w:t xml:space="preserve">Conference of the Parties serving as the meeting of the </w:t>
      </w:r>
      <w:r w:rsidR="00886CFB" w:rsidRPr="00E60AFC">
        <w:t>P</w:t>
      </w:r>
      <w:r w:rsidR="00886CFB" w:rsidRPr="00E60AFC">
        <w:rPr>
          <w:rFonts w:hint="eastAsia"/>
        </w:rPr>
        <w:t xml:space="preserve">arties to the Paris </w:t>
      </w:r>
      <w:proofErr w:type="gramStart"/>
      <w:r w:rsidR="00886CFB" w:rsidRPr="00E60AFC">
        <w:rPr>
          <w:rFonts w:hint="eastAsia"/>
        </w:rPr>
        <w:t>Agreement</w:t>
      </w:r>
      <w:r w:rsidR="00886CFB" w:rsidRPr="00E60AFC">
        <w:t>;</w:t>
      </w:r>
      <w:proofErr w:type="gramEnd"/>
    </w:p>
    <w:p w14:paraId="09E187FD" w14:textId="0091E3A8" w:rsidR="00886CFB" w:rsidRPr="00E60AFC" w:rsidRDefault="00406A0D" w:rsidP="00406A0D">
      <w:pPr>
        <w:pStyle w:val="RegSingleTxtG"/>
        <w:ind w:left="1134"/>
      </w:pPr>
      <w:bookmarkStart w:id="78" w:name="_Ref155886800"/>
      <w:r w:rsidRPr="00E60AFC">
        <w:t>18.</w:t>
      </w:r>
      <w:r w:rsidRPr="00E60AFC">
        <w:tab/>
      </w:r>
      <w:r w:rsidR="00886CFB" w:rsidRPr="00C451EC">
        <w:rPr>
          <w:i/>
          <w:iCs/>
        </w:rPr>
        <w:t xml:space="preserve">Decides </w:t>
      </w:r>
      <w:r w:rsidR="00886CFB" w:rsidRPr="00E60AFC">
        <w:t xml:space="preserve">to convene the 2024 high-level ministerial dialogue on the new collective quantified goal on climate finance well before the sixth session of the </w:t>
      </w:r>
      <w:r w:rsidR="00886CFB" w:rsidRPr="00E60AFC">
        <w:rPr>
          <w:rFonts w:hint="eastAsia"/>
        </w:rPr>
        <w:t xml:space="preserve">Conference of the Parties serving as the meeting of the </w:t>
      </w:r>
      <w:r w:rsidR="00886CFB" w:rsidRPr="00E60AFC">
        <w:t>P</w:t>
      </w:r>
      <w:r w:rsidR="00886CFB" w:rsidRPr="00E60AFC">
        <w:rPr>
          <w:rFonts w:hint="eastAsia"/>
        </w:rPr>
        <w:t>arties to the Paris Agreement</w:t>
      </w:r>
      <w:r w:rsidR="00886CFB" w:rsidRPr="00E60AFC">
        <w:t xml:space="preserve"> with a view to providing guidance for the deliberations on setting the new collective quantified goal on climate finance at that </w:t>
      </w:r>
      <w:proofErr w:type="gramStart"/>
      <w:r w:rsidR="00886CFB" w:rsidRPr="00E60AFC">
        <w:t>session;</w:t>
      </w:r>
      <w:bookmarkEnd w:id="78"/>
      <w:proofErr w:type="gramEnd"/>
      <w:r w:rsidR="00886CFB" w:rsidRPr="00E60AFC">
        <w:t xml:space="preserve"> </w:t>
      </w:r>
    </w:p>
    <w:p w14:paraId="2C2A9A9A" w14:textId="37923F44" w:rsidR="00886CFB" w:rsidRPr="00E60AFC" w:rsidRDefault="00406A0D" w:rsidP="00406A0D">
      <w:pPr>
        <w:pStyle w:val="RegSingleTxtG"/>
        <w:ind w:left="1134"/>
      </w:pPr>
      <w:r w:rsidRPr="00E60AFC">
        <w:lastRenderedPageBreak/>
        <w:t>19.</w:t>
      </w:r>
      <w:r w:rsidRPr="00E60AFC">
        <w:tab/>
      </w:r>
      <w:r w:rsidR="00886CFB">
        <w:rPr>
          <w:i/>
          <w:iCs/>
        </w:rPr>
        <w:t>Also d</w:t>
      </w:r>
      <w:r w:rsidR="00886CFB" w:rsidRPr="00D47D09">
        <w:rPr>
          <w:i/>
          <w:iCs/>
        </w:rPr>
        <w:t>ecides</w:t>
      </w:r>
      <w:r w:rsidR="00886CFB" w:rsidRPr="00E60AFC">
        <w:rPr>
          <w:i/>
          <w:iCs/>
        </w:rPr>
        <w:t xml:space="preserve"> </w:t>
      </w:r>
      <w:r w:rsidR="00886CFB" w:rsidRPr="00E60AFC">
        <w:t xml:space="preserve">to continue deliberations on setting the new collective quantified goal on climate finance and conclude those deliberations at its sixth session taking into consideration the annual report prepared under the authority of the co-chairs referred to in paragraph </w:t>
      </w:r>
      <w:r w:rsidR="00605CF6">
        <w:rPr>
          <w:cs/>
        </w:rPr>
        <w:t>‎</w:t>
      </w:r>
      <w:r w:rsidR="00605CF6">
        <w:t xml:space="preserve">8 </w:t>
      </w:r>
      <w:proofErr w:type="gramStart"/>
      <w:r w:rsidR="00605CF6">
        <w:t>above</w:t>
      </w:r>
      <w:r w:rsidR="00886CFB" w:rsidRPr="00E60AFC">
        <w:t>;</w:t>
      </w:r>
      <w:proofErr w:type="gramEnd"/>
      <w:r w:rsidR="00886CFB" w:rsidRPr="00E60AFC">
        <w:t xml:space="preserve"> </w:t>
      </w:r>
    </w:p>
    <w:p w14:paraId="7979C76E" w14:textId="474184D8" w:rsidR="00886CFB" w:rsidRPr="00F00074" w:rsidRDefault="00406A0D" w:rsidP="00406A0D">
      <w:pPr>
        <w:pStyle w:val="RegSingleTxtG"/>
        <w:ind w:left="1134"/>
      </w:pPr>
      <w:r w:rsidRPr="00F00074">
        <w:t>20.</w:t>
      </w:r>
      <w:r w:rsidRPr="00F00074">
        <w:tab/>
      </w:r>
      <w:r w:rsidR="00886CFB">
        <w:rPr>
          <w:i/>
          <w:iCs/>
        </w:rPr>
        <w:t>Urges</w:t>
      </w:r>
      <w:r w:rsidR="00886CFB" w:rsidRPr="00F00074">
        <w:rPr>
          <w:i/>
          <w:iCs/>
        </w:rPr>
        <w:t xml:space="preserve"> </w:t>
      </w:r>
      <w:r w:rsidR="00886CFB" w:rsidRPr="00F00074">
        <w:t xml:space="preserve">the allocation of sufficient funding to enable the full and effective participation of developing country Parties in the meetings under the ad hoc programme and the technical </w:t>
      </w:r>
      <w:r w:rsidR="00886CFB" w:rsidRPr="00AF29A9">
        <w:t>expert</w:t>
      </w:r>
      <w:r w:rsidR="00886CFB" w:rsidRPr="00F00074">
        <w:t xml:space="preserve"> dialogues in </w:t>
      </w:r>
      <w:proofErr w:type="gramStart"/>
      <w:r w:rsidR="00886CFB" w:rsidRPr="00F00074">
        <w:t>2024;</w:t>
      </w:r>
      <w:proofErr w:type="gramEnd"/>
    </w:p>
    <w:p w14:paraId="4FE4BDB9" w14:textId="1E3736E4" w:rsidR="00886CFB" w:rsidRPr="00F37397" w:rsidRDefault="00406A0D" w:rsidP="00406A0D">
      <w:pPr>
        <w:pStyle w:val="RegSingleTxtG"/>
        <w:ind w:left="1134"/>
      </w:pPr>
      <w:bookmarkStart w:id="79" w:name="_Ref155886886"/>
      <w:r w:rsidRPr="00F37397">
        <w:t>21.</w:t>
      </w:r>
      <w:r w:rsidRPr="00F37397">
        <w:tab/>
      </w:r>
      <w:r w:rsidR="00886CFB">
        <w:rPr>
          <w:i/>
          <w:iCs/>
        </w:rPr>
        <w:t xml:space="preserve">Requests </w:t>
      </w:r>
      <w:r w:rsidR="00886CFB" w:rsidRPr="00E60AFC">
        <w:t>the secretariat to organize the meetings referred to in paragraphs 9</w:t>
      </w:r>
      <w:r w:rsidR="00A37012" w:rsidRPr="00E60AFC">
        <w:t>–</w:t>
      </w:r>
      <w:r w:rsidR="00886CFB" w:rsidRPr="00E60AFC">
        <w:t xml:space="preserve">10 above in a cost-efficient </w:t>
      </w:r>
      <w:proofErr w:type="gramStart"/>
      <w:r w:rsidR="00886CFB" w:rsidRPr="00E60AFC">
        <w:t>manner;</w:t>
      </w:r>
      <w:bookmarkEnd w:id="79"/>
      <w:proofErr w:type="gramEnd"/>
    </w:p>
    <w:p w14:paraId="154F384D" w14:textId="66F348A8" w:rsidR="00886CFB" w:rsidRPr="002322A9" w:rsidRDefault="00406A0D" w:rsidP="00406A0D">
      <w:pPr>
        <w:pStyle w:val="RegSingleTxtG"/>
        <w:ind w:left="1134"/>
      </w:pPr>
      <w:r w:rsidRPr="002322A9">
        <w:t>22.</w:t>
      </w:r>
      <w:r w:rsidRPr="002322A9">
        <w:tab/>
      </w:r>
      <w:r w:rsidR="00886CFB" w:rsidRPr="00FF6D90">
        <w:rPr>
          <w:i/>
          <w:iCs/>
        </w:rPr>
        <w:t>Takes note</w:t>
      </w:r>
      <w:r w:rsidR="00886CFB" w:rsidRPr="00D929C5">
        <w:rPr>
          <w:i/>
          <w:iCs/>
        </w:rPr>
        <w:t xml:space="preserve"> </w:t>
      </w:r>
      <w:r w:rsidR="00886CFB" w:rsidRPr="002322A9">
        <w:t xml:space="preserve">of the estimated budgetary implications of the activities to be undertaken by the secretariat referred to in paragraphs </w:t>
      </w:r>
      <w:r w:rsidR="00605CF6">
        <w:rPr>
          <w:cs/>
        </w:rPr>
        <w:t>‎</w:t>
      </w:r>
      <w:r w:rsidR="00605CF6">
        <w:t>9</w:t>
      </w:r>
      <w:r w:rsidR="00886CFB" w:rsidRPr="002322A9">
        <w:t>–</w:t>
      </w:r>
      <w:r w:rsidR="00605CF6">
        <w:rPr>
          <w:cs/>
        </w:rPr>
        <w:t>‎</w:t>
      </w:r>
      <w:r w:rsidR="00605CF6">
        <w:t>12</w:t>
      </w:r>
      <w:r w:rsidR="00886CFB" w:rsidRPr="002322A9">
        <w:t xml:space="preserve">, </w:t>
      </w:r>
      <w:r w:rsidR="00605CF6">
        <w:rPr>
          <w:cs/>
        </w:rPr>
        <w:t>‎</w:t>
      </w:r>
      <w:r w:rsidR="00605CF6">
        <w:t>16</w:t>
      </w:r>
      <w:r w:rsidR="00886CFB" w:rsidRPr="002322A9">
        <w:t xml:space="preserve">, </w:t>
      </w:r>
      <w:r w:rsidR="00605CF6">
        <w:rPr>
          <w:cs/>
        </w:rPr>
        <w:t>‎</w:t>
      </w:r>
      <w:r w:rsidR="00605CF6">
        <w:t>18</w:t>
      </w:r>
      <w:r w:rsidR="00886CFB" w:rsidRPr="002322A9">
        <w:t xml:space="preserve"> and </w:t>
      </w:r>
      <w:r w:rsidR="00605CF6">
        <w:rPr>
          <w:cs/>
        </w:rPr>
        <w:t>‎</w:t>
      </w:r>
      <w:r w:rsidR="00605CF6">
        <w:t xml:space="preserve">21 </w:t>
      </w:r>
      <w:proofErr w:type="gramStart"/>
      <w:r w:rsidR="00605CF6">
        <w:t>above</w:t>
      </w:r>
      <w:r w:rsidR="00886CFB" w:rsidRPr="002322A9">
        <w:t>;</w:t>
      </w:r>
      <w:proofErr w:type="gramEnd"/>
      <w:r w:rsidR="00886CFB" w:rsidRPr="002322A9">
        <w:t xml:space="preserve"> </w:t>
      </w:r>
    </w:p>
    <w:p w14:paraId="1B2FB080" w14:textId="6546C4A8" w:rsidR="00886CFB" w:rsidRPr="00A70383" w:rsidRDefault="00406A0D" w:rsidP="00406A0D">
      <w:pPr>
        <w:pStyle w:val="RegSingleTxtG"/>
        <w:ind w:left="1134"/>
      </w:pPr>
      <w:r w:rsidRPr="00A70383">
        <w:t>23.</w:t>
      </w:r>
      <w:r w:rsidRPr="00A70383">
        <w:tab/>
      </w:r>
      <w:r w:rsidR="00886CFB" w:rsidRPr="00B9031A">
        <w:rPr>
          <w:i/>
          <w:iCs/>
        </w:rPr>
        <w:t>Requests</w:t>
      </w:r>
      <w:r w:rsidR="00886CFB" w:rsidRPr="00E60AFC">
        <w:rPr>
          <w:i/>
          <w:iCs/>
        </w:rPr>
        <w:t xml:space="preserve"> </w:t>
      </w:r>
      <w:r w:rsidR="00886CFB" w:rsidRPr="00A70383">
        <w:t xml:space="preserve">that the actions of the secretariat called for in this decision be undertaken subject to the availability of financial </w:t>
      </w:r>
      <w:proofErr w:type="gramStart"/>
      <w:r w:rsidR="00886CFB" w:rsidRPr="00A70383">
        <w:t>resources;</w:t>
      </w:r>
      <w:proofErr w:type="gramEnd"/>
    </w:p>
    <w:p w14:paraId="0F92DFC4" w14:textId="6CD5E889" w:rsidR="00886CFB" w:rsidRPr="00EE0A8B" w:rsidRDefault="00406A0D" w:rsidP="00406A0D">
      <w:pPr>
        <w:pStyle w:val="RegSingleTxtG"/>
        <w:ind w:left="1134"/>
      </w:pPr>
      <w:r w:rsidRPr="00EE0A8B">
        <w:t>24.</w:t>
      </w:r>
      <w:r w:rsidRPr="00EE0A8B">
        <w:tab/>
      </w:r>
      <w:r w:rsidR="00886CFB" w:rsidRPr="00096E8D">
        <w:rPr>
          <w:i/>
          <w:iCs/>
        </w:rPr>
        <w:t>Decides</w:t>
      </w:r>
      <w:r w:rsidR="00886CFB" w:rsidRPr="00E60AFC">
        <w:rPr>
          <w:i/>
          <w:iCs/>
        </w:rPr>
        <w:t xml:space="preserve"> </w:t>
      </w:r>
      <w:r w:rsidR="00886CFB" w:rsidRPr="002019D8">
        <w:t xml:space="preserve">to take into consideration and build on the outcome of the first global stocktake and the </w:t>
      </w:r>
      <w:r w:rsidR="00A262FA" w:rsidRPr="00A262FA">
        <w:t>U</w:t>
      </w:r>
      <w:r w:rsidR="008E5E80">
        <w:t xml:space="preserve">nited </w:t>
      </w:r>
      <w:r w:rsidR="00A262FA" w:rsidRPr="00A262FA">
        <w:t>A</w:t>
      </w:r>
      <w:r w:rsidR="008E5E80">
        <w:t xml:space="preserve">rab </w:t>
      </w:r>
      <w:r w:rsidR="00A262FA" w:rsidRPr="00A262FA">
        <w:t>E</w:t>
      </w:r>
      <w:r w:rsidR="008E5E80">
        <w:t>mirates</w:t>
      </w:r>
      <w:r w:rsidR="00A262FA" w:rsidRPr="00A262FA">
        <w:t xml:space="preserve"> Framework for Global Climate Resilience</w:t>
      </w:r>
      <w:r w:rsidR="00A262FA" w:rsidRPr="00A262FA" w:rsidDel="00A262FA">
        <w:t xml:space="preserve"> </w:t>
      </w:r>
      <w:r w:rsidR="00886CFB" w:rsidRPr="00EE0A8B">
        <w:t xml:space="preserve">in its deliberations on the new collective quantified </w:t>
      </w:r>
      <w:proofErr w:type="gramStart"/>
      <w:r w:rsidR="00886CFB" w:rsidRPr="00EE0A8B">
        <w:t>goal;</w:t>
      </w:r>
      <w:proofErr w:type="gramEnd"/>
    </w:p>
    <w:p w14:paraId="109F1DB3" w14:textId="068D111B" w:rsidR="00886CFB" w:rsidRPr="00EE0A8B" w:rsidRDefault="00406A0D" w:rsidP="00406A0D">
      <w:pPr>
        <w:pStyle w:val="RegSingleTxtG"/>
        <w:ind w:left="1134"/>
      </w:pPr>
      <w:r w:rsidRPr="00EE0A8B">
        <w:t>25.</w:t>
      </w:r>
      <w:r w:rsidRPr="00EE0A8B">
        <w:tab/>
      </w:r>
      <w:r w:rsidR="00886CFB" w:rsidRPr="00096E8D">
        <w:rPr>
          <w:i/>
          <w:iCs/>
        </w:rPr>
        <w:t>Welcomes</w:t>
      </w:r>
      <w:r w:rsidR="00886CFB" w:rsidRPr="00E60AFC">
        <w:rPr>
          <w:i/>
          <w:iCs/>
        </w:rPr>
        <w:t xml:space="preserve"> </w:t>
      </w:r>
      <w:r w:rsidR="00886CFB" w:rsidRPr="00EE0A8B">
        <w:t xml:space="preserve">the call to scale up ambition, adaptation and mitigation finance in line with the needs of developing countries referred to in decision </w:t>
      </w:r>
      <w:r w:rsidR="009077F4" w:rsidRPr="00EE0A8B">
        <w:t>1</w:t>
      </w:r>
      <w:r w:rsidR="00886CFB" w:rsidRPr="00EE0A8B">
        <w:t>/CMA.</w:t>
      </w:r>
      <w:proofErr w:type="gramStart"/>
      <w:r w:rsidR="00886CFB" w:rsidRPr="00EE0A8B">
        <w:t>5</w:t>
      </w:r>
      <w:r w:rsidR="00886CFB">
        <w:t>;</w:t>
      </w:r>
      <w:proofErr w:type="gramEnd"/>
      <w:r w:rsidR="00886CFB" w:rsidRPr="00EE0A8B">
        <w:rPr>
          <w:vertAlign w:val="superscript"/>
        </w:rPr>
        <w:t xml:space="preserve"> </w:t>
      </w:r>
    </w:p>
    <w:p w14:paraId="183AFE82" w14:textId="4F72EA23" w:rsidR="00877EFB" w:rsidRPr="009A6B35" w:rsidRDefault="00406A0D" w:rsidP="00406A0D">
      <w:pPr>
        <w:pStyle w:val="RegSingleTxtG"/>
        <w:ind w:left="1134"/>
      </w:pPr>
      <w:r w:rsidRPr="009A6B35">
        <w:t>26.</w:t>
      </w:r>
      <w:r w:rsidRPr="009A6B35">
        <w:tab/>
      </w:r>
      <w:r w:rsidR="00886CFB" w:rsidRPr="00796FA6">
        <w:rPr>
          <w:i/>
          <w:iCs/>
        </w:rPr>
        <w:t>Confirms</w:t>
      </w:r>
      <w:r w:rsidR="00886CFB" w:rsidRPr="00E60AFC">
        <w:rPr>
          <w:i/>
          <w:iCs/>
        </w:rPr>
        <w:t xml:space="preserve"> </w:t>
      </w:r>
      <w:r w:rsidR="00886CFB" w:rsidRPr="009A6B35">
        <w:t>that the deliberations on the scale and elements of the new collective quantified goal will take into consideration the exigent need to support implementation of current nationally determined contributions and national adaptation plans and adaptation communications, including those submitted as adaptation components of nationally determined contributions, increase and accelerate ambition, and reflect the evolving needs of developing country Parties, and the need for enhanced provision and mobilization of climate finance from a wide variety of sources and instruments and channels, recognizing the interlinkages between the different elements of the new collective quantified goal, including in particular how the structure will impact the scale</w:t>
      </w:r>
      <w:bookmarkEnd w:id="63"/>
      <w:r w:rsidR="00796FA6" w:rsidRPr="009A6B35">
        <w:t>.</w:t>
      </w:r>
    </w:p>
    <w:p w14:paraId="02D50883" w14:textId="5E020E12" w:rsidR="007F2CB8" w:rsidRPr="000F6262" w:rsidRDefault="002A095C" w:rsidP="00311E47">
      <w:pPr>
        <w:tabs>
          <w:tab w:val="left" w:pos="1701"/>
        </w:tabs>
        <w:spacing w:line="20" w:lineRule="atLeast"/>
        <w:ind w:left="6521" w:right="1134"/>
        <w:jc w:val="right"/>
        <w:rPr>
          <w:i/>
          <w:iCs/>
        </w:rPr>
      </w:pPr>
      <w:r>
        <w:rPr>
          <w:i/>
          <w:iCs/>
        </w:rPr>
        <w:t>6</w:t>
      </w:r>
      <w:r w:rsidRPr="002A095C">
        <w:rPr>
          <w:i/>
          <w:iCs/>
          <w:vertAlign w:val="superscript"/>
        </w:rPr>
        <w:t>th</w:t>
      </w:r>
      <w:r>
        <w:rPr>
          <w:i/>
          <w:iCs/>
        </w:rPr>
        <w:t xml:space="preserve"> </w:t>
      </w:r>
      <w:r w:rsidR="007F2CB8" w:rsidRPr="000F6262">
        <w:rPr>
          <w:i/>
          <w:iCs/>
        </w:rPr>
        <w:t>plenary meeting</w:t>
      </w:r>
    </w:p>
    <w:p w14:paraId="41B43DF7" w14:textId="77777777" w:rsidR="007F2CB8" w:rsidRPr="000F6262" w:rsidRDefault="007F2CB8" w:rsidP="00311E47">
      <w:pPr>
        <w:tabs>
          <w:tab w:val="left" w:pos="1701"/>
        </w:tabs>
        <w:spacing w:line="20" w:lineRule="atLeast"/>
        <w:ind w:left="6521" w:right="1134"/>
        <w:jc w:val="right"/>
        <w:rPr>
          <w:i/>
          <w:iCs/>
        </w:rPr>
      </w:pPr>
      <w:r w:rsidRPr="000F6262">
        <w:rPr>
          <w:i/>
          <w:iCs/>
        </w:rPr>
        <w:t>13 December 2023</w:t>
      </w:r>
    </w:p>
    <w:bookmarkEnd w:id="69"/>
    <w:p w14:paraId="30D6D185" w14:textId="77777777" w:rsidR="007F2CB8" w:rsidRDefault="007F2CB8" w:rsidP="007F2CB8">
      <w:pPr>
        <w:pStyle w:val="AnnoSingleTxtG"/>
        <w:tabs>
          <w:tab w:val="clear" w:pos="1702"/>
        </w:tabs>
        <w:ind w:left="1134" w:firstLine="0"/>
      </w:pPr>
    </w:p>
    <w:p w14:paraId="04FFA87A" w14:textId="034D81A3" w:rsidR="00CE3DDA" w:rsidRDefault="00406A0D" w:rsidP="00406A0D">
      <w:pPr>
        <w:pStyle w:val="AnnoH23G"/>
        <w:tabs>
          <w:tab w:val="left" w:pos="1135"/>
        </w:tabs>
        <w:sectPr w:rsidR="00CE3DDA" w:rsidSect="00DA6BD2">
          <w:headerReference w:type="even" r:id="rId30"/>
          <w:headerReference w:type="default" r:id="rId31"/>
          <w:footerReference w:type="even" r:id="rId32"/>
          <w:footerReference w:type="default" r:id="rId33"/>
          <w:headerReference w:type="first" r:id="rId34"/>
          <w:footnotePr>
            <w:numRestart w:val="eachSect"/>
          </w:footnotePr>
          <w:pgSz w:w="11906" w:h="16838" w:code="9"/>
          <w:pgMar w:top="1417" w:right="1134" w:bottom="1134" w:left="1134" w:header="850" w:footer="567" w:gutter="0"/>
          <w:cols w:space="708"/>
          <w:docGrid w:linePitch="360"/>
        </w:sectPr>
      </w:pPr>
      <w:r>
        <w:rPr>
          <w:u w:val="none"/>
        </w:rPr>
        <w:t>(a)</w:t>
      </w:r>
      <w:r>
        <w:rPr>
          <w:u w:val="none"/>
        </w:rPr>
        <w:tab/>
      </w:r>
    </w:p>
    <w:p w14:paraId="5FA3BC28" w14:textId="59233331" w:rsidR="006F256B" w:rsidRPr="00353ADF" w:rsidRDefault="006F256B" w:rsidP="00406A0D">
      <w:pPr>
        <w:pStyle w:val="RegHChG"/>
        <w:spacing w:before="240"/>
        <w:ind w:left="1135" w:hanging="454"/>
      </w:pPr>
      <w:bookmarkStart w:id="80" w:name="_Toc161241766"/>
      <w:bookmarkStart w:id="81" w:name="_Toc161241992"/>
      <w:bookmarkStart w:id="82" w:name="decision9"/>
      <w:r w:rsidRPr="00353ADF">
        <w:lastRenderedPageBreak/>
        <w:t xml:space="preserve">Decision </w:t>
      </w:r>
      <w:r>
        <w:t>9</w:t>
      </w:r>
      <w:r w:rsidRPr="00353ADF">
        <w:t>/CMA.5</w:t>
      </w:r>
      <w:bookmarkEnd w:id="80"/>
      <w:bookmarkEnd w:id="81"/>
    </w:p>
    <w:p w14:paraId="7299CE89" w14:textId="7B5B41F1" w:rsidR="00190617" w:rsidRDefault="005B34E3" w:rsidP="005B34E3">
      <w:pPr>
        <w:pStyle w:val="HChG"/>
      </w:pPr>
      <w:r>
        <w:tab/>
      </w:r>
      <w:r>
        <w:tab/>
      </w:r>
      <w:r w:rsidR="006F256B">
        <w:tab/>
      </w:r>
      <w:r w:rsidR="006F256B" w:rsidRPr="00A5507C">
        <w:t>Matters relating to the Standing Committee on Financ</w:t>
      </w:r>
      <w:r w:rsidR="00243932">
        <w:t>e</w:t>
      </w:r>
    </w:p>
    <w:p w14:paraId="172CA5F1" w14:textId="550D6DF3" w:rsidR="002272E0" w:rsidRDefault="0090340B" w:rsidP="00A15983">
      <w:pPr>
        <w:pStyle w:val="RegSingleTxtG"/>
        <w:ind w:left="1134"/>
      </w:pPr>
      <w:r>
        <w:rPr>
          <w:bCs/>
          <w:i/>
          <w:iCs/>
        </w:rPr>
        <w:tab/>
      </w:r>
      <w:r w:rsidR="002272E0" w:rsidRPr="005908AC">
        <w:rPr>
          <w:bCs/>
          <w:i/>
          <w:iCs/>
        </w:rPr>
        <w:t>The Conference of the Parties serving as the meeting of the Parties to the Paris</w:t>
      </w:r>
      <w:r w:rsidR="002272E0" w:rsidRPr="009B2286">
        <w:rPr>
          <w:bCs/>
          <w:i/>
          <w:iCs/>
        </w:rPr>
        <w:t xml:space="preserve"> </w:t>
      </w:r>
      <w:r w:rsidR="002272E0" w:rsidRPr="00F0743B">
        <w:rPr>
          <w:i/>
          <w:iCs/>
        </w:rPr>
        <w:t>Agreement</w:t>
      </w:r>
      <w:r w:rsidR="002272E0" w:rsidRPr="001E14E1">
        <w:t>,</w:t>
      </w:r>
    </w:p>
    <w:p w14:paraId="366F68AF" w14:textId="77777777" w:rsidR="00464E71" w:rsidRDefault="00A15983" w:rsidP="00464E71">
      <w:pPr>
        <w:pStyle w:val="RegSingleTxtG"/>
        <w:ind w:left="1134"/>
      </w:pPr>
      <w:r>
        <w:rPr>
          <w:bCs/>
          <w:i/>
          <w:iCs/>
        </w:rPr>
        <w:tab/>
      </w:r>
      <w:r w:rsidR="002272E0" w:rsidRPr="00B07C14">
        <w:rPr>
          <w:i/>
          <w:iCs/>
        </w:rPr>
        <w:t>Recalling</w:t>
      </w:r>
      <w:r w:rsidR="002272E0">
        <w:t xml:space="preserve"> Article 2, paragraph 1(c), and Article 9 of the Paris Agreement,</w:t>
      </w:r>
    </w:p>
    <w:p w14:paraId="7F3DE63C" w14:textId="6B0FCD66" w:rsidR="002272E0" w:rsidRPr="00464E71" w:rsidRDefault="00464E71" w:rsidP="00464E71">
      <w:pPr>
        <w:pStyle w:val="RegSingleTxtG"/>
        <w:ind w:left="1134"/>
        <w:rPr>
          <w:b/>
        </w:rPr>
      </w:pPr>
      <w:r>
        <w:rPr>
          <w:i/>
          <w:iCs/>
        </w:rPr>
        <w:tab/>
      </w:r>
      <w:r w:rsidR="002272E0" w:rsidRPr="009162EA">
        <w:rPr>
          <w:i/>
          <w:iCs/>
        </w:rPr>
        <w:t>Also recalling</w:t>
      </w:r>
      <w:r w:rsidR="002272E0">
        <w:t xml:space="preserve"> decisions 1/CP.21, paragraphs 53 and 63, 11/CP.25, 5/CP.26, 14/CMA.1, 5/CMA.2, 11/CMA.3 and 14/CMA.4,</w:t>
      </w:r>
    </w:p>
    <w:p w14:paraId="04B68E2D" w14:textId="77777777" w:rsidR="002272E0" w:rsidRPr="00FC3465" w:rsidRDefault="002272E0" w:rsidP="002272E0">
      <w:pPr>
        <w:pStyle w:val="RegSingleTxtG2"/>
        <w:ind w:left="1134" w:firstLine="567"/>
      </w:pPr>
      <w:r>
        <w:rPr>
          <w:i/>
          <w:iCs/>
        </w:rPr>
        <w:t>Further r</w:t>
      </w:r>
      <w:r w:rsidRPr="00FC3465">
        <w:rPr>
          <w:i/>
          <w:iCs/>
        </w:rPr>
        <w:t>ecalling</w:t>
      </w:r>
      <w:r>
        <w:t xml:space="preserve"> </w:t>
      </w:r>
      <w:r w:rsidRPr="00CE160E">
        <w:t xml:space="preserve">decision 1/CMA.4, paragraph </w:t>
      </w:r>
      <w:r>
        <w:t xml:space="preserve">42, </w:t>
      </w:r>
    </w:p>
    <w:p w14:paraId="6A7909EB" w14:textId="003EC663" w:rsidR="002272E0" w:rsidRPr="00FF5E20" w:rsidRDefault="00406A0D" w:rsidP="00406A0D">
      <w:pPr>
        <w:pStyle w:val="RegSingleTxtG"/>
        <w:ind w:left="1134"/>
      </w:pPr>
      <w:r w:rsidRPr="00FF5E20">
        <w:t>1.</w:t>
      </w:r>
      <w:r w:rsidRPr="00FF5E20">
        <w:tab/>
      </w:r>
      <w:r w:rsidR="002272E0" w:rsidRPr="00EE3A85">
        <w:rPr>
          <w:i/>
          <w:iCs/>
        </w:rPr>
        <w:t>Affirms</w:t>
      </w:r>
      <w:r w:rsidR="002272E0" w:rsidRPr="00FF5E20">
        <w:t xml:space="preserve"> decision </w:t>
      </w:r>
      <w:r w:rsidR="00041C7B">
        <w:t>5</w:t>
      </w:r>
      <w:r w:rsidR="2C7CCD6B" w:rsidRPr="00FF5E20">
        <w:t>/</w:t>
      </w:r>
      <w:r w:rsidR="002272E0" w:rsidRPr="00FF5E20">
        <w:t>CP.</w:t>
      </w:r>
      <w:proofErr w:type="gramStart"/>
      <w:r w:rsidR="002272E0" w:rsidRPr="00FF5E20">
        <w:t>2</w:t>
      </w:r>
      <w:r w:rsidR="002272E0">
        <w:t>8</w:t>
      </w:r>
      <w:r w:rsidR="002272E0" w:rsidRPr="00FF5E20">
        <w:t>;</w:t>
      </w:r>
      <w:proofErr w:type="gramEnd"/>
    </w:p>
    <w:p w14:paraId="407E77B4" w14:textId="1049F4BE" w:rsidR="002272E0" w:rsidRPr="00042745" w:rsidRDefault="00406A0D" w:rsidP="00406A0D">
      <w:pPr>
        <w:pStyle w:val="RegSingleTxtG"/>
        <w:ind w:left="1134"/>
      </w:pPr>
      <w:r w:rsidRPr="00042745">
        <w:t>2.</w:t>
      </w:r>
      <w:r w:rsidRPr="00042745">
        <w:tab/>
      </w:r>
      <w:r w:rsidR="002272E0" w:rsidRPr="00042745">
        <w:rPr>
          <w:i/>
          <w:iCs/>
        </w:rPr>
        <w:t xml:space="preserve">Welcomes </w:t>
      </w:r>
      <w:r w:rsidR="002272E0" w:rsidRPr="00042745">
        <w:t xml:space="preserve">the establishment of the </w:t>
      </w:r>
      <w:r w:rsidR="00E66045">
        <w:t>U</w:t>
      </w:r>
      <w:r w:rsidR="00FD56F8">
        <w:t xml:space="preserve">nited </w:t>
      </w:r>
      <w:r w:rsidR="00E66045">
        <w:t>A</w:t>
      </w:r>
      <w:r w:rsidR="00FD56F8">
        <w:t xml:space="preserve">rab </w:t>
      </w:r>
      <w:r w:rsidR="00E66045">
        <w:t>E</w:t>
      </w:r>
      <w:r w:rsidR="00FD56F8">
        <w:t>mirates</w:t>
      </w:r>
      <w:r w:rsidR="00E66045">
        <w:t xml:space="preserve"> </w:t>
      </w:r>
      <w:r w:rsidR="00A21596">
        <w:t>F</w:t>
      </w:r>
      <w:r w:rsidR="002272E0" w:rsidRPr="00042745">
        <w:t xml:space="preserve">ramework for </w:t>
      </w:r>
      <w:r w:rsidR="00A21596">
        <w:t>Global Climate Resilience</w:t>
      </w:r>
      <w:r w:rsidR="002272E0" w:rsidRPr="00042745">
        <w:t xml:space="preserve"> referred to </w:t>
      </w:r>
      <w:r w:rsidR="002272E0" w:rsidRPr="00192585">
        <w:t xml:space="preserve">in decision </w:t>
      </w:r>
      <w:r w:rsidR="00685F65" w:rsidRPr="00192585">
        <w:t>2</w:t>
      </w:r>
      <w:r w:rsidR="002272E0" w:rsidRPr="00192585">
        <w:rPr>
          <w:rStyle w:val="ui-provider"/>
        </w:rPr>
        <w:t>/CMA.5</w:t>
      </w:r>
      <w:r w:rsidR="002272E0" w:rsidRPr="00192585">
        <w:t xml:space="preserve"> and </w:t>
      </w:r>
      <w:r w:rsidR="002272E0" w:rsidRPr="00192585">
        <w:rPr>
          <w:i/>
          <w:iCs/>
        </w:rPr>
        <w:t>invites</w:t>
      </w:r>
      <w:r w:rsidR="002272E0" w:rsidRPr="00192585">
        <w:t xml:space="preserve"> the Standing Committee on Finance to consider including available data and information</w:t>
      </w:r>
      <w:r w:rsidR="002272E0" w:rsidRPr="00042745">
        <w:t xml:space="preserve"> relevant for the implementation of the </w:t>
      </w:r>
      <w:r w:rsidR="004763D4">
        <w:t>F</w:t>
      </w:r>
      <w:r w:rsidR="002272E0" w:rsidRPr="00042745">
        <w:t xml:space="preserve">ramework in the second report on the determination of the needs of developing country Parties related to implementing the Convention and the Paris </w:t>
      </w:r>
      <w:proofErr w:type="gramStart"/>
      <w:r w:rsidR="002272E0" w:rsidRPr="00042745">
        <w:t>Agreement;</w:t>
      </w:r>
      <w:proofErr w:type="gramEnd"/>
    </w:p>
    <w:p w14:paraId="4EC30D7B" w14:textId="1796D3D9" w:rsidR="002272E0" w:rsidRDefault="00406A0D" w:rsidP="00406A0D">
      <w:pPr>
        <w:pStyle w:val="RegSingleTxtG"/>
        <w:ind w:left="1134"/>
      </w:pPr>
      <w:r>
        <w:t>3.</w:t>
      </w:r>
      <w:r>
        <w:tab/>
      </w:r>
      <w:r w:rsidR="002272E0" w:rsidRPr="0036373A">
        <w:rPr>
          <w:i/>
          <w:iCs/>
        </w:rPr>
        <w:t>Requests</w:t>
      </w:r>
      <w:r w:rsidR="002272E0" w:rsidRPr="0036373A">
        <w:t xml:space="preserve"> the </w:t>
      </w:r>
      <w:r w:rsidR="002272E0">
        <w:t>Standing Committee on Finance</w:t>
      </w:r>
      <w:r w:rsidR="002272E0" w:rsidRPr="00F129C8">
        <w:t xml:space="preserve"> to include in its </w:t>
      </w:r>
      <w:r w:rsidR="002272E0" w:rsidRPr="00142F9F">
        <w:t xml:space="preserve">sixth </w:t>
      </w:r>
      <w:r w:rsidR="002272E0">
        <w:t>Biennial Assessment and Overview of Climate Finance Flows</w:t>
      </w:r>
      <w:r w:rsidR="002272E0" w:rsidRPr="00EF43CC">
        <w:t xml:space="preserve"> </w:t>
      </w:r>
      <w:r w:rsidR="002272E0" w:rsidRPr="00F129C8">
        <w:t xml:space="preserve">information reported in biennial </w:t>
      </w:r>
      <w:r w:rsidR="002272E0">
        <w:t>communications</w:t>
      </w:r>
      <w:r w:rsidR="002272E0" w:rsidRPr="00F129C8">
        <w:t xml:space="preserve"> under Article 9, paragraph 5, of the Paris Agreement</w:t>
      </w:r>
      <w:r w:rsidR="002272E0">
        <w:t xml:space="preserve">, as </w:t>
      </w:r>
      <w:proofErr w:type="gramStart"/>
      <w:r w:rsidR="002272E0">
        <w:t>appropriate</w:t>
      </w:r>
      <w:r w:rsidR="002272E0" w:rsidRPr="00F129C8">
        <w:t>;</w:t>
      </w:r>
      <w:proofErr w:type="gramEnd"/>
    </w:p>
    <w:p w14:paraId="2BE90066" w14:textId="794CEFC2" w:rsidR="002272E0" w:rsidRDefault="00406A0D" w:rsidP="00406A0D">
      <w:pPr>
        <w:pStyle w:val="RegSingleTxtG"/>
        <w:ind w:left="1134"/>
      </w:pPr>
      <w:r>
        <w:t>4.</w:t>
      </w:r>
      <w:r>
        <w:tab/>
      </w:r>
      <w:r w:rsidR="002272E0" w:rsidRPr="00D43679">
        <w:rPr>
          <w:i/>
          <w:iCs/>
        </w:rPr>
        <w:t>Also requests</w:t>
      </w:r>
      <w:r w:rsidR="002272E0">
        <w:t xml:space="preserve"> the Standing Committee on Finance to report to the Conference of the Parties serving as the meeting of the Parties to the Paris Agreement at its sixth session (November 2024) on progress in implementing its workplan for 2024;</w:t>
      </w:r>
      <w:r w:rsidR="002272E0">
        <w:rPr>
          <w:rStyle w:val="FootnoteReference"/>
        </w:rPr>
        <w:footnoteReference w:id="46"/>
      </w:r>
    </w:p>
    <w:p w14:paraId="24C1254B" w14:textId="168B4E71" w:rsidR="002272E0" w:rsidRDefault="00406A0D" w:rsidP="00406A0D">
      <w:pPr>
        <w:pStyle w:val="RegSingleTxtG"/>
        <w:ind w:left="1134"/>
      </w:pPr>
      <w:r>
        <w:t>5.</w:t>
      </w:r>
      <w:r>
        <w:tab/>
      </w:r>
      <w:r w:rsidR="002272E0" w:rsidRPr="00F129C8">
        <w:rPr>
          <w:i/>
          <w:iCs/>
        </w:rPr>
        <w:t>Further requests</w:t>
      </w:r>
      <w:r w:rsidR="002272E0">
        <w:t xml:space="preserve"> the Standing Committee on Finance to consider the guidance provided to it in other relevant decisions of the Conference of the Parties serving as the meeting of the Parties to the Paris </w:t>
      </w:r>
      <w:proofErr w:type="gramStart"/>
      <w:r w:rsidR="002272E0">
        <w:t>Agreement;</w:t>
      </w:r>
      <w:proofErr w:type="gramEnd"/>
    </w:p>
    <w:p w14:paraId="20C078BA" w14:textId="56D723F5" w:rsidR="002272E0" w:rsidRPr="00FE0355" w:rsidRDefault="00406A0D" w:rsidP="00406A0D">
      <w:pPr>
        <w:pStyle w:val="RegHChG"/>
        <w:tabs>
          <w:tab w:val="left" w:pos="1135"/>
        </w:tabs>
        <w:ind w:left="1135" w:hanging="454"/>
      </w:pPr>
      <w:bookmarkStart w:id="83" w:name="_Toc161241767"/>
      <w:bookmarkStart w:id="84" w:name="_Toc161241993"/>
      <w:r w:rsidRPr="00FE0355">
        <w:t>I.</w:t>
      </w:r>
      <w:r w:rsidRPr="00FE0355">
        <w:tab/>
      </w:r>
      <w:r w:rsidR="002272E0" w:rsidRPr="00FE0355">
        <w:t>Article 2, paragraph 1(c), of the Paris Agreement</w:t>
      </w:r>
      <w:bookmarkEnd w:id="83"/>
      <w:bookmarkEnd w:id="84"/>
    </w:p>
    <w:p w14:paraId="12E4402E" w14:textId="48393C9D" w:rsidR="002272E0" w:rsidRDefault="00406A0D" w:rsidP="00406A0D">
      <w:pPr>
        <w:pStyle w:val="RegSingleTxtG"/>
        <w:ind w:left="1134"/>
      </w:pPr>
      <w:r>
        <w:t>6.</w:t>
      </w:r>
      <w:r>
        <w:tab/>
      </w:r>
      <w:r w:rsidR="002272E0">
        <w:rPr>
          <w:i/>
          <w:iCs/>
        </w:rPr>
        <w:t xml:space="preserve">Notes with appreciation </w:t>
      </w:r>
      <w:r w:rsidR="002272E0" w:rsidRPr="00AB233A">
        <w:t xml:space="preserve">the </w:t>
      </w:r>
      <w:r w:rsidR="002272E0" w:rsidRPr="00FF5E20">
        <w:t>synthesis of views regarding ways to achieve Article 2, paragraph 1(c), of the Paris Agreement</w:t>
      </w:r>
      <w:r w:rsidR="002272E0">
        <w:t>;</w:t>
      </w:r>
      <w:r w:rsidR="002272E0">
        <w:rPr>
          <w:rStyle w:val="FootnoteReference"/>
        </w:rPr>
        <w:footnoteReference w:id="47"/>
      </w:r>
    </w:p>
    <w:p w14:paraId="597ED88F" w14:textId="2F220C29" w:rsidR="002272E0" w:rsidRPr="006338EF" w:rsidRDefault="00406A0D" w:rsidP="00406A0D">
      <w:pPr>
        <w:pStyle w:val="RegSingleTxtG"/>
        <w:ind w:left="1134"/>
      </w:pPr>
      <w:r w:rsidRPr="006338EF">
        <w:t>7.</w:t>
      </w:r>
      <w:r w:rsidRPr="006338EF">
        <w:tab/>
      </w:r>
      <w:r w:rsidR="002272E0">
        <w:rPr>
          <w:i/>
          <w:iCs/>
        </w:rPr>
        <w:t>Also n</w:t>
      </w:r>
      <w:r w:rsidR="002272E0" w:rsidRPr="006338EF">
        <w:rPr>
          <w:i/>
          <w:iCs/>
        </w:rPr>
        <w:t>otes with appreciation</w:t>
      </w:r>
      <w:r w:rsidR="002272E0" w:rsidRPr="006338EF">
        <w:t xml:space="preserve"> the report by the secretariat on the Sharm el</w:t>
      </w:r>
      <w:r w:rsidR="002272E0">
        <w:noBreakHyphen/>
      </w:r>
      <w:r w:rsidR="002272E0" w:rsidRPr="006338EF">
        <w:t>Sheikh dialogue on the scope of Article 2, paragraph 1(c), of the Paris Agreement and its complementarity with Article 9 of the Paris Agreement</w:t>
      </w:r>
      <w:r w:rsidR="002272E0">
        <w:rPr>
          <w:rStyle w:val="FootnoteReference"/>
        </w:rPr>
        <w:footnoteReference w:id="48"/>
      </w:r>
      <w:r w:rsidR="002272E0" w:rsidRPr="006338EF">
        <w:t xml:space="preserve"> and </w:t>
      </w:r>
      <w:r w:rsidR="002272E0" w:rsidRPr="002A7439">
        <w:rPr>
          <w:i/>
          <w:iCs/>
        </w:rPr>
        <w:t>takes note</w:t>
      </w:r>
      <w:r w:rsidR="002272E0" w:rsidRPr="006338EF">
        <w:t xml:space="preserve"> of the recommendations therein proposed by the </w:t>
      </w:r>
      <w:r w:rsidR="002272E0" w:rsidRPr="004B18FA">
        <w:t>Presiden</w:t>
      </w:r>
      <w:r w:rsidR="002272E0" w:rsidRPr="00E822B0">
        <w:t>cy</w:t>
      </w:r>
      <w:r w:rsidR="002272E0" w:rsidRPr="006338EF">
        <w:t xml:space="preserve"> of </w:t>
      </w:r>
      <w:r w:rsidR="002272E0">
        <w:t xml:space="preserve">the </w:t>
      </w:r>
      <w:r w:rsidR="002272E0" w:rsidRPr="00D43679">
        <w:t>twenty-</w:t>
      </w:r>
      <w:r w:rsidR="002272E0">
        <w:t>seventh session of the</w:t>
      </w:r>
      <w:r w:rsidR="002272E0" w:rsidRPr="00D43679">
        <w:t xml:space="preserve"> Conference of the </w:t>
      </w:r>
      <w:proofErr w:type="gramStart"/>
      <w:r w:rsidR="002272E0" w:rsidRPr="00D43679">
        <w:t>Parties</w:t>
      </w:r>
      <w:r w:rsidR="002272E0" w:rsidRPr="006338EF">
        <w:t>;</w:t>
      </w:r>
      <w:proofErr w:type="gramEnd"/>
    </w:p>
    <w:p w14:paraId="7246DA76" w14:textId="72A14006" w:rsidR="002272E0" w:rsidRDefault="00406A0D" w:rsidP="00406A0D">
      <w:pPr>
        <w:pStyle w:val="RegSingleTxtG"/>
        <w:ind w:left="1134"/>
      </w:pPr>
      <w:bookmarkStart w:id="85" w:name="_Ref153205959"/>
      <w:r>
        <w:t>8.</w:t>
      </w:r>
      <w:r>
        <w:tab/>
      </w:r>
      <w:r w:rsidR="002272E0" w:rsidRPr="008225D6">
        <w:rPr>
          <w:i/>
          <w:iCs/>
        </w:rPr>
        <w:t>Decides</w:t>
      </w:r>
      <w:r w:rsidR="002272E0">
        <w:t xml:space="preserve"> to continue and strengthen the Sharm el-Sheikh dialogue between Parties, relevant organizations and stakeholders to exchange views on and enhance understanding of the scope of Article 2, paragraph 1(c), of the Paris Agreement and its complementarity with Article 9 of the Paris Agreement referred to in decision 1/CMA.4, paragraph 68, including with regard to the operationalization and implementation of Article 2, paragraph 1(c), in 2024</w:t>
      </w:r>
      <w:r w:rsidR="006172A8">
        <w:t>–</w:t>
      </w:r>
      <w:r w:rsidR="002272E0">
        <w:t xml:space="preserve">2025, </w:t>
      </w:r>
      <w:r w:rsidR="002272E0" w:rsidRPr="008E5BF0">
        <w:t>recognizing</w:t>
      </w:r>
      <w:r w:rsidR="002272E0" w:rsidRPr="005908AC">
        <w:t xml:space="preserve"> </w:t>
      </w:r>
      <w:r w:rsidR="002272E0">
        <w:t>the significant scale of investment needed to keep the global average temperature rise to well below 2 °C above pre-industrial levels and to pursue efforts to limit the temperature increase to 1.5 °C above pre-industrial levels, and to adapt to the adverse impacts of climate change and foster climate-resilient and low greenhouse gas emission development, including in the context of sustainable development and efforts to eradicate poverty;</w:t>
      </w:r>
      <w:bookmarkEnd w:id="85"/>
      <w:r w:rsidR="002272E0">
        <w:t xml:space="preserve"> </w:t>
      </w:r>
    </w:p>
    <w:p w14:paraId="2337CC04" w14:textId="32F16AF6" w:rsidR="002272E0" w:rsidRDefault="00406A0D" w:rsidP="00406A0D">
      <w:pPr>
        <w:pStyle w:val="RegSingleTxtG"/>
        <w:ind w:left="1134"/>
      </w:pPr>
      <w:bookmarkStart w:id="86" w:name="_Ref153213152"/>
      <w:r>
        <w:t>9.</w:t>
      </w:r>
      <w:r>
        <w:tab/>
      </w:r>
      <w:r w:rsidR="002272E0">
        <w:rPr>
          <w:i/>
          <w:iCs/>
        </w:rPr>
        <w:t>Also</w:t>
      </w:r>
      <w:r w:rsidR="002272E0" w:rsidRPr="00170639">
        <w:rPr>
          <w:i/>
          <w:iCs/>
        </w:rPr>
        <w:t xml:space="preserve"> decides</w:t>
      </w:r>
      <w:r w:rsidR="002272E0">
        <w:t xml:space="preserve"> that the dialogue referred to in paragraph </w:t>
      </w:r>
      <w:r w:rsidR="002272E0">
        <w:rPr>
          <w:cs/>
        </w:rPr>
        <w:t>‎</w:t>
      </w:r>
      <w:r w:rsidR="00605CF6">
        <w:rPr>
          <w:cs/>
        </w:rPr>
        <w:t>‎</w:t>
      </w:r>
      <w:r w:rsidR="00605CF6">
        <w:t>8 above</w:t>
      </w:r>
      <w:r w:rsidR="002272E0">
        <w:t xml:space="preserve"> is to be facilitated by two co-chairs, one from a developed country and one from a developing country, appointed, </w:t>
      </w:r>
      <w:r w:rsidR="002272E0">
        <w:lastRenderedPageBreak/>
        <w:t xml:space="preserve">in consultation with the respective constituencies, by the President of the Conference of the Parties serving as the meeting of the Parties to the Paris Agreement at its fifth </w:t>
      </w:r>
      <w:proofErr w:type="gramStart"/>
      <w:r w:rsidR="002272E0">
        <w:t>session;</w:t>
      </w:r>
      <w:bookmarkEnd w:id="86"/>
      <w:proofErr w:type="gramEnd"/>
    </w:p>
    <w:p w14:paraId="2E9A85B4" w14:textId="4109E05F" w:rsidR="002272E0" w:rsidRDefault="00406A0D" w:rsidP="00406A0D">
      <w:pPr>
        <w:pStyle w:val="RegSingleTxtG"/>
        <w:ind w:left="1134"/>
      </w:pPr>
      <w:bookmarkStart w:id="87" w:name="_Ref153203793"/>
      <w:r>
        <w:t>10.</w:t>
      </w:r>
      <w:r>
        <w:tab/>
      </w:r>
      <w:r w:rsidR="002272E0" w:rsidRPr="00170639">
        <w:rPr>
          <w:i/>
          <w:iCs/>
        </w:rPr>
        <w:t>Requests</w:t>
      </w:r>
      <w:r w:rsidR="002272E0">
        <w:t xml:space="preserve"> the secretariat, under the guidance of the co-chairs of the dialogue, to organize at least two workshops per year with a view to engaging a broad range of relevant stakeholders and to prepare a report on each </w:t>
      </w:r>
      <w:proofErr w:type="gramStart"/>
      <w:r w:rsidR="002272E0">
        <w:t>workshop;</w:t>
      </w:r>
      <w:bookmarkEnd w:id="87"/>
      <w:proofErr w:type="gramEnd"/>
    </w:p>
    <w:p w14:paraId="79081278" w14:textId="37473004" w:rsidR="002272E0" w:rsidRDefault="00406A0D" w:rsidP="00406A0D">
      <w:pPr>
        <w:pStyle w:val="RegSingleTxtG"/>
        <w:ind w:left="1134"/>
      </w:pPr>
      <w:bookmarkStart w:id="88" w:name="_Ref153205984"/>
      <w:r>
        <w:t>11.</w:t>
      </w:r>
      <w:r>
        <w:tab/>
      </w:r>
      <w:r w:rsidR="002272E0" w:rsidRPr="00170639">
        <w:rPr>
          <w:i/>
          <w:iCs/>
        </w:rPr>
        <w:t>Invites</w:t>
      </w:r>
      <w:r w:rsidR="002272E0">
        <w:t xml:space="preserve"> Parties, constituted bodies under the Convention and the Paris Agreement, the operating entities of the Financial Mechanism, climate finance institutions, observers and observer organizations, and other stakeholders, particularly from the private sector, to submit via the submission portal</w:t>
      </w:r>
      <w:r w:rsidR="002272E0">
        <w:rPr>
          <w:rStyle w:val="FootnoteReference"/>
        </w:rPr>
        <w:footnoteReference w:id="49"/>
      </w:r>
      <w:r w:rsidR="002272E0">
        <w:t xml:space="preserve"> by 31 March 2024 their views on the issues to be addressed during the </w:t>
      </w:r>
      <w:proofErr w:type="gramStart"/>
      <w:r w:rsidR="002272E0">
        <w:t>workshops;</w:t>
      </w:r>
      <w:bookmarkEnd w:id="88"/>
      <w:proofErr w:type="gramEnd"/>
    </w:p>
    <w:p w14:paraId="45B97BC1" w14:textId="523E3369" w:rsidR="002272E0" w:rsidRDefault="00406A0D" w:rsidP="00406A0D">
      <w:pPr>
        <w:pStyle w:val="RegSingleTxtG"/>
        <w:ind w:left="1134"/>
      </w:pPr>
      <w:r>
        <w:t>12.</w:t>
      </w:r>
      <w:r>
        <w:tab/>
      </w:r>
      <w:r w:rsidR="002272E0" w:rsidRPr="00641A7C">
        <w:rPr>
          <w:i/>
          <w:iCs/>
        </w:rPr>
        <w:t>Requests</w:t>
      </w:r>
      <w:r w:rsidR="002272E0" w:rsidRPr="005908AC">
        <w:t xml:space="preserve"> </w:t>
      </w:r>
      <w:r w:rsidR="002272E0">
        <w:t>the co-chairs</w:t>
      </w:r>
      <w:r w:rsidR="002272E0" w:rsidRPr="001333ED">
        <w:t xml:space="preserve"> </w:t>
      </w:r>
      <w:r w:rsidR="002272E0" w:rsidRPr="00E42373">
        <w:t>of the dialogue</w:t>
      </w:r>
      <w:r w:rsidR="002272E0">
        <w:t xml:space="preserve">, in convening the workshops, to take into consideration the submissions referred to in paragraph </w:t>
      </w:r>
      <w:r w:rsidR="002272E0">
        <w:rPr>
          <w:cs/>
        </w:rPr>
        <w:t>‎</w:t>
      </w:r>
      <w:r w:rsidR="00605CF6">
        <w:rPr>
          <w:cs/>
        </w:rPr>
        <w:t>‎</w:t>
      </w:r>
      <w:r w:rsidR="00605CF6">
        <w:t>11 above</w:t>
      </w:r>
      <w:r w:rsidR="002272E0">
        <w:t xml:space="preserve"> and the reports on the workshops referred to in paragraph </w:t>
      </w:r>
      <w:r w:rsidR="002272E0">
        <w:rPr>
          <w:cs/>
        </w:rPr>
        <w:t>‎</w:t>
      </w:r>
      <w:r w:rsidR="00605CF6">
        <w:rPr>
          <w:cs/>
        </w:rPr>
        <w:t>‎</w:t>
      </w:r>
      <w:r w:rsidR="00605CF6">
        <w:t>10 above</w:t>
      </w:r>
      <w:r w:rsidR="002272E0">
        <w:t xml:space="preserve">, and to facilitate the participation of a broad range of relevant </w:t>
      </w:r>
      <w:proofErr w:type="gramStart"/>
      <w:r w:rsidR="002272E0">
        <w:t>stakeholders;</w:t>
      </w:r>
      <w:proofErr w:type="gramEnd"/>
    </w:p>
    <w:p w14:paraId="77CD862F" w14:textId="58586597" w:rsidR="002272E0" w:rsidRDefault="00406A0D" w:rsidP="00406A0D">
      <w:pPr>
        <w:pStyle w:val="RegSingleTxtG"/>
        <w:ind w:left="1134"/>
      </w:pPr>
      <w:r>
        <w:t>13.</w:t>
      </w:r>
      <w:r>
        <w:tab/>
      </w:r>
      <w:r w:rsidR="002272E0">
        <w:rPr>
          <w:i/>
          <w:iCs/>
        </w:rPr>
        <w:t>Also r</w:t>
      </w:r>
      <w:r w:rsidR="002272E0" w:rsidRPr="00641A7C">
        <w:rPr>
          <w:i/>
          <w:iCs/>
        </w:rPr>
        <w:t>equests</w:t>
      </w:r>
      <w:r w:rsidR="002272E0">
        <w:t xml:space="preserve"> the co-chairs of the dialogue to prepare a report on the deliberations under the Sharm el-Sheikh dialogue in 2024 and 2025 for consideration by the Conference of the Parties serving as the meeting of the Parties to the Paris Agreement at its sixth and seventh (November 2025) sessions </w:t>
      </w:r>
      <w:proofErr w:type="gramStart"/>
      <w:r w:rsidR="002272E0">
        <w:t>respectively;</w:t>
      </w:r>
      <w:proofErr w:type="gramEnd"/>
      <w:r w:rsidR="002272E0">
        <w:t xml:space="preserve"> </w:t>
      </w:r>
    </w:p>
    <w:p w14:paraId="22A1A892" w14:textId="136D04A8" w:rsidR="002272E0" w:rsidRDefault="00406A0D" w:rsidP="00406A0D">
      <w:pPr>
        <w:pStyle w:val="RegSingleTxtG"/>
        <w:ind w:left="1134"/>
      </w:pPr>
      <w:bookmarkStart w:id="89" w:name="_Ref153206039"/>
      <w:r>
        <w:t>14.</w:t>
      </w:r>
      <w:r>
        <w:tab/>
      </w:r>
      <w:r w:rsidR="002272E0" w:rsidRPr="00641A7C">
        <w:rPr>
          <w:i/>
          <w:iCs/>
        </w:rPr>
        <w:t>Further requests</w:t>
      </w:r>
      <w:r w:rsidR="002272E0">
        <w:t xml:space="preserve"> the co-chairs of the dialogue to prepare, as part of their report in 2025, a synthesis of all work undertaken under the Sharm el-Sheikh dialogue for consideration by the Conference of the Parties serving as the meeting of the Parties to the Paris Agreement at its seventh session with a view to the Conference of the Parties serving as the meeting of the Parties to the Paris Agreement at its seventh session deciding on a way forward with regard to its deliberations on this matter;</w:t>
      </w:r>
      <w:bookmarkEnd w:id="89"/>
    </w:p>
    <w:p w14:paraId="2ECCA74E" w14:textId="70DAC2B8" w:rsidR="002272E0" w:rsidRPr="00FE0355" w:rsidRDefault="00406A0D" w:rsidP="00406A0D">
      <w:pPr>
        <w:pStyle w:val="RegHChG"/>
        <w:tabs>
          <w:tab w:val="left" w:pos="1135"/>
        </w:tabs>
        <w:ind w:left="1135" w:hanging="454"/>
      </w:pPr>
      <w:bookmarkStart w:id="90" w:name="_Toc161241768"/>
      <w:bookmarkStart w:id="91" w:name="_Toc161241994"/>
      <w:r w:rsidRPr="00FE0355">
        <w:t>II.</w:t>
      </w:r>
      <w:r w:rsidRPr="00FE0355">
        <w:tab/>
      </w:r>
      <w:r w:rsidR="002272E0" w:rsidRPr="00FE0355">
        <w:t>Adaptation finance</w:t>
      </w:r>
      <w:bookmarkEnd w:id="90"/>
      <w:bookmarkEnd w:id="91"/>
    </w:p>
    <w:p w14:paraId="7C3B3300" w14:textId="6B3F277C" w:rsidR="002272E0" w:rsidRPr="00F80C97" w:rsidRDefault="00406A0D" w:rsidP="00406A0D">
      <w:pPr>
        <w:pStyle w:val="RegSingleTxtG"/>
        <w:ind w:left="1134"/>
      </w:pPr>
      <w:r w:rsidRPr="00F80C97">
        <w:t>15.</w:t>
      </w:r>
      <w:r w:rsidRPr="00F80C97">
        <w:tab/>
      </w:r>
      <w:r w:rsidR="002272E0" w:rsidRPr="00774E3E">
        <w:rPr>
          <w:i/>
          <w:iCs/>
        </w:rPr>
        <w:t>Recognizes</w:t>
      </w:r>
      <w:r w:rsidR="002272E0" w:rsidRPr="005908AC">
        <w:t xml:space="preserve"> </w:t>
      </w:r>
      <w:r w:rsidR="002272E0">
        <w:t xml:space="preserve">the urgent need to scale up adaptation finance and </w:t>
      </w:r>
      <w:r w:rsidR="002272E0" w:rsidRPr="0026383B">
        <w:rPr>
          <w:i/>
          <w:iCs/>
        </w:rPr>
        <w:t>notes</w:t>
      </w:r>
      <w:r w:rsidR="002272E0">
        <w:t xml:space="preserve"> the relevant information contained in the technical report on the doubling of adaptation finance;</w:t>
      </w:r>
      <w:r w:rsidR="002272E0">
        <w:rPr>
          <w:rStyle w:val="FootnoteReference"/>
        </w:rPr>
        <w:footnoteReference w:id="50"/>
      </w:r>
    </w:p>
    <w:p w14:paraId="062074C6" w14:textId="3F56426D" w:rsidR="002272E0" w:rsidRDefault="00406A0D" w:rsidP="00406A0D">
      <w:pPr>
        <w:pStyle w:val="RegSingleTxtG"/>
        <w:ind w:left="1134"/>
      </w:pPr>
      <w:r>
        <w:t>16.</w:t>
      </w:r>
      <w:r>
        <w:tab/>
      </w:r>
      <w:r w:rsidR="002272E0">
        <w:rPr>
          <w:i/>
          <w:iCs/>
        </w:rPr>
        <w:t>Also n</w:t>
      </w:r>
      <w:r w:rsidR="002272E0" w:rsidRPr="00D32238">
        <w:rPr>
          <w:i/>
          <w:iCs/>
        </w:rPr>
        <w:t>otes</w:t>
      </w:r>
      <w:r w:rsidR="002272E0">
        <w:t xml:space="preserve"> the executive summary of the report on the doubling of adaptation finance</w:t>
      </w:r>
      <w:r w:rsidR="002272E0">
        <w:rPr>
          <w:rStyle w:val="FootnoteReference"/>
        </w:rPr>
        <w:footnoteReference w:id="51"/>
      </w:r>
      <w:r w:rsidR="002272E0">
        <w:t xml:space="preserve"> </w:t>
      </w:r>
      <w:r w:rsidR="002272E0" w:rsidRPr="006F3DCF">
        <w:t xml:space="preserve">and the recommendations </w:t>
      </w:r>
      <w:r w:rsidR="002272E0">
        <w:t xml:space="preserve">therein and </w:t>
      </w:r>
      <w:r w:rsidR="002272E0" w:rsidRPr="00523330">
        <w:rPr>
          <w:i/>
          <w:iCs/>
        </w:rPr>
        <w:t>encourages</w:t>
      </w:r>
      <w:r w:rsidR="002272E0" w:rsidRPr="00301F4C">
        <w:t xml:space="preserve"> Parties to consider implementing th</w:t>
      </w:r>
      <w:r w:rsidR="002272E0">
        <w:t>os</w:t>
      </w:r>
      <w:r w:rsidR="002272E0" w:rsidRPr="00301F4C">
        <w:t xml:space="preserve">e recommendations, as </w:t>
      </w:r>
      <w:proofErr w:type="gramStart"/>
      <w:r w:rsidR="002272E0" w:rsidRPr="00301F4C">
        <w:t>appropriate</w:t>
      </w:r>
      <w:r w:rsidR="002272E0">
        <w:t>;</w:t>
      </w:r>
      <w:proofErr w:type="gramEnd"/>
    </w:p>
    <w:p w14:paraId="262C8774" w14:textId="6ACFC21A" w:rsidR="002272E0" w:rsidRDefault="00406A0D" w:rsidP="00406A0D">
      <w:pPr>
        <w:pStyle w:val="RegSingleTxtG"/>
        <w:ind w:left="1134"/>
      </w:pPr>
      <w:r>
        <w:t>17.</w:t>
      </w:r>
      <w:r>
        <w:tab/>
      </w:r>
      <w:r w:rsidR="002272E0" w:rsidRPr="00774E3E">
        <w:rPr>
          <w:i/>
          <w:iCs/>
        </w:rPr>
        <w:t>Invites</w:t>
      </w:r>
      <w:r w:rsidR="002272E0">
        <w:t xml:space="preserve"> developed country Parties to continue to enhance transparency regarding their effort to double adaptation finance, including by, as appropriate, providing relevant information on a baseline for the doubling of adaptation </w:t>
      </w:r>
      <w:proofErr w:type="gramStart"/>
      <w:r w:rsidR="002272E0">
        <w:t>finance;</w:t>
      </w:r>
      <w:proofErr w:type="gramEnd"/>
    </w:p>
    <w:p w14:paraId="15553779" w14:textId="2EC586C3" w:rsidR="002272E0" w:rsidRPr="001D78D8" w:rsidRDefault="00406A0D" w:rsidP="00406A0D">
      <w:pPr>
        <w:pStyle w:val="RegHChG"/>
        <w:tabs>
          <w:tab w:val="left" w:pos="1135"/>
        </w:tabs>
        <w:ind w:left="1135" w:hanging="454"/>
      </w:pPr>
      <w:bookmarkStart w:id="92" w:name="_Toc161241769"/>
      <w:bookmarkStart w:id="93" w:name="_Toc161241995"/>
      <w:r w:rsidRPr="001D78D8">
        <w:t>III.</w:t>
      </w:r>
      <w:r w:rsidRPr="001D78D8">
        <w:tab/>
      </w:r>
      <w:r w:rsidR="002272E0" w:rsidRPr="001D78D8">
        <w:t>Article 4, paragraph 5, of the Paris Agreement</w:t>
      </w:r>
      <w:bookmarkEnd w:id="92"/>
      <w:bookmarkEnd w:id="93"/>
      <w:r w:rsidR="002272E0" w:rsidRPr="001D78D8">
        <w:t xml:space="preserve"> </w:t>
      </w:r>
    </w:p>
    <w:p w14:paraId="013DD7A1" w14:textId="6169B159" w:rsidR="002272E0" w:rsidRPr="00606A11" w:rsidRDefault="00406A0D" w:rsidP="00406A0D">
      <w:pPr>
        <w:pStyle w:val="RegSingleTxtG"/>
        <w:ind w:left="1134"/>
      </w:pPr>
      <w:bookmarkStart w:id="94" w:name="_Hlk153100473"/>
      <w:r w:rsidRPr="00606A11">
        <w:t>18.</w:t>
      </w:r>
      <w:r w:rsidRPr="00606A11">
        <w:tab/>
      </w:r>
      <w:r w:rsidR="002272E0" w:rsidRPr="00C54818">
        <w:rPr>
          <w:rStyle w:val="ui-provider"/>
          <w:i/>
          <w:iCs/>
        </w:rPr>
        <w:t>Requests</w:t>
      </w:r>
      <w:r w:rsidR="002272E0" w:rsidRPr="00606A11">
        <w:rPr>
          <w:rStyle w:val="ui-provider"/>
        </w:rPr>
        <w:t xml:space="preserve"> the Standing Committee on Finance to consider Article 4, paragraph 5, of the Paris Agreement in</w:t>
      </w:r>
      <w:r w:rsidR="002272E0" w:rsidRPr="00C54818">
        <w:rPr>
          <w:rStyle w:val="ui-provider"/>
        </w:rPr>
        <w:t xml:space="preserve"> implementing</w:t>
      </w:r>
      <w:r w:rsidR="002272E0" w:rsidRPr="00606A11">
        <w:rPr>
          <w:rStyle w:val="ui-provider"/>
        </w:rPr>
        <w:t xml:space="preserve"> its relevant mandates and workplan</w:t>
      </w:r>
      <w:bookmarkEnd w:id="94"/>
      <w:r w:rsidR="002272E0" w:rsidRPr="00606A11">
        <w:rPr>
          <w:rStyle w:val="ui-provider"/>
        </w:rPr>
        <w:t>;</w:t>
      </w:r>
      <w:r w:rsidR="002272E0" w:rsidRPr="00F129C8" w:rsidDel="000D0451">
        <w:rPr>
          <w:rStyle w:val="FootnoteReference"/>
        </w:rPr>
        <w:t xml:space="preserve"> </w:t>
      </w:r>
    </w:p>
    <w:p w14:paraId="3C85F795" w14:textId="76D195B8" w:rsidR="002272E0" w:rsidRDefault="00406A0D" w:rsidP="00406A0D">
      <w:pPr>
        <w:pStyle w:val="RegSingleTxtG"/>
        <w:ind w:left="1134"/>
      </w:pPr>
      <w:r>
        <w:t>19.</w:t>
      </w:r>
      <w:r>
        <w:tab/>
      </w:r>
      <w:r w:rsidR="002272E0" w:rsidRPr="000359E6">
        <w:rPr>
          <w:i/>
          <w:iCs/>
        </w:rPr>
        <w:t>Takes note</w:t>
      </w:r>
      <w:r w:rsidR="002272E0">
        <w:t xml:space="preserve"> of the estimated budgetary implications of the activities to be undertaken by the secretariat referred to in paragraphs </w:t>
      </w:r>
      <w:r w:rsidR="00605CF6">
        <w:rPr>
          <w:cs/>
        </w:rPr>
        <w:t>‎</w:t>
      </w:r>
      <w:r w:rsidR="00605CF6">
        <w:t>8</w:t>
      </w:r>
      <w:r w:rsidR="002272E0" w:rsidRPr="009F3EF4">
        <w:t>–</w:t>
      </w:r>
      <w:r w:rsidR="00605CF6">
        <w:rPr>
          <w:cs/>
        </w:rPr>
        <w:t>‎</w:t>
      </w:r>
      <w:r w:rsidR="00605CF6">
        <w:t xml:space="preserve">14 </w:t>
      </w:r>
      <w:proofErr w:type="gramStart"/>
      <w:r w:rsidR="00605CF6">
        <w:t>above</w:t>
      </w:r>
      <w:r w:rsidR="002272E0">
        <w:t>;</w:t>
      </w:r>
      <w:proofErr w:type="gramEnd"/>
    </w:p>
    <w:p w14:paraId="7A77DC87" w14:textId="18119D70" w:rsidR="002272E0" w:rsidRDefault="00406A0D" w:rsidP="00406A0D">
      <w:pPr>
        <w:pStyle w:val="RegSingleTxtG"/>
        <w:ind w:left="1134"/>
      </w:pPr>
      <w:r>
        <w:t>20.</w:t>
      </w:r>
      <w:r>
        <w:tab/>
      </w:r>
      <w:r w:rsidR="002272E0" w:rsidRPr="475BDDDD">
        <w:rPr>
          <w:i/>
          <w:iCs/>
        </w:rPr>
        <w:t>Requests</w:t>
      </w:r>
      <w:r w:rsidR="002272E0" w:rsidRPr="002F5967">
        <w:t xml:space="preserve"> that the actions of the secretariat called for in this decision be undertaken subject to the availability of financial resources</w:t>
      </w:r>
      <w:r w:rsidR="002272E0">
        <w:t>.</w:t>
      </w:r>
    </w:p>
    <w:p w14:paraId="405C6756" w14:textId="4695F1BB" w:rsidR="00D9740A" w:rsidRPr="000F6262" w:rsidRDefault="00AD1686" w:rsidP="00311E47">
      <w:pPr>
        <w:tabs>
          <w:tab w:val="left" w:pos="1701"/>
        </w:tabs>
        <w:spacing w:line="20" w:lineRule="atLeast"/>
        <w:ind w:left="6521" w:right="1134"/>
        <w:jc w:val="right"/>
        <w:rPr>
          <w:i/>
          <w:iCs/>
        </w:rPr>
      </w:pPr>
      <w:r>
        <w:rPr>
          <w:i/>
          <w:iCs/>
        </w:rPr>
        <w:t>6</w:t>
      </w:r>
      <w:r w:rsidRPr="00AD1686">
        <w:rPr>
          <w:i/>
          <w:iCs/>
          <w:vertAlign w:val="superscript"/>
        </w:rPr>
        <w:t>th</w:t>
      </w:r>
      <w:r>
        <w:rPr>
          <w:i/>
          <w:iCs/>
        </w:rPr>
        <w:t xml:space="preserve"> </w:t>
      </w:r>
      <w:r w:rsidR="00D9740A" w:rsidRPr="000F6262">
        <w:rPr>
          <w:i/>
          <w:iCs/>
        </w:rPr>
        <w:t>plenary meeting</w:t>
      </w:r>
    </w:p>
    <w:p w14:paraId="33F5362B" w14:textId="77777777" w:rsidR="00D9740A" w:rsidRPr="000F6262" w:rsidRDefault="00D9740A" w:rsidP="00311E47">
      <w:pPr>
        <w:tabs>
          <w:tab w:val="left" w:pos="1701"/>
        </w:tabs>
        <w:spacing w:line="20" w:lineRule="atLeast"/>
        <w:ind w:left="6521" w:right="1134"/>
        <w:jc w:val="right"/>
        <w:rPr>
          <w:i/>
          <w:iCs/>
        </w:rPr>
      </w:pPr>
      <w:r w:rsidRPr="000F6262">
        <w:rPr>
          <w:i/>
          <w:iCs/>
        </w:rPr>
        <w:t>13 December 2023</w:t>
      </w:r>
    </w:p>
    <w:bookmarkEnd w:id="82"/>
    <w:p w14:paraId="16D6B91E" w14:textId="77777777" w:rsidR="007B0234" w:rsidRPr="00587F60" w:rsidRDefault="007B0234" w:rsidP="00D9740A">
      <w:pPr>
        <w:pStyle w:val="AnnoSingleTxtG"/>
        <w:tabs>
          <w:tab w:val="clear" w:pos="1702"/>
        </w:tabs>
        <w:ind w:left="1135" w:firstLine="0"/>
        <w:jc w:val="center"/>
        <w:rPr>
          <w:rFonts w:eastAsia="Times New Roman"/>
          <w:color w:val="000000"/>
        </w:rPr>
        <w:sectPr w:rsidR="007B0234" w:rsidRPr="00587F60" w:rsidSect="00DA6BD2">
          <w:headerReference w:type="even" r:id="rId35"/>
          <w:headerReference w:type="default" r:id="rId36"/>
          <w:footerReference w:type="even" r:id="rId37"/>
          <w:footerReference w:type="default" r:id="rId38"/>
          <w:headerReference w:type="first" r:id="rId39"/>
          <w:footnotePr>
            <w:numRestart w:val="eachSect"/>
          </w:footnotePr>
          <w:pgSz w:w="11906" w:h="16838" w:code="9"/>
          <w:pgMar w:top="1417" w:right="1134" w:bottom="1134" w:left="1134" w:header="850" w:footer="567" w:gutter="0"/>
          <w:cols w:space="708"/>
          <w:docGrid w:linePitch="360"/>
        </w:sectPr>
      </w:pPr>
    </w:p>
    <w:p w14:paraId="0E0C088B" w14:textId="6ECECE06" w:rsidR="007C70DA" w:rsidRPr="00C17F8D" w:rsidRDefault="007C70DA" w:rsidP="00406A0D">
      <w:pPr>
        <w:pStyle w:val="RegHChG"/>
        <w:spacing w:before="240"/>
        <w:ind w:left="1134" w:hanging="454"/>
        <w:rPr>
          <w:szCs w:val="28"/>
        </w:rPr>
      </w:pPr>
      <w:bookmarkStart w:id="95" w:name="_Toc161241770"/>
      <w:bookmarkStart w:id="96" w:name="_Toc161241996"/>
      <w:bookmarkStart w:id="97" w:name="decision10"/>
      <w:r w:rsidRPr="00C17F8D">
        <w:rPr>
          <w:szCs w:val="28"/>
        </w:rPr>
        <w:lastRenderedPageBreak/>
        <w:t>Decision 10/CMA.5</w:t>
      </w:r>
      <w:bookmarkEnd w:id="95"/>
      <w:bookmarkEnd w:id="96"/>
    </w:p>
    <w:p w14:paraId="7EB08672" w14:textId="77777777" w:rsidR="007C70DA" w:rsidRPr="00A96DC7" w:rsidRDefault="007C70DA" w:rsidP="007C70DA">
      <w:pPr>
        <w:pStyle w:val="HChG"/>
      </w:pPr>
      <w:r>
        <w:tab/>
      </w:r>
      <w:r>
        <w:tab/>
      </w:r>
      <w:r w:rsidRPr="004C29EB">
        <w:t>Guidance to the Green Climate Fund</w:t>
      </w:r>
    </w:p>
    <w:p w14:paraId="5ECC6F0A" w14:textId="08C41159" w:rsidR="000C5778" w:rsidRDefault="007F2C81" w:rsidP="00AD06EA">
      <w:pPr>
        <w:pStyle w:val="RegSingleTxtG"/>
        <w:ind w:left="1134"/>
        <w:rPr>
          <w:iCs/>
        </w:rPr>
      </w:pPr>
      <w:r>
        <w:rPr>
          <w:i/>
          <w:iCs/>
          <w:color w:val="000000"/>
        </w:rPr>
        <w:tab/>
      </w:r>
      <w:r w:rsidR="007C70DA" w:rsidRPr="00690FE7" w:rsidDel="00673F06">
        <w:rPr>
          <w:i/>
          <w:iCs/>
          <w:color w:val="000000"/>
        </w:rPr>
        <w:t>The</w:t>
      </w:r>
      <w:r w:rsidR="007C70DA" w:rsidRPr="00690FE7" w:rsidDel="00673F06">
        <w:rPr>
          <w:i/>
          <w:iCs/>
        </w:rPr>
        <w:t xml:space="preserve"> Conference of the Parties serving as the meeting of the Parties to the Paris Agreement</w:t>
      </w:r>
    </w:p>
    <w:p w14:paraId="32D139D7" w14:textId="4711FC87" w:rsidR="008B6470" w:rsidRPr="00BE1058" w:rsidRDefault="00406A0D" w:rsidP="00406A0D">
      <w:pPr>
        <w:pStyle w:val="RegSingleTxtG"/>
        <w:ind w:left="1134"/>
        <w:rPr>
          <w:b/>
          <w:bCs/>
        </w:rPr>
      </w:pPr>
      <w:r w:rsidRPr="00BE1058">
        <w:t>1.</w:t>
      </w:r>
      <w:r w:rsidRPr="00BE1058">
        <w:tab/>
      </w:r>
      <w:r w:rsidR="008B6470" w:rsidRPr="001F68CC">
        <w:rPr>
          <w:i/>
        </w:rPr>
        <w:t>Recommends</w:t>
      </w:r>
      <w:r w:rsidR="008B6470" w:rsidRPr="001F68CC">
        <w:t xml:space="preserve"> that the Conference of the Parties at its twenty-eighth session transmit to the Green Climate Fund the guidance contained in </w:t>
      </w:r>
      <w:r w:rsidR="008B6470" w:rsidRPr="00F73C71">
        <w:t xml:space="preserve">paragraphs </w:t>
      </w:r>
      <w:r w:rsidR="008B6470" w:rsidRPr="008E0E68">
        <w:t>2–6</w:t>
      </w:r>
      <w:r w:rsidR="008B6470" w:rsidRPr="00F73C71">
        <w:t xml:space="preserve"> below</w:t>
      </w:r>
      <w:r w:rsidR="008B6470" w:rsidRPr="001F68CC">
        <w:t>;</w:t>
      </w:r>
      <w:r w:rsidR="008B6470" w:rsidRPr="001F68CC">
        <w:rPr>
          <w:rStyle w:val="FootnoteReference"/>
        </w:rPr>
        <w:footnoteReference w:id="52"/>
      </w:r>
    </w:p>
    <w:p w14:paraId="55F81D1D" w14:textId="43DE6D40" w:rsidR="00F20803" w:rsidRPr="005A19D9" w:rsidRDefault="00406A0D" w:rsidP="00406A0D">
      <w:pPr>
        <w:pStyle w:val="RegSingleTxtG"/>
        <w:ind w:left="1134"/>
        <w:rPr>
          <w:b/>
          <w:bCs/>
        </w:rPr>
      </w:pPr>
      <w:r w:rsidRPr="005A19D9">
        <w:t>2.</w:t>
      </w:r>
      <w:r w:rsidRPr="005A19D9">
        <w:tab/>
      </w:r>
      <w:r w:rsidR="00F20803" w:rsidRPr="001F68CC">
        <w:rPr>
          <w:i/>
        </w:rPr>
        <w:t>Welcomes</w:t>
      </w:r>
      <w:r w:rsidR="00F20803" w:rsidRPr="001F68CC">
        <w:t xml:space="preserve"> the report of the Green Climate Fund to the Conference of the Parties at its twenty-eighth session and its addendum,</w:t>
      </w:r>
      <w:r w:rsidR="00F20803" w:rsidRPr="001F68CC">
        <w:rPr>
          <w:rStyle w:val="FootnoteReference"/>
        </w:rPr>
        <w:footnoteReference w:id="53"/>
      </w:r>
      <w:r w:rsidR="00F20803" w:rsidRPr="001F68CC">
        <w:t xml:space="preserve"> including the information on action taken by the Board of the Green Climate Fund in response to guidance received from the Conference of the </w:t>
      </w:r>
      <w:proofErr w:type="gramStart"/>
      <w:r w:rsidR="00F20803" w:rsidRPr="001F68CC">
        <w:t>Parties;</w:t>
      </w:r>
      <w:proofErr w:type="gramEnd"/>
    </w:p>
    <w:p w14:paraId="00161E78" w14:textId="3350F547" w:rsidR="007C70DA" w:rsidRPr="005A19D9" w:rsidRDefault="00406A0D" w:rsidP="00406A0D">
      <w:pPr>
        <w:pStyle w:val="RegSingleTxtG"/>
        <w:ind w:left="1134"/>
        <w:rPr>
          <w:b/>
          <w:bCs/>
        </w:rPr>
      </w:pPr>
      <w:r w:rsidRPr="005A19D9">
        <w:t>3.</w:t>
      </w:r>
      <w:r w:rsidRPr="005A19D9">
        <w:tab/>
      </w:r>
      <w:r w:rsidR="007C70DA" w:rsidRPr="004008A8">
        <w:rPr>
          <w:i/>
        </w:rPr>
        <w:t xml:space="preserve">Also welcomes </w:t>
      </w:r>
      <w:r w:rsidR="007C70DA" w:rsidRPr="005A19D9">
        <w:rPr>
          <w:bCs/>
        </w:rPr>
        <w:t xml:space="preserve">the </w:t>
      </w:r>
      <w:r w:rsidR="007C70DA" w:rsidRPr="005A19D9">
        <w:rPr>
          <w:bCs/>
          <w:iCs/>
        </w:rPr>
        <w:t xml:space="preserve">programmatic priorities and targets in the </w:t>
      </w:r>
      <w:r w:rsidR="007C70DA" w:rsidRPr="005A19D9">
        <w:rPr>
          <w:bCs/>
        </w:rPr>
        <w:t>Strategic Plan for the Green Climate Fund 2024–2027</w:t>
      </w:r>
      <w:r w:rsidR="007C70DA" w:rsidRPr="005A19D9">
        <w:rPr>
          <w:rStyle w:val="FootnoteReference"/>
          <w:bCs/>
        </w:rPr>
        <w:footnoteReference w:id="54"/>
      </w:r>
      <w:r w:rsidR="007C70DA" w:rsidRPr="005A19D9">
        <w:rPr>
          <w:bCs/>
        </w:rPr>
        <w:t xml:space="preserve"> </w:t>
      </w:r>
      <w:r w:rsidR="007C70DA" w:rsidRPr="005A19D9">
        <w:rPr>
          <w:bCs/>
          <w:iCs/>
        </w:rPr>
        <w:t xml:space="preserve">and </w:t>
      </w:r>
      <w:r w:rsidR="007C70DA" w:rsidRPr="005A19D9">
        <w:rPr>
          <w:bCs/>
          <w:i/>
        </w:rPr>
        <w:t>encourages</w:t>
      </w:r>
      <w:r w:rsidR="007C70DA" w:rsidRPr="005A19D9">
        <w:rPr>
          <w:bCs/>
          <w:iCs/>
        </w:rPr>
        <w:t xml:space="preserve"> the Board to expedite</w:t>
      </w:r>
      <w:r w:rsidR="007C70DA" w:rsidRPr="005A19D9">
        <w:rPr>
          <w:bCs/>
        </w:rPr>
        <w:t xml:space="preserve"> their </w:t>
      </w:r>
      <w:proofErr w:type="gramStart"/>
      <w:r w:rsidR="007C70DA" w:rsidRPr="005A19D9">
        <w:rPr>
          <w:bCs/>
        </w:rPr>
        <w:t>implementation;</w:t>
      </w:r>
      <w:proofErr w:type="gramEnd"/>
    </w:p>
    <w:p w14:paraId="6B9B82EF" w14:textId="0D272F5F" w:rsidR="007C70DA" w:rsidRPr="005A19D9" w:rsidRDefault="00406A0D" w:rsidP="00406A0D">
      <w:pPr>
        <w:pStyle w:val="RegSingleTxtG"/>
        <w:ind w:left="1134"/>
        <w:rPr>
          <w:b/>
          <w:bCs/>
        </w:rPr>
      </w:pPr>
      <w:r w:rsidRPr="005A19D9">
        <w:t>4.</w:t>
      </w:r>
      <w:r w:rsidRPr="005A19D9">
        <w:tab/>
      </w:r>
      <w:r w:rsidR="007C70DA" w:rsidRPr="005A19D9">
        <w:rPr>
          <w:i/>
          <w:iCs/>
        </w:rPr>
        <w:t xml:space="preserve">Requests </w:t>
      </w:r>
      <w:r w:rsidR="007C70DA" w:rsidRPr="005A19D9">
        <w:rPr>
          <w:bCs/>
        </w:rPr>
        <w:t xml:space="preserve">the Board to continue </w:t>
      </w:r>
      <w:r w:rsidR="007C70DA" w:rsidRPr="005A19D9" w:rsidDel="00541051">
        <w:rPr>
          <w:bCs/>
        </w:rPr>
        <w:t xml:space="preserve">its </w:t>
      </w:r>
      <w:r w:rsidR="007C70DA" w:rsidRPr="005A19D9">
        <w:rPr>
          <w:bCs/>
        </w:rPr>
        <w:t>consideration</w:t>
      </w:r>
      <w:r w:rsidR="007C70DA" w:rsidRPr="005A19D9" w:rsidDel="000D74D4">
        <w:rPr>
          <w:bCs/>
        </w:rPr>
        <w:t xml:space="preserve">, </w:t>
      </w:r>
      <w:r w:rsidR="007C70DA" w:rsidRPr="005A19D9">
        <w:rPr>
          <w:bCs/>
        </w:rPr>
        <w:t xml:space="preserve">with a view to </w:t>
      </w:r>
      <w:r w:rsidR="007C70DA" w:rsidRPr="005A19D9" w:rsidDel="000D74D4">
        <w:rPr>
          <w:bCs/>
        </w:rPr>
        <w:t>approv</w:t>
      </w:r>
      <w:r w:rsidR="007C70DA" w:rsidRPr="005A19D9">
        <w:rPr>
          <w:bCs/>
        </w:rPr>
        <w:t>ing</w:t>
      </w:r>
      <w:r w:rsidR="007C70DA" w:rsidRPr="005A19D9" w:rsidDel="000D74D4">
        <w:rPr>
          <w:bCs/>
        </w:rPr>
        <w:t xml:space="preserve"> </w:t>
      </w:r>
      <w:r w:rsidR="007C70DA" w:rsidRPr="005A19D9">
        <w:rPr>
          <w:bCs/>
        </w:rPr>
        <w:t xml:space="preserve">policy </w:t>
      </w:r>
      <w:r w:rsidR="007C70DA" w:rsidRPr="005A19D9" w:rsidDel="000D74D4">
        <w:rPr>
          <w:bCs/>
        </w:rPr>
        <w:t>proposals,</w:t>
      </w:r>
      <w:r w:rsidR="007C70DA" w:rsidRPr="005A19D9">
        <w:rPr>
          <w:bCs/>
        </w:rPr>
        <w:t xml:space="preserve"> to </w:t>
      </w:r>
      <w:r w:rsidR="007C70DA" w:rsidRPr="005A19D9" w:rsidDel="002475CF">
        <w:rPr>
          <w:bCs/>
        </w:rPr>
        <w:t>support</w:t>
      </w:r>
      <w:r w:rsidR="007C70DA" w:rsidRPr="005A19D9">
        <w:rPr>
          <w:bCs/>
        </w:rPr>
        <w:t xml:space="preserve"> results-based payments for activities </w:t>
      </w:r>
      <w:r w:rsidR="007C70DA" w:rsidRPr="005A19D9">
        <w:rPr>
          <w:bCs/>
          <w:color w:val="000000"/>
        </w:rPr>
        <w:t xml:space="preserve">referred to in decision 1/CP.16, paragraph 70, </w:t>
      </w:r>
      <w:r w:rsidR="007C70DA" w:rsidRPr="005A19D9">
        <w:rPr>
          <w:bCs/>
        </w:rPr>
        <w:t>in accordance with Article 5, paragraph 2, of the Paris Agreement, consistent</w:t>
      </w:r>
      <w:r w:rsidR="00C171E8">
        <w:rPr>
          <w:bCs/>
        </w:rPr>
        <w:t>ly</w:t>
      </w:r>
      <w:r w:rsidR="007C70DA" w:rsidRPr="005A19D9">
        <w:rPr>
          <w:bCs/>
        </w:rPr>
        <w:t xml:space="preserve"> with the provisions in paragraphs 35 and 55 of the Governing Instrument for the Green Climate </w:t>
      </w:r>
      <w:proofErr w:type="gramStart"/>
      <w:r w:rsidR="007C70DA" w:rsidRPr="005A19D9">
        <w:rPr>
          <w:bCs/>
        </w:rPr>
        <w:t>Fund;</w:t>
      </w:r>
      <w:proofErr w:type="gramEnd"/>
    </w:p>
    <w:p w14:paraId="47FB0482" w14:textId="3590C01F" w:rsidR="007C70DA" w:rsidRPr="005A19D9" w:rsidRDefault="00406A0D" w:rsidP="00406A0D">
      <w:pPr>
        <w:pStyle w:val="RegSingleTxtG"/>
        <w:ind w:left="1134"/>
        <w:rPr>
          <w:b/>
          <w:bCs/>
        </w:rPr>
      </w:pPr>
      <w:r w:rsidRPr="005A19D9">
        <w:t>5.</w:t>
      </w:r>
      <w:r w:rsidRPr="005A19D9">
        <w:tab/>
      </w:r>
      <w:r w:rsidR="007C70DA" w:rsidRPr="005A19D9">
        <w:rPr>
          <w:i/>
          <w:iCs/>
        </w:rPr>
        <w:t xml:space="preserve">Also requests </w:t>
      </w:r>
      <w:r w:rsidR="007C70DA" w:rsidRPr="005A19D9">
        <w:t xml:space="preserve">the Board to take </w:t>
      </w:r>
      <w:r w:rsidR="007C70DA" w:rsidRPr="002B2DC3">
        <w:t xml:space="preserve">into consideration the </w:t>
      </w:r>
      <w:r w:rsidR="00030DC1">
        <w:t>U</w:t>
      </w:r>
      <w:r w:rsidR="00FD56F8">
        <w:t xml:space="preserve">nited </w:t>
      </w:r>
      <w:r w:rsidR="00030DC1">
        <w:t>A</w:t>
      </w:r>
      <w:r w:rsidR="00FD56F8">
        <w:t xml:space="preserve">rab </w:t>
      </w:r>
      <w:r w:rsidR="00030DC1">
        <w:t>E</w:t>
      </w:r>
      <w:r w:rsidR="00FD56F8">
        <w:t>mirates</w:t>
      </w:r>
      <w:r w:rsidR="00943120" w:rsidRPr="002B2DC3">
        <w:t xml:space="preserve"> Framework for Global Climate Resilience</w:t>
      </w:r>
      <w:r w:rsidR="007C70DA" w:rsidRPr="002B2DC3" w:rsidDel="00943120">
        <w:t xml:space="preserve"> </w:t>
      </w:r>
      <w:r w:rsidR="007C70DA" w:rsidRPr="002B2DC3">
        <w:t xml:space="preserve">referred to in decision </w:t>
      </w:r>
      <w:r w:rsidR="00C06CAB" w:rsidRPr="002B2DC3">
        <w:t>2</w:t>
      </w:r>
      <w:r w:rsidR="007C70DA" w:rsidRPr="002B2DC3">
        <w:t>/CMA.5 and explore ways to assist</w:t>
      </w:r>
      <w:r w:rsidR="007C70DA" w:rsidRPr="007860B2">
        <w:t xml:space="preserve"> Parties in fully and effectively implementing the </w:t>
      </w:r>
      <w:r w:rsidR="002E6176">
        <w:t xml:space="preserve">global </w:t>
      </w:r>
      <w:r w:rsidR="007C70DA" w:rsidRPr="007860B2">
        <w:t>goal</w:t>
      </w:r>
      <w:r w:rsidR="002E6176">
        <w:t xml:space="preserve"> on adaptation</w:t>
      </w:r>
      <w:r w:rsidR="007C70DA" w:rsidRPr="007860B2">
        <w:t>, in line with the existing</w:t>
      </w:r>
      <w:r w:rsidR="007C70DA" w:rsidRPr="005A19D9" w:rsidDel="00506D63">
        <w:rPr>
          <w:bCs/>
        </w:rPr>
        <w:t xml:space="preserve"> </w:t>
      </w:r>
      <w:r w:rsidR="007C70DA" w:rsidRPr="005A19D9">
        <w:rPr>
          <w:bCs/>
        </w:rPr>
        <w:t xml:space="preserve">investment, results framework and funding windows and structures of the Green Climate </w:t>
      </w:r>
      <w:proofErr w:type="gramStart"/>
      <w:r w:rsidR="007C70DA" w:rsidRPr="005A19D9">
        <w:rPr>
          <w:bCs/>
        </w:rPr>
        <w:t>Fund;</w:t>
      </w:r>
      <w:proofErr w:type="gramEnd"/>
    </w:p>
    <w:p w14:paraId="03E8D642" w14:textId="1BC37CA0" w:rsidR="007C70DA" w:rsidRPr="005A19D9" w:rsidRDefault="00406A0D" w:rsidP="00406A0D">
      <w:pPr>
        <w:pStyle w:val="RegSingleTxtG"/>
        <w:ind w:left="1134"/>
        <w:rPr>
          <w:b/>
          <w:bCs/>
        </w:rPr>
      </w:pPr>
      <w:r w:rsidRPr="005A19D9">
        <w:t>6.</w:t>
      </w:r>
      <w:r w:rsidRPr="005A19D9">
        <w:tab/>
      </w:r>
      <w:r w:rsidR="007C70DA" w:rsidRPr="005A19D9">
        <w:rPr>
          <w:i/>
          <w:iCs/>
        </w:rPr>
        <w:t>Urges</w:t>
      </w:r>
      <w:r w:rsidR="007C70DA" w:rsidRPr="005A19D9">
        <w:rPr>
          <w:bCs/>
        </w:rPr>
        <w:t xml:space="preserve"> the Board to continue efforts to enhance access to climate finance in a predictable manner</w:t>
      </w:r>
      <w:r w:rsidR="007C70DA" w:rsidRPr="005A19D9" w:rsidDel="00ED0E4B">
        <w:rPr>
          <w:bCs/>
        </w:rPr>
        <w:t xml:space="preserve"> </w:t>
      </w:r>
      <w:r w:rsidR="007C70DA" w:rsidRPr="005A19D9">
        <w:rPr>
          <w:bCs/>
        </w:rPr>
        <w:t xml:space="preserve">to address the needs and priorities of developing country Parties, </w:t>
      </w:r>
      <w:proofErr w:type="gramStart"/>
      <w:r w:rsidR="007C70DA" w:rsidRPr="005A19D9">
        <w:rPr>
          <w:bCs/>
        </w:rPr>
        <w:t>in particular for</w:t>
      </w:r>
      <w:proofErr w:type="gramEnd"/>
      <w:r w:rsidR="007C70DA" w:rsidRPr="005A19D9">
        <w:rPr>
          <w:bCs/>
        </w:rPr>
        <w:t xml:space="preserve"> the least developed countries and small island developing States, in the context of their national climate strategies and plans.</w:t>
      </w:r>
    </w:p>
    <w:p w14:paraId="1528B574" w14:textId="77777777" w:rsidR="00AD1686" w:rsidRPr="000F6262" w:rsidRDefault="00AD1686" w:rsidP="00311E47">
      <w:pPr>
        <w:tabs>
          <w:tab w:val="left" w:pos="1701"/>
        </w:tabs>
        <w:spacing w:line="20" w:lineRule="atLeast"/>
        <w:ind w:left="6521" w:right="1134"/>
        <w:jc w:val="right"/>
        <w:rPr>
          <w:i/>
          <w:iCs/>
        </w:rPr>
      </w:pPr>
      <w:r>
        <w:rPr>
          <w:i/>
          <w:iCs/>
        </w:rPr>
        <w:t>6</w:t>
      </w:r>
      <w:r w:rsidRPr="00AD1686">
        <w:rPr>
          <w:i/>
          <w:iCs/>
          <w:vertAlign w:val="superscript"/>
        </w:rPr>
        <w:t>th</w:t>
      </w:r>
      <w:r>
        <w:rPr>
          <w:i/>
          <w:iCs/>
        </w:rPr>
        <w:t xml:space="preserve"> </w:t>
      </w:r>
      <w:r w:rsidRPr="000F6262">
        <w:rPr>
          <w:i/>
          <w:iCs/>
        </w:rPr>
        <w:t>plenary meeting</w:t>
      </w:r>
    </w:p>
    <w:p w14:paraId="55C5D246" w14:textId="77777777" w:rsidR="00AD1686" w:rsidRPr="000F6262" w:rsidRDefault="00AD1686" w:rsidP="00311E47">
      <w:pPr>
        <w:tabs>
          <w:tab w:val="left" w:pos="1701"/>
        </w:tabs>
        <w:spacing w:line="20" w:lineRule="atLeast"/>
        <w:ind w:left="6521" w:right="1134"/>
        <w:jc w:val="right"/>
        <w:rPr>
          <w:i/>
          <w:iCs/>
        </w:rPr>
      </w:pPr>
      <w:r w:rsidRPr="000F6262">
        <w:rPr>
          <w:i/>
          <w:iCs/>
        </w:rPr>
        <w:t>13 December 2023</w:t>
      </w:r>
    </w:p>
    <w:bookmarkEnd w:id="97"/>
    <w:p w14:paraId="45DDA96E" w14:textId="77777777" w:rsidR="007B63AE" w:rsidRDefault="007B63AE" w:rsidP="00AD1686">
      <w:pPr>
        <w:pStyle w:val="RegSingleTxtG"/>
        <w:jc w:val="right"/>
        <w:sectPr w:rsidR="007B63AE" w:rsidSect="00DA6BD2">
          <w:headerReference w:type="even" r:id="rId40"/>
          <w:headerReference w:type="default" r:id="rId41"/>
          <w:footerReference w:type="even" r:id="rId42"/>
          <w:footerReference w:type="default" r:id="rId43"/>
          <w:footnotePr>
            <w:numRestart w:val="eachSect"/>
          </w:footnotePr>
          <w:pgSz w:w="11906" w:h="16838" w:code="9"/>
          <w:pgMar w:top="1417" w:right="1134" w:bottom="1134" w:left="1134" w:header="850" w:footer="567" w:gutter="0"/>
          <w:cols w:space="708"/>
          <w:docGrid w:linePitch="360"/>
        </w:sectPr>
      </w:pPr>
    </w:p>
    <w:p w14:paraId="12F80C4F" w14:textId="4266DDDF" w:rsidR="00FA314E" w:rsidRPr="0018387F" w:rsidRDefault="00FA314E" w:rsidP="00406A0D">
      <w:pPr>
        <w:pStyle w:val="RegHChG"/>
        <w:spacing w:before="240"/>
        <w:ind w:left="1134" w:hanging="454"/>
        <w:rPr>
          <w:szCs w:val="28"/>
        </w:rPr>
      </w:pPr>
      <w:bookmarkStart w:id="98" w:name="_Toc161241771"/>
      <w:bookmarkStart w:id="99" w:name="_Toc161241997"/>
      <w:bookmarkStart w:id="100" w:name="decision11"/>
      <w:r w:rsidRPr="0018387F">
        <w:rPr>
          <w:szCs w:val="28"/>
        </w:rPr>
        <w:lastRenderedPageBreak/>
        <w:t>Decision 11/</w:t>
      </w:r>
      <w:r w:rsidRPr="00690FE7">
        <w:t>CMA</w:t>
      </w:r>
      <w:r w:rsidRPr="0018387F">
        <w:rPr>
          <w:szCs w:val="28"/>
        </w:rPr>
        <w:t>.5</w:t>
      </w:r>
      <w:bookmarkEnd w:id="98"/>
      <w:bookmarkEnd w:id="99"/>
    </w:p>
    <w:p w14:paraId="0E78E6FA" w14:textId="71ED4181" w:rsidR="00FA314E" w:rsidRPr="00A96DC7" w:rsidRDefault="00FA314E" w:rsidP="00FA314E">
      <w:pPr>
        <w:pStyle w:val="HChG"/>
      </w:pPr>
      <w:r>
        <w:tab/>
      </w:r>
      <w:r>
        <w:tab/>
      </w:r>
      <w:r w:rsidRPr="004C580A">
        <w:t>Guidance to the Global Environment Facility</w:t>
      </w:r>
    </w:p>
    <w:p w14:paraId="62A1F481" w14:textId="0C44D747" w:rsidR="00CB5B67" w:rsidRPr="00EE3A85" w:rsidRDefault="00F4765F" w:rsidP="001C5F42">
      <w:pPr>
        <w:pStyle w:val="RegSingleTxtG"/>
        <w:ind w:left="1134"/>
      </w:pPr>
      <w:r>
        <w:rPr>
          <w:i/>
          <w:iCs/>
        </w:rPr>
        <w:tab/>
      </w:r>
      <w:r w:rsidRPr="00034317">
        <w:rPr>
          <w:i/>
          <w:iCs/>
        </w:rPr>
        <w:t>The Conference</w:t>
      </w:r>
      <w:r w:rsidR="001D6E0E" w:rsidRPr="00034317">
        <w:rPr>
          <w:i/>
          <w:iCs/>
        </w:rPr>
        <w:t xml:space="preserve"> </w:t>
      </w:r>
      <w:r w:rsidRPr="00034317">
        <w:rPr>
          <w:i/>
          <w:iCs/>
        </w:rPr>
        <w:t>of the Parties</w:t>
      </w:r>
      <w:r w:rsidR="002B78F6" w:rsidRPr="00034317">
        <w:rPr>
          <w:i/>
          <w:iCs/>
        </w:rPr>
        <w:t xml:space="preserve"> as</w:t>
      </w:r>
      <w:r w:rsidRPr="00034317">
        <w:rPr>
          <w:i/>
          <w:iCs/>
        </w:rPr>
        <w:t xml:space="preserve"> the </w:t>
      </w:r>
      <w:r w:rsidR="002646C5" w:rsidRPr="00034317">
        <w:rPr>
          <w:i/>
          <w:iCs/>
        </w:rPr>
        <w:t xml:space="preserve">meeting </w:t>
      </w:r>
      <w:r w:rsidR="006E3567" w:rsidRPr="00034317">
        <w:rPr>
          <w:i/>
          <w:iCs/>
        </w:rPr>
        <w:t>of the parties</w:t>
      </w:r>
      <w:r w:rsidR="00174AA7" w:rsidRPr="00034317">
        <w:rPr>
          <w:i/>
          <w:iCs/>
        </w:rPr>
        <w:t xml:space="preserve"> to the </w:t>
      </w:r>
      <w:r w:rsidR="00E051DC" w:rsidRPr="00034317">
        <w:rPr>
          <w:i/>
          <w:iCs/>
        </w:rPr>
        <w:t>Paris Agreement</w:t>
      </w:r>
      <w:r w:rsidR="00E92924">
        <w:t>,</w:t>
      </w:r>
    </w:p>
    <w:p w14:paraId="18D2C049" w14:textId="7663FD55" w:rsidR="00FA314E" w:rsidRPr="00832B76" w:rsidRDefault="00760EF4" w:rsidP="00DC3BD9">
      <w:pPr>
        <w:pStyle w:val="RegSingleTxtG"/>
        <w:ind w:left="1134"/>
      </w:pPr>
      <w:r>
        <w:tab/>
      </w:r>
      <w:r w:rsidR="00FA314E" w:rsidRPr="00832B76">
        <w:rPr>
          <w:i/>
          <w:iCs/>
        </w:rPr>
        <w:t>Recalling</w:t>
      </w:r>
      <w:r w:rsidR="00FA314E" w:rsidRPr="00832B76">
        <w:t xml:space="preserve"> Article 13, </w:t>
      </w:r>
      <w:proofErr w:type="gramStart"/>
      <w:r w:rsidR="00FA314E" w:rsidRPr="00832B76">
        <w:t>in particular paragraph</w:t>
      </w:r>
      <w:proofErr w:type="gramEnd"/>
      <w:r w:rsidR="00FA314E" w:rsidRPr="00832B76">
        <w:t xml:space="preserve"> 14, of the Paris Agreement, which states that support shall be provided to developing countries for the implementation of that Article,</w:t>
      </w:r>
    </w:p>
    <w:p w14:paraId="68276AA9" w14:textId="4D86139A" w:rsidR="00FA314E" w:rsidRPr="00832B76" w:rsidRDefault="00760EF4" w:rsidP="002B4CCE">
      <w:pPr>
        <w:pStyle w:val="RegSingleTxtG"/>
        <w:ind w:left="1134"/>
      </w:pPr>
      <w:r>
        <w:rPr>
          <w:i/>
          <w:iCs/>
        </w:rPr>
        <w:tab/>
      </w:r>
      <w:r w:rsidR="00FA314E" w:rsidRPr="00832B76">
        <w:rPr>
          <w:i/>
          <w:iCs/>
        </w:rPr>
        <w:t xml:space="preserve">Also recalling </w:t>
      </w:r>
      <w:r w:rsidR="00FA314E" w:rsidRPr="00832B76">
        <w:t xml:space="preserve">Article 13, </w:t>
      </w:r>
      <w:proofErr w:type="gramStart"/>
      <w:r w:rsidR="00FA314E" w:rsidRPr="00832B76">
        <w:t>in particular paragraph</w:t>
      </w:r>
      <w:proofErr w:type="gramEnd"/>
      <w:r w:rsidR="00FA314E" w:rsidRPr="00832B76">
        <w:t xml:space="preserve"> 15, of the Paris Agreement, which states that support shall also be provided for the building of transparency-related capacity of developing country Parties on a continuous basis,</w:t>
      </w:r>
    </w:p>
    <w:p w14:paraId="4B33D3CC" w14:textId="2F34E860" w:rsidR="00FA314E" w:rsidRPr="00832B76" w:rsidRDefault="00406A0D" w:rsidP="00406A0D">
      <w:pPr>
        <w:pStyle w:val="RegSingleTxtG"/>
        <w:tabs>
          <w:tab w:val="left" w:pos="568"/>
        </w:tabs>
        <w:ind w:left="1134"/>
      </w:pPr>
      <w:r w:rsidRPr="00832B76">
        <w:rPr>
          <w:iCs/>
        </w:rPr>
        <w:t>1.</w:t>
      </w:r>
      <w:r w:rsidRPr="00832B76">
        <w:rPr>
          <w:iCs/>
        </w:rPr>
        <w:tab/>
      </w:r>
      <w:r w:rsidR="00FA314E" w:rsidRPr="00832B76">
        <w:rPr>
          <w:i/>
        </w:rPr>
        <w:t xml:space="preserve">Recommends </w:t>
      </w:r>
      <w:r w:rsidR="00FA314E" w:rsidRPr="00832B76">
        <w:rPr>
          <w:iCs/>
        </w:rPr>
        <w:t xml:space="preserve">that the Conference of the Parties at its twenty-eighth session transmit to the Global Environment Facility the guidance contained in paragraphs </w:t>
      </w:r>
      <w:r w:rsidR="00605CF6">
        <w:rPr>
          <w:iCs/>
          <w:cs/>
        </w:rPr>
        <w:t>‎</w:t>
      </w:r>
      <w:r w:rsidR="00605CF6">
        <w:rPr>
          <w:iCs/>
        </w:rPr>
        <w:t>2</w:t>
      </w:r>
      <w:r w:rsidR="00FA314E" w:rsidRPr="00832B76">
        <w:rPr>
          <w:iCs/>
        </w:rPr>
        <w:t>–</w:t>
      </w:r>
      <w:r w:rsidR="00605CF6">
        <w:rPr>
          <w:iCs/>
          <w:cs/>
        </w:rPr>
        <w:t>‎</w:t>
      </w:r>
      <w:r w:rsidR="00605CF6">
        <w:rPr>
          <w:iCs/>
        </w:rPr>
        <w:t xml:space="preserve">12 </w:t>
      </w:r>
      <w:proofErr w:type="gramStart"/>
      <w:r w:rsidR="00605CF6">
        <w:rPr>
          <w:iCs/>
        </w:rPr>
        <w:t>below</w:t>
      </w:r>
      <w:r w:rsidR="00FA314E" w:rsidRPr="00832B76">
        <w:rPr>
          <w:iCs/>
        </w:rPr>
        <w:t>;</w:t>
      </w:r>
      <w:proofErr w:type="gramEnd"/>
      <w:r w:rsidR="00FA314E" w:rsidRPr="00832B76">
        <w:rPr>
          <w:iCs/>
        </w:rPr>
        <w:t xml:space="preserve"> </w:t>
      </w:r>
    </w:p>
    <w:p w14:paraId="1E51235C" w14:textId="33751F0C" w:rsidR="00FA314E" w:rsidRPr="00832B76" w:rsidRDefault="00406A0D" w:rsidP="00406A0D">
      <w:pPr>
        <w:pStyle w:val="RegSingleTxtG"/>
        <w:tabs>
          <w:tab w:val="left" w:pos="568"/>
        </w:tabs>
        <w:ind w:left="1134"/>
      </w:pPr>
      <w:bookmarkStart w:id="101" w:name="_Ref155887609"/>
      <w:r w:rsidRPr="00832B76">
        <w:rPr>
          <w:iCs/>
        </w:rPr>
        <w:t>2.</w:t>
      </w:r>
      <w:r w:rsidRPr="00832B76">
        <w:rPr>
          <w:iCs/>
        </w:rPr>
        <w:tab/>
      </w:r>
      <w:r w:rsidR="00FA314E" w:rsidRPr="00832B76">
        <w:rPr>
          <w:i/>
        </w:rPr>
        <w:t>Welcomes</w:t>
      </w:r>
      <w:r w:rsidR="00FA314E" w:rsidRPr="00832B76">
        <w:rPr>
          <w:i/>
          <w:iCs/>
        </w:rPr>
        <w:t xml:space="preserve"> </w:t>
      </w:r>
      <w:r w:rsidR="00FA314E" w:rsidRPr="00832B76">
        <w:t>the support provided in accordance with Article 13 of the Paris Agreement through the Global Environment Facility to developing countries in relation to their implementation of the enhanced transparency framework during the reporting period (1 July 2022 to 30 June 2023), including support for:</w:t>
      </w:r>
      <w:bookmarkEnd w:id="101"/>
      <w:r w:rsidR="00FA314E" w:rsidRPr="00832B76">
        <w:t xml:space="preserve"> </w:t>
      </w:r>
    </w:p>
    <w:p w14:paraId="29C649A1" w14:textId="582C3835" w:rsidR="00FA314E" w:rsidRPr="00832B76" w:rsidRDefault="00406A0D" w:rsidP="00406A0D">
      <w:pPr>
        <w:pStyle w:val="RegSingleTxtG"/>
        <w:tabs>
          <w:tab w:val="clear" w:pos="1701"/>
          <w:tab w:val="left" w:pos="1702"/>
        </w:tabs>
        <w:ind w:left="1134" w:right="1133" w:firstLine="567"/>
      </w:pPr>
      <w:r w:rsidRPr="00832B76">
        <w:t>(a)</w:t>
      </w:r>
      <w:r w:rsidRPr="00832B76">
        <w:tab/>
      </w:r>
      <w:r w:rsidR="00FA314E" w:rsidRPr="00832B76">
        <w:t xml:space="preserve">Preparing biennial transparency reports, including through the combined application process for preparing multiple biennial transparency reports and the expedited process for projects related to biennial transparency </w:t>
      </w:r>
      <w:proofErr w:type="gramStart"/>
      <w:r w:rsidR="00FA314E" w:rsidRPr="00832B76">
        <w:t>reports;</w:t>
      </w:r>
      <w:proofErr w:type="gramEnd"/>
    </w:p>
    <w:p w14:paraId="37036AB9" w14:textId="0C1D394F" w:rsidR="00FA314E" w:rsidRPr="00832B76" w:rsidRDefault="00406A0D" w:rsidP="00406A0D">
      <w:pPr>
        <w:pStyle w:val="RegSingleTxtG2"/>
        <w:ind w:left="1134" w:firstLine="567"/>
      </w:pPr>
      <w:r w:rsidRPr="00832B76">
        <w:t>(b)</w:t>
      </w:r>
      <w:r w:rsidRPr="00832B76">
        <w:tab/>
      </w:r>
      <w:r w:rsidR="00FA314E" w:rsidRPr="00832B76">
        <w:t xml:space="preserve">Implementing 89 projects under the Capacity-building Initiative for Transparency in 87 countries aimed at building national capacity to implement the enhanced transparency </w:t>
      </w:r>
      <w:proofErr w:type="gramStart"/>
      <w:r w:rsidR="00FA314E" w:rsidRPr="00832B76">
        <w:t>framework;</w:t>
      </w:r>
      <w:proofErr w:type="gramEnd"/>
    </w:p>
    <w:p w14:paraId="19220EC1" w14:textId="064B26D4" w:rsidR="00FA314E" w:rsidRPr="00832B76" w:rsidRDefault="00406A0D" w:rsidP="00406A0D">
      <w:pPr>
        <w:pStyle w:val="RegSingleTxtG"/>
        <w:tabs>
          <w:tab w:val="clear" w:pos="1701"/>
        </w:tabs>
        <w:ind w:left="1134"/>
      </w:pPr>
      <w:r w:rsidRPr="00832B76">
        <w:rPr>
          <w:iCs/>
        </w:rPr>
        <w:t>3.</w:t>
      </w:r>
      <w:r w:rsidRPr="00832B76">
        <w:rPr>
          <w:iCs/>
        </w:rPr>
        <w:tab/>
      </w:r>
      <w:r w:rsidR="00FA314E" w:rsidRPr="00832B76">
        <w:rPr>
          <w:i/>
        </w:rPr>
        <w:t>Underlines</w:t>
      </w:r>
      <w:r w:rsidR="00FA314E" w:rsidRPr="00832B76">
        <w:t xml:space="preserve"> the importance of providing adequate and predictable support to developing countries for preparing biennial transparency </w:t>
      </w:r>
      <w:proofErr w:type="gramStart"/>
      <w:r w:rsidR="00FA314E" w:rsidRPr="00832B76">
        <w:t>reports</w:t>
      </w:r>
      <w:r w:rsidR="00FA314E" w:rsidRPr="00832B76">
        <w:rPr>
          <w:iCs/>
        </w:rPr>
        <w:t>;</w:t>
      </w:r>
      <w:proofErr w:type="gramEnd"/>
      <w:r w:rsidR="00FA314E" w:rsidRPr="00832B76">
        <w:rPr>
          <w:iCs/>
        </w:rPr>
        <w:t xml:space="preserve"> </w:t>
      </w:r>
    </w:p>
    <w:p w14:paraId="4A9CC9E5" w14:textId="716D39B1" w:rsidR="00FA314E" w:rsidRPr="00832B76" w:rsidRDefault="00406A0D" w:rsidP="00406A0D">
      <w:pPr>
        <w:pStyle w:val="RegSingleTxtG"/>
        <w:tabs>
          <w:tab w:val="left" w:pos="568"/>
        </w:tabs>
        <w:ind w:left="1134"/>
      </w:pPr>
      <w:r w:rsidRPr="00832B76">
        <w:rPr>
          <w:iCs/>
        </w:rPr>
        <w:t>4.</w:t>
      </w:r>
      <w:r w:rsidRPr="00832B76">
        <w:rPr>
          <w:iCs/>
        </w:rPr>
        <w:tab/>
      </w:r>
      <w:r w:rsidR="00FA314E" w:rsidRPr="00832B76">
        <w:rPr>
          <w:i/>
          <w:iCs/>
        </w:rPr>
        <w:t>Encourages</w:t>
      </w:r>
      <w:r w:rsidR="00FA314E" w:rsidRPr="00832B76">
        <w:t xml:space="preserve"> the Global Environment Facility to continue efforts to provide, in an expeditious manner, adequate, predictable and timely financial support to developing countries for preparing biennial transparency reports, and to enhance collaboration with its implementing agencies to promote timely delivery of </w:t>
      </w:r>
      <w:proofErr w:type="gramStart"/>
      <w:r w:rsidR="00FA314E" w:rsidRPr="00832B76">
        <w:t>support;</w:t>
      </w:r>
      <w:proofErr w:type="gramEnd"/>
    </w:p>
    <w:p w14:paraId="7BFA307A" w14:textId="2D1A9FB2" w:rsidR="00FA314E" w:rsidRPr="00832B76" w:rsidRDefault="00406A0D" w:rsidP="00406A0D">
      <w:pPr>
        <w:pStyle w:val="RegSingleTxtG"/>
        <w:tabs>
          <w:tab w:val="left" w:pos="568"/>
        </w:tabs>
        <w:ind w:left="1134"/>
      </w:pPr>
      <w:r w:rsidRPr="00832B76">
        <w:rPr>
          <w:iCs/>
        </w:rPr>
        <w:t>5.</w:t>
      </w:r>
      <w:r w:rsidRPr="00832B76">
        <w:rPr>
          <w:iCs/>
        </w:rPr>
        <w:tab/>
      </w:r>
      <w:r w:rsidR="00FA314E" w:rsidRPr="00832B76">
        <w:rPr>
          <w:i/>
          <w:iCs/>
        </w:rPr>
        <w:t xml:space="preserve">Underscores </w:t>
      </w:r>
      <w:r w:rsidR="00FA314E" w:rsidRPr="00832B76">
        <w:t xml:space="preserve">the importance of the Global Environment Facility exploring alternative </w:t>
      </w:r>
      <w:r w:rsidR="00FA314E" w:rsidRPr="00474F91">
        <w:rPr>
          <w:iCs/>
        </w:rPr>
        <w:t>programming</w:t>
      </w:r>
      <w:r w:rsidR="00FA314E" w:rsidRPr="00832B76">
        <w:t xml:space="preserve"> modalities, procedures and processes for facilitating and expediting access to financial resources for enabling </w:t>
      </w:r>
      <w:proofErr w:type="gramStart"/>
      <w:r w:rsidR="00FA314E" w:rsidRPr="00832B76">
        <w:t>activities;</w:t>
      </w:r>
      <w:proofErr w:type="gramEnd"/>
    </w:p>
    <w:p w14:paraId="4822B3CD" w14:textId="0EC16A60" w:rsidR="00FA314E" w:rsidRPr="00832B76" w:rsidRDefault="00406A0D" w:rsidP="00406A0D">
      <w:pPr>
        <w:pStyle w:val="RegSingleTxtG"/>
        <w:tabs>
          <w:tab w:val="left" w:pos="568"/>
        </w:tabs>
        <w:ind w:left="1134"/>
      </w:pPr>
      <w:r w:rsidRPr="00832B76">
        <w:rPr>
          <w:iCs/>
        </w:rPr>
        <w:t>6.</w:t>
      </w:r>
      <w:r w:rsidRPr="00832B76">
        <w:rPr>
          <w:iCs/>
        </w:rPr>
        <w:tab/>
      </w:r>
      <w:r w:rsidR="00FA314E" w:rsidRPr="00832B76">
        <w:rPr>
          <w:i/>
          <w:iCs/>
        </w:rPr>
        <w:t>Encourages</w:t>
      </w:r>
      <w:r w:rsidR="00FA314E" w:rsidRPr="00832B76">
        <w:t xml:space="preserve"> the Global Environment Facility to include in its annual report to the </w:t>
      </w:r>
      <w:r w:rsidR="00FA314E" w:rsidRPr="00474F91">
        <w:rPr>
          <w:iCs/>
        </w:rPr>
        <w:t>Conference</w:t>
      </w:r>
      <w:r w:rsidR="00FA314E" w:rsidRPr="00832B76">
        <w:t xml:space="preserve"> of the Parties at its twenty-ninth session (November 2024) information on lessons learned with respect to enabling activities, </w:t>
      </w:r>
      <w:r w:rsidR="00FA314E">
        <w:t xml:space="preserve">in </w:t>
      </w:r>
      <w:r w:rsidR="00FA314E" w:rsidRPr="00832B76">
        <w:t xml:space="preserve">particular </w:t>
      </w:r>
      <w:r w:rsidR="001D65DC">
        <w:t xml:space="preserve">on </w:t>
      </w:r>
      <w:r w:rsidR="00FA314E" w:rsidRPr="00832B76">
        <w:t xml:space="preserve">the costs, access modalities and delivery of support </w:t>
      </w:r>
      <w:r w:rsidR="003A76DF">
        <w:t>for</w:t>
      </w:r>
      <w:r w:rsidR="00FA314E" w:rsidRPr="00832B76">
        <w:t xml:space="preserve"> prepar</w:t>
      </w:r>
      <w:r w:rsidR="003A76DF">
        <w:t>ing</w:t>
      </w:r>
      <w:r w:rsidR="00FA314E" w:rsidRPr="00832B76">
        <w:t xml:space="preserve"> the first biennial transparency </w:t>
      </w:r>
      <w:proofErr w:type="gramStart"/>
      <w:r w:rsidR="00FA314E" w:rsidRPr="00832B76">
        <w:t>reports;</w:t>
      </w:r>
      <w:proofErr w:type="gramEnd"/>
    </w:p>
    <w:p w14:paraId="7658A67F" w14:textId="2B058B65" w:rsidR="00FA314E" w:rsidRPr="00832B76" w:rsidRDefault="00406A0D" w:rsidP="00406A0D">
      <w:pPr>
        <w:pStyle w:val="RegSingleTxtG"/>
        <w:tabs>
          <w:tab w:val="left" w:pos="568"/>
        </w:tabs>
        <w:ind w:left="1134"/>
      </w:pPr>
      <w:r w:rsidRPr="00832B76">
        <w:rPr>
          <w:iCs/>
        </w:rPr>
        <w:t>7.</w:t>
      </w:r>
      <w:r w:rsidRPr="00832B76">
        <w:rPr>
          <w:iCs/>
        </w:rPr>
        <w:tab/>
      </w:r>
      <w:r w:rsidR="00FA314E" w:rsidRPr="00832B76">
        <w:rPr>
          <w:i/>
        </w:rPr>
        <w:t>Requests</w:t>
      </w:r>
      <w:r w:rsidR="00FA314E" w:rsidRPr="00832B76">
        <w:t xml:space="preserve"> the Global Environment Facility in administering the Least Developed Countries Fund and the Special Climate Change Fund to take into account, in the context of its adaptation </w:t>
      </w:r>
      <w:r w:rsidR="00FA314E" w:rsidRPr="002B2DC3">
        <w:t xml:space="preserve">strategy, </w:t>
      </w:r>
      <w:r w:rsidR="002B2DC3" w:rsidRPr="002B2DC3">
        <w:t xml:space="preserve">the </w:t>
      </w:r>
      <w:r w:rsidR="000718AA">
        <w:t>U</w:t>
      </w:r>
      <w:r w:rsidR="00FD56F8">
        <w:t xml:space="preserve">nited </w:t>
      </w:r>
      <w:r w:rsidR="000718AA">
        <w:t>A</w:t>
      </w:r>
      <w:r w:rsidR="00FD56F8">
        <w:t xml:space="preserve">rab </w:t>
      </w:r>
      <w:r w:rsidR="000718AA">
        <w:t>E</w:t>
      </w:r>
      <w:r w:rsidR="00FD56F8">
        <w:t>mirates</w:t>
      </w:r>
      <w:r w:rsidR="002B2DC3" w:rsidRPr="002B2DC3">
        <w:t xml:space="preserve"> Framework for Global Climate Resilience</w:t>
      </w:r>
      <w:r w:rsidR="00FA314E" w:rsidRPr="002B2DC3" w:rsidDel="002B2DC3">
        <w:t xml:space="preserve"> </w:t>
      </w:r>
      <w:r w:rsidR="00FA314E" w:rsidRPr="002B2DC3">
        <w:t xml:space="preserve">referred to in decision </w:t>
      </w:r>
      <w:r w:rsidR="00A75E28" w:rsidRPr="002B2DC3">
        <w:t>2</w:t>
      </w:r>
      <w:r w:rsidR="00FA314E" w:rsidRPr="002B2DC3">
        <w:t>/CMA.5, and to explore ways to support</w:t>
      </w:r>
      <w:r w:rsidR="00FA314E" w:rsidRPr="00832B76">
        <w:t xml:space="preserve"> Parties in achieving the </w:t>
      </w:r>
      <w:r w:rsidR="00C511F5">
        <w:t xml:space="preserve">global </w:t>
      </w:r>
      <w:r w:rsidR="00FA314E" w:rsidRPr="00832B76">
        <w:t>goal</w:t>
      </w:r>
      <w:r w:rsidR="00C511F5">
        <w:t xml:space="preserve"> on </w:t>
      </w:r>
      <w:proofErr w:type="gramStart"/>
      <w:r w:rsidR="00C511F5">
        <w:t>adaptation</w:t>
      </w:r>
      <w:r w:rsidR="00FA314E" w:rsidRPr="00832B76">
        <w:t>;</w:t>
      </w:r>
      <w:proofErr w:type="gramEnd"/>
      <w:r w:rsidR="00FA314E" w:rsidRPr="00832B76">
        <w:t xml:space="preserve"> </w:t>
      </w:r>
    </w:p>
    <w:p w14:paraId="41F84CF9" w14:textId="166E92E1" w:rsidR="00FA314E" w:rsidRPr="00832B76" w:rsidRDefault="00406A0D" w:rsidP="00406A0D">
      <w:pPr>
        <w:pStyle w:val="RegSingleTxtG"/>
        <w:tabs>
          <w:tab w:val="left" w:pos="568"/>
        </w:tabs>
        <w:ind w:left="1134"/>
      </w:pPr>
      <w:r w:rsidRPr="00832B76">
        <w:rPr>
          <w:iCs/>
        </w:rPr>
        <w:t>8.</w:t>
      </w:r>
      <w:r w:rsidRPr="00832B76">
        <w:rPr>
          <w:iCs/>
        </w:rPr>
        <w:tab/>
      </w:r>
      <w:r w:rsidR="00FA314E" w:rsidRPr="00832B76">
        <w:rPr>
          <w:i/>
          <w:iCs/>
        </w:rPr>
        <w:t xml:space="preserve">Encourages </w:t>
      </w:r>
      <w:r w:rsidR="00FA314E" w:rsidRPr="00832B76">
        <w:t>the</w:t>
      </w:r>
      <w:r w:rsidR="00FA314E" w:rsidRPr="00311E47">
        <w:t xml:space="preserve"> </w:t>
      </w:r>
      <w:r w:rsidR="00FA314E" w:rsidRPr="00832B76">
        <w:t xml:space="preserve">Global Environment Facility to consider including in its annual report to the Conference of the Parties information on support </w:t>
      </w:r>
      <w:r w:rsidR="00FA314E">
        <w:t>provided</w:t>
      </w:r>
      <w:r w:rsidR="00FA314E" w:rsidRPr="00832B76">
        <w:t xml:space="preserve"> for research development and </w:t>
      </w:r>
      <w:proofErr w:type="gramStart"/>
      <w:r w:rsidR="00FA314E" w:rsidRPr="00832B76">
        <w:t>demonstration;</w:t>
      </w:r>
      <w:proofErr w:type="gramEnd"/>
      <w:r w:rsidR="00FA314E" w:rsidRPr="00832B76">
        <w:t xml:space="preserve"> </w:t>
      </w:r>
    </w:p>
    <w:p w14:paraId="6DADC997" w14:textId="1E8604B0" w:rsidR="00FA314E" w:rsidRPr="00832B76" w:rsidRDefault="00406A0D" w:rsidP="00406A0D">
      <w:pPr>
        <w:pStyle w:val="RegSingleTxtG"/>
        <w:tabs>
          <w:tab w:val="left" w:pos="568"/>
        </w:tabs>
        <w:ind w:left="1134"/>
      </w:pPr>
      <w:r w:rsidRPr="00832B76">
        <w:rPr>
          <w:iCs/>
        </w:rPr>
        <w:t>9.</w:t>
      </w:r>
      <w:r w:rsidRPr="00832B76">
        <w:rPr>
          <w:iCs/>
        </w:rPr>
        <w:tab/>
      </w:r>
      <w:r w:rsidR="00FA314E" w:rsidRPr="00832B76">
        <w:rPr>
          <w:i/>
        </w:rPr>
        <w:t>Also encourages</w:t>
      </w:r>
      <w:r w:rsidR="00FA314E" w:rsidRPr="00832B76">
        <w:t xml:space="preserve"> the Global Environment Facility to further explore ways to provide support for assessing developing countries’ needs and priorities in a country-driven manner, including technology and capacity-building needs, and for translating climate finance needs into </w:t>
      </w:r>
      <w:proofErr w:type="gramStart"/>
      <w:r w:rsidR="00FA314E" w:rsidRPr="00832B76">
        <w:t>action;</w:t>
      </w:r>
      <w:proofErr w:type="gramEnd"/>
    </w:p>
    <w:p w14:paraId="3F1B9D97" w14:textId="19B70D4D" w:rsidR="00FA314E" w:rsidRPr="00832B76" w:rsidRDefault="00406A0D" w:rsidP="00406A0D">
      <w:pPr>
        <w:pStyle w:val="RegSingleTxtG"/>
        <w:tabs>
          <w:tab w:val="left" w:pos="568"/>
        </w:tabs>
        <w:ind w:left="1134"/>
      </w:pPr>
      <w:bookmarkStart w:id="102" w:name="_Hlk153062798"/>
      <w:r w:rsidRPr="00832B76">
        <w:rPr>
          <w:iCs/>
        </w:rPr>
        <w:t>10.</w:t>
      </w:r>
      <w:r w:rsidRPr="00832B76">
        <w:rPr>
          <w:iCs/>
        </w:rPr>
        <w:tab/>
      </w:r>
      <w:r w:rsidR="00FA314E" w:rsidRPr="00832B76">
        <w:rPr>
          <w:i/>
          <w:iCs/>
        </w:rPr>
        <w:t>Further encourages</w:t>
      </w:r>
      <w:r w:rsidR="00FA314E" w:rsidRPr="00832B76">
        <w:t xml:space="preserve"> the Global Environment Facility to further strengthen its approach to mobilizing private finance, including through blended finance, with a view to de</w:t>
      </w:r>
      <w:r w:rsidR="00FA314E" w:rsidRPr="00832B76">
        <w:noBreakHyphen/>
        <w:t xml:space="preserve">risking scalable projects in developing countries and contributing to achieving the goals of the Paris </w:t>
      </w:r>
      <w:proofErr w:type="gramStart"/>
      <w:r w:rsidR="00FA314E" w:rsidRPr="00832B76">
        <w:t>Agreement;</w:t>
      </w:r>
      <w:proofErr w:type="gramEnd"/>
    </w:p>
    <w:bookmarkEnd w:id="102"/>
    <w:p w14:paraId="21798DE3" w14:textId="6220A717" w:rsidR="00FA314E" w:rsidRPr="00832B76" w:rsidRDefault="00406A0D" w:rsidP="00406A0D">
      <w:pPr>
        <w:pStyle w:val="RegSingleTxtG"/>
        <w:tabs>
          <w:tab w:val="left" w:pos="568"/>
        </w:tabs>
        <w:ind w:left="1134"/>
      </w:pPr>
      <w:r w:rsidRPr="00832B76">
        <w:rPr>
          <w:iCs/>
        </w:rPr>
        <w:lastRenderedPageBreak/>
        <w:t>11.</w:t>
      </w:r>
      <w:r w:rsidRPr="00832B76">
        <w:rPr>
          <w:iCs/>
        </w:rPr>
        <w:tab/>
      </w:r>
      <w:r w:rsidR="00FA314E" w:rsidRPr="00832B76">
        <w:rPr>
          <w:i/>
          <w:iCs/>
        </w:rPr>
        <w:t>Encourages</w:t>
      </w:r>
      <w:r w:rsidR="00FA314E" w:rsidRPr="00832B76">
        <w:t xml:space="preserve"> the Global Environment Facility to participate in the workshops referred to in paragraph 14 of decision </w:t>
      </w:r>
      <w:r w:rsidR="005553BB">
        <w:t>18</w:t>
      </w:r>
      <w:r w:rsidR="00FA314E" w:rsidRPr="00832B76">
        <w:t>/CMA.</w:t>
      </w:r>
      <w:proofErr w:type="gramStart"/>
      <w:r w:rsidR="00FA314E" w:rsidRPr="00832B76">
        <w:t>5;</w:t>
      </w:r>
      <w:proofErr w:type="gramEnd"/>
    </w:p>
    <w:p w14:paraId="4F4503BF" w14:textId="4193E763" w:rsidR="00FA314E" w:rsidRPr="00832B76" w:rsidRDefault="00406A0D" w:rsidP="00406A0D">
      <w:pPr>
        <w:pStyle w:val="RegSingleTxtG"/>
        <w:tabs>
          <w:tab w:val="left" w:pos="568"/>
        </w:tabs>
        <w:ind w:left="1134"/>
        <w:rPr>
          <w:iCs/>
        </w:rPr>
      </w:pPr>
      <w:bookmarkStart w:id="103" w:name="_Ref155887618"/>
      <w:r w:rsidRPr="00832B76">
        <w:rPr>
          <w:iCs/>
        </w:rPr>
        <w:t>12.</w:t>
      </w:r>
      <w:r w:rsidRPr="00832B76">
        <w:rPr>
          <w:iCs/>
        </w:rPr>
        <w:tab/>
      </w:r>
      <w:r w:rsidR="00FA314E" w:rsidRPr="00832B76">
        <w:rPr>
          <w:i/>
        </w:rPr>
        <w:t xml:space="preserve">Requests </w:t>
      </w:r>
      <w:r w:rsidR="00FA314E" w:rsidRPr="00832B76">
        <w:rPr>
          <w:iCs/>
        </w:rPr>
        <w:t xml:space="preserve">the Global Environment Facility to consider ways to enhance the institutional capacity of developing country Parties to assist them in meeting their reporting requirements under the Paris Agreement in accordance with its </w:t>
      </w:r>
      <w:proofErr w:type="gramStart"/>
      <w:r w:rsidR="00FA314E" w:rsidRPr="00832B76">
        <w:rPr>
          <w:iCs/>
        </w:rPr>
        <w:t>Article</w:t>
      </w:r>
      <w:proofErr w:type="gramEnd"/>
      <w:r w:rsidR="00FA314E" w:rsidRPr="00832B76">
        <w:rPr>
          <w:iCs/>
        </w:rPr>
        <w:t xml:space="preserve"> 13, in the context of its enabling activities, and to report thereon in its annual report to the Conference of the Parties at its twenty-ninth session</w:t>
      </w:r>
      <w:r w:rsidR="00FA314E" w:rsidRPr="00311E47">
        <w:rPr>
          <w:iCs/>
        </w:rPr>
        <w:t>.</w:t>
      </w:r>
      <w:bookmarkEnd w:id="103"/>
    </w:p>
    <w:p w14:paraId="0119CDB1" w14:textId="77777777" w:rsidR="00AD1686" w:rsidRPr="000F6262" w:rsidRDefault="00AD1686" w:rsidP="009D32E6">
      <w:pPr>
        <w:tabs>
          <w:tab w:val="left" w:pos="1701"/>
        </w:tabs>
        <w:spacing w:line="20" w:lineRule="atLeast"/>
        <w:ind w:left="6521" w:right="1133"/>
        <w:jc w:val="right"/>
        <w:rPr>
          <w:i/>
          <w:iCs/>
        </w:rPr>
      </w:pPr>
      <w:r>
        <w:rPr>
          <w:i/>
          <w:iCs/>
        </w:rPr>
        <w:t>6</w:t>
      </w:r>
      <w:r w:rsidRPr="00AD1686">
        <w:rPr>
          <w:i/>
          <w:iCs/>
          <w:vertAlign w:val="superscript"/>
        </w:rPr>
        <w:t>th</w:t>
      </w:r>
      <w:r>
        <w:rPr>
          <w:i/>
          <w:iCs/>
        </w:rPr>
        <w:t xml:space="preserve"> </w:t>
      </w:r>
      <w:r w:rsidRPr="000F6262">
        <w:rPr>
          <w:i/>
          <w:iCs/>
        </w:rPr>
        <w:t>plenary meeting</w:t>
      </w:r>
    </w:p>
    <w:p w14:paraId="55F49EEB" w14:textId="77777777" w:rsidR="00AD1686" w:rsidRPr="000F6262" w:rsidRDefault="00AD1686" w:rsidP="009D32E6">
      <w:pPr>
        <w:tabs>
          <w:tab w:val="left" w:pos="1701"/>
        </w:tabs>
        <w:spacing w:line="20" w:lineRule="atLeast"/>
        <w:ind w:left="6521" w:right="1134"/>
        <w:jc w:val="right"/>
        <w:rPr>
          <w:i/>
          <w:iCs/>
        </w:rPr>
      </w:pPr>
      <w:r w:rsidRPr="000F6262">
        <w:rPr>
          <w:i/>
          <w:iCs/>
        </w:rPr>
        <w:t>13 December 2023</w:t>
      </w:r>
    </w:p>
    <w:bookmarkEnd w:id="100"/>
    <w:p w14:paraId="05DEADB0" w14:textId="77777777" w:rsidR="00CA46BE" w:rsidRDefault="00CA46BE" w:rsidP="009B6BCD">
      <w:pPr>
        <w:pStyle w:val="RegSingleTxtG"/>
        <w:sectPr w:rsidR="00CA46BE" w:rsidSect="00DA6BD2">
          <w:headerReference w:type="even" r:id="rId44"/>
          <w:headerReference w:type="default" r:id="rId45"/>
          <w:footerReference w:type="even" r:id="rId46"/>
          <w:footerReference w:type="default" r:id="rId47"/>
          <w:headerReference w:type="first" r:id="rId48"/>
          <w:footnotePr>
            <w:numRestart w:val="eachSect"/>
          </w:footnotePr>
          <w:pgSz w:w="11906" w:h="16838" w:code="9"/>
          <w:pgMar w:top="1417" w:right="1134" w:bottom="1134" w:left="1134" w:header="850" w:footer="567" w:gutter="0"/>
          <w:cols w:space="708"/>
          <w:docGrid w:linePitch="360"/>
        </w:sectPr>
      </w:pPr>
    </w:p>
    <w:p w14:paraId="0B327351" w14:textId="409C4203" w:rsidR="00775EF1" w:rsidRDefault="00775EF1" w:rsidP="00406A0D">
      <w:pPr>
        <w:pStyle w:val="RegHChG"/>
        <w:spacing w:before="240"/>
        <w:ind w:left="1134" w:hanging="454"/>
      </w:pPr>
      <w:bookmarkStart w:id="104" w:name="decision12"/>
      <w:bookmarkStart w:id="105" w:name="_Toc161241772"/>
      <w:bookmarkStart w:id="106" w:name="_Toc161241998"/>
      <w:bookmarkEnd w:id="104"/>
      <w:r>
        <w:lastRenderedPageBreak/>
        <w:t>Decision 12/CMA.5</w:t>
      </w:r>
      <w:bookmarkEnd w:id="105"/>
      <w:bookmarkEnd w:id="106"/>
    </w:p>
    <w:p w14:paraId="297EA70B" w14:textId="77777777" w:rsidR="00775EF1" w:rsidRPr="00A96DC7" w:rsidRDefault="00775EF1" w:rsidP="00775EF1">
      <w:pPr>
        <w:pStyle w:val="HChG"/>
      </w:pPr>
      <w:r>
        <w:tab/>
      </w:r>
      <w:r>
        <w:tab/>
        <w:t>Matters relating to the Adaptation Fund</w:t>
      </w:r>
    </w:p>
    <w:p w14:paraId="7ADB28CF" w14:textId="3E0932E1" w:rsidR="00775EF1" w:rsidRDefault="00677B7A" w:rsidP="008840D8">
      <w:pPr>
        <w:pStyle w:val="RegSingleTxtG"/>
        <w:ind w:left="1134"/>
        <w:rPr>
          <w:rFonts w:eastAsia="DengXian"/>
          <w:color w:val="000000" w:themeColor="text1"/>
        </w:rPr>
      </w:pPr>
      <w:r>
        <w:tab/>
      </w:r>
      <w:r w:rsidR="00775EF1" w:rsidRPr="13936002">
        <w:t>The Conference of the Parties serving as the meeting of the Parties to the Paris Agreement</w:t>
      </w:r>
      <w:r w:rsidR="00775EF1" w:rsidRPr="13936002">
        <w:rPr>
          <w:rFonts w:eastAsia="DengXian"/>
          <w:color w:val="000000" w:themeColor="text1"/>
        </w:rPr>
        <w:t xml:space="preserve">, </w:t>
      </w:r>
    </w:p>
    <w:p w14:paraId="44B988E8" w14:textId="0B66A8AE" w:rsidR="00775EF1" w:rsidRPr="00311D6B" w:rsidRDefault="008840D8" w:rsidP="008840D8">
      <w:pPr>
        <w:pStyle w:val="RegSingleTxtG"/>
        <w:ind w:left="1134"/>
        <w:rPr>
          <w:rFonts w:eastAsia="DengXian"/>
          <w:color w:val="000000"/>
        </w:rPr>
      </w:pPr>
      <w:r>
        <w:tab/>
      </w:r>
      <w:r w:rsidR="00775EF1" w:rsidRPr="00EE3A85">
        <w:rPr>
          <w:i/>
          <w:iCs/>
        </w:rPr>
        <w:t>Recalling</w:t>
      </w:r>
      <w:r w:rsidR="00775EF1" w:rsidRPr="008840D8">
        <w:t xml:space="preserve"> </w:t>
      </w:r>
      <w:r w:rsidR="00775EF1" w:rsidRPr="009A2540">
        <w:t>decisions 1/CMP.3, 1/CMP.4, 2/CMP.10, 1/CMP.11, 2/CMP.12, 1/CMP.13, 1/CMP.14, 3/CMP.15, 3/CMP.16 and 4/CMP.17,</w:t>
      </w:r>
    </w:p>
    <w:p w14:paraId="1CC601ED" w14:textId="21C5BB34" w:rsidR="00775EF1" w:rsidRPr="009A2540" w:rsidRDefault="00661396" w:rsidP="008840D8">
      <w:pPr>
        <w:pStyle w:val="RegSingleTxtG"/>
        <w:ind w:left="1134"/>
      </w:pPr>
      <w:r>
        <w:rPr>
          <w:i/>
          <w:iCs/>
        </w:rPr>
        <w:tab/>
      </w:r>
      <w:r w:rsidR="00775EF1" w:rsidRPr="009A2540">
        <w:rPr>
          <w:i/>
          <w:iCs/>
        </w:rPr>
        <w:t>Also recalling</w:t>
      </w:r>
      <w:r w:rsidR="00775EF1" w:rsidRPr="009A2540">
        <w:t xml:space="preserve"> decisions</w:t>
      </w:r>
      <w:r w:rsidR="00775EF1" w:rsidRPr="00311D6B">
        <w:rPr>
          <w:rFonts w:eastAsia="DengXian"/>
          <w:color w:val="000000"/>
        </w:rPr>
        <w:t xml:space="preserve"> </w:t>
      </w:r>
      <w:r w:rsidR="00775EF1" w:rsidRPr="009A2540">
        <w:t>13/CMA.1 and 1/CMA.3, paragraph 18,</w:t>
      </w:r>
    </w:p>
    <w:p w14:paraId="7344AC2C" w14:textId="7B63DFF6" w:rsidR="00775EF1" w:rsidRPr="00311D6B" w:rsidRDefault="00406A0D" w:rsidP="00406A0D">
      <w:pPr>
        <w:pStyle w:val="RegSingleTxtG"/>
        <w:tabs>
          <w:tab w:val="clear" w:pos="1701"/>
        </w:tabs>
        <w:spacing w:before="120"/>
        <w:ind w:left="1134"/>
      </w:pPr>
      <w:bookmarkStart w:id="107" w:name="_Ref152673066"/>
      <w:r w:rsidRPr="00311D6B">
        <w:rPr>
          <w:iCs/>
        </w:rPr>
        <w:t>1.</w:t>
      </w:r>
      <w:r w:rsidRPr="00311D6B">
        <w:rPr>
          <w:iCs/>
        </w:rPr>
        <w:tab/>
      </w:r>
      <w:r w:rsidR="00775EF1" w:rsidRPr="00311D6B">
        <w:rPr>
          <w:i/>
          <w:iCs/>
        </w:rPr>
        <w:t xml:space="preserve">Welcomes </w:t>
      </w:r>
      <w:r w:rsidR="00775EF1" w:rsidRPr="00A64A8B">
        <w:t>the annual report of the Adaptation Fund Board for 2023, including its addendum, and the information therein;</w:t>
      </w:r>
      <w:r w:rsidR="00775EF1" w:rsidRPr="00311D6B">
        <w:rPr>
          <w:rStyle w:val="FootnoteReference"/>
        </w:rPr>
        <w:footnoteReference w:id="55"/>
      </w:r>
      <w:bookmarkEnd w:id="107"/>
    </w:p>
    <w:p w14:paraId="2C8E1457" w14:textId="0E76B755" w:rsidR="00775EF1" w:rsidRPr="00311D6B" w:rsidRDefault="00406A0D" w:rsidP="00406A0D">
      <w:pPr>
        <w:pStyle w:val="RegSingleTxtG"/>
        <w:tabs>
          <w:tab w:val="clear" w:pos="1701"/>
        </w:tabs>
        <w:spacing w:before="120"/>
        <w:ind w:left="1134"/>
      </w:pPr>
      <w:r w:rsidRPr="00311D6B">
        <w:rPr>
          <w:iCs/>
        </w:rPr>
        <w:t>2.</w:t>
      </w:r>
      <w:r w:rsidRPr="00311D6B">
        <w:rPr>
          <w:iCs/>
        </w:rPr>
        <w:tab/>
      </w:r>
      <w:r w:rsidR="00775EF1" w:rsidRPr="00311D6B">
        <w:rPr>
          <w:i/>
          <w:iCs/>
        </w:rPr>
        <w:t>Notes</w:t>
      </w:r>
      <w:r w:rsidR="00775EF1" w:rsidRPr="00311D6B">
        <w:t xml:space="preserve"> the following information, actions and decisions relating to the Adaptation Fund Board presented in the report referred to in paragraph </w:t>
      </w:r>
      <w:r w:rsidR="00775EF1">
        <w:rPr>
          <w:cs/>
        </w:rPr>
        <w:t>‎</w:t>
      </w:r>
      <w:r w:rsidR="00605CF6">
        <w:rPr>
          <w:cs/>
        </w:rPr>
        <w:t>‎</w:t>
      </w:r>
      <w:r w:rsidR="00605CF6">
        <w:t>1 above</w:t>
      </w:r>
      <w:r w:rsidR="00775EF1" w:rsidRPr="00311D6B">
        <w:t>:</w:t>
      </w:r>
    </w:p>
    <w:p w14:paraId="61AF06ED" w14:textId="7F2D788D" w:rsidR="00775EF1" w:rsidRPr="00311D6B" w:rsidRDefault="00406A0D" w:rsidP="00406A0D">
      <w:pPr>
        <w:pStyle w:val="RegSingleTxtG2"/>
        <w:ind w:left="1134" w:firstLine="567"/>
      </w:pPr>
      <w:r w:rsidRPr="00311D6B">
        <w:t>(a)</w:t>
      </w:r>
      <w:r w:rsidRPr="00311D6B">
        <w:tab/>
      </w:r>
      <w:r w:rsidR="00775EF1" w:rsidRPr="00311D6B">
        <w:t>The approval of an implementation plan</w:t>
      </w:r>
      <w:r w:rsidR="00775EF1" w:rsidRPr="00311D6B">
        <w:rPr>
          <w:rStyle w:val="FootnoteReference"/>
        </w:rPr>
        <w:footnoteReference w:id="56"/>
      </w:r>
      <w:r w:rsidR="00775EF1" w:rsidRPr="00311D6B">
        <w:t xml:space="preserve"> for the Medium-Term Strategy of the Adaptation Fund for 2023–2027</w:t>
      </w:r>
      <w:r w:rsidR="00775EF1" w:rsidRPr="00311D6B">
        <w:rPr>
          <w:rStyle w:val="FootnoteReference"/>
        </w:rPr>
        <w:footnoteReference w:id="57"/>
      </w:r>
      <w:r w:rsidR="00775EF1" w:rsidRPr="00311D6B">
        <w:t xml:space="preserve"> that focuses on promoting locally led adaptation, scaling up projects and replicating their results, and strengthening linkages and synergies between the Strategy’s pillars of action, innovation, and learning and </w:t>
      </w:r>
      <w:proofErr w:type="gramStart"/>
      <w:r w:rsidR="00775EF1" w:rsidRPr="00311D6B">
        <w:t>sharing;</w:t>
      </w:r>
      <w:proofErr w:type="gramEnd"/>
    </w:p>
    <w:p w14:paraId="12A98A37" w14:textId="70581BC0" w:rsidR="00775EF1" w:rsidRPr="00311D6B" w:rsidRDefault="00406A0D" w:rsidP="00406A0D">
      <w:pPr>
        <w:pStyle w:val="RegSingleTxtG2"/>
        <w:ind w:left="1134" w:firstLine="567"/>
      </w:pPr>
      <w:r w:rsidRPr="00311D6B">
        <w:t>(b)</w:t>
      </w:r>
      <w:r w:rsidRPr="00311D6B">
        <w:tab/>
      </w:r>
      <w:r w:rsidR="00775EF1" w:rsidRPr="00311D6B">
        <w:t xml:space="preserve">The adoption of a resource mobilization target for 2023 of USD 300 </w:t>
      </w:r>
      <w:r w:rsidR="00775EF1" w:rsidRPr="00233D5C">
        <w:t>million,</w:t>
      </w:r>
      <w:r w:rsidR="00775EF1" w:rsidRPr="00311D6B">
        <w:t xml:space="preserve"> to come from a greater number of contributors than </w:t>
      </w:r>
      <w:r w:rsidR="00775EF1">
        <w:t>in</w:t>
      </w:r>
      <w:r w:rsidR="00775EF1" w:rsidRPr="00311D6B">
        <w:t xml:space="preserve"> the previous </w:t>
      </w:r>
      <w:proofErr w:type="gramStart"/>
      <w:r w:rsidR="00775EF1" w:rsidRPr="00311D6B">
        <w:t>year;</w:t>
      </w:r>
      <w:proofErr w:type="gramEnd"/>
    </w:p>
    <w:p w14:paraId="0D282AD6" w14:textId="4F5AFAE6" w:rsidR="00775EF1" w:rsidRPr="00311D6B" w:rsidRDefault="00406A0D" w:rsidP="00406A0D">
      <w:pPr>
        <w:pStyle w:val="RegSingleTxtG2"/>
        <w:ind w:left="1134" w:firstLine="567"/>
      </w:pPr>
      <w:r w:rsidRPr="00311D6B">
        <w:t>(c)</w:t>
      </w:r>
      <w:r w:rsidRPr="00311D6B">
        <w:tab/>
      </w:r>
      <w:r w:rsidR="00775EF1" w:rsidRPr="00311D6B">
        <w:t xml:space="preserve">The adoption of an enhanced proposal submission process to expedite the review of the increasing number of funding proposals and enable implementing entities to submit proposals under all funding windows of the Adaptation Fund on a rolling </w:t>
      </w:r>
      <w:proofErr w:type="gramStart"/>
      <w:r w:rsidR="00775EF1" w:rsidRPr="00311D6B">
        <w:t>basis;</w:t>
      </w:r>
      <w:proofErr w:type="gramEnd"/>
    </w:p>
    <w:p w14:paraId="590018D3" w14:textId="37583E4E" w:rsidR="00775EF1" w:rsidRPr="00311D6B" w:rsidRDefault="00406A0D" w:rsidP="00406A0D">
      <w:pPr>
        <w:pStyle w:val="RegSingleTxtG2"/>
        <w:ind w:left="1134" w:firstLine="567"/>
      </w:pPr>
      <w:r w:rsidRPr="00311D6B">
        <w:t>(d)</w:t>
      </w:r>
      <w:r w:rsidRPr="00311D6B">
        <w:tab/>
      </w:r>
      <w:r w:rsidR="00775EF1" w:rsidRPr="00311D6B">
        <w:t xml:space="preserve">Cumulative receipts of USD 1,517.20 million, as </w:t>
      </w:r>
      <w:proofErr w:type="gramStart"/>
      <w:r w:rsidR="00775EF1" w:rsidRPr="00311D6B">
        <w:t>at</w:t>
      </w:r>
      <w:proofErr w:type="gramEnd"/>
      <w:r w:rsidR="00775EF1" w:rsidRPr="00311D6B">
        <w:t xml:space="preserve"> 30 June 2023, into the Adaptation Fund Trust Fund, comprising USD 214.92 million from the monetization of certified emission reductions, USD 1,232.96 million from contributions and USD 69.31 million from investment income earned on the Trust Fund balance;</w:t>
      </w:r>
    </w:p>
    <w:p w14:paraId="73C5429F" w14:textId="01CD2D87" w:rsidR="00775EF1" w:rsidRPr="00311D6B" w:rsidRDefault="00406A0D" w:rsidP="00406A0D">
      <w:pPr>
        <w:pStyle w:val="RegSingleTxtG2"/>
        <w:ind w:left="1134" w:firstLine="567"/>
      </w:pPr>
      <w:r w:rsidRPr="00311D6B">
        <w:t>(e)</w:t>
      </w:r>
      <w:r w:rsidRPr="00311D6B">
        <w:tab/>
      </w:r>
      <w:r w:rsidR="00775EF1" w:rsidRPr="00311D6B">
        <w:t xml:space="preserve">Contributions of USD 282.15 million, of which USD 3.12 million from the monetization of certified emission reductions, USD 250.97 million from additional contributions and USD 28.06 million from investment income, received between 1 July 2022 and 30 June </w:t>
      </w:r>
      <w:proofErr w:type="gramStart"/>
      <w:r w:rsidR="00775EF1" w:rsidRPr="00311D6B">
        <w:t>2023;</w:t>
      </w:r>
      <w:proofErr w:type="gramEnd"/>
    </w:p>
    <w:p w14:paraId="7199C425" w14:textId="3BD1FC69" w:rsidR="00775EF1" w:rsidRPr="00117996" w:rsidRDefault="00406A0D" w:rsidP="00406A0D">
      <w:pPr>
        <w:pStyle w:val="RegSingleTxtG2"/>
        <w:ind w:left="1134" w:firstLine="567"/>
      </w:pPr>
      <w:r w:rsidRPr="00117996">
        <w:t>(f)</w:t>
      </w:r>
      <w:r w:rsidRPr="00117996">
        <w:tab/>
      </w:r>
      <w:r w:rsidR="00775EF1" w:rsidRPr="008368A8">
        <w:t xml:space="preserve">New pledges amounting to USD 187.74 million from 15 contributors received as </w:t>
      </w:r>
      <w:proofErr w:type="gramStart"/>
      <w:r w:rsidR="00775EF1" w:rsidRPr="008368A8">
        <w:t>at</w:t>
      </w:r>
      <w:proofErr w:type="gramEnd"/>
      <w:r w:rsidR="00775EF1" w:rsidRPr="008368A8">
        <w:t xml:space="preserve"> 10 December 2023 towards the Adaptation Fund resource mobilization target for 2023 of USD 300 million, to come from</w:t>
      </w:r>
      <w:r w:rsidR="00775EF1" w:rsidRPr="008368A8" w:rsidDel="00CA3194">
        <w:t xml:space="preserve"> more than</w:t>
      </w:r>
      <w:r w:rsidR="00775EF1" w:rsidRPr="006C556A">
        <w:t xml:space="preserve"> the</w:t>
      </w:r>
      <w:r w:rsidR="00775EF1" w:rsidRPr="006C556A" w:rsidDel="00CA3194">
        <w:t xml:space="preserve"> </w:t>
      </w:r>
      <w:r w:rsidR="00775EF1" w:rsidRPr="006C556A">
        <w:t xml:space="preserve">17 </w:t>
      </w:r>
      <w:r w:rsidR="00775EF1" w:rsidRPr="006C556A" w:rsidDel="00CA3194">
        <w:t xml:space="preserve">contributors </w:t>
      </w:r>
      <w:r w:rsidR="00775EF1" w:rsidRPr="006C556A">
        <w:t>in 2022;</w:t>
      </w:r>
    </w:p>
    <w:p w14:paraId="3306BF58" w14:textId="63EAA53D" w:rsidR="00775EF1" w:rsidRPr="00311D6B" w:rsidRDefault="00406A0D" w:rsidP="00406A0D">
      <w:pPr>
        <w:pStyle w:val="RegSingleTxtG2"/>
        <w:ind w:left="1134" w:firstLine="567"/>
      </w:pPr>
      <w:r w:rsidRPr="00311D6B">
        <w:t>(g)</w:t>
      </w:r>
      <w:r w:rsidRPr="00311D6B">
        <w:tab/>
      </w:r>
      <w:r w:rsidR="00775EF1" w:rsidRPr="00311D6B">
        <w:t xml:space="preserve">Outstanding pledged contributions </w:t>
      </w:r>
      <w:r w:rsidR="00775EF1">
        <w:t xml:space="preserve">from previous years </w:t>
      </w:r>
      <w:r w:rsidR="00775EF1" w:rsidRPr="00311D6B">
        <w:t>of USD </w:t>
      </w:r>
      <w:r w:rsidR="00775EF1">
        <w:t xml:space="preserve">148.27 </w:t>
      </w:r>
      <w:r w:rsidR="00775EF1" w:rsidRPr="00311D6B">
        <w:t xml:space="preserve">million as </w:t>
      </w:r>
      <w:proofErr w:type="gramStart"/>
      <w:r w:rsidR="00775EF1" w:rsidRPr="00311D6B">
        <w:t>at</w:t>
      </w:r>
      <w:proofErr w:type="gramEnd"/>
      <w:r w:rsidR="00775EF1" w:rsidRPr="00311D6B">
        <w:t xml:space="preserve"> </w:t>
      </w:r>
      <w:r w:rsidR="00775EF1">
        <w:t>7 December 2023,</w:t>
      </w:r>
      <w:r w:rsidR="00775EF1" w:rsidRPr="00311D6B" w:rsidDel="00DA0786">
        <w:t xml:space="preserve"> </w:t>
      </w:r>
      <w:r w:rsidR="00775EF1">
        <w:t>of which</w:t>
      </w:r>
      <w:r w:rsidR="00775EF1" w:rsidRPr="00311D6B">
        <w:t xml:space="preserve"> USD </w:t>
      </w:r>
      <w:r w:rsidR="00775EF1">
        <w:t>67.79</w:t>
      </w:r>
      <w:r w:rsidR="00775EF1" w:rsidRPr="00311D6B" w:rsidDel="00DA0786">
        <w:t xml:space="preserve"> </w:t>
      </w:r>
      <w:r w:rsidR="00775EF1" w:rsidRPr="00311D6B">
        <w:t>million under signed agreements;</w:t>
      </w:r>
    </w:p>
    <w:p w14:paraId="24E76F35" w14:textId="1AAFC378" w:rsidR="00775EF1" w:rsidRPr="00311D6B" w:rsidRDefault="00406A0D" w:rsidP="00406A0D">
      <w:pPr>
        <w:pStyle w:val="RegSingleTxtG2"/>
        <w:ind w:left="1134" w:firstLine="567"/>
      </w:pPr>
      <w:r w:rsidRPr="00311D6B">
        <w:t>(h)</w:t>
      </w:r>
      <w:r w:rsidRPr="00311D6B">
        <w:tab/>
      </w:r>
      <w:r w:rsidR="00775EF1" w:rsidRPr="00311D6B">
        <w:t xml:space="preserve">An increase in cumulative project and programme approvals of approximately 14 per cent, to USD 1,060.75 million, between 1 July 2022 and 30 June </w:t>
      </w:r>
      <w:proofErr w:type="gramStart"/>
      <w:r w:rsidR="00775EF1" w:rsidRPr="00311D6B">
        <w:t>2023;</w:t>
      </w:r>
      <w:proofErr w:type="gramEnd"/>
    </w:p>
    <w:p w14:paraId="5DA20EBB" w14:textId="7A11DF48" w:rsidR="00775EF1" w:rsidRPr="00311D6B" w:rsidRDefault="00406A0D" w:rsidP="00406A0D">
      <w:pPr>
        <w:pStyle w:val="RegSingleTxtG2"/>
        <w:ind w:left="1134" w:firstLine="567"/>
      </w:pPr>
      <w:r w:rsidRPr="00311D6B">
        <w:t>(i)</w:t>
      </w:r>
      <w:r w:rsidRPr="00311D6B">
        <w:tab/>
      </w:r>
      <w:r w:rsidR="00775EF1" w:rsidRPr="00311D6B">
        <w:t>The development of options for an Adaptation Fund policy on safeguarding against sexual exploitation and abuse and sexual harassment;</w:t>
      </w:r>
      <w:r w:rsidR="00775EF1" w:rsidRPr="00311D6B">
        <w:rPr>
          <w:rStyle w:val="FootnoteReference"/>
        </w:rPr>
        <w:footnoteReference w:id="58"/>
      </w:r>
    </w:p>
    <w:p w14:paraId="2D1C0AE7" w14:textId="5BEEFAA1" w:rsidR="00775EF1" w:rsidRPr="00311D6B" w:rsidRDefault="00406A0D" w:rsidP="00406A0D">
      <w:pPr>
        <w:pStyle w:val="RegSingleTxtG2"/>
        <w:ind w:left="1134" w:firstLine="567"/>
      </w:pPr>
      <w:r w:rsidRPr="00311D6B">
        <w:t>(j)</w:t>
      </w:r>
      <w:r w:rsidRPr="00311D6B">
        <w:tab/>
      </w:r>
      <w:r w:rsidR="00775EF1" w:rsidRPr="00311D6B">
        <w:t xml:space="preserve">The continued implementation of the updated gender policy and action plan of the Adaptation </w:t>
      </w:r>
      <w:proofErr w:type="gramStart"/>
      <w:r w:rsidR="00775EF1" w:rsidRPr="00311D6B">
        <w:t>Fund;</w:t>
      </w:r>
      <w:proofErr w:type="gramEnd"/>
    </w:p>
    <w:p w14:paraId="27DB1A22" w14:textId="57907540" w:rsidR="00775EF1" w:rsidRPr="00311D6B" w:rsidRDefault="00406A0D" w:rsidP="00406A0D">
      <w:pPr>
        <w:pStyle w:val="RegSingleTxtG2"/>
        <w:ind w:left="1134" w:firstLine="567"/>
      </w:pPr>
      <w:r w:rsidRPr="00311D6B">
        <w:t>(k)</w:t>
      </w:r>
      <w:r w:rsidRPr="00311D6B">
        <w:tab/>
      </w:r>
      <w:r w:rsidR="00775EF1" w:rsidRPr="00311D6B">
        <w:t xml:space="preserve">The continued enhancement </w:t>
      </w:r>
      <w:r w:rsidR="00775EF1" w:rsidRPr="004B6FE9">
        <w:t xml:space="preserve">of complementarity and coherence with other climate funds and building of linkages with other </w:t>
      </w:r>
      <w:r w:rsidR="00775EF1">
        <w:t xml:space="preserve">constituted bodies under the </w:t>
      </w:r>
      <w:r w:rsidR="00775EF1" w:rsidRPr="00117996">
        <w:t xml:space="preserve">Convention and the Paris </w:t>
      </w:r>
      <w:proofErr w:type="gramStart"/>
      <w:r w:rsidR="00775EF1" w:rsidRPr="00117996">
        <w:t>Agreement</w:t>
      </w:r>
      <w:r w:rsidR="00775EF1" w:rsidRPr="00311D6B">
        <w:t>;</w:t>
      </w:r>
      <w:proofErr w:type="gramEnd"/>
    </w:p>
    <w:p w14:paraId="1B865881" w14:textId="4AEF40A9" w:rsidR="00775EF1" w:rsidRPr="00311D6B" w:rsidRDefault="00406A0D" w:rsidP="00406A0D">
      <w:pPr>
        <w:pStyle w:val="RegSingleTxtG2"/>
        <w:ind w:left="1134" w:firstLine="567"/>
      </w:pPr>
      <w:r w:rsidRPr="00311D6B">
        <w:lastRenderedPageBreak/>
        <w:t>(l)</w:t>
      </w:r>
      <w:r w:rsidRPr="00311D6B">
        <w:tab/>
      </w:r>
      <w:r w:rsidR="00775EF1" w:rsidRPr="00311D6B">
        <w:t xml:space="preserve">The consideration of options for reducing the carbon footprint of the Adaptation </w:t>
      </w:r>
      <w:proofErr w:type="gramStart"/>
      <w:r w:rsidR="00775EF1" w:rsidRPr="00311D6B">
        <w:t>Fund;</w:t>
      </w:r>
      <w:proofErr w:type="gramEnd"/>
    </w:p>
    <w:p w14:paraId="0BFE11A7" w14:textId="6664FA9D" w:rsidR="00775EF1" w:rsidRPr="00662FA7" w:rsidRDefault="00406A0D" w:rsidP="00406A0D">
      <w:pPr>
        <w:pStyle w:val="RegSingleTxtG2"/>
        <w:ind w:left="1134" w:firstLine="567"/>
      </w:pPr>
      <w:r w:rsidRPr="00662FA7">
        <w:t>(m)</w:t>
      </w:r>
      <w:r w:rsidRPr="00662FA7">
        <w:tab/>
      </w:r>
      <w:r w:rsidR="00775EF1" w:rsidRPr="00311D6B">
        <w:t xml:space="preserve">The development of </w:t>
      </w:r>
      <w:r w:rsidR="00775EF1" w:rsidRPr="00662FA7">
        <w:t>knowledge products and learning activities;</w:t>
      </w:r>
      <w:r w:rsidR="00775EF1" w:rsidRPr="00662FA7">
        <w:rPr>
          <w:rStyle w:val="FootnoteReference"/>
        </w:rPr>
        <w:footnoteReference w:id="59"/>
      </w:r>
    </w:p>
    <w:p w14:paraId="2CF7DD68" w14:textId="6EA90D02" w:rsidR="00775EF1" w:rsidRPr="00C660D7" w:rsidRDefault="00406A0D" w:rsidP="00406A0D">
      <w:pPr>
        <w:pStyle w:val="RegSingleTxtG"/>
        <w:tabs>
          <w:tab w:val="clear" w:pos="1701"/>
        </w:tabs>
        <w:spacing w:before="120"/>
        <w:ind w:left="1134"/>
      </w:pPr>
      <w:r w:rsidRPr="00C660D7">
        <w:rPr>
          <w:iCs/>
        </w:rPr>
        <w:t>3.</w:t>
      </w:r>
      <w:r w:rsidRPr="00C660D7">
        <w:rPr>
          <w:iCs/>
        </w:rPr>
        <w:tab/>
      </w:r>
      <w:r w:rsidR="00775EF1" w:rsidRPr="00662FA7">
        <w:rPr>
          <w:i/>
          <w:iCs/>
        </w:rPr>
        <w:t>Welcomes</w:t>
      </w:r>
      <w:r w:rsidR="00775EF1" w:rsidRPr="00662FA7">
        <w:t xml:space="preserve"> the financial pledges made towards the Adaptation Fund resource mobilization target for 2023 of USD 300 million, to come from</w:t>
      </w:r>
      <w:r w:rsidR="00775EF1" w:rsidRPr="00662FA7" w:rsidDel="00CA3194">
        <w:t xml:space="preserve"> more than</w:t>
      </w:r>
      <w:r w:rsidR="00775EF1" w:rsidRPr="00662FA7">
        <w:t xml:space="preserve"> the</w:t>
      </w:r>
      <w:r w:rsidR="00775EF1" w:rsidRPr="00662FA7" w:rsidDel="00CA3194">
        <w:t xml:space="preserve"> </w:t>
      </w:r>
      <w:r w:rsidR="00775EF1" w:rsidRPr="00662FA7">
        <w:t xml:space="preserve">17 </w:t>
      </w:r>
      <w:r w:rsidR="00775EF1" w:rsidRPr="00662FA7" w:rsidDel="00CA3194">
        <w:t xml:space="preserve">contributors </w:t>
      </w:r>
      <w:r w:rsidR="00775EF1" w:rsidRPr="00662FA7">
        <w:t>in 2022</w:t>
      </w:r>
      <w:r w:rsidR="00775EF1">
        <w:t>,</w:t>
      </w:r>
      <w:r w:rsidR="00775EF1" w:rsidRPr="00662FA7">
        <w:t xml:space="preserve"> by the Governments of Austria, Denmark, France, Germany</w:t>
      </w:r>
      <w:r w:rsidR="00775EF1" w:rsidRPr="00C660D7">
        <w:t xml:space="preserve">, Iceland, Ireland, Luxembourg, Norway, the Republic of Korea, Spain, Sweden and Switzerland, as well as the governments of the Brussels and Walloon Regions of Belgium and the provincial government of Quebec, equivalent to USD 187.74 </w:t>
      </w:r>
      <w:proofErr w:type="gramStart"/>
      <w:r w:rsidR="00775EF1" w:rsidRPr="00C660D7">
        <w:t>million;</w:t>
      </w:r>
      <w:proofErr w:type="gramEnd"/>
    </w:p>
    <w:p w14:paraId="3BF598ED" w14:textId="55746DE7" w:rsidR="00775EF1" w:rsidRPr="00311D6B" w:rsidRDefault="00406A0D" w:rsidP="00406A0D">
      <w:pPr>
        <w:pStyle w:val="RegSingleTxtG"/>
        <w:tabs>
          <w:tab w:val="clear" w:pos="1701"/>
        </w:tabs>
        <w:spacing w:before="120"/>
        <w:ind w:left="1134"/>
      </w:pPr>
      <w:r w:rsidRPr="00311D6B">
        <w:rPr>
          <w:iCs/>
        </w:rPr>
        <w:t>4.</w:t>
      </w:r>
      <w:r w:rsidRPr="00311D6B">
        <w:rPr>
          <w:iCs/>
        </w:rPr>
        <w:tab/>
      </w:r>
      <w:r w:rsidR="00775EF1" w:rsidRPr="00311D6B">
        <w:rPr>
          <w:i/>
          <w:iCs/>
        </w:rPr>
        <w:t>Notes</w:t>
      </w:r>
      <w:r w:rsidR="00775EF1" w:rsidRPr="00311E47">
        <w:rPr>
          <w:i/>
          <w:iCs/>
        </w:rPr>
        <w:t xml:space="preserve"> </w:t>
      </w:r>
      <w:r w:rsidR="00775EF1" w:rsidRPr="00311D6B">
        <w:rPr>
          <w:i/>
          <w:iCs/>
        </w:rPr>
        <w:t>with concern</w:t>
      </w:r>
      <w:r w:rsidR="00775EF1" w:rsidRPr="00311D6B">
        <w:t xml:space="preserve"> the outstanding pledged contributions to the Adaptation Fund and </w:t>
      </w:r>
      <w:r w:rsidR="00775EF1" w:rsidRPr="00311D6B">
        <w:rPr>
          <w:i/>
          <w:iCs/>
        </w:rPr>
        <w:t>urges</w:t>
      </w:r>
      <w:r w:rsidR="00775EF1" w:rsidRPr="00311D6B">
        <w:t xml:space="preserve"> Parties to fulfil their pledges </w:t>
      </w:r>
      <w:proofErr w:type="gramStart"/>
      <w:r w:rsidR="00775EF1" w:rsidRPr="00311D6B">
        <w:t>as soon as possible;</w:t>
      </w:r>
      <w:proofErr w:type="gramEnd"/>
    </w:p>
    <w:p w14:paraId="57F89423" w14:textId="3CAD0A64" w:rsidR="00775EF1" w:rsidRPr="00311D6B" w:rsidRDefault="00406A0D" w:rsidP="00406A0D">
      <w:pPr>
        <w:pStyle w:val="RegSingleTxtG"/>
        <w:tabs>
          <w:tab w:val="clear" w:pos="1701"/>
        </w:tabs>
        <w:spacing w:before="120"/>
        <w:ind w:left="1134"/>
      </w:pPr>
      <w:r w:rsidRPr="00311D6B">
        <w:rPr>
          <w:iCs/>
        </w:rPr>
        <w:t>5.</w:t>
      </w:r>
      <w:r w:rsidRPr="00311D6B">
        <w:rPr>
          <w:iCs/>
        </w:rPr>
        <w:tab/>
      </w:r>
      <w:r w:rsidR="00775EF1" w:rsidRPr="00311D6B">
        <w:rPr>
          <w:i/>
          <w:iCs/>
        </w:rPr>
        <w:t>Encourages</w:t>
      </w:r>
      <w:r w:rsidR="00775EF1" w:rsidRPr="00311D6B">
        <w:t xml:space="preserve"> continued and increased voluntary contributions of financial resources to the Adaptation Fund in line with its resource mobilization strategy for 2022–</w:t>
      </w:r>
      <w:proofErr w:type="gramStart"/>
      <w:r w:rsidR="00775EF1" w:rsidRPr="00311D6B">
        <w:t>2025;</w:t>
      </w:r>
      <w:proofErr w:type="gramEnd"/>
    </w:p>
    <w:p w14:paraId="7657ECF6" w14:textId="5742E737" w:rsidR="00775EF1" w:rsidRPr="00311D6B" w:rsidRDefault="00406A0D" w:rsidP="00406A0D">
      <w:pPr>
        <w:pStyle w:val="RegSingleTxtG"/>
        <w:tabs>
          <w:tab w:val="clear" w:pos="1701"/>
        </w:tabs>
        <w:spacing w:before="120"/>
        <w:ind w:left="1134"/>
      </w:pPr>
      <w:r w:rsidRPr="00311D6B">
        <w:rPr>
          <w:iCs/>
        </w:rPr>
        <w:t>6.</w:t>
      </w:r>
      <w:r w:rsidRPr="00311D6B">
        <w:rPr>
          <w:iCs/>
        </w:rPr>
        <w:tab/>
      </w:r>
      <w:r w:rsidR="00775EF1" w:rsidRPr="00311D6B">
        <w:rPr>
          <w:i/>
          <w:iCs/>
        </w:rPr>
        <w:t>Underscores</w:t>
      </w:r>
      <w:r w:rsidR="00775EF1" w:rsidRPr="00311D6B">
        <w:t xml:space="preserve"> the urgency of scaling up financial resources, including the provision of voluntary support, that are additional to the share of proceeds levied on certified emission reductions in order to support the resource mobilization efforts of the Adaptation Fund Board with a view to strengthening the Adaptation </w:t>
      </w:r>
      <w:proofErr w:type="gramStart"/>
      <w:r w:rsidR="00775EF1" w:rsidRPr="00311D6B">
        <w:t>Fund;</w:t>
      </w:r>
      <w:proofErr w:type="gramEnd"/>
    </w:p>
    <w:p w14:paraId="262A88F0" w14:textId="030E50EB" w:rsidR="00775EF1" w:rsidRPr="00311D6B" w:rsidRDefault="00406A0D" w:rsidP="00406A0D">
      <w:pPr>
        <w:pStyle w:val="RegSingleTxtG"/>
        <w:tabs>
          <w:tab w:val="clear" w:pos="1701"/>
        </w:tabs>
        <w:spacing w:before="120"/>
        <w:ind w:left="1134"/>
      </w:pPr>
      <w:r w:rsidRPr="00311D6B">
        <w:rPr>
          <w:iCs/>
        </w:rPr>
        <w:t>7.</w:t>
      </w:r>
      <w:r w:rsidRPr="00311D6B">
        <w:rPr>
          <w:iCs/>
        </w:rPr>
        <w:tab/>
      </w:r>
      <w:r w:rsidR="00775EF1" w:rsidRPr="00311D6B">
        <w:rPr>
          <w:i/>
          <w:iCs/>
        </w:rPr>
        <w:t>Emphasizes</w:t>
      </w:r>
      <w:r w:rsidR="00775EF1" w:rsidRPr="00311D6B">
        <w:t xml:space="preserve"> the importance of continuing to take action to promote the adequacy and predictability of adaptation finance, including through multi-year contributions, taking into account the role of the Adaptation Fund in delivering dedicated support for </w:t>
      </w:r>
      <w:proofErr w:type="gramStart"/>
      <w:r w:rsidR="00775EF1" w:rsidRPr="00311D6B">
        <w:t>adaptation;</w:t>
      </w:r>
      <w:proofErr w:type="gramEnd"/>
    </w:p>
    <w:p w14:paraId="48D4247F" w14:textId="19D45D5C" w:rsidR="00775EF1" w:rsidRPr="00311D6B" w:rsidRDefault="00406A0D" w:rsidP="00406A0D">
      <w:pPr>
        <w:pStyle w:val="RegSingleTxtG"/>
        <w:tabs>
          <w:tab w:val="clear" w:pos="1701"/>
        </w:tabs>
        <w:spacing w:before="120"/>
        <w:ind w:left="1134"/>
      </w:pPr>
      <w:r w:rsidRPr="00311D6B">
        <w:rPr>
          <w:iCs/>
        </w:rPr>
        <w:t>8.</w:t>
      </w:r>
      <w:r w:rsidRPr="00311D6B">
        <w:rPr>
          <w:iCs/>
        </w:rPr>
        <w:tab/>
      </w:r>
      <w:r w:rsidR="00775EF1" w:rsidRPr="00311D6B">
        <w:rPr>
          <w:i/>
          <w:iCs/>
        </w:rPr>
        <w:t>Stresses</w:t>
      </w:r>
      <w:r w:rsidR="00775EF1" w:rsidRPr="00311D6B">
        <w:t xml:space="preserve"> the importance of financial contributions to the Adaptation Fund, including in the context of urging developed country Parties to at least double their collective provision of climate finance for adaptation to developing countries from 2019 levels by 2025, in the context of achieving a balance between mitigation and adaptation in the provision of scaled</w:t>
      </w:r>
      <w:r w:rsidR="00775EF1">
        <w:noBreakHyphen/>
      </w:r>
      <w:r w:rsidR="00775EF1" w:rsidRPr="00311D6B">
        <w:t xml:space="preserve">up financial resources, recalling Article 9, paragraph 4, of the Paris Agreement, as per decision 1/CMA.3, paragraph </w:t>
      </w:r>
      <w:proofErr w:type="gramStart"/>
      <w:r w:rsidR="00775EF1" w:rsidRPr="00311D6B">
        <w:t>18;</w:t>
      </w:r>
      <w:proofErr w:type="gramEnd"/>
    </w:p>
    <w:p w14:paraId="0D88F6A7" w14:textId="1E6EC04F" w:rsidR="00775EF1" w:rsidRPr="00311D6B" w:rsidRDefault="00406A0D" w:rsidP="00406A0D">
      <w:pPr>
        <w:pStyle w:val="RegSingleTxtG"/>
        <w:tabs>
          <w:tab w:val="clear" w:pos="1701"/>
        </w:tabs>
        <w:spacing w:before="120"/>
        <w:ind w:left="1134"/>
      </w:pPr>
      <w:r w:rsidRPr="00311D6B">
        <w:rPr>
          <w:iCs/>
        </w:rPr>
        <w:t>9.</w:t>
      </w:r>
      <w:r w:rsidRPr="00311D6B">
        <w:rPr>
          <w:iCs/>
        </w:rPr>
        <w:tab/>
      </w:r>
      <w:r w:rsidR="00775EF1" w:rsidRPr="00311D6B">
        <w:rPr>
          <w:i/>
          <w:iCs/>
        </w:rPr>
        <w:t xml:space="preserve">Acknowledges </w:t>
      </w:r>
      <w:r w:rsidR="00775EF1" w:rsidRPr="00311D6B">
        <w:t xml:space="preserve">the work of the Adaptation Fund in relation to concrete adaptation action </w:t>
      </w:r>
      <w:r w:rsidR="00775EF1" w:rsidRPr="00311E47">
        <w:t>in developing country Parties and in particular the least developed countries and small</w:t>
      </w:r>
      <w:r w:rsidR="00775EF1" w:rsidRPr="00311D6B">
        <w:t xml:space="preserve"> island developing States and </w:t>
      </w:r>
      <w:r w:rsidR="00775EF1" w:rsidRPr="00311D6B">
        <w:rPr>
          <w:i/>
          <w:iCs/>
        </w:rPr>
        <w:t>requests</w:t>
      </w:r>
      <w:r w:rsidR="00775EF1" w:rsidRPr="00311D6B">
        <w:t xml:space="preserve"> the Adaptation Fund Board to continue supporting such </w:t>
      </w:r>
      <w:proofErr w:type="gramStart"/>
      <w:r w:rsidR="00775EF1" w:rsidRPr="00311D6B">
        <w:t>action;</w:t>
      </w:r>
      <w:proofErr w:type="gramEnd"/>
    </w:p>
    <w:p w14:paraId="5A6B2854" w14:textId="0709CF9F" w:rsidR="00775EF1" w:rsidRPr="00311D6B" w:rsidRDefault="00406A0D" w:rsidP="00406A0D">
      <w:pPr>
        <w:pStyle w:val="RegSingleTxtG"/>
        <w:tabs>
          <w:tab w:val="clear" w:pos="1701"/>
        </w:tabs>
        <w:spacing w:before="120"/>
        <w:ind w:left="1134"/>
      </w:pPr>
      <w:r w:rsidRPr="00311D6B">
        <w:rPr>
          <w:iCs/>
        </w:rPr>
        <w:t>10.</w:t>
      </w:r>
      <w:r w:rsidRPr="00311D6B">
        <w:rPr>
          <w:iCs/>
        </w:rPr>
        <w:tab/>
      </w:r>
      <w:r w:rsidR="00775EF1">
        <w:rPr>
          <w:i/>
          <w:iCs/>
        </w:rPr>
        <w:t>Invites</w:t>
      </w:r>
      <w:r w:rsidR="00775EF1" w:rsidRPr="00311D6B">
        <w:t xml:space="preserve"> the Adaptation Fund Board to continue to enhance access to the Fund and country ownersh</w:t>
      </w:r>
      <w:r w:rsidR="00775EF1" w:rsidRPr="00D56E6F">
        <w:t>ip by:</w:t>
      </w:r>
    </w:p>
    <w:p w14:paraId="5BF6F92D" w14:textId="5B4BD3D1" w:rsidR="00775EF1" w:rsidRPr="00117996" w:rsidRDefault="00406A0D" w:rsidP="00406A0D">
      <w:pPr>
        <w:pStyle w:val="RegSingleTxtG2"/>
        <w:ind w:left="1134" w:firstLine="567"/>
      </w:pPr>
      <w:r w:rsidRPr="00117996">
        <w:t>(a)</w:t>
      </w:r>
      <w:r w:rsidRPr="00117996">
        <w:tab/>
      </w:r>
      <w:r w:rsidR="00775EF1" w:rsidRPr="00117996">
        <w:t xml:space="preserve">Considering strengthening the readiness activities </w:t>
      </w:r>
      <w:r w:rsidR="00775EF1">
        <w:t>for</w:t>
      </w:r>
      <w:r w:rsidR="00775EF1" w:rsidRPr="00117996">
        <w:t xml:space="preserve"> national implementing entities, considering their long-term capacity-building </w:t>
      </w:r>
      <w:proofErr w:type="gramStart"/>
      <w:r w:rsidR="00775EF1" w:rsidRPr="00117996">
        <w:t>needs;</w:t>
      </w:r>
      <w:proofErr w:type="gramEnd"/>
    </w:p>
    <w:p w14:paraId="2CC22B4F" w14:textId="50C61CCD" w:rsidR="00775EF1" w:rsidRPr="00117996" w:rsidRDefault="00406A0D" w:rsidP="00406A0D">
      <w:pPr>
        <w:pStyle w:val="RegSingleTxtG2"/>
        <w:ind w:left="1134" w:firstLine="567"/>
      </w:pPr>
      <w:r w:rsidRPr="00117996">
        <w:t>(b)</w:t>
      </w:r>
      <w:r w:rsidRPr="00117996">
        <w:tab/>
      </w:r>
      <w:r w:rsidR="00775EF1" w:rsidRPr="00117996">
        <w:t xml:space="preserve">Enhancing the accreditation and project and programme approval </w:t>
      </w:r>
      <w:proofErr w:type="gramStart"/>
      <w:r w:rsidR="00775EF1" w:rsidRPr="00117996">
        <w:t>processes;</w:t>
      </w:r>
      <w:proofErr w:type="gramEnd"/>
    </w:p>
    <w:p w14:paraId="3004481F" w14:textId="5A322519" w:rsidR="00775EF1" w:rsidRPr="00311D6B" w:rsidRDefault="00406A0D" w:rsidP="00406A0D">
      <w:pPr>
        <w:pStyle w:val="RegSingleTxtG2"/>
        <w:ind w:left="1134" w:firstLine="567"/>
      </w:pPr>
      <w:r w:rsidRPr="00311D6B">
        <w:t>(c)</w:t>
      </w:r>
      <w:r w:rsidRPr="00311D6B">
        <w:tab/>
      </w:r>
      <w:r w:rsidR="00775EF1" w:rsidRPr="00311D6B">
        <w:t xml:space="preserve">Enhancing engagement between regional implementing entities and developing countries on regional, multi-country project design and </w:t>
      </w:r>
      <w:proofErr w:type="gramStart"/>
      <w:r w:rsidR="00775EF1" w:rsidRPr="00311D6B">
        <w:t>implementation;</w:t>
      </w:r>
      <w:proofErr w:type="gramEnd"/>
    </w:p>
    <w:p w14:paraId="2F4F9F9C" w14:textId="41CFC129" w:rsidR="00775EF1" w:rsidRPr="00311D6B" w:rsidRDefault="00406A0D" w:rsidP="00406A0D">
      <w:pPr>
        <w:pStyle w:val="RegSingleTxtG"/>
        <w:tabs>
          <w:tab w:val="clear" w:pos="1701"/>
        </w:tabs>
        <w:spacing w:before="120"/>
        <w:ind w:left="1134"/>
      </w:pPr>
      <w:r w:rsidRPr="00311D6B">
        <w:rPr>
          <w:iCs/>
        </w:rPr>
        <w:t>11.</w:t>
      </w:r>
      <w:r w:rsidRPr="00311D6B">
        <w:rPr>
          <w:iCs/>
        </w:rPr>
        <w:tab/>
      </w:r>
      <w:r w:rsidR="00775EF1" w:rsidRPr="00311D6B">
        <w:rPr>
          <w:i/>
          <w:iCs/>
        </w:rPr>
        <w:t>Notes with appreciation</w:t>
      </w:r>
      <w:r w:rsidR="00775EF1" w:rsidRPr="00311D6B">
        <w:t xml:space="preserve"> the information in the report referred to in paragraph </w:t>
      </w:r>
      <w:r w:rsidR="00775EF1">
        <w:rPr>
          <w:cs/>
        </w:rPr>
        <w:t>‎</w:t>
      </w:r>
      <w:r w:rsidR="00605CF6">
        <w:rPr>
          <w:cs/>
        </w:rPr>
        <w:t>‎</w:t>
      </w:r>
      <w:r w:rsidR="00605CF6">
        <w:t>1 above</w:t>
      </w:r>
      <w:r w:rsidR="00775EF1" w:rsidRPr="00311D6B">
        <w:t xml:space="preserve"> on aggregated actual results of projects and programmes funded by the Adaptation Fund, in particular across the Fund’s five core indicators, and the qualitative analysis of successes, challenges and lessons learned and </w:t>
      </w:r>
      <w:r w:rsidR="00775EF1" w:rsidRPr="00311D6B">
        <w:rPr>
          <w:i/>
          <w:iCs/>
        </w:rPr>
        <w:t xml:space="preserve">requests </w:t>
      </w:r>
      <w:r w:rsidR="00775EF1" w:rsidRPr="00311D6B" w:rsidDel="003533F9">
        <w:t xml:space="preserve">the Adaptation Fund Board to </w:t>
      </w:r>
      <w:r w:rsidR="00775EF1" w:rsidRPr="00311D6B">
        <w:t xml:space="preserve">continue </w:t>
      </w:r>
      <w:r w:rsidR="00775EF1" w:rsidRPr="00311D6B" w:rsidDel="003533F9">
        <w:t>provid</w:t>
      </w:r>
      <w:r w:rsidR="00775EF1" w:rsidRPr="00311D6B">
        <w:t>ing</w:t>
      </w:r>
      <w:r w:rsidR="00775EF1" w:rsidRPr="00311D6B" w:rsidDel="003533F9">
        <w:t xml:space="preserve"> such information on an annual </w:t>
      </w:r>
      <w:proofErr w:type="gramStart"/>
      <w:r w:rsidR="00775EF1" w:rsidRPr="00311D6B" w:rsidDel="003533F9">
        <w:t>basis</w:t>
      </w:r>
      <w:r w:rsidR="00775EF1" w:rsidRPr="00311D6B">
        <w:t>;</w:t>
      </w:r>
      <w:proofErr w:type="gramEnd"/>
    </w:p>
    <w:p w14:paraId="1CAAEF0D" w14:textId="63A165EB" w:rsidR="00775EF1" w:rsidRPr="00311D6B" w:rsidRDefault="00406A0D" w:rsidP="00406A0D">
      <w:pPr>
        <w:pStyle w:val="RegSingleTxtG"/>
        <w:tabs>
          <w:tab w:val="clear" w:pos="1701"/>
        </w:tabs>
        <w:spacing w:before="120"/>
        <w:ind w:left="1134"/>
      </w:pPr>
      <w:r w:rsidRPr="00311D6B">
        <w:rPr>
          <w:iCs/>
        </w:rPr>
        <w:t>12.</w:t>
      </w:r>
      <w:r w:rsidRPr="00311D6B">
        <w:rPr>
          <w:iCs/>
        </w:rPr>
        <w:tab/>
      </w:r>
      <w:r w:rsidR="00775EF1" w:rsidRPr="00311D6B">
        <w:rPr>
          <w:i/>
          <w:iCs/>
        </w:rPr>
        <w:t>Encourages</w:t>
      </w:r>
      <w:r w:rsidR="00775EF1" w:rsidRPr="00311D6B">
        <w:t xml:space="preserve"> the achievement of the goals set out in the Medium-Term Strategy of the Adaptation Fund for 2023–2027 with the expectation that its implementation will generate significant outcomes in terms of promoting locally led adaptation, scaling up projects and </w:t>
      </w:r>
      <w:r w:rsidR="00775EF1" w:rsidRPr="00311D6B">
        <w:lastRenderedPageBreak/>
        <w:t xml:space="preserve">replicating their results, and strengthening linkages and synergies between the Strategy’s strategic pillars of action, innovation, and learning and </w:t>
      </w:r>
      <w:proofErr w:type="gramStart"/>
      <w:r w:rsidR="00775EF1" w:rsidRPr="00311D6B">
        <w:t>sharing;</w:t>
      </w:r>
      <w:proofErr w:type="gramEnd"/>
    </w:p>
    <w:p w14:paraId="64A19538" w14:textId="593BBBD3" w:rsidR="00775EF1" w:rsidRPr="00311D6B" w:rsidRDefault="00406A0D" w:rsidP="00406A0D">
      <w:pPr>
        <w:pStyle w:val="RegSingleTxtG"/>
        <w:tabs>
          <w:tab w:val="clear" w:pos="1701"/>
        </w:tabs>
        <w:spacing w:before="120"/>
        <w:ind w:left="1134"/>
      </w:pPr>
      <w:r w:rsidRPr="00311D6B">
        <w:rPr>
          <w:iCs/>
        </w:rPr>
        <w:t>13.</w:t>
      </w:r>
      <w:r w:rsidRPr="00311D6B">
        <w:rPr>
          <w:iCs/>
        </w:rPr>
        <w:tab/>
      </w:r>
      <w:r w:rsidR="00775EF1" w:rsidRPr="00311D6B">
        <w:rPr>
          <w:i/>
          <w:iCs/>
        </w:rPr>
        <w:t>Welcomes</w:t>
      </w:r>
      <w:r w:rsidR="00775EF1" w:rsidRPr="00311D6B">
        <w:t xml:space="preserve"> the progress of implementation of the updated gender policy and action plan of the Adaptation Fund and the commencement of the pilot phase of application of the Adaptation Fund gender scorecard and </w:t>
      </w:r>
      <w:r w:rsidR="00775EF1" w:rsidRPr="00311D6B">
        <w:rPr>
          <w:i/>
          <w:iCs/>
        </w:rPr>
        <w:t>requests</w:t>
      </w:r>
      <w:r w:rsidR="00775EF1" w:rsidRPr="00311D6B">
        <w:t xml:space="preserve"> the Adaptation Fund Board to increase the gender-responsiveness of the resources provided by the Adaptation </w:t>
      </w:r>
      <w:proofErr w:type="gramStart"/>
      <w:r w:rsidR="00775EF1" w:rsidRPr="00311D6B">
        <w:t>Fund;</w:t>
      </w:r>
      <w:proofErr w:type="gramEnd"/>
    </w:p>
    <w:p w14:paraId="25E67AD5" w14:textId="64DBA452" w:rsidR="00775EF1" w:rsidRPr="00117996" w:rsidRDefault="00406A0D" w:rsidP="00406A0D">
      <w:pPr>
        <w:pStyle w:val="RegSingleTxtG"/>
        <w:tabs>
          <w:tab w:val="clear" w:pos="1701"/>
        </w:tabs>
        <w:spacing w:before="120"/>
        <w:ind w:left="1134"/>
      </w:pPr>
      <w:r w:rsidRPr="00117996">
        <w:rPr>
          <w:iCs/>
        </w:rPr>
        <w:t>14.</w:t>
      </w:r>
      <w:r w:rsidRPr="00117996">
        <w:rPr>
          <w:iCs/>
        </w:rPr>
        <w:tab/>
      </w:r>
      <w:r w:rsidR="00775EF1" w:rsidRPr="00117996">
        <w:rPr>
          <w:i/>
          <w:iCs/>
        </w:rPr>
        <w:t>Encourages</w:t>
      </w:r>
      <w:r w:rsidR="00775EF1" w:rsidRPr="00117996">
        <w:t xml:space="preserve"> the Adaptation Fund Board to consider, in line with its mandate and decision 1/CMP.3, providing support for country-driven adaptation projects and programmes in developing country Parties that are particularly vulnerable to the adverse effects of climate change with a view to assisting them in enhancing implementation of their national adaptation plans and adaptation components of nationally determined contributions and other voluntary adaptation planning processes</w:t>
      </w:r>
      <w:r w:rsidR="00775EF1" w:rsidRPr="00311E47">
        <w:t xml:space="preserve"> </w:t>
      </w:r>
      <w:r w:rsidR="00775EF1" w:rsidRPr="00117996">
        <w:t>and</w:t>
      </w:r>
      <w:r w:rsidR="00775EF1" w:rsidRPr="00117996">
        <w:rPr>
          <w:i/>
          <w:iCs/>
        </w:rPr>
        <w:t xml:space="preserve"> requests</w:t>
      </w:r>
      <w:r w:rsidR="00775EF1" w:rsidRPr="00117996">
        <w:t xml:space="preserve"> the Board to include information in its annual report to the Conference of the Parties serving as the meeting of the Parties to the Kyoto Protocol at its nineteenth session (November 2024) and the Conference of the Parties serving as the meeting of the Parties to the Paris Agreement at its sixth session (November 2024) on the rates of use of the increased </w:t>
      </w:r>
      <w:r w:rsidR="00775EF1" w:rsidRPr="00117996" w:rsidDel="00BD2004">
        <w:t>cap on allocation per country</w:t>
      </w:r>
      <w:r w:rsidR="00775EF1" w:rsidRPr="00117996">
        <w:t>;</w:t>
      </w:r>
      <w:r w:rsidR="00775EF1" w:rsidRPr="00117996">
        <w:rPr>
          <w:rStyle w:val="FootnoteReference"/>
        </w:rPr>
        <w:footnoteReference w:id="60"/>
      </w:r>
    </w:p>
    <w:p w14:paraId="16031007" w14:textId="28D740BF" w:rsidR="00775EF1" w:rsidRPr="00117996" w:rsidRDefault="00406A0D" w:rsidP="00406A0D">
      <w:pPr>
        <w:pStyle w:val="RegSingleTxtG"/>
        <w:tabs>
          <w:tab w:val="clear" w:pos="1701"/>
        </w:tabs>
        <w:spacing w:before="120"/>
        <w:ind w:left="1134"/>
      </w:pPr>
      <w:r w:rsidRPr="00117996">
        <w:rPr>
          <w:iCs/>
        </w:rPr>
        <w:t>15.</w:t>
      </w:r>
      <w:r w:rsidRPr="00117996">
        <w:rPr>
          <w:iCs/>
        </w:rPr>
        <w:tab/>
      </w:r>
      <w:r w:rsidR="00775EF1" w:rsidRPr="00117996">
        <w:rPr>
          <w:i/>
          <w:iCs/>
        </w:rPr>
        <w:t>Welcomes</w:t>
      </w:r>
      <w:r w:rsidR="00775EF1" w:rsidRPr="00117996">
        <w:t xml:space="preserve"> the work of the Adaptation Fund Board on complementarity and coherence with other multilateral climate funds with respect to accreditation and other areas of operations</w:t>
      </w:r>
      <w:r w:rsidR="00775EF1" w:rsidRPr="00117996">
        <w:rPr>
          <w:rStyle w:val="FootnoteReference"/>
        </w:rPr>
        <w:footnoteReference w:id="61"/>
      </w:r>
      <w:r w:rsidR="00775EF1" w:rsidRPr="00117996">
        <w:t xml:space="preserve"> and </w:t>
      </w:r>
      <w:r w:rsidR="00775EF1" w:rsidRPr="00117996">
        <w:rPr>
          <w:i/>
          <w:iCs/>
        </w:rPr>
        <w:t>encourages</w:t>
      </w:r>
      <w:r w:rsidR="00775EF1" w:rsidRPr="00117996">
        <w:t xml:space="preserve"> the Board to continue this work with a view to simplifying its access modalities, as </w:t>
      </w:r>
      <w:proofErr w:type="gramStart"/>
      <w:r w:rsidR="00775EF1" w:rsidRPr="00117996">
        <w:t>appropriate;</w:t>
      </w:r>
      <w:proofErr w:type="gramEnd"/>
    </w:p>
    <w:p w14:paraId="0E8A9D6F" w14:textId="3D98C556" w:rsidR="00775EF1" w:rsidRPr="00117996" w:rsidRDefault="00406A0D" w:rsidP="00406A0D">
      <w:pPr>
        <w:pStyle w:val="RegSingleTxtG"/>
        <w:tabs>
          <w:tab w:val="clear" w:pos="1701"/>
        </w:tabs>
        <w:spacing w:before="120"/>
        <w:ind w:left="1134"/>
      </w:pPr>
      <w:r w:rsidRPr="00117996">
        <w:rPr>
          <w:iCs/>
        </w:rPr>
        <w:t>16.</w:t>
      </w:r>
      <w:r w:rsidRPr="00117996">
        <w:rPr>
          <w:iCs/>
        </w:rPr>
        <w:tab/>
      </w:r>
      <w:r w:rsidR="008E5048">
        <w:rPr>
          <w:i/>
          <w:iCs/>
        </w:rPr>
        <w:t>W</w:t>
      </w:r>
      <w:r w:rsidR="00775EF1" w:rsidRPr="00117996">
        <w:rPr>
          <w:i/>
          <w:iCs/>
        </w:rPr>
        <w:t>elcomes</w:t>
      </w:r>
      <w:r w:rsidR="00775EF1" w:rsidRPr="00117996">
        <w:t xml:space="preserve"> the collaboration between the Adaptation Fund and the Technology Executive Committee and the Climate Technology Centre and Network</w:t>
      </w:r>
      <w:r w:rsidR="00F112B3">
        <w:t>,</w:t>
      </w:r>
      <w:r w:rsidR="00775EF1" w:rsidRPr="00117996">
        <w:t xml:space="preserve"> including through the Adaptation Fund Climate Innovation Accelerator</w:t>
      </w:r>
      <w:r w:rsidR="00F112B3">
        <w:t>,</w:t>
      </w:r>
      <w:r w:rsidR="00775EF1" w:rsidRPr="00117996" w:rsidDel="007B74C3">
        <w:t xml:space="preserve"> </w:t>
      </w:r>
      <w:r w:rsidR="00775EF1" w:rsidRPr="00117996">
        <w:t xml:space="preserve">and </w:t>
      </w:r>
      <w:r w:rsidR="00775EF1" w:rsidRPr="00117996">
        <w:rPr>
          <w:i/>
          <w:iCs/>
        </w:rPr>
        <w:t>encourages</w:t>
      </w:r>
      <w:r w:rsidR="00775EF1" w:rsidRPr="00117996">
        <w:t xml:space="preserve"> continued collaboration in this </w:t>
      </w:r>
      <w:proofErr w:type="gramStart"/>
      <w:r w:rsidR="00775EF1" w:rsidRPr="00117996">
        <w:t>regard;</w:t>
      </w:r>
      <w:proofErr w:type="gramEnd"/>
    </w:p>
    <w:p w14:paraId="76C66A56" w14:textId="07861322" w:rsidR="00775EF1" w:rsidRPr="00311D6B" w:rsidRDefault="00406A0D" w:rsidP="00406A0D">
      <w:pPr>
        <w:pStyle w:val="RegSingleTxtG"/>
        <w:tabs>
          <w:tab w:val="clear" w:pos="1701"/>
        </w:tabs>
        <w:spacing w:before="120"/>
        <w:ind w:left="1134"/>
      </w:pPr>
      <w:r w:rsidRPr="00311D6B">
        <w:rPr>
          <w:iCs/>
        </w:rPr>
        <w:t>17.</w:t>
      </w:r>
      <w:r w:rsidRPr="00311D6B">
        <w:rPr>
          <w:iCs/>
        </w:rPr>
        <w:tab/>
      </w:r>
      <w:r w:rsidR="00775EF1" w:rsidRPr="00311D6B">
        <w:rPr>
          <w:i/>
          <w:iCs/>
        </w:rPr>
        <w:t>Recalls</w:t>
      </w:r>
      <w:r w:rsidR="00775EF1" w:rsidRPr="00311D6B">
        <w:t xml:space="preserve"> paragraph 7 of decision 3/CMP.16, which confirms that Parties to the Paris Agreement are eligible for membership on the Adaptation Fund </w:t>
      </w:r>
      <w:proofErr w:type="gramStart"/>
      <w:r w:rsidR="00775EF1" w:rsidRPr="00311D6B">
        <w:t>Board;</w:t>
      </w:r>
      <w:proofErr w:type="gramEnd"/>
    </w:p>
    <w:p w14:paraId="34EA5C3B" w14:textId="34D5C227" w:rsidR="00775EF1" w:rsidRPr="00311D6B" w:rsidRDefault="00406A0D" w:rsidP="00406A0D">
      <w:pPr>
        <w:pStyle w:val="RegSingleTxtG"/>
        <w:tabs>
          <w:tab w:val="clear" w:pos="1701"/>
        </w:tabs>
        <w:spacing w:before="120"/>
        <w:ind w:left="1134"/>
      </w:pPr>
      <w:r w:rsidRPr="00311D6B">
        <w:rPr>
          <w:iCs/>
        </w:rPr>
        <w:t>18.</w:t>
      </w:r>
      <w:r w:rsidRPr="00311D6B">
        <w:rPr>
          <w:iCs/>
        </w:rPr>
        <w:tab/>
      </w:r>
      <w:r w:rsidR="00775EF1" w:rsidRPr="00311D6B">
        <w:rPr>
          <w:i/>
          <w:iCs/>
        </w:rPr>
        <w:t>Encourages</w:t>
      </w:r>
      <w:r w:rsidR="00775EF1" w:rsidRPr="00311D6B">
        <w:t xml:space="preserve"> the Adaptation Fund Board to continue </w:t>
      </w:r>
      <w:r w:rsidR="00775EF1">
        <w:t xml:space="preserve">its </w:t>
      </w:r>
      <w:r w:rsidR="00775EF1" w:rsidRPr="00311D6B">
        <w:t xml:space="preserve">consideration of its rules of procedure in the context of serving the Paris Agreement, including after the Subsidiary Body for Implementation has concluded consideration of matters </w:t>
      </w:r>
      <w:r w:rsidR="00775EF1">
        <w:t>related</w:t>
      </w:r>
      <w:r w:rsidR="00775EF1" w:rsidRPr="00311D6B">
        <w:t xml:space="preserve"> to membership of the Adaptation Fund </w:t>
      </w:r>
      <w:proofErr w:type="gramStart"/>
      <w:r w:rsidR="00775EF1" w:rsidRPr="00311D6B">
        <w:t>Board</w:t>
      </w:r>
      <w:r w:rsidR="00775EF1">
        <w:t>;</w:t>
      </w:r>
      <w:proofErr w:type="gramEnd"/>
    </w:p>
    <w:p w14:paraId="1DE107FF" w14:textId="6F4E95CD" w:rsidR="00775EF1" w:rsidRPr="00117996" w:rsidRDefault="00406A0D" w:rsidP="00406A0D">
      <w:pPr>
        <w:pStyle w:val="RegSingleTxtG"/>
        <w:tabs>
          <w:tab w:val="clear" w:pos="1701"/>
        </w:tabs>
        <w:spacing w:before="120"/>
        <w:ind w:left="1134"/>
      </w:pPr>
      <w:r w:rsidRPr="00117996">
        <w:rPr>
          <w:iCs/>
        </w:rPr>
        <w:t>19.</w:t>
      </w:r>
      <w:r w:rsidRPr="00117996">
        <w:rPr>
          <w:iCs/>
        </w:rPr>
        <w:tab/>
      </w:r>
      <w:r w:rsidR="00775EF1" w:rsidRPr="00311D6B">
        <w:rPr>
          <w:i/>
          <w:iCs/>
        </w:rPr>
        <w:t>Also encourages</w:t>
      </w:r>
      <w:r w:rsidR="00775EF1" w:rsidRPr="00311D6B">
        <w:t xml:space="preserve"> the Adaptation Fund Board to </w:t>
      </w:r>
      <w:r w:rsidR="00775EF1">
        <w:t xml:space="preserve">report on its work related to implementing its mandates </w:t>
      </w:r>
      <w:r w:rsidR="00CD4FD2">
        <w:t>from</w:t>
      </w:r>
      <w:r w:rsidR="00775EF1">
        <w:t xml:space="preserve"> </w:t>
      </w:r>
      <w:r w:rsidR="00775EF1" w:rsidRPr="0008470F">
        <w:t>decisions 1/CMP.14 and 13/CMA.1</w:t>
      </w:r>
      <w:r w:rsidR="00775EF1">
        <w:t xml:space="preserve"> in its annual report to the Conference of the Parties serving as the meeting of the Parties to the Kyoto Protocol at its nineteenth session and the Conference of the Parties serving as the meeting of the Parties to the Paris Agreement at its sixth session.</w:t>
      </w:r>
    </w:p>
    <w:p w14:paraId="63CC85CD" w14:textId="77777777" w:rsidR="0072279C" w:rsidRPr="000F6262" w:rsidRDefault="0072279C" w:rsidP="005A157F">
      <w:pPr>
        <w:tabs>
          <w:tab w:val="left" w:pos="1701"/>
        </w:tabs>
        <w:spacing w:line="20" w:lineRule="atLeast"/>
        <w:ind w:left="6521" w:right="1134"/>
        <w:jc w:val="right"/>
        <w:rPr>
          <w:i/>
          <w:iCs/>
        </w:rPr>
      </w:pPr>
      <w:r>
        <w:rPr>
          <w:i/>
          <w:iCs/>
        </w:rPr>
        <w:t>6</w:t>
      </w:r>
      <w:r w:rsidRPr="00AD1686">
        <w:rPr>
          <w:i/>
          <w:iCs/>
          <w:vertAlign w:val="superscript"/>
        </w:rPr>
        <w:t>th</w:t>
      </w:r>
      <w:r>
        <w:rPr>
          <w:i/>
          <w:iCs/>
        </w:rPr>
        <w:t xml:space="preserve"> </w:t>
      </w:r>
      <w:r w:rsidRPr="000F6262">
        <w:rPr>
          <w:i/>
          <w:iCs/>
        </w:rPr>
        <w:t>plenary meeting</w:t>
      </w:r>
    </w:p>
    <w:p w14:paraId="3835FFB6" w14:textId="77777777" w:rsidR="0072279C" w:rsidRPr="000F6262" w:rsidRDefault="0072279C" w:rsidP="005A157F">
      <w:pPr>
        <w:tabs>
          <w:tab w:val="left" w:pos="1701"/>
        </w:tabs>
        <w:spacing w:line="20" w:lineRule="atLeast"/>
        <w:ind w:left="6521" w:right="1134"/>
        <w:jc w:val="right"/>
        <w:rPr>
          <w:i/>
          <w:iCs/>
        </w:rPr>
      </w:pPr>
      <w:r w:rsidRPr="000F6262">
        <w:rPr>
          <w:i/>
          <w:iCs/>
        </w:rPr>
        <w:t>13 December 2023</w:t>
      </w:r>
    </w:p>
    <w:p w14:paraId="4082F793" w14:textId="22B290E9" w:rsidR="00257092" w:rsidRDefault="00257092" w:rsidP="009B6BCD">
      <w:pPr>
        <w:pStyle w:val="RegSingleTxtG"/>
        <w:sectPr w:rsidR="00257092" w:rsidSect="00DA6BD2">
          <w:headerReference w:type="even" r:id="rId49"/>
          <w:headerReference w:type="default" r:id="rId50"/>
          <w:footerReference w:type="even" r:id="rId51"/>
          <w:footerReference w:type="default" r:id="rId52"/>
          <w:headerReference w:type="first" r:id="rId53"/>
          <w:footnotePr>
            <w:numRestart w:val="eachSect"/>
          </w:footnotePr>
          <w:pgSz w:w="11906" w:h="16838" w:code="9"/>
          <w:pgMar w:top="1417" w:right="1134" w:bottom="1134" w:left="1134" w:header="850" w:footer="567" w:gutter="0"/>
          <w:cols w:space="708"/>
          <w:docGrid w:linePitch="360"/>
        </w:sectPr>
      </w:pPr>
    </w:p>
    <w:p w14:paraId="7A8F6237" w14:textId="3D733FAF" w:rsidR="00B41ED4" w:rsidRDefault="00B41ED4" w:rsidP="00406A0D">
      <w:pPr>
        <w:pStyle w:val="RegHChG"/>
        <w:spacing w:before="240"/>
        <w:ind w:left="1134" w:hanging="454"/>
      </w:pPr>
      <w:bookmarkStart w:id="108" w:name="_Toc161241773"/>
      <w:bookmarkStart w:id="109" w:name="_Toc161241999"/>
      <w:bookmarkStart w:id="110" w:name="decision13"/>
      <w:r w:rsidRPr="00257C74">
        <w:lastRenderedPageBreak/>
        <w:t xml:space="preserve">Decision </w:t>
      </w:r>
      <w:r w:rsidR="0055640D">
        <w:t>13</w:t>
      </w:r>
      <w:r w:rsidRPr="00257C74">
        <w:t>/CMA.5</w:t>
      </w:r>
      <w:bookmarkEnd w:id="108"/>
      <w:bookmarkEnd w:id="109"/>
    </w:p>
    <w:p w14:paraId="69B7E358" w14:textId="03720F57" w:rsidR="00B41ED4" w:rsidRPr="00A96DC7" w:rsidRDefault="004C6DA3" w:rsidP="009A2540">
      <w:pPr>
        <w:pStyle w:val="HChG"/>
      </w:pPr>
      <w:r>
        <w:tab/>
      </w:r>
      <w:r>
        <w:tab/>
      </w:r>
      <w:r w:rsidR="00B41ED4" w:rsidRPr="00311496">
        <w:t>Compilation and synthesis of, and summary report on the in</w:t>
      </w:r>
      <w:r w:rsidR="00B41ED4">
        <w:rPr>
          <w:lang w:val="en-US"/>
        </w:rPr>
        <w:noBreakHyphen/>
      </w:r>
      <w:r w:rsidR="00B41ED4" w:rsidRPr="00311496">
        <w:t>session workshop on, biennial communications of information related to Article 9, paragraph 5, of the Paris Agreement</w:t>
      </w:r>
    </w:p>
    <w:p w14:paraId="4E99A17A" w14:textId="77777777" w:rsidR="00B41ED4" w:rsidRDefault="00B41ED4" w:rsidP="00661396">
      <w:pPr>
        <w:pStyle w:val="RegSingleTxtG"/>
        <w:ind w:left="1134"/>
      </w:pPr>
      <w:r>
        <w:rPr>
          <w:shd w:val="clear" w:color="auto" w:fill="FFFFFF"/>
        </w:rPr>
        <w:tab/>
      </w:r>
      <w:r w:rsidRPr="00474F91">
        <w:rPr>
          <w:i/>
          <w:iCs/>
        </w:rPr>
        <w:t>The Conference of the Parties serving as the meeting of the Parties to the Paris Agreement</w:t>
      </w:r>
      <w:r w:rsidRPr="00D5424B">
        <w:t>,</w:t>
      </w:r>
      <w:r>
        <w:t xml:space="preserve"> </w:t>
      </w:r>
    </w:p>
    <w:p w14:paraId="76D49E7B" w14:textId="05602A14" w:rsidR="00B41ED4" w:rsidRDefault="00661396" w:rsidP="00661396">
      <w:pPr>
        <w:pStyle w:val="RegSingleTxtG"/>
        <w:ind w:left="1134"/>
        <w:rPr>
          <w:iCs/>
          <w:color w:val="000000"/>
        </w:rPr>
      </w:pPr>
      <w:r>
        <w:rPr>
          <w:i/>
          <w:color w:val="000000"/>
        </w:rPr>
        <w:tab/>
      </w:r>
      <w:r w:rsidR="00B41ED4" w:rsidRPr="00094A66">
        <w:rPr>
          <w:i/>
          <w:color w:val="000000"/>
        </w:rPr>
        <w:t xml:space="preserve">Recalling </w:t>
      </w:r>
      <w:r w:rsidR="00B41ED4" w:rsidRPr="00094A66">
        <w:rPr>
          <w:iCs/>
          <w:color w:val="000000"/>
        </w:rPr>
        <w:t>Article 9</w:t>
      </w:r>
      <w:r w:rsidR="00B41ED4">
        <w:rPr>
          <w:iCs/>
          <w:color w:val="000000"/>
        </w:rPr>
        <w:t xml:space="preserve">, </w:t>
      </w:r>
      <w:r w:rsidR="00B41ED4">
        <w:t>paragraphs 1–5,</w:t>
      </w:r>
      <w:r w:rsidR="00B41ED4" w:rsidRPr="00094A66">
        <w:rPr>
          <w:iCs/>
          <w:color w:val="000000"/>
        </w:rPr>
        <w:t xml:space="preserve"> of the Paris Agreement, </w:t>
      </w:r>
    </w:p>
    <w:p w14:paraId="55D0DABB" w14:textId="1A612899" w:rsidR="00B41ED4" w:rsidRDefault="00661396" w:rsidP="00661396">
      <w:pPr>
        <w:pStyle w:val="RegSingleTxtG"/>
        <w:ind w:left="1134"/>
        <w:rPr>
          <w:iCs/>
          <w:color w:val="000000"/>
        </w:rPr>
      </w:pPr>
      <w:r>
        <w:rPr>
          <w:i/>
          <w:iCs/>
        </w:rPr>
        <w:tab/>
      </w:r>
      <w:r w:rsidR="00B41ED4">
        <w:rPr>
          <w:i/>
          <w:iCs/>
        </w:rPr>
        <w:t>Also</w:t>
      </w:r>
      <w:r w:rsidR="00B41ED4" w:rsidRPr="00094A66">
        <w:rPr>
          <w:i/>
          <w:iCs/>
        </w:rPr>
        <w:t xml:space="preserve"> recalling</w:t>
      </w:r>
      <w:r w:rsidR="00B41ED4">
        <w:t xml:space="preserve"> Articles 4, 7, 10, 11, 13 and 14 of the Paris Agreement,</w:t>
      </w:r>
    </w:p>
    <w:p w14:paraId="48641020" w14:textId="46591451" w:rsidR="00B41ED4" w:rsidRPr="00094A66" w:rsidRDefault="00661396" w:rsidP="00661396">
      <w:pPr>
        <w:pStyle w:val="RegSingleTxtG"/>
        <w:ind w:left="1134"/>
        <w:rPr>
          <w:iCs/>
        </w:rPr>
      </w:pPr>
      <w:r>
        <w:rPr>
          <w:i/>
          <w:color w:val="000000"/>
        </w:rPr>
        <w:tab/>
      </w:r>
      <w:r w:rsidR="00B41ED4">
        <w:rPr>
          <w:i/>
          <w:color w:val="000000"/>
        </w:rPr>
        <w:t>Further</w:t>
      </w:r>
      <w:r w:rsidR="00B41ED4" w:rsidRPr="00094A66">
        <w:rPr>
          <w:i/>
          <w:color w:val="000000"/>
        </w:rPr>
        <w:t xml:space="preserve"> recalling</w:t>
      </w:r>
      <w:r w:rsidR="00B41ED4" w:rsidRPr="00094A66">
        <w:rPr>
          <w:iCs/>
          <w:color w:val="000000"/>
        </w:rPr>
        <w:t xml:space="preserve"> decisions </w:t>
      </w:r>
      <w:r w:rsidR="00B41ED4">
        <w:rPr>
          <w:iCs/>
          <w:color w:val="000000"/>
        </w:rPr>
        <w:t xml:space="preserve">3/CP.19, </w:t>
      </w:r>
      <w:r w:rsidR="00B41ED4" w:rsidRPr="00094A66">
        <w:rPr>
          <w:iCs/>
          <w:color w:val="000000"/>
        </w:rPr>
        <w:t>1/CP.21</w:t>
      </w:r>
      <w:r w:rsidR="00B41ED4">
        <w:rPr>
          <w:iCs/>
          <w:color w:val="000000"/>
        </w:rPr>
        <w:t xml:space="preserve">, 13/CP.22, 12/CP.23, </w:t>
      </w:r>
      <w:r w:rsidR="00B41ED4" w:rsidRPr="00094A66">
        <w:rPr>
          <w:iCs/>
          <w:color w:val="000000"/>
        </w:rPr>
        <w:t>1</w:t>
      </w:r>
      <w:r w:rsidR="00B41ED4">
        <w:rPr>
          <w:iCs/>
          <w:color w:val="000000"/>
        </w:rPr>
        <w:t>2</w:t>
      </w:r>
      <w:r w:rsidR="00B41ED4" w:rsidRPr="00094A66">
        <w:rPr>
          <w:iCs/>
          <w:color w:val="000000"/>
        </w:rPr>
        <w:t>/CMA.1</w:t>
      </w:r>
      <w:r w:rsidR="00B41ED4">
        <w:rPr>
          <w:iCs/>
          <w:color w:val="000000"/>
        </w:rPr>
        <w:t>, paragraphs 9–11, and 14/CMA.3,</w:t>
      </w:r>
    </w:p>
    <w:p w14:paraId="41CB6D72" w14:textId="02AE2F05" w:rsidR="00B41ED4" w:rsidRDefault="00406A0D" w:rsidP="00406A0D">
      <w:pPr>
        <w:pStyle w:val="RegSingleTxtG"/>
        <w:tabs>
          <w:tab w:val="clear" w:pos="1701"/>
        </w:tabs>
        <w:ind w:left="1134"/>
      </w:pPr>
      <w:r>
        <w:rPr>
          <w:iCs/>
        </w:rPr>
        <w:t>1.</w:t>
      </w:r>
      <w:r>
        <w:rPr>
          <w:iCs/>
        </w:rPr>
        <w:tab/>
      </w:r>
      <w:r w:rsidR="00B41ED4" w:rsidRPr="00094A66">
        <w:rPr>
          <w:i/>
        </w:rPr>
        <w:t xml:space="preserve">Recognizes </w:t>
      </w:r>
      <w:r w:rsidR="00B41ED4" w:rsidRPr="00094A66">
        <w:t xml:space="preserve">the importance of predictability and clarity of information on financial support </w:t>
      </w:r>
      <w:r w:rsidR="00B41ED4">
        <w:t xml:space="preserve">for </w:t>
      </w:r>
      <w:r w:rsidR="00B41ED4" w:rsidRPr="00094A66" w:rsidDel="00D454E2">
        <w:t xml:space="preserve">the </w:t>
      </w:r>
      <w:r w:rsidR="00B41ED4" w:rsidRPr="00094A66">
        <w:t>implement</w:t>
      </w:r>
      <w:r w:rsidR="00B41ED4" w:rsidRPr="00094A66" w:rsidDel="005B3F80">
        <w:t>ation of</w:t>
      </w:r>
      <w:r w:rsidR="00B41ED4" w:rsidRPr="00094A66">
        <w:t xml:space="preserve"> the Paris Agreement</w:t>
      </w:r>
      <w:r w:rsidR="00B41ED4">
        <w:t xml:space="preserve"> in accordance with decision 12/CMA.</w:t>
      </w:r>
      <w:proofErr w:type="gramStart"/>
      <w:r w:rsidR="00B41ED4">
        <w:t>1</w:t>
      </w:r>
      <w:r w:rsidR="00B41ED4" w:rsidRPr="00094A66">
        <w:t>;</w:t>
      </w:r>
      <w:proofErr w:type="gramEnd"/>
      <w:r w:rsidR="00B41ED4" w:rsidRPr="00094A66">
        <w:t xml:space="preserve"> </w:t>
      </w:r>
    </w:p>
    <w:p w14:paraId="343295BE" w14:textId="4F40C40E" w:rsidR="00B41ED4" w:rsidRPr="001F3228" w:rsidRDefault="00406A0D" w:rsidP="00406A0D">
      <w:pPr>
        <w:pStyle w:val="RegSingleTxtG"/>
        <w:tabs>
          <w:tab w:val="clear" w:pos="1701"/>
        </w:tabs>
        <w:ind w:left="1134"/>
      </w:pPr>
      <w:r w:rsidRPr="001F3228">
        <w:rPr>
          <w:iCs/>
        </w:rPr>
        <w:t>2.</w:t>
      </w:r>
      <w:r w:rsidRPr="001F3228">
        <w:rPr>
          <w:iCs/>
        </w:rPr>
        <w:tab/>
      </w:r>
      <w:r w:rsidR="00B41ED4" w:rsidRPr="001F3228">
        <w:rPr>
          <w:i/>
          <w:iCs/>
        </w:rPr>
        <w:t>Reiterates</w:t>
      </w:r>
      <w:r w:rsidR="00B41ED4" w:rsidRPr="001F3228">
        <w:t xml:space="preserve"> that developed country Parties shall biennially communicate indicative quantitative and qualitative information related to Article 9, paragraphs 1 and </w:t>
      </w:r>
      <w:proofErr w:type="gramStart"/>
      <w:r w:rsidR="00B41ED4" w:rsidRPr="001F3228">
        <w:t>3,</w:t>
      </w:r>
      <w:proofErr w:type="gramEnd"/>
      <w:r w:rsidR="00B41ED4" w:rsidRPr="001F3228">
        <w:t xml:space="preserve"> of the Paris Agreement, as applicable, including, as available, projected levels of public financial resources to be provided to developing country Parties</w:t>
      </w:r>
      <w:r w:rsidR="00B41ED4">
        <w:t>, and that o</w:t>
      </w:r>
      <w:r w:rsidR="00B41ED4" w:rsidRPr="001F3228">
        <w:t xml:space="preserve">ther Parties providing resources are encouraged to communicate biennially such information on a voluntary basis; </w:t>
      </w:r>
    </w:p>
    <w:p w14:paraId="13A76002" w14:textId="7E70FA56" w:rsidR="00B41ED4" w:rsidRPr="001F3228" w:rsidRDefault="00406A0D" w:rsidP="00406A0D">
      <w:pPr>
        <w:pStyle w:val="RegSingleTxtG"/>
        <w:tabs>
          <w:tab w:val="clear" w:pos="1701"/>
        </w:tabs>
        <w:ind w:left="1134"/>
      </w:pPr>
      <w:bookmarkStart w:id="111" w:name="_Ref155888507"/>
      <w:r w:rsidRPr="001F3228">
        <w:rPr>
          <w:iCs/>
        </w:rPr>
        <w:t>3.</w:t>
      </w:r>
      <w:r w:rsidRPr="001F3228">
        <w:rPr>
          <w:iCs/>
        </w:rPr>
        <w:tab/>
      </w:r>
      <w:r w:rsidR="00B41ED4" w:rsidRPr="001F3228">
        <w:rPr>
          <w:i/>
          <w:iCs/>
        </w:rPr>
        <w:t>Welcomes</w:t>
      </w:r>
      <w:r w:rsidR="00B41ED4" w:rsidRPr="001F3228">
        <w:t xml:space="preserve"> the second biennial communications of developed country Parties received to date in accordance with </w:t>
      </w:r>
      <w:r w:rsidR="00586B9F">
        <w:t xml:space="preserve">paragraph 4 of </w:t>
      </w:r>
      <w:r w:rsidR="00B41ED4" w:rsidRPr="001F3228">
        <w:t>decision 12/CMA.</w:t>
      </w:r>
      <w:proofErr w:type="gramStart"/>
      <w:r w:rsidR="00B41ED4" w:rsidRPr="001F3228">
        <w:t>1;</w:t>
      </w:r>
      <w:bookmarkEnd w:id="111"/>
      <w:proofErr w:type="gramEnd"/>
    </w:p>
    <w:p w14:paraId="171AF93B" w14:textId="612FB649" w:rsidR="00B41ED4" w:rsidRPr="00E731FE" w:rsidRDefault="00406A0D" w:rsidP="00406A0D">
      <w:pPr>
        <w:pStyle w:val="RegSingleTxtG"/>
        <w:tabs>
          <w:tab w:val="clear" w:pos="1701"/>
        </w:tabs>
        <w:ind w:left="1134"/>
      </w:pPr>
      <w:r w:rsidRPr="00E731FE">
        <w:rPr>
          <w:iCs/>
        </w:rPr>
        <w:t>4.</w:t>
      </w:r>
      <w:r w:rsidRPr="00E731FE">
        <w:rPr>
          <w:iCs/>
        </w:rPr>
        <w:tab/>
      </w:r>
      <w:r w:rsidR="00B41ED4">
        <w:rPr>
          <w:i/>
          <w:iCs/>
        </w:rPr>
        <w:t>Recognizes</w:t>
      </w:r>
      <w:r w:rsidR="00B41ED4">
        <w:t xml:space="preserve"> that the second biennial communications took into account the areas for improvement identified in </w:t>
      </w:r>
      <w:r w:rsidR="00586B9F">
        <w:t xml:space="preserve">paragraph 13 of </w:t>
      </w:r>
      <w:r w:rsidR="00B41ED4">
        <w:t xml:space="preserve">decision 14/CMA 3 and that many of </w:t>
      </w:r>
      <w:r w:rsidR="00B41ED4" w:rsidRPr="00C001A8">
        <w:t xml:space="preserve">the communications include information on increased projected levels of climate </w:t>
      </w:r>
      <w:proofErr w:type="gramStart"/>
      <w:r w:rsidR="00B41ED4" w:rsidRPr="00C001A8">
        <w:t>finance</w:t>
      </w:r>
      <w:r w:rsidR="00B41ED4" w:rsidRPr="00F96927">
        <w:rPr>
          <w:lang w:val="en-US"/>
        </w:rPr>
        <w:t>;</w:t>
      </w:r>
      <w:proofErr w:type="gramEnd"/>
    </w:p>
    <w:p w14:paraId="00D8115F" w14:textId="5E0AD8E5" w:rsidR="00B41ED4" w:rsidRPr="009D70AD" w:rsidRDefault="00406A0D" w:rsidP="00406A0D">
      <w:pPr>
        <w:pStyle w:val="RegSingleTxtG"/>
        <w:tabs>
          <w:tab w:val="clear" w:pos="1701"/>
        </w:tabs>
        <w:ind w:left="1134"/>
      </w:pPr>
      <w:r w:rsidRPr="009D70AD">
        <w:rPr>
          <w:iCs/>
        </w:rPr>
        <w:t>5.</w:t>
      </w:r>
      <w:r w:rsidRPr="009D70AD">
        <w:rPr>
          <w:iCs/>
        </w:rPr>
        <w:tab/>
      </w:r>
      <w:r w:rsidR="00B41ED4" w:rsidRPr="009D70AD">
        <w:rPr>
          <w:i/>
          <w:iCs/>
        </w:rPr>
        <w:t>Requests</w:t>
      </w:r>
      <w:r w:rsidR="00B41ED4" w:rsidRPr="009D70AD">
        <w:t xml:space="preserve"> developed country Parties to submit their biennial communications by 31 December 2024 and </w:t>
      </w:r>
      <w:r w:rsidR="00B41ED4" w:rsidRPr="009D70AD">
        <w:rPr>
          <w:i/>
          <w:iCs/>
        </w:rPr>
        <w:t xml:space="preserve">encourages </w:t>
      </w:r>
      <w:r w:rsidR="00B41ED4" w:rsidRPr="009D70AD">
        <w:t xml:space="preserve">other Parties providing resources to submit biennial communications on a voluntary </w:t>
      </w:r>
      <w:proofErr w:type="gramStart"/>
      <w:r w:rsidR="00B41ED4" w:rsidRPr="009D70AD">
        <w:t>basis;</w:t>
      </w:r>
      <w:proofErr w:type="gramEnd"/>
      <w:r w:rsidR="00B41ED4" w:rsidRPr="009D70AD">
        <w:t xml:space="preserve"> </w:t>
      </w:r>
    </w:p>
    <w:p w14:paraId="7C1F212E" w14:textId="5D88A410" w:rsidR="00B41ED4" w:rsidRPr="009D70AD" w:rsidRDefault="00406A0D" w:rsidP="00406A0D">
      <w:pPr>
        <w:pStyle w:val="RegSingleTxtG"/>
        <w:tabs>
          <w:tab w:val="clear" w:pos="1701"/>
        </w:tabs>
        <w:ind w:left="1134"/>
      </w:pPr>
      <w:bookmarkStart w:id="112" w:name="_Ref155888515"/>
      <w:r w:rsidRPr="009D70AD">
        <w:rPr>
          <w:iCs/>
        </w:rPr>
        <w:t>6.</w:t>
      </w:r>
      <w:r w:rsidRPr="009D70AD">
        <w:rPr>
          <w:iCs/>
        </w:rPr>
        <w:tab/>
      </w:r>
      <w:r w:rsidR="00B41ED4" w:rsidRPr="009D70AD">
        <w:rPr>
          <w:i/>
          <w:iCs/>
        </w:rPr>
        <w:t>Notes</w:t>
      </w:r>
      <w:r w:rsidR="00B41ED4" w:rsidRPr="009D70AD">
        <w:t xml:space="preserve"> the compilation and synthesis</w:t>
      </w:r>
      <w:r w:rsidR="00B41ED4" w:rsidRPr="009D70AD">
        <w:rPr>
          <w:rStyle w:val="FootnoteReference"/>
        </w:rPr>
        <w:footnoteReference w:id="62"/>
      </w:r>
      <w:r w:rsidR="00B41ED4" w:rsidRPr="009D70AD">
        <w:t xml:space="preserve"> prepared by the secretariat of the information contained in the second biennial communications submitted in accordance with Article 9, paragraph 5, of the Paris </w:t>
      </w:r>
      <w:proofErr w:type="gramStart"/>
      <w:r w:rsidR="00B41ED4" w:rsidRPr="009D70AD">
        <w:t>Agreement;</w:t>
      </w:r>
      <w:bookmarkEnd w:id="112"/>
      <w:proofErr w:type="gramEnd"/>
      <w:r w:rsidR="00B41ED4" w:rsidRPr="009D70AD">
        <w:t xml:space="preserve"> </w:t>
      </w:r>
    </w:p>
    <w:p w14:paraId="5148E057" w14:textId="4B7834A6" w:rsidR="00B41ED4" w:rsidRDefault="00406A0D" w:rsidP="00406A0D">
      <w:pPr>
        <w:pStyle w:val="RegSingleTxtG"/>
        <w:tabs>
          <w:tab w:val="clear" w:pos="1701"/>
        </w:tabs>
        <w:ind w:left="1134"/>
        <w:rPr>
          <w:lang w:val="en-US"/>
        </w:rPr>
      </w:pPr>
      <w:bookmarkStart w:id="113" w:name="_Ref155888570"/>
      <w:r>
        <w:rPr>
          <w:iCs/>
          <w:lang w:val="en-US"/>
        </w:rPr>
        <w:t>7.</w:t>
      </w:r>
      <w:r>
        <w:rPr>
          <w:iCs/>
          <w:lang w:val="en-US"/>
        </w:rPr>
        <w:tab/>
      </w:r>
      <w:r w:rsidR="00B41ED4" w:rsidRPr="009D70AD">
        <w:rPr>
          <w:i/>
          <w:iCs/>
          <w:lang w:val="en-US"/>
        </w:rPr>
        <w:t xml:space="preserve">Also notes </w:t>
      </w:r>
      <w:r w:rsidR="00B41ED4" w:rsidRPr="009D70AD">
        <w:rPr>
          <w:lang w:val="en-US"/>
        </w:rPr>
        <w:t>the summary report</w:t>
      </w:r>
      <w:r w:rsidR="00B41ED4" w:rsidRPr="009D70AD">
        <w:rPr>
          <w:rStyle w:val="FootnoteReference"/>
          <w:lang w:val="en-US"/>
        </w:rPr>
        <w:footnoteReference w:id="63"/>
      </w:r>
      <w:r w:rsidR="00B41ED4" w:rsidRPr="009D70AD">
        <w:rPr>
          <w:lang w:val="en-US"/>
        </w:rPr>
        <w:t xml:space="preserve"> on the second biennial in-session workshop on information to be provided by Parties in accordance with Article 9, paragraph 5, of the Paris Agreement</w:t>
      </w:r>
      <w:r w:rsidR="00B41ED4">
        <w:rPr>
          <w:lang w:val="en-US"/>
        </w:rPr>
        <w:t>,</w:t>
      </w:r>
      <w:r w:rsidR="00B41ED4" w:rsidRPr="009D70AD">
        <w:rPr>
          <w:lang w:val="en-US"/>
        </w:rPr>
        <w:t xml:space="preserve"> held on </w:t>
      </w:r>
      <w:r w:rsidR="00B41ED4" w:rsidRPr="00546104">
        <w:rPr>
          <w:lang w:val="en-US"/>
        </w:rPr>
        <w:t>6</w:t>
      </w:r>
      <w:r w:rsidR="00B41ED4" w:rsidRPr="009D70AD">
        <w:rPr>
          <w:lang w:val="en-US"/>
        </w:rPr>
        <w:t xml:space="preserve"> June 2023</w:t>
      </w:r>
      <w:r w:rsidR="00B41ED4">
        <w:rPr>
          <w:lang w:val="en-US"/>
        </w:rPr>
        <w:t>,</w:t>
      </w:r>
      <w:r w:rsidR="00B41ED4" w:rsidRPr="009D70AD">
        <w:rPr>
          <w:lang w:val="en-US"/>
        </w:rPr>
        <w:t xml:space="preserve"> and </w:t>
      </w:r>
      <w:r w:rsidR="00B41ED4" w:rsidRPr="009D70AD">
        <w:rPr>
          <w:i/>
          <w:iCs/>
          <w:lang w:val="en-US"/>
        </w:rPr>
        <w:t>welcomes</w:t>
      </w:r>
      <w:r w:rsidR="00B41ED4" w:rsidRPr="009D70AD">
        <w:rPr>
          <w:lang w:val="en-US"/>
        </w:rPr>
        <w:t xml:space="preserve"> the key findings and messages contained </w:t>
      </w:r>
      <w:proofErr w:type="gramStart"/>
      <w:r w:rsidR="00B41ED4" w:rsidRPr="009D70AD">
        <w:rPr>
          <w:lang w:val="en-US"/>
        </w:rPr>
        <w:t>therein;</w:t>
      </w:r>
      <w:bookmarkEnd w:id="113"/>
      <w:proofErr w:type="gramEnd"/>
    </w:p>
    <w:p w14:paraId="73D34DEE" w14:textId="43DE8A9B" w:rsidR="00B41ED4" w:rsidRPr="00F65C28" w:rsidRDefault="00406A0D" w:rsidP="00406A0D">
      <w:pPr>
        <w:pStyle w:val="RegSingleTxtG"/>
        <w:tabs>
          <w:tab w:val="clear" w:pos="1701"/>
        </w:tabs>
        <w:ind w:left="1134"/>
      </w:pPr>
      <w:r w:rsidRPr="00F65C28">
        <w:rPr>
          <w:iCs/>
        </w:rPr>
        <w:t>8.</w:t>
      </w:r>
      <w:r w:rsidRPr="00F65C28">
        <w:rPr>
          <w:iCs/>
        </w:rPr>
        <w:tab/>
      </w:r>
      <w:r w:rsidR="00B41ED4" w:rsidRPr="00F65C28">
        <w:rPr>
          <w:i/>
          <w:iCs/>
        </w:rPr>
        <w:t xml:space="preserve">Underscores </w:t>
      </w:r>
      <w:r w:rsidR="00B41ED4" w:rsidRPr="00F65C28">
        <w:t xml:space="preserve">the importance of the information contained in the biennial communications referred to in paragraph </w:t>
      </w:r>
      <w:r w:rsidR="00605CF6">
        <w:rPr>
          <w:cs/>
        </w:rPr>
        <w:t>‎</w:t>
      </w:r>
      <w:r w:rsidR="00605CF6">
        <w:t>3 above</w:t>
      </w:r>
      <w:r w:rsidR="00B41ED4" w:rsidRPr="00F65C28">
        <w:t xml:space="preserve"> and identified in the compilation and synthesis referred to in paragraph </w:t>
      </w:r>
      <w:r w:rsidR="00605CF6">
        <w:rPr>
          <w:cs/>
        </w:rPr>
        <w:t>‎</w:t>
      </w:r>
      <w:r w:rsidR="00605CF6">
        <w:t>6 above</w:t>
      </w:r>
      <w:r w:rsidR="00B41ED4" w:rsidRPr="00F65C28">
        <w:t>, including in relation to:</w:t>
      </w:r>
    </w:p>
    <w:p w14:paraId="0C61ABFC" w14:textId="71CC40CA" w:rsidR="00B41ED4" w:rsidRPr="00F65C28" w:rsidRDefault="00406A0D" w:rsidP="00406A0D">
      <w:pPr>
        <w:pStyle w:val="RegSingleTxtG2"/>
        <w:ind w:left="1134" w:firstLine="567"/>
      </w:pPr>
      <w:r w:rsidRPr="00F65C28">
        <w:t>(a)</w:t>
      </w:r>
      <w:r w:rsidRPr="00F65C28">
        <w:tab/>
      </w:r>
      <w:r w:rsidR="00B41ED4" w:rsidRPr="00F65C28">
        <w:t>Making finance flows consistent with a pathway towards low</w:t>
      </w:r>
      <w:r w:rsidR="00B41ED4">
        <w:t xml:space="preserve"> greenhouse gas </w:t>
      </w:r>
      <w:r w:rsidR="00B41ED4" w:rsidRPr="007B35F3">
        <w:t>emission</w:t>
      </w:r>
      <w:r w:rsidR="00B41ED4">
        <w:t>s</w:t>
      </w:r>
      <w:r w:rsidR="00B41ED4" w:rsidRPr="00F65C28">
        <w:t xml:space="preserve"> and climate-resilient development in accordance with Article 2, paragraph 1(c), of the Paris Agreement and its complementarity with Article 9 of the Paris </w:t>
      </w:r>
      <w:proofErr w:type="gramStart"/>
      <w:r w:rsidR="00B41ED4" w:rsidRPr="00F65C28">
        <w:t>Agreement;</w:t>
      </w:r>
      <w:proofErr w:type="gramEnd"/>
    </w:p>
    <w:p w14:paraId="1A0F943A" w14:textId="0657CFD1" w:rsidR="00B41ED4" w:rsidRPr="00F65C28" w:rsidRDefault="00406A0D" w:rsidP="00406A0D">
      <w:pPr>
        <w:pStyle w:val="RegSingleTxtG2"/>
        <w:ind w:left="1134" w:firstLine="567"/>
      </w:pPr>
      <w:r w:rsidRPr="00F65C28">
        <w:t>(b)</w:t>
      </w:r>
      <w:r w:rsidRPr="00F65C28">
        <w:tab/>
      </w:r>
      <w:r w:rsidR="00B41ED4" w:rsidRPr="00F65C28">
        <w:t xml:space="preserve">Developing actions and plans for mobilizing private climate </w:t>
      </w:r>
      <w:proofErr w:type="gramStart"/>
      <w:r w:rsidR="00B41ED4" w:rsidRPr="00F65C28">
        <w:t>finance;</w:t>
      </w:r>
      <w:proofErr w:type="gramEnd"/>
    </w:p>
    <w:p w14:paraId="62B638F4" w14:textId="2B235A9C" w:rsidR="00B41ED4" w:rsidRPr="00F65C28" w:rsidRDefault="00406A0D" w:rsidP="00406A0D">
      <w:pPr>
        <w:pStyle w:val="RegSingleTxtG2"/>
        <w:ind w:left="1134" w:firstLine="567"/>
      </w:pPr>
      <w:r w:rsidRPr="00F65C28">
        <w:t>(c)</w:t>
      </w:r>
      <w:r w:rsidRPr="00F65C28">
        <w:tab/>
      </w:r>
      <w:r w:rsidR="00B41ED4" w:rsidRPr="00F65C28">
        <w:t xml:space="preserve">Effectively addressing the needs and priorities of developing countries, including striking a balance between support for mitigation and </w:t>
      </w:r>
      <w:proofErr w:type="gramStart"/>
      <w:r w:rsidR="00B41ED4" w:rsidRPr="00F65C28">
        <w:t>adaptation;</w:t>
      </w:r>
      <w:proofErr w:type="gramEnd"/>
    </w:p>
    <w:p w14:paraId="03B3D836" w14:textId="3BF46DC1" w:rsidR="00B41ED4" w:rsidRPr="00F65C28" w:rsidRDefault="00406A0D" w:rsidP="00406A0D">
      <w:pPr>
        <w:pStyle w:val="RegSingleTxtG2"/>
        <w:ind w:left="1134" w:firstLine="567"/>
      </w:pPr>
      <w:r w:rsidRPr="00F65C28">
        <w:lastRenderedPageBreak/>
        <w:t>(d)</w:t>
      </w:r>
      <w:r w:rsidRPr="00F65C28">
        <w:tab/>
      </w:r>
      <w:r w:rsidR="00B41ED4" w:rsidRPr="00F65C28">
        <w:t xml:space="preserve">Integrating climate change considerations, including climate resilience, into international development </w:t>
      </w:r>
      <w:proofErr w:type="gramStart"/>
      <w:r w:rsidR="00B41ED4" w:rsidRPr="00F65C28">
        <w:t>assistance;</w:t>
      </w:r>
      <w:proofErr w:type="gramEnd"/>
    </w:p>
    <w:p w14:paraId="257A54DA" w14:textId="4856908E" w:rsidR="00B41ED4" w:rsidRPr="00F65C28" w:rsidRDefault="00406A0D" w:rsidP="00406A0D">
      <w:pPr>
        <w:pStyle w:val="RegSingleTxtG2"/>
        <w:ind w:left="1134" w:firstLine="567"/>
      </w:pPr>
      <w:r w:rsidRPr="00F65C28">
        <w:t>(e)</w:t>
      </w:r>
      <w:r w:rsidRPr="00F65C28">
        <w:tab/>
      </w:r>
      <w:r w:rsidR="00B41ED4" w:rsidRPr="00F65C28">
        <w:t xml:space="preserve">Improving enabling environments to strengthen the absorptive capacity of developing </w:t>
      </w:r>
      <w:proofErr w:type="gramStart"/>
      <w:r w:rsidR="00B41ED4" w:rsidRPr="00F65C28">
        <w:t>countries;</w:t>
      </w:r>
      <w:proofErr w:type="gramEnd"/>
      <w:r w:rsidR="00B41ED4" w:rsidRPr="00F65C28">
        <w:t xml:space="preserve"> </w:t>
      </w:r>
    </w:p>
    <w:p w14:paraId="611602BD" w14:textId="23F35026" w:rsidR="00B41ED4" w:rsidRPr="00F65C28" w:rsidRDefault="00406A0D" w:rsidP="00406A0D">
      <w:pPr>
        <w:pStyle w:val="RegSingleTxtG2"/>
        <w:ind w:left="1134" w:firstLine="567"/>
        <w:rPr>
          <w:lang w:val="en-US"/>
        </w:rPr>
      </w:pPr>
      <w:r w:rsidRPr="00F65C28">
        <w:rPr>
          <w:lang w:val="en-US"/>
        </w:rPr>
        <w:t>(f)</w:t>
      </w:r>
      <w:r w:rsidRPr="00F65C28">
        <w:rPr>
          <w:lang w:val="en-US"/>
        </w:rPr>
        <w:tab/>
      </w:r>
      <w:r w:rsidR="00B41ED4" w:rsidRPr="00F65C28">
        <w:t xml:space="preserve">Reflecting on lessons learned for informing future efforts in providing, mobilizing and delivering climate </w:t>
      </w:r>
      <w:proofErr w:type="gramStart"/>
      <w:r w:rsidR="00B41ED4" w:rsidRPr="00F65C28">
        <w:t>finance;</w:t>
      </w:r>
      <w:proofErr w:type="gramEnd"/>
    </w:p>
    <w:p w14:paraId="2473FACF" w14:textId="35BCB833" w:rsidR="00B41ED4" w:rsidRPr="009D70AD" w:rsidRDefault="00406A0D" w:rsidP="00406A0D">
      <w:pPr>
        <w:pStyle w:val="RegSingleTxtG"/>
        <w:tabs>
          <w:tab w:val="clear" w:pos="1701"/>
        </w:tabs>
        <w:ind w:left="1134"/>
        <w:rPr>
          <w:lang w:val="en-US"/>
        </w:rPr>
      </w:pPr>
      <w:r w:rsidRPr="009D70AD">
        <w:rPr>
          <w:iCs/>
          <w:lang w:val="en-US"/>
        </w:rPr>
        <w:t>9.</w:t>
      </w:r>
      <w:r w:rsidRPr="009D70AD">
        <w:rPr>
          <w:iCs/>
          <w:lang w:val="en-US"/>
        </w:rPr>
        <w:tab/>
      </w:r>
      <w:r w:rsidR="00B41ED4" w:rsidRPr="009D70AD">
        <w:rPr>
          <w:i/>
        </w:rPr>
        <w:t xml:space="preserve">Notes </w:t>
      </w:r>
      <w:r w:rsidR="00B41ED4" w:rsidRPr="009D70AD">
        <w:t xml:space="preserve">that the workshop </w:t>
      </w:r>
      <w:r w:rsidR="00B41ED4">
        <w:t xml:space="preserve">referred to in paragraph </w:t>
      </w:r>
      <w:r w:rsidR="00605CF6">
        <w:rPr>
          <w:cs/>
        </w:rPr>
        <w:t>‎</w:t>
      </w:r>
      <w:r w:rsidR="00605CF6">
        <w:t>7 above</w:t>
      </w:r>
      <w:r w:rsidR="00B41ED4">
        <w:t xml:space="preserve"> </w:t>
      </w:r>
      <w:r w:rsidR="00B41ED4" w:rsidRPr="009D70AD">
        <w:t xml:space="preserve">provided Parties with an important platform to exchange views on the biennial communications, including on opportunities for improvement and challenges </w:t>
      </w:r>
      <w:proofErr w:type="gramStart"/>
      <w:r w:rsidR="00B41ED4" w:rsidRPr="009D70AD">
        <w:t>encountered;</w:t>
      </w:r>
      <w:proofErr w:type="gramEnd"/>
      <w:r w:rsidR="00B41ED4" w:rsidRPr="009D70AD">
        <w:t xml:space="preserve"> </w:t>
      </w:r>
    </w:p>
    <w:p w14:paraId="10698B21" w14:textId="3263B252" w:rsidR="00B41ED4" w:rsidRPr="009D70AD" w:rsidRDefault="00406A0D" w:rsidP="00406A0D">
      <w:pPr>
        <w:pStyle w:val="RegSingleTxtG"/>
        <w:tabs>
          <w:tab w:val="clear" w:pos="1701"/>
        </w:tabs>
        <w:ind w:left="1134"/>
        <w:rPr>
          <w:lang w:val="en-US"/>
        </w:rPr>
      </w:pPr>
      <w:bookmarkStart w:id="114" w:name="_Ref155888593"/>
      <w:r w:rsidRPr="009D70AD">
        <w:rPr>
          <w:iCs/>
          <w:lang w:val="en-US"/>
        </w:rPr>
        <w:t>10.</w:t>
      </w:r>
      <w:r w:rsidRPr="009D70AD">
        <w:rPr>
          <w:iCs/>
          <w:lang w:val="en-US"/>
        </w:rPr>
        <w:tab/>
      </w:r>
      <w:r w:rsidR="00B41ED4" w:rsidRPr="009D70AD">
        <w:rPr>
          <w:i/>
          <w:iCs/>
          <w:lang w:val="en-US"/>
        </w:rPr>
        <w:t>Requests</w:t>
      </w:r>
      <w:r w:rsidR="00B41ED4" w:rsidRPr="009D70AD">
        <w:rPr>
          <w:lang w:val="en-US"/>
        </w:rPr>
        <w:t xml:space="preserve"> the secretariat to prepare a compilation and synthesis of the biennial communications submitted in 2024 in accordance with </w:t>
      </w:r>
      <w:r w:rsidR="00436B72">
        <w:rPr>
          <w:lang w:val="en-US"/>
        </w:rPr>
        <w:t xml:space="preserve">paragraph 7 of </w:t>
      </w:r>
      <w:r w:rsidR="00B41ED4" w:rsidRPr="009D70AD">
        <w:rPr>
          <w:lang w:val="en-US"/>
        </w:rPr>
        <w:t>decision 12/CMA.</w:t>
      </w:r>
      <w:proofErr w:type="gramStart"/>
      <w:r w:rsidR="00B41ED4" w:rsidRPr="009D70AD">
        <w:rPr>
          <w:lang w:val="en-US"/>
        </w:rPr>
        <w:t>1;</w:t>
      </w:r>
      <w:bookmarkEnd w:id="114"/>
      <w:proofErr w:type="gramEnd"/>
      <w:r w:rsidR="00B41ED4" w:rsidRPr="009D70AD">
        <w:rPr>
          <w:lang w:val="en-US"/>
        </w:rPr>
        <w:t xml:space="preserve"> </w:t>
      </w:r>
    </w:p>
    <w:p w14:paraId="3C0B1FBE" w14:textId="241AC77C" w:rsidR="00B41ED4" w:rsidRPr="009D70AD" w:rsidRDefault="00406A0D" w:rsidP="00406A0D">
      <w:pPr>
        <w:pStyle w:val="RegSingleTxtG"/>
        <w:tabs>
          <w:tab w:val="clear" w:pos="1701"/>
        </w:tabs>
        <w:ind w:left="1134"/>
        <w:rPr>
          <w:lang w:val="en-US"/>
        </w:rPr>
      </w:pPr>
      <w:bookmarkStart w:id="115" w:name="_Ref155888585"/>
      <w:r w:rsidRPr="009D70AD">
        <w:rPr>
          <w:iCs/>
          <w:lang w:val="en-US"/>
        </w:rPr>
        <w:t>11.</w:t>
      </w:r>
      <w:r w:rsidRPr="009D70AD">
        <w:rPr>
          <w:iCs/>
          <w:lang w:val="en-US"/>
        </w:rPr>
        <w:tab/>
      </w:r>
      <w:r w:rsidR="00B41ED4" w:rsidRPr="009D70AD">
        <w:rPr>
          <w:i/>
          <w:iCs/>
          <w:lang w:val="en-US"/>
        </w:rPr>
        <w:t>Recalls</w:t>
      </w:r>
      <w:r w:rsidR="00B41ED4" w:rsidRPr="009D70AD">
        <w:rPr>
          <w:lang w:val="en-US"/>
        </w:rPr>
        <w:t xml:space="preserve"> that the next biennial in-session workshop on information to be provided by Parties in accordance with Article 9, paragraph 5, of the Paris Agreement will be held in </w:t>
      </w:r>
      <w:proofErr w:type="gramStart"/>
      <w:r w:rsidR="00B41ED4" w:rsidRPr="009D70AD">
        <w:rPr>
          <w:lang w:val="en-US"/>
        </w:rPr>
        <w:t>2025;</w:t>
      </w:r>
      <w:bookmarkEnd w:id="115"/>
      <w:proofErr w:type="gramEnd"/>
      <w:r w:rsidR="00B41ED4" w:rsidRPr="009D70AD">
        <w:rPr>
          <w:lang w:val="en-US"/>
        </w:rPr>
        <w:t xml:space="preserve"> </w:t>
      </w:r>
    </w:p>
    <w:p w14:paraId="11CDA30E" w14:textId="26D06761" w:rsidR="00B41ED4" w:rsidRPr="009D70AD" w:rsidRDefault="00406A0D" w:rsidP="00406A0D">
      <w:pPr>
        <w:pStyle w:val="RegSingleTxtG"/>
        <w:tabs>
          <w:tab w:val="clear" w:pos="1701"/>
        </w:tabs>
        <w:ind w:left="1134"/>
        <w:rPr>
          <w:lang w:val="en-US"/>
        </w:rPr>
      </w:pPr>
      <w:bookmarkStart w:id="116" w:name="_Ref155888601"/>
      <w:r w:rsidRPr="009D70AD">
        <w:rPr>
          <w:iCs/>
          <w:lang w:val="en-US"/>
        </w:rPr>
        <w:t>12.</w:t>
      </w:r>
      <w:r w:rsidRPr="009D70AD">
        <w:rPr>
          <w:iCs/>
          <w:lang w:val="en-US"/>
        </w:rPr>
        <w:tab/>
      </w:r>
      <w:r w:rsidR="00B41ED4" w:rsidRPr="009D70AD">
        <w:rPr>
          <w:i/>
          <w:iCs/>
          <w:lang w:val="en-US"/>
        </w:rPr>
        <w:t>Requests</w:t>
      </w:r>
      <w:r w:rsidR="00B41ED4" w:rsidRPr="009D70AD">
        <w:rPr>
          <w:lang w:val="en-US"/>
        </w:rPr>
        <w:t xml:space="preserve"> the secretariat to organize the biennial in-session workshop referred to in paragraph </w:t>
      </w:r>
      <w:r w:rsidR="00605CF6">
        <w:rPr>
          <w:cs/>
          <w:lang w:val="en-US"/>
        </w:rPr>
        <w:t>‎</w:t>
      </w:r>
      <w:r w:rsidR="00605CF6">
        <w:rPr>
          <w:lang w:val="en-US"/>
        </w:rPr>
        <w:t>11 above</w:t>
      </w:r>
      <w:r w:rsidR="00B41ED4" w:rsidRPr="009D70AD">
        <w:rPr>
          <w:lang w:val="en-US"/>
        </w:rPr>
        <w:t xml:space="preserve"> and to prepare a summary report on the workshop for consideration by the Conference of the Parties serving as the meeting of the Parties to the Paris Agreement at its seventh session (November 2025</w:t>
      </w:r>
      <w:proofErr w:type="gramStart"/>
      <w:r w:rsidR="00B41ED4" w:rsidRPr="009D70AD">
        <w:rPr>
          <w:lang w:val="en-US"/>
        </w:rPr>
        <w:t>);</w:t>
      </w:r>
      <w:bookmarkEnd w:id="116"/>
      <w:proofErr w:type="gramEnd"/>
    </w:p>
    <w:p w14:paraId="18F4FA33" w14:textId="1A115AAD" w:rsidR="00B41ED4" w:rsidRPr="007A047E" w:rsidRDefault="00406A0D" w:rsidP="00406A0D">
      <w:pPr>
        <w:pStyle w:val="RegSingleTxtG"/>
        <w:tabs>
          <w:tab w:val="clear" w:pos="1701"/>
        </w:tabs>
        <w:ind w:left="1134"/>
        <w:rPr>
          <w:lang w:val="en-US"/>
        </w:rPr>
      </w:pPr>
      <w:r w:rsidRPr="007A047E">
        <w:rPr>
          <w:iCs/>
          <w:lang w:val="en-US"/>
        </w:rPr>
        <w:t>13.</w:t>
      </w:r>
      <w:r w:rsidRPr="007A047E">
        <w:rPr>
          <w:iCs/>
          <w:lang w:val="en-US"/>
        </w:rPr>
        <w:tab/>
      </w:r>
      <w:r w:rsidR="00B41ED4" w:rsidRPr="007A047E">
        <w:rPr>
          <w:i/>
          <w:iCs/>
          <w:lang w:val="en-US"/>
        </w:rPr>
        <w:t xml:space="preserve">Notes </w:t>
      </w:r>
      <w:r w:rsidR="00B41ED4" w:rsidRPr="007A047E">
        <w:rPr>
          <w:lang w:val="en-US"/>
        </w:rPr>
        <w:t xml:space="preserve">that the elements for discussion at the workshop referred to in paragraph </w:t>
      </w:r>
      <w:r w:rsidR="00605CF6">
        <w:rPr>
          <w:cs/>
          <w:lang w:val="en-US"/>
        </w:rPr>
        <w:t>‎</w:t>
      </w:r>
      <w:r w:rsidR="00605CF6">
        <w:rPr>
          <w:lang w:val="en-US"/>
        </w:rPr>
        <w:t>12 above</w:t>
      </w:r>
      <w:r w:rsidR="00B41ED4" w:rsidRPr="007A047E">
        <w:rPr>
          <w:lang w:val="en-US"/>
        </w:rPr>
        <w:t xml:space="preserve"> </w:t>
      </w:r>
      <w:r w:rsidR="00B41ED4">
        <w:rPr>
          <w:lang w:val="en-US"/>
        </w:rPr>
        <w:t>are to</w:t>
      </w:r>
      <w:r w:rsidR="00B41ED4" w:rsidRPr="007A047E">
        <w:rPr>
          <w:lang w:val="en-US"/>
        </w:rPr>
        <w:t xml:space="preserve"> be based on the information in the compilation and synthesis report referred to in paragraph </w:t>
      </w:r>
      <w:r w:rsidR="00605CF6">
        <w:rPr>
          <w:cs/>
          <w:lang w:val="en-US"/>
        </w:rPr>
        <w:t>‎</w:t>
      </w:r>
      <w:r w:rsidR="00605CF6">
        <w:rPr>
          <w:lang w:val="en-US"/>
        </w:rPr>
        <w:t>10 above</w:t>
      </w:r>
      <w:r w:rsidR="00B41ED4" w:rsidRPr="007A047E">
        <w:rPr>
          <w:lang w:val="en-US"/>
        </w:rPr>
        <w:t xml:space="preserve"> and the summary report referred </w:t>
      </w:r>
      <w:r w:rsidR="00B41ED4" w:rsidRPr="00270331">
        <w:rPr>
          <w:lang w:val="en-US"/>
        </w:rPr>
        <w:t xml:space="preserve">to </w:t>
      </w:r>
      <w:r w:rsidR="00B41ED4" w:rsidRPr="007A047E">
        <w:rPr>
          <w:lang w:val="en-US"/>
        </w:rPr>
        <w:t xml:space="preserve">in paragraph </w:t>
      </w:r>
      <w:r w:rsidR="00605CF6">
        <w:rPr>
          <w:cs/>
          <w:lang w:val="en-US"/>
        </w:rPr>
        <w:t>‎</w:t>
      </w:r>
      <w:r w:rsidR="00605CF6">
        <w:rPr>
          <w:lang w:val="en-US"/>
        </w:rPr>
        <w:t>7 above</w:t>
      </w:r>
      <w:r w:rsidR="00B41ED4" w:rsidRPr="007A047E">
        <w:rPr>
          <w:lang w:val="en-US"/>
        </w:rPr>
        <w:t>, including information provided by Parties in accordance with Article 9</w:t>
      </w:r>
      <w:r w:rsidR="00B41ED4" w:rsidRPr="00270331">
        <w:rPr>
          <w:lang w:val="en-US"/>
        </w:rPr>
        <w:t>,</w:t>
      </w:r>
      <w:r w:rsidR="00B41ED4" w:rsidRPr="007A047E">
        <w:rPr>
          <w:lang w:val="en-US"/>
        </w:rPr>
        <w:t xml:space="preserve"> paragraph 5</w:t>
      </w:r>
      <w:r w:rsidR="00B41ED4" w:rsidRPr="00270331">
        <w:rPr>
          <w:lang w:val="en-US"/>
        </w:rPr>
        <w:t>,</w:t>
      </w:r>
      <w:r w:rsidR="00B41ED4" w:rsidRPr="007A047E">
        <w:rPr>
          <w:lang w:val="en-US"/>
        </w:rPr>
        <w:t xml:space="preserve"> of the Paris Agreement</w:t>
      </w:r>
      <w:r w:rsidR="00B41ED4" w:rsidRPr="00270331">
        <w:rPr>
          <w:lang w:val="en-US"/>
        </w:rPr>
        <w:t xml:space="preserve"> </w:t>
      </w:r>
      <w:r w:rsidR="00B41ED4" w:rsidRPr="007A047E">
        <w:rPr>
          <w:lang w:val="en-US"/>
        </w:rPr>
        <w:t>conducive to measuring progress in line with Article 9, paragraph 6, of the Paris Agreement</w:t>
      </w:r>
      <w:r w:rsidR="00B41ED4">
        <w:rPr>
          <w:lang w:val="en-US"/>
        </w:rPr>
        <w:t>, as relevant</w:t>
      </w:r>
      <w:r w:rsidR="00B41ED4" w:rsidRPr="007A047E">
        <w:rPr>
          <w:lang w:val="en-US"/>
        </w:rPr>
        <w:t xml:space="preserve">; </w:t>
      </w:r>
    </w:p>
    <w:p w14:paraId="092F2D27" w14:textId="4EA138EA" w:rsidR="00B41ED4" w:rsidRPr="0015492C" w:rsidRDefault="00406A0D" w:rsidP="00406A0D">
      <w:pPr>
        <w:pStyle w:val="RegSingleTxtG"/>
        <w:tabs>
          <w:tab w:val="clear" w:pos="1701"/>
        </w:tabs>
        <w:ind w:left="1134"/>
        <w:rPr>
          <w:lang w:eastAsia="pt-BR"/>
        </w:rPr>
      </w:pPr>
      <w:r w:rsidRPr="0015492C">
        <w:rPr>
          <w:iCs/>
          <w:lang w:eastAsia="pt-BR"/>
        </w:rPr>
        <w:t>14.</w:t>
      </w:r>
      <w:r w:rsidRPr="0015492C">
        <w:rPr>
          <w:iCs/>
          <w:lang w:eastAsia="pt-BR"/>
        </w:rPr>
        <w:tab/>
      </w:r>
      <w:r w:rsidR="00B41ED4">
        <w:rPr>
          <w:i/>
          <w:iCs/>
          <w:lang w:eastAsia="pt-BR"/>
        </w:rPr>
        <w:t>Also n</w:t>
      </w:r>
      <w:r w:rsidR="00B41ED4" w:rsidRPr="00676515">
        <w:rPr>
          <w:i/>
          <w:iCs/>
          <w:lang w:eastAsia="pt-BR"/>
        </w:rPr>
        <w:t>otes</w:t>
      </w:r>
      <w:r w:rsidR="00B41ED4" w:rsidRPr="0015492C">
        <w:rPr>
          <w:lang w:eastAsia="pt-BR"/>
        </w:rPr>
        <w:t xml:space="preserve"> the </w:t>
      </w:r>
      <w:r w:rsidR="00B41ED4">
        <w:rPr>
          <w:lang w:eastAsia="pt-BR"/>
        </w:rPr>
        <w:t xml:space="preserve">note by the President of </w:t>
      </w:r>
      <w:r w:rsidR="00B41ED4" w:rsidRPr="0015492C">
        <w:rPr>
          <w:lang w:eastAsia="pt-BR"/>
        </w:rPr>
        <w:t xml:space="preserve">the </w:t>
      </w:r>
      <w:r w:rsidR="00263241">
        <w:rPr>
          <w:lang w:eastAsia="pt-BR"/>
        </w:rPr>
        <w:t>third</w:t>
      </w:r>
      <w:r w:rsidR="004C4234">
        <w:rPr>
          <w:lang w:eastAsia="pt-BR"/>
        </w:rPr>
        <w:t xml:space="preserve"> session of </w:t>
      </w:r>
      <w:r w:rsidR="00B41ED4" w:rsidRPr="0015492C">
        <w:rPr>
          <w:lang w:eastAsia="pt-BR"/>
        </w:rPr>
        <w:t xml:space="preserve">the Conference of the Parties serving as the meeting of the Parties to the Paris Agreement </w:t>
      </w:r>
      <w:r w:rsidR="00B41ED4">
        <w:rPr>
          <w:lang w:eastAsia="pt-BR"/>
        </w:rPr>
        <w:t>on</w:t>
      </w:r>
      <w:r w:rsidR="00B41ED4" w:rsidRPr="0015492C">
        <w:rPr>
          <w:lang w:eastAsia="pt-BR"/>
        </w:rPr>
        <w:t xml:space="preserve"> the first </w:t>
      </w:r>
      <w:r w:rsidR="00B41ED4">
        <w:rPr>
          <w:lang w:eastAsia="pt-BR"/>
        </w:rPr>
        <w:t>biennial h</w:t>
      </w:r>
      <w:r w:rsidR="00B41ED4" w:rsidRPr="0015492C">
        <w:rPr>
          <w:lang w:eastAsia="pt-BR"/>
        </w:rPr>
        <w:t>igh</w:t>
      </w:r>
      <w:r w:rsidR="00B41ED4">
        <w:rPr>
          <w:lang w:eastAsia="pt-BR"/>
        </w:rPr>
        <w:t>-l</w:t>
      </w:r>
      <w:r w:rsidR="00B41ED4" w:rsidRPr="0015492C">
        <w:rPr>
          <w:lang w:eastAsia="pt-BR"/>
        </w:rPr>
        <w:t xml:space="preserve">evel </w:t>
      </w:r>
      <w:r w:rsidR="00B41ED4">
        <w:rPr>
          <w:lang w:eastAsia="pt-BR"/>
        </w:rPr>
        <w:t>m</w:t>
      </w:r>
      <w:r w:rsidR="00B41ED4" w:rsidRPr="0015492C">
        <w:rPr>
          <w:lang w:eastAsia="pt-BR"/>
        </w:rPr>
        <w:t xml:space="preserve">inisterial </w:t>
      </w:r>
      <w:r w:rsidR="00B41ED4">
        <w:rPr>
          <w:lang w:eastAsia="pt-BR"/>
        </w:rPr>
        <w:t>d</w:t>
      </w:r>
      <w:r w:rsidR="00B41ED4" w:rsidRPr="0015492C">
        <w:rPr>
          <w:lang w:eastAsia="pt-BR"/>
        </w:rPr>
        <w:t>ialogue on climate finance</w:t>
      </w:r>
      <w:r w:rsidR="00B41ED4">
        <w:rPr>
          <w:lang w:eastAsia="pt-BR"/>
        </w:rPr>
        <w:t>, in particular the key messages contained therein;</w:t>
      </w:r>
      <w:r w:rsidR="00B41ED4">
        <w:rPr>
          <w:rStyle w:val="FootnoteReference"/>
          <w:lang w:eastAsia="pt-BR"/>
        </w:rPr>
        <w:footnoteReference w:id="64"/>
      </w:r>
    </w:p>
    <w:p w14:paraId="71E3F49A" w14:textId="52BA42CB" w:rsidR="00B41ED4" w:rsidRDefault="00406A0D" w:rsidP="00406A0D">
      <w:pPr>
        <w:pStyle w:val="RegSingleTxtG"/>
        <w:tabs>
          <w:tab w:val="clear" w:pos="1701"/>
        </w:tabs>
        <w:ind w:left="1134"/>
        <w:rPr>
          <w:lang w:eastAsia="pt-BR"/>
        </w:rPr>
      </w:pPr>
      <w:r>
        <w:rPr>
          <w:iCs/>
          <w:lang w:eastAsia="pt-BR"/>
        </w:rPr>
        <w:t>15.</w:t>
      </w:r>
      <w:r>
        <w:rPr>
          <w:iCs/>
          <w:lang w:eastAsia="pt-BR"/>
        </w:rPr>
        <w:tab/>
      </w:r>
      <w:r w:rsidR="00B41ED4">
        <w:rPr>
          <w:i/>
          <w:iCs/>
          <w:lang w:eastAsia="pt-BR"/>
        </w:rPr>
        <w:t>W</w:t>
      </w:r>
      <w:r w:rsidR="00B41ED4" w:rsidRPr="00D23DAE">
        <w:rPr>
          <w:i/>
          <w:iCs/>
          <w:lang w:eastAsia="pt-BR"/>
        </w:rPr>
        <w:t>elcomes</w:t>
      </w:r>
      <w:r w:rsidR="00B41ED4">
        <w:rPr>
          <w:i/>
          <w:iCs/>
          <w:lang w:eastAsia="pt-BR"/>
        </w:rPr>
        <w:t xml:space="preserve"> </w:t>
      </w:r>
      <w:r w:rsidR="00B41ED4" w:rsidRPr="00D23DAE">
        <w:rPr>
          <w:lang w:eastAsia="pt-BR"/>
        </w:rPr>
        <w:t xml:space="preserve">the deliberations at the second high-level ministerial dialogue on climate finance in accordance with </w:t>
      </w:r>
      <w:r w:rsidR="00B40F37">
        <w:rPr>
          <w:lang w:eastAsia="pt-BR"/>
        </w:rPr>
        <w:t xml:space="preserve">paragraph 10 of </w:t>
      </w:r>
      <w:r w:rsidR="00B41ED4" w:rsidRPr="00D23DAE">
        <w:rPr>
          <w:lang w:eastAsia="pt-BR"/>
        </w:rPr>
        <w:t xml:space="preserve">decision 12/CMA.1 and </w:t>
      </w:r>
      <w:r w:rsidR="00B41ED4" w:rsidRPr="008156CF">
        <w:rPr>
          <w:i/>
          <w:iCs/>
          <w:lang w:eastAsia="pt-BR"/>
        </w:rPr>
        <w:t>looks forward</w:t>
      </w:r>
      <w:r w:rsidR="00B41ED4" w:rsidRPr="00D23DAE">
        <w:rPr>
          <w:lang w:eastAsia="pt-BR"/>
        </w:rPr>
        <w:t xml:space="preserve"> to the summary thereof to be prepared by the Presiden</w:t>
      </w:r>
      <w:r w:rsidR="00B41ED4">
        <w:rPr>
          <w:lang w:eastAsia="pt-BR"/>
        </w:rPr>
        <w:t>t</w:t>
      </w:r>
      <w:r w:rsidR="00B41ED4" w:rsidRPr="00D23DAE">
        <w:rPr>
          <w:lang w:eastAsia="pt-BR"/>
        </w:rPr>
        <w:t xml:space="preserve"> of the </w:t>
      </w:r>
      <w:r w:rsidR="001F5CBC">
        <w:rPr>
          <w:lang w:eastAsia="pt-BR"/>
        </w:rPr>
        <w:t xml:space="preserve">fifth session </w:t>
      </w:r>
      <w:r w:rsidR="00B41ED4" w:rsidRPr="00D23DAE">
        <w:rPr>
          <w:lang w:eastAsia="pt-BR"/>
        </w:rPr>
        <w:t>of the Conference of the Parties</w:t>
      </w:r>
      <w:r w:rsidR="00B41ED4">
        <w:rPr>
          <w:lang w:eastAsia="pt-BR"/>
        </w:rPr>
        <w:t xml:space="preserve"> serving as the meeting of the Parties to the Paris Agreement for its seventh </w:t>
      </w:r>
      <w:proofErr w:type="gramStart"/>
      <w:r w:rsidR="00B41ED4">
        <w:rPr>
          <w:lang w:eastAsia="pt-BR"/>
        </w:rPr>
        <w:t>session;</w:t>
      </w:r>
      <w:proofErr w:type="gramEnd"/>
    </w:p>
    <w:p w14:paraId="512BA411" w14:textId="164AE830" w:rsidR="00B41ED4" w:rsidRPr="00891130" w:rsidRDefault="00406A0D" w:rsidP="00406A0D">
      <w:pPr>
        <w:pStyle w:val="RegSingleTxtG"/>
        <w:tabs>
          <w:tab w:val="clear" w:pos="1701"/>
        </w:tabs>
        <w:ind w:left="1134"/>
        <w:rPr>
          <w:lang w:val="en-US"/>
        </w:rPr>
      </w:pPr>
      <w:r w:rsidRPr="00891130">
        <w:rPr>
          <w:iCs/>
          <w:lang w:val="en-US"/>
        </w:rPr>
        <w:t>16.</w:t>
      </w:r>
      <w:r w:rsidRPr="00891130">
        <w:rPr>
          <w:iCs/>
          <w:lang w:val="en-US"/>
        </w:rPr>
        <w:tab/>
      </w:r>
      <w:r w:rsidR="00B41ED4" w:rsidRPr="007B35F3">
        <w:rPr>
          <w:i/>
          <w:iCs/>
          <w:lang w:val="en-US"/>
        </w:rPr>
        <w:t>Invites</w:t>
      </w:r>
      <w:r w:rsidR="00B41ED4" w:rsidRPr="007B35F3" w:rsidDel="0099506D">
        <w:rPr>
          <w:i/>
          <w:iCs/>
          <w:lang w:val="en-US"/>
        </w:rPr>
        <w:t xml:space="preserve"> </w:t>
      </w:r>
      <w:r w:rsidR="00B41ED4" w:rsidRPr="007B35F3">
        <w:rPr>
          <w:lang w:val="en-US"/>
        </w:rPr>
        <w:t xml:space="preserve">Parties, in accordance with Article 9, paragraph 5, of the Paris Agreement, to </w:t>
      </w:r>
      <w:proofErr w:type="gramStart"/>
      <w:r w:rsidR="00B41ED4" w:rsidRPr="007B35F3">
        <w:rPr>
          <w:lang w:val="en-US"/>
        </w:rPr>
        <w:t>take into account</w:t>
      </w:r>
      <w:proofErr w:type="gramEnd"/>
      <w:r w:rsidR="00B41ED4" w:rsidRPr="007B35F3">
        <w:rPr>
          <w:lang w:val="en-US"/>
        </w:rPr>
        <w:t xml:space="preserve"> </w:t>
      </w:r>
      <w:r w:rsidR="00B41ED4" w:rsidRPr="00665508">
        <w:rPr>
          <w:lang w:val="en-US"/>
        </w:rPr>
        <w:t xml:space="preserve">the following areas </w:t>
      </w:r>
      <w:r w:rsidR="00B41ED4" w:rsidRPr="00891130">
        <w:rPr>
          <w:lang w:val="en-US"/>
        </w:rPr>
        <w:t>in preparing their biennial communications to be submitted in 2024, as applicable:</w:t>
      </w:r>
    </w:p>
    <w:p w14:paraId="1241FE37" w14:textId="767C36B0" w:rsidR="00B41ED4" w:rsidRPr="00891130" w:rsidRDefault="00406A0D" w:rsidP="00406A0D">
      <w:pPr>
        <w:pStyle w:val="RegSingleTxtG2"/>
        <w:ind w:left="1134" w:firstLine="567"/>
        <w:rPr>
          <w:lang w:val="en-US"/>
        </w:rPr>
      </w:pPr>
      <w:r w:rsidRPr="00891130">
        <w:rPr>
          <w:lang w:val="en-US"/>
        </w:rPr>
        <w:t>(a)</w:t>
      </w:r>
      <w:r w:rsidRPr="00891130">
        <w:rPr>
          <w:lang w:val="en-US"/>
        </w:rPr>
        <w:tab/>
      </w:r>
      <w:r w:rsidR="00B41ED4" w:rsidRPr="00891130">
        <w:rPr>
          <w:lang w:val="en-US"/>
        </w:rPr>
        <w:t xml:space="preserve">Information on the status of projected levels of climate finance stated in previous biennial </w:t>
      </w:r>
      <w:proofErr w:type="gramStart"/>
      <w:r w:rsidR="00B41ED4" w:rsidRPr="00891130">
        <w:rPr>
          <w:lang w:val="en-US"/>
        </w:rPr>
        <w:t>communications;</w:t>
      </w:r>
      <w:proofErr w:type="gramEnd"/>
      <w:r w:rsidR="00B41ED4" w:rsidRPr="00891130">
        <w:rPr>
          <w:lang w:val="en-US"/>
        </w:rPr>
        <w:t xml:space="preserve"> </w:t>
      </w:r>
    </w:p>
    <w:p w14:paraId="08C235E3" w14:textId="2830E2DE" w:rsidR="00B41ED4" w:rsidRPr="00891130" w:rsidRDefault="00406A0D" w:rsidP="00406A0D">
      <w:pPr>
        <w:pStyle w:val="RegSingleTxtG2"/>
        <w:ind w:left="1134" w:firstLine="567"/>
        <w:rPr>
          <w:lang w:val="en-US"/>
        </w:rPr>
      </w:pPr>
      <w:r w:rsidRPr="00891130">
        <w:rPr>
          <w:lang w:val="en-US"/>
        </w:rPr>
        <w:t>(b)</w:t>
      </w:r>
      <w:r w:rsidRPr="00891130">
        <w:rPr>
          <w:lang w:val="en-US"/>
        </w:rPr>
        <w:tab/>
      </w:r>
      <w:r w:rsidR="00B41ED4" w:rsidRPr="00891130">
        <w:rPr>
          <w:lang w:val="en-US"/>
        </w:rPr>
        <w:t xml:space="preserve">Information on the challenges and limitations of providing ex ante information, particularly in relation to budgetary and legislative requirements for the allocation and approval of public climate finance </w:t>
      </w:r>
      <w:proofErr w:type="gramStart"/>
      <w:r w:rsidR="00B41ED4" w:rsidRPr="00891130">
        <w:rPr>
          <w:lang w:val="en-US"/>
        </w:rPr>
        <w:t>disbursements;</w:t>
      </w:r>
      <w:proofErr w:type="gramEnd"/>
      <w:r w:rsidR="00B41ED4" w:rsidRPr="00891130">
        <w:rPr>
          <w:lang w:val="en-US"/>
        </w:rPr>
        <w:t xml:space="preserve"> </w:t>
      </w:r>
    </w:p>
    <w:p w14:paraId="1D99F7E5" w14:textId="6D31BD1D" w:rsidR="00B41ED4" w:rsidRPr="00891130" w:rsidRDefault="00406A0D" w:rsidP="00406A0D">
      <w:pPr>
        <w:pStyle w:val="RegSingleTxtG2"/>
        <w:ind w:left="1134" w:firstLine="567"/>
        <w:rPr>
          <w:lang w:val="en-US"/>
        </w:rPr>
      </w:pPr>
      <w:r w:rsidRPr="00891130">
        <w:rPr>
          <w:lang w:val="en-US"/>
        </w:rPr>
        <w:t>(c)</w:t>
      </w:r>
      <w:r w:rsidRPr="00891130">
        <w:rPr>
          <w:lang w:val="en-US"/>
        </w:rPr>
        <w:tab/>
      </w:r>
      <w:r w:rsidR="00B41ED4" w:rsidRPr="00891130">
        <w:rPr>
          <w:lang w:val="en-US"/>
        </w:rPr>
        <w:t xml:space="preserve">Information demonstrating </w:t>
      </w:r>
      <w:r w:rsidR="00B41ED4" w:rsidRPr="00A44F8E">
        <w:rPr>
          <w:lang w:val="en-US"/>
        </w:rPr>
        <w:t>how</w:t>
      </w:r>
      <w:r w:rsidR="00B41ED4" w:rsidRPr="00891130">
        <w:rPr>
          <w:lang w:val="en-US"/>
        </w:rPr>
        <w:t xml:space="preserve"> ex ante information responds to the implementation needs of developing country Parties, as referenced in their nationally determined contributions, adaptation communications and other national </w:t>
      </w:r>
      <w:proofErr w:type="gramStart"/>
      <w:r w:rsidR="00B41ED4" w:rsidRPr="00891130">
        <w:rPr>
          <w:lang w:val="en-US"/>
        </w:rPr>
        <w:t>plans;</w:t>
      </w:r>
      <w:proofErr w:type="gramEnd"/>
      <w:r w:rsidR="00B41ED4" w:rsidRPr="00891130">
        <w:rPr>
          <w:lang w:val="en-US"/>
        </w:rPr>
        <w:t xml:space="preserve"> </w:t>
      </w:r>
    </w:p>
    <w:p w14:paraId="36C7C909" w14:textId="7A1AB229" w:rsidR="00B41ED4" w:rsidRPr="00891130" w:rsidRDefault="00406A0D" w:rsidP="00406A0D">
      <w:pPr>
        <w:pStyle w:val="RegSingleTxtG2"/>
        <w:ind w:left="1134" w:firstLine="567"/>
      </w:pPr>
      <w:r w:rsidRPr="00891130">
        <w:t>(d)</w:t>
      </w:r>
      <w:r w:rsidRPr="00891130">
        <w:tab/>
      </w:r>
      <w:r w:rsidR="00B41ED4" w:rsidRPr="00891130">
        <w:t xml:space="preserve">Information on efforts towards achieving a balance in the provision of climate finance for mitigation and </w:t>
      </w:r>
      <w:proofErr w:type="gramStart"/>
      <w:r w:rsidR="00B41ED4" w:rsidRPr="00891130">
        <w:t>adaptation;</w:t>
      </w:r>
      <w:proofErr w:type="gramEnd"/>
    </w:p>
    <w:p w14:paraId="297824A1" w14:textId="777C6424" w:rsidR="00B41ED4" w:rsidRPr="00891130" w:rsidRDefault="00406A0D" w:rsidP="00406A0D">
      <w:pPr>
        <w:pStyle w:val="RegSingleTxtG2"/>
        <w:ind w:left="1134" w:firstLine="567"/>
      </w:pPr>
      <w:r w:rsidRPr="00891130">
        <w:t>(e)</w:t>
      </w:r>
      <w:r w:rsidRPr="00891130">
        <w:tab/>
      </w:r>
      <w:r w:rsidR="00B41ED4" w:rsidRPr="00891130">
        <w:t xml:space="preserve">Information demonstrating how each of their biennial communications has improved compared with the previous one, including how areas for improvement set out in relevant decisions of the Conference of the Parties and the Conference of the Parties serving as the meeting of the Parties to the Paris Agreement have been </w:t>
      </w:r>
      <w:proofErr w:type="gramStart"/>
      <w:r w:rsidR="00B41ED4" w:rsidRPr="00891130">
        <w:t>addressed;</w:t>
      </w:r>
      <w:proofErr w:type="gramEnd"/>
    </w:p>
    <w:p w14:paraId="0121FD79" w14:textId="05FDDFB9" w:rsidR="00B41ED4" w:rsidRPr="00D23DAE" w:rsidRDefault="00406A0D" w:rsidP="00406A0D">
      <w:pPr>
        <w:pStyle w:val="RegSingleTxtG2"/>
        <w:ind w:left="1134" w:firstLine="567"/>
        <w:rPr>
          <w:lang w:eastAsia="pt-BR"/>
        </w:rPr>
      </w:pPr>
      <w:r w:rsidRPr="00D23DAE">
        <w:rPr>
          <w:lang w:eastAsia="pt-BR"/>
        </w:rPr>
        <w:lastRenderedPageBreak/>
        <w:t>(f)</w:t>
      </w:r>
      <w:r w:rsidRPr="00D23DAE">
        <w:rPr>
          <w:lang w:eastAsia="pt-BR"/>
        </w:rPr>
        <w:tab/>
      </w:r>
      <w:r w:rsidR="00B41ED4" w:rsidRPr="009D70AD">
        <w:rPr>
          <w:lang w:val="en-US"/>
        </w:rPr>
        <w:t xml:space="preserve">More detailed information on strategies for scaling up the provision of climate finance, including through public </w:t>
      </w:r>
      <w:proofErr w:type="gramStart"/>
      <w:r w:rsidR="00B41ED4" w:rsidRPr="009D70AD">
        <w:rPr>
          <w:lang w:val="en-US"/>
        </w:rPr>
        <w:t>interventions</w:t>
      </w:r>
      <w:r w:rsidR="00B41ED4" w:rsidRPr="007A047E">
        <w:rPr>
          <w:lang w:val="en-US"/>
        </w:rPr>
        <w:t>;</w:t>
      </w:r>
      <w:proofErr w:type="gramEnd"/>
    </w:p>
    <w:p w14:paraId="1005BB4A" w14:textId="5A1F8353" w:rsidR="00B41ED4" w:rsidRDefault="00406A0D" w:rsidP="00406A0D">
      <w:pPr>
        <w:pStyle w:val="RegSingleTxtG"/>
        <w:tabs>
          <w:tab w:val="clear" w:pos="1701"/>
        </w:tabs>
        <w:ind w:left="1134"/>
        <w:rPr>
          <w:lang w:val="en-US"/>
        </w:rPr>
      </w:pPr>
      <w:r>
        <w:rPr>
          <w:iCs/>
          <w:lang w:val="en-US"/>
        </w:rPr>
        <w:t>17.</w:t>
      </w:r>
      <w:r>
        <w:rPr>
          <w:iCs/>
          <w:lang w:val="en-US"/>
        </w:rPr>
        <w:tab/>
      </w:r>
      <w:r w:rsidR="00B41ED4" w:rsidRPr="0015492C">
        <w:rPr>
          <w:i/>
          <w:iCs/>
          <w:lang w:val="en-US"/>
        </w:rPr>
        <w:t>Decides</w:t>
      </w:r>
      <w:r w:rsidR="00B41ED4" w:rsidRPr="0015492C">
        <w:rPr>
          <w:lang w:val="en-US"/>
        </w:rPr>
        <w:t xml:space="preserve"> to </w:t>
      </w:r>
      <w:r w:rsidR="00B41ED4">
        <w:rPr>
          <w:lang w:val="en-US"/>
        </w:rPr>
        <w:t xml:space="preserve">consider </w:t>
      </w:r>
      <w:r w:rsidR="00B41ED4" w:rsidRPr="0015492C">
        <w:rPr>
          <w:lang w:val="en-US"/>
        </w:rPr>
        <w:t>updat</w:t>
      </w:r>
      <w:r w:rsidR="00B41ED4">
        <w:rPr>
          <w:lang w:val="en-US"/>
        </w:rPr>
        <w:t>ing</w:t>
      </w:r>
      <w:r w:rsidR="00B41ED4" w:rsidRPr="0015492C">
        <w:rPr>
          <w:lang w:val="en-US"/>
        </w:rPr>
        <w:t xml:space="preserve"> the types of information contained in the annex </w:t>
      </w:r>
      <w:r w:rsidR="00B41ED4">
        <w:rPr>
          <w:lang w:val="en-US"/>
        </w:rPr>
        <w:t xml:space="preserve">to decision 12/CMA.1 </w:t>
      </w:r>
      <w:r w:rsidR="00B41ED4" w:rsidRPr="0015492C">
        <w:rPr>
          <w:lang w:val="en-US"/>
        </w:rPr>
        <w:t xml:space="preserve">at </w:t>
      </w:r>
      <w:r w:rsidR="00B41ED4">
        <w:rPr>
          <w:lang w:val="en-US"/>
        </w:rPr>
        <w:t xml:space="preserve">its </w:t>
      </w:r>
      <w:r w:rsidR="00B41ED4" w:rsidRPr="0015492C">
        <w:rPr>
          <w:lang w:val="en-US"/>
        </w:rPr>
        <w:t xml:space="preserve">seventh session on the basis of </w:t>
      </w:r>
      <w:r w:rsidR="00B41ED4">
        <w:rPr>
          <w:lang w:val="en-US"/>
        </w:rPr>
        <w:t xml:space="preserve">the </w:t>
      </w:r>
      <w:r w:rsidR="00B41ED4" w:rsidRPr="0015492C">
        <w:rPr>
          <w:lang w:val="en-US"/>
        </w:rPr>
        <w:t xml:space="preserve">experience </w:t>
      </w:r>
      <w:r w:rsidR="00B41ED4">
        <w:rPr>
          <w:lang w:val="en-US"/>
        </w:rPr>
        <w:t xml:space="preserve">of </w:t>
      </w:r>
      <w:r w:rsidR="00B41ED4" w:rsidRPr="0015492C">
        <w:rPr>
          <w:lang w:val="en-US"/>
        </w:rPr>
        <w:t xml:space="preserve">and lessons learned </w:t>
      </w:r>
      <w:r w:rsidR="00B41ED4">
        <w:rPr>
          <w:lang w:val="en-US"/>
        </w:rPr>
        <w:t xml:space="preserve">by Parties </w:t>
      </w:r>
      <w:r w:rsidR="00B41ED4" w:rsidRPr="0015492C">
        <w:rPr>
          <w:lang w:val="en-US"/>
        </w:rPr>
        <w:t xml:space="preserve">in the preparation of their biennial communications of indicative quantitative and qualitative </w:t>
      </w:r>
      <w:proofErr w:type="gramStart"/>
      <w:r w:rsidR="00B41ED4" w:rsidRPr="0015492C">
        <w:rPr>
          <w:lang w:val="en-US"/>
        </w:rPr>
        <w:t>information</w:t>
      </w:r>
      <w:r w:rsidR="00B41ED4">
        <w:rPr>
          <w:lang w:val="en-US"/>
        </w:rPr>
        <w:t>;</w:t>
      </w:r>
      <w:proofErr w:type="gramEnd"/>
      <w:r w:rsidR="00B41ED4" w:rsidRPr="0015492C">
        <w:rPr>
          <w:lang w:val="en-US"/>
        </w:rPr>
        <w:t xml:space="preserve"> </w:t>
      </w:r>
    </w:p>
    <w:p w14:paraId="46EEBF6E" w14:textId="463AD58E" w:rsidR="00B41ED4" w:rsidRDefault="00406A0D" w:rsidP="00406A0D">
      <w:pPr>
        <w:pStyle w:val="RegSingleTxtG"/>
        <w:tabs>
          <w:tab w:val="clear" w:pos="1701"/>
        </w:tabs>
        <w:ind w:left="1134"/>
        <w:rPr>
          <w:lang w:val="en-US"/>
        </w:rPr>
      </w:pPr>
      <w:r>
        <w:rPr>
          <w:iCs/>
          <w:lang w:val="en-US"/>
        </w:rPr>
        <w:t>18.</w:t>
      </w:r>
      <w:r>
        <w:rPr>
          <w:iCs/>
          <w:lang w:val="en-US"/>
        </w:rPr>
        <w:tab/>
      </w:r>
      <w:r w:rsidR="00B41ED4">
        <w:rPr>
          <w:i/>
          <w:iCs/>
          <w:lang w:val="en-US"/>
        </w:rPr>
        <w:t xml:space="preserve">Takes note </w:t>
      </w:r>
      <w:r w:rsidR="00B41ED4">
        <w:rPr>
          <w:lang w:val="en-US"/>
        </w:rPr>
        <w:t xml:space="preserve">of the estimated budgetary implications of the activities to be undertaken by the secretariat referred to in paragraphs </w:t>
      </w:r>
      <w:r w:rsidR="00605CF6">
        <w:rPr>
          <w:cs/>
          <w:lang w:val="en-US"/>
        </w:rPr>
        <w:t>‎</w:t>
      </w:r>
      <w:r w:rsidR="00605CF6">
        <w:rPr>
          <w:lang w:val="en-US"/>
        </w:rPr>
        <w:t>10</w:t>
      </w:r>
      <w:r w:rsidR="00B41ED4">
        <w:rPr>
          <w:lang w:val="en-US"/>
        </w:rPr>
        <w:t xml:space="preserve"> and </w:t>
      </w:r>
      <w:r w:rsidR="00605CF6">
        <w:rPr>
          <w:cs/>
          <w:lang w:val="en-US"/>
        </w:rPr>
        <w:t>‎</w:t>
      </w:r>
      <w:r w:rsidR="00605CF6">
        <w:rPr>
          <w:lang w:val="en-US"/>
        </w:rPr>
        <w:t xml:space="preserve">12 </w:t>
      </w:r>
      <w:proofErr w:type="gramStart"/>
      <w:r w:rsidR="00605CF6">
        <w:rPr>
          <w:lang w:val="en-US"/>
        </w:rPr>
        <w:t>above</w:t>
      </w:r>
      <w:r w:rsidR="00B41ED4">
        <w:rPr>
          <w:lang w:val="en-US"/>
        </w:rPr>
        <w:t>;</w:t>
      </w:r>
      <w:proofErr w:type="gramEnd"/>
      <w:r w:rsidR="00B41ED4">
        <w:rPr>
          <w:lang w:val="en-US"/>
        </w:rPr>
        <w:t xml:space="preserve"> </w:t>
      </w:r>
    </w:p>
    <w:p w14:paraId="5032B11F" w14:textId="6EA4E039" w:rsidR="00B41ED4" w:rsidRDefault="00406A0D" w:rsidP="00406A0D">
      <w:pPr>
        <w:pStyle w:val="RegSingleTxtG"/>
        <w:tabs>
          <w:tab w:val="clear" w:pos="1701"/>
        </w:tabs>
        <w:ind w:left="1134"/>
        <w:rPr>
          <w:lang w:val="en-US"/>
        </w:rPr>
      </w:pPr>
      <w:r>
        <w:rPr>
          <w:iCs/>
          <w:lang w:val="en-US"/>
        </w:rPr>
        <w:t>19.</w:t>
      </w:r>
      <w:r>
        <w:rPr>
          <w:iCs/>
          <w:lang w:val="en-US"/>
        </w:rPr>
        <w:tab/>
      </w:r>
      <w:r w:rsidR="00B41ED4">
        <w:rPr>
          <w:i/>
          <w:iCs/>
          <w:lang w:val="en-US"/>
        </w:rPr>
        <w:t xml:space="preserve">Requests </w:t>
      </w:r>
      <w:r w:rsidR="00B41ED4">
        <w:rPr>
          <w:lang w:val="en-US"/>
        </w:rPr>
        <w:t>that the actions of the secretariat called for in this decision be undertaken subject to the availability of financial resources.</w:t>
      </w:r>
    </w:p>
    <w:p w14:paraId="303464E1" w14:textId="77777777" w:rsidR="00C0644E" w:rsidRPr="000F6262" w:rsidRDefault="00C0644E" w:rsidP="00EA744B">
      <w:pPr>
        <w:tabs>
          <w:tab w:val="left" w:pos="1701"/>
        </w:tabs>
        <w:spacing w:line="20" w:lineRule="atLeast"/>
        <w:ind w:left="6521" w:right="1134"/>
        <w:jc w:val="right"/>
        <w:rPr>
          <w:i/>
          <w:iCs/>
        </w:rPr>
      </w:pPr>
      <w:r>
        <w:rPr>
          <w:i/>
          <w:iCs/>
        </w:rPr>
        <w:t>6</w:t>
      </w:r>
      <w:r w:rsidRPr="00AD1686">
        <w:rPr>
          <w:i/>
          <w:iCs/>
          <w:vertAlign w:val="superscript"/>
        </w:rPr>
        <w:t>th</w:t>
      </w:r>
      <w:r>
        <w:rPr>
          <w:i/>
          <w:iCs/>
        </w:rPr>
        <w:t xml:space="preserve"> </w:t>
      </w:r>
      <w:r w:rsidRPr="000F6262">
        <w:rPr>
          <w:i/>
          <w:iCs/>
        </w:rPr>
        <w:t>plenary meeting</w:t>
      </w:r>
    </w:p>
    <w:p w14:paraId="650EE460" w14:textId="77777777" w:rsidR="00C0644E" w:rsidRPr="000F6262" w:rsidRDefault="00C0644E" w:rsidP="00EA744B">
      <w:pPr>
        <w:tabs>
          <w:tab w:val="left" w:pos="1701"/>
        </w:tabs>
        <w:spacing w:line="20" w:lineRule="atLeast"/>
        <w:ind w:left="6521" w:right="1134"/>
        <w:jc w:val="right"/>
        <w:rPr>
          <w:i/>
          <w:iCs/>
        </w:rPr>
      </w:pPr>
      <w:r w:rsidRPr="000F6262">
        <w:rPr>
          <w:i/>
          <w:iCs/>
        </w:rPr>
        <w:t>13 December 2023</w:t>
      </w:r>
    </w:p>
    <w:bookmarkEnd w:id="110"/>
    <w:p w14:paraId="41FBE571" w14:textId="25DDE3EE" w:rsidR="00911491" w:rsidRDefault="00911491" w:rsidP="005710C3">
      <w:pPr>
        <w:pStyle w:val="RegSingleTxtG"/>
        <w:jc w:val="center"/>
        <w:sectPr w:rsidR="00911491" w:rsidSect="00DA6BD2">
          <w:headerReference w:type="even" r:id="rId54"/>
          <w:headerReference w:type="default" r:id="rId55"/>
          <w:footerReference w:type="even" r:id="rId56"/>
          <w:footerReference w:type="default" r:id="rId57"/>
          <w:footnotePr>
            <w:numRestart w:val="eachSect"/>
          </w:footnotePr>
          <w:pgSz w:w="11906" w:h="16838" w:code="9"/>
          <w:pgMar w:top="1417" w:right="1134" w:bottom="1134" w:left="1134" w:header="850" w:footer="567" w:gutter="0"/>
          <w:cols w:space="708"/>
          <w:docGrid w:linePitch="360"/>
        </w:sectPr>
      </w:pPr>
    </w:p>
    <w:p w14:paraId="62636FAB" w14:textId="5E5264BC" w:rsidR="002E50AB" w:rsidRDefault="002E50AB" w:rsidP="00406A0D">
      <w:pPr>
        <w:pStyle w:val="RegHChG"/>
        <w:spacing w:before="240"/>
        <w:ind w:left="1134" w:hanging="454"/>
      </w:pPr>
      <w:bookmarkStart w:id="117" w:name="_Toc161241774"/>
      <w:bookmarkStart w:id="118" w:name="_Toc161242000"/>
      <w:bookmarkStart w:id="119" w:name="decision14"/>
      <w:r w:rsidRPr="00AD08E3">
        <w:lastRenderedPageBreak/>
        <w:t xml:space="preserve">Decision </w:t>
      </w:r>
      <w:r>
        <w:t>14</w:t>
      </w:r>
      <w:r w:rsidRPr="00AD08E3">
        <w:t>/CMA.</w:t>
      </w:r>
      <w:r>
        <w:t>5</w:t>
      </w:r>
      <w:bookmarkEnd w:id="117"/>
      <w:bookmarkEnd w:id="118"/>
    </w:p>
    <w:p w14:paraId="1BBFCEC3" w14:textId="2F1A400E" w:rsidR="002E50AB" w:rsidRPr="009B600A" w:rsidRDefault="0087373F" w:rsidP="0087373F">
      <w:pPr>
        <w:pStyle w:val="HChG"/>
        <w:jc w:val="both"/>
      </w:pPr>
      <w:r>
        <w:tab/>
      </w:r>
      <w:r>
        <w:tab/>
      </w:r>
      <w:r w:rsidR="002E50AB">
        <w:t>Enhancing climate technology development and transfer to support implementation of the Paris Agreement</w:t>
      </w:r>
    </w:p>
    <w:p w14:paraId="286BC7F0" w14:textId="547B5441" w:rsidR="002E50AB" w:rsidRPr="00474F91" w:rsidRDefault="001A4351" w:rsidP="001A4351">
      <w:pPr>
        <w:pStyle w:val="RegSingleTxtG"/>
        <w:ind w:left="1135"/>
        <w:rPr>
          <w:iCs/>
          <w:lang w:val="en-US"/>
        </w:rPr>
      </w:pPr>
      <w:r>
        <w:rPr>
          <w:i/>
          <w:lang w:val="en-US"/>
        </w:rPr>
        <w:tab/>
      </w:r>
      <w:r w:rsidR="002E50AB" w:rsidRPr="008926FB">
        <w:rPr>
          <w:i/>
          <w:lang w:val="en-US"/>
        </w:rPr>
        <w:t xml:space="preserve">The Conference of the Parties serving as the meeting of the Parties to </w:t>
      </w:r>
      <w:r w:rsidR="002E50AB">
        <w:rPr>
          <w:i/>
          <w:lang w:val="en-US"/>
        </w:rPr>
        <w:t>the Paris Agreement</w:t>
      </w:r>
      <w:r w:rsidR="002E50AB" w:rsidRPr="00EF0494">
        <w:rPr>
          <w:lang w:val="en-US"/>
        </w:rPr>
        <w:t>,</w:t>
      </w:r>
      <w:r w:rsidR="002E50AB" w:rsidRPr="00474F91">
        <w:rPr>
          <w:iCs/>
          <w:lang w:val="en-US"/>
        </w:rPr>
        <w:t xml:space="preserve"> </w:t>
      </w:r>
    </w:p>
    <w:p w14:paraId="49E20566" w14:textId="7BBBC759" w:rsidR="002E50AB" w:rsidRPr="00474F91" w:rsidRDefault="001A4351" w:rsidP="001A4351">
      <w:pPr>
        <w:pStyle w:val="RegSingleTxtG"/>
        <w:ind w:left="1135"/>
        <w:rPr>
          <w:rFonts w:asciiTheme="majorBidi" w:hAnsiTheme="majorBidi" w:cstheme="majorBidi"/>
        </w:rPr>
      </w:pPr>
      <w:r>
        <w:rPr>
          <w:rFonts w:asciiTheme="majorBidi" w:hAnsiTheme="majorBidi" w:cstheme="majorBidi"/>
          <w:i/>
          <w:iCs/>
        </w:rPr>
        <w:tab/>
      </w:r>
      <w:r w:rsidR="002E50AB" w:rsidRPr="00C1384B">
        <w:rPr>
          <w:rFonts w:asciiTheme="majorBidi" w:hAnsiTheme="majorBidi" w:cstheme="majorBidi"/>
          <w:i/>
          <w:iCs/>
        </w:rPr>
        <w:t xml:space="preserve">Recalling </w:t>
      </w:r>
      <w:r w:rsidR="002E50AB" w:rsidRPr="00C1384B">
        <w:rPr>
          <w:rFonts w:asciiTheme="majorBidi" w:hAnsiTheme="majorBidi" w:cstheme="majorBidi"/>
        </w:rPr>
        <w:t>Article 10 of the Paris Agreement,</w:t>
      </w:r>
    </w:p>
    <w:p w14:paraId="7EF5F145" w14:textId="0663117B" w:rsidR="002E50AB" w:rsidRPr="00474F91" w:rsidRDefault="00C817BD" w:rsidP="00C817BD">
      <w:pPr>
        <w:pStyle w:val="RegSingleTxtG"/>
        <w:ind w:left="1135"/>
        <w:rPr>
          <w:rFonts w:asciiTheme="majorBidi" w:hAnsiTheme="majorBidi" w:cstheme="majorBidi"/>
        </w:rPr>
      </w:pPr>
      <w:r>
        <w:rPr>
          <w:rFonts w:asciiTheme="majorBidi" w:hAnsiTheme="majorBidi" w:cstheme="majorBidi"/>
          <w:i/>
          <w:iCs/>
        </w:rPr>
        <w:tab/>
      </w:r>
      <w:r w:rsidR="002E50AB" w:rsidRPr="00C1384B">
        <w:rPr>
          <w:rFonts w:asciiTheme="majorBidi" w:hAnsiTheme="majorBidi" w:cstheme="majorBidi"/>
          <w:i/>
          <w:iCs/>
        </w:rPr>
        <w:t xml:space="preserve">Also recalling </w:t>
      </w:r>
      <w:r w:rsidR="002E50AB" w:rsidRPr="00C1384B">
        <w:rPr>
          <w:rFonts w:asciiTheme="majorBidi" w:hAnsiTheme="majorBidi" w:cstheme="majorBidi"/>
        </w:rPr>
        <w:t>decision 1/CP.21, paragraphs 66 and 68, and decisions 15/CMA.1, 8/CMA.2, 15/CMA.3 and 19/CMA.4,</w:t>
      </w:r>
    </w:p>
    <w:p w14:paraId="3C35CE64" w14:textId="472EEF73" w:rsidR="002E50AB" w:rsidRPr="00C1384B" w:rsidRDefault="00406A0D" w:rsidP="00406A0D">
      <w:pPr>
        <w:pStyle w:val="RegSingleTxtG"/>
        <w:tabs>
          <w:tab w:val="clear" w:pos="1701"/>
        </w:tabs>
        <w:ind w:left="1135"/>
      </w:pPr>
      <w:r w:rsidRPr="00C1384B">
        <w:rPr>
          <w:iCs/>
        </w:rPr>
        <w:t>1.</w:t>
      </w:r>
      <w:r w:rsidRPr="00C1384B">
        <w:rPr>
          <w:iCs/>
        </w:rPr>
        <w:tab/>
      </w:r>
      <w:r w:rsidR="002E50AB" w:rsidRPr="009B2257">
        <w:rPr>
          <w:i/>
          <w:iCs/>
        </w:rPr>
        <w:t>Welcomes</w:t>
      </w:r>
      <w:r w:rsidR="002E50AB" w:rsidRPr="00C1384B">
        <w:rPr>
          <w:i/>
          <w:iCs/>
        </w:rPr>
        <w:t xml:space="preserve"> </w:t>
      </w:r>
      <w:r w:rsidR="002E50AB" w:rsidRPr="00C1384B">
        <w:t>the joint annual report of the Technology Executive Committee and the Climate Technology Centre and Network for 2023</w:t>
      </w:r>
      <w:r w:rsidR="002E50AB" w:rsidRPr="00C1384B">
        <w:rPr>
          <w:rStyle w:val="FootnoteReference"/>
        </w:rPr>
        <w:footnoteReference w:id="65"/>
      </w:r>
      <w:r w:rsidR="002E50AB" w:rsidRPr="00C1384B">
        <w:t xml:space="preserve"> and the progress of the implementation</w:t>
      </w:r>
      <w:r w:rsidR="002E50AB">
        <w:rPr>
          <w:rFonts w:asciiTheme="majorBidi" w:hAnsiTheme="majorBidi" w:cstheme="majorBidi"/>
        </w:rPr>
        <w:t xml:space="preserve"> </w:t>
      </w:r>
      <w:r w:rsidR="002E50AB" w:rsidRPr="00C1384B">
        <w:t>of the joint work programme of the Technology Mechanism for 2023–2027</w:t>
      </w:r>
      <w:r w:rsidR="002E50AB" w:rsidRPr="00C1384B">
        <w:rPr>
          <w:rStyle w:val="FootnoteReference"/>
        </w:rPr>
        <w:footnoteReference w:id="66"/>
      </w:r>
      <w:r w:rsidR="002E50AB">
        <w:t xml:space="preserve"> and the technology </w:t>
      </w:r>
      <w:proofErr w:type="gramStart"/>
      <w:r w:rsidR="002E50AB">
        <w:t>framework</w:t>
      </w:r>
      <w:r w:rsidR="002E50AB" w:rsidRPr="00C1384B">
        <w:t>;</w:t>
      </w:r>
      <w:proofErr w:type="gramEnd"/>
    </w:p>
    <w:p w14:paraId="773BA293" w14:textId="51E4877F" w:rsidR="002E50AB" w:rsidRPr="00C1384B" w:rsidRDefault="00406A0D" w:rsidP="00406A0D">
      <w:pPr>
        <w:pStyle w:val="RegSingleTxtG"/>
        <w:ind w:left="1135"/>
        <w:rPr>
          <w:rStyle w:val="normaltextrun"/>
          <w:rFonts w:asciiTheme="majorBidi" w:hAnsiTheme="majorBidi" w:cstheme="majorBidi"/>
        </w:rPr>
      </w:pPr>
      <w:r w:rsidRPr="00C1384B">
        <w:rPr>
          <w:rStyle w:val="normaltextrun"/>
          <w:rFonts w:asciiTheme="majorBidi" w:hAnsiTheme="majorBidi" w:cstheme="majorBidi"/>
          <w:iCs/>
        </w:rPr>
        <w:t>2.</w:t>
      </w:r>
      <w:r w:rsidRPr="00C1384B">
        <w:rPr>
          <w:rStyle w:val="normaltextrun"/>
          <w:rFonts w:asciiTheme="majorBidi" w:hAnsiTheme="majorBidi" w:cstheme="majorBidi"/>
          <w:iCs/>
        </w:rPr>
        <w:tab/>
      </w:r>
      <w:r w:rsidR="002E50AB" w:rsidRPr="00C1384B">
        <w:rPr>
          <w:rFonts w:asciiTheme="majorBidi" w:hAnsiTheme="majorBidi" w:cstheme="majorBidi"/>
          <w:i/>
          <w:iCs/>
        </w:rPr>
        <w:t xml:space="preserve">Also welcomes </w:t>
      </w:r>
      <w:r w:rsidR="002E50AB" w:rsidRPr="00C1384B">
        <w:rPr>
          <w:rFonts w:asciiTheme="majorBidi" w:hAnsiTheme="majorBidi" w:cstheme="majorBidi"/>
        </w:rPr>
        <w:t xml:space="preserve">the enhanced coordination and collaboration between the Technology Executive Committee and the Climate Technology Centre and Network, including through their adoption of new and improved modalities of work for advancing implementation </w:t>
      </w:r>
      <w:r w:rsidR="002E50AB" w:rsidRPr="00C1384B">
        <w:t>of the joint work programme</w:t>
      </w:r>
      <w:r w:rsidR="002E50AB" w:rsidRPr="00C1384B">
        <w:rPr>
          <w:rFonts w:asciiTheme="majorBidi" w:hAnsiTheme="majorBidi" w:cstheme="majorBidi"/>
        </w:rPr>
        <w:t xml:space="preserve"> of the Technology Mechanism for 2023–2027 across their joint activities, including releasing the 2023 edition of their joint publication on technology and nationally determined contributions,</w:t>
      </w:r>
      <w:r w:rsidR="002E50AB" w:rsidRPr="00C1384B">
        <w:rPr>
          <w:rStyle w:val="FootnoteReference"/>
          <w:rFonts w:cstheme="majorBidi"/>
        </w:rPr>
        <w:footnoteReference w:id="67"/>
      </w:r>
      <w:r w:rsidR="002E50AB" w:rsidRPr="00C1384B">
        <w:rPr>
          <w:rFonts w:asciiTheme="majorBidi" w:hAnsiTheme="majorBidi" w:cstheme="majorBidi"/>
        </w:rPr>
        <w:t xml:space="preserve"> and common areas of work</w:t>
      </w:r>
      <w:r w:rsidR="002E50AB">
        <w:rPr>
          <w:rFonts w:asciiTheme="majorBidi" w:hAnsiTheme="majorBidi" w:cstheme="majorBidi"/>
        </w:rPr>
        <w:t>;</w:t>
      </w:r>
      <w:r w:rsidR="002E50AB" w:rsidRPr="00C1384B">
        <w:rPr>
          <w:rStyle w:val="FootnoteReference"/>
          <w:rFonts w:cstheme="majorBidi"/>
        </w:rPr>
        <w:footnoteReference w:id="68"/>
      </w:r>
    </w:p>
    <w:p w14:paraId="45D8CFD9" w14:textId="35A9E5E0" w:rsidR="002E50AB" w:rsidRPr="00C1384B" w:rsidRDefault="00406A0D" w:rsidP="00406A0D">
      <w:pPr>
        <w:pStyle w:val="RegSingleTxtG"/>
        <w:ind w:left="1135"/>
        <w:rPr>
          <w:rStyle w:val="normaltextrun"/>
          <w:rFonts w:asciiTheme="majorBidi" w:hAnsiTheme="majorBidi" w:cstheme="majorBidi"/>
        </w:rPr>
      </w:pPr>
      <w:r w:rsidRPr="00C1384B">
        <w:rPr>
          <w:rStyle w:val="normaltextrun"/>
          <w:rFonts w:asciiTheme="majorBidi" w:hAnsiTheme="majorBidi" w:cstheme="majorBidi"/>
          <w:iCs/>
        </w:rPr>
        <w:t>3.</w:t>
      </w:r>
      <w:r w:rsidRPr="00C1384B">
        <w:rPr>
          <w:rStyle w:val="normaltextrun"/>
          <w:rFonts w:asciiTheme="majorBidi" w:hAnsiTheme="majorBidi" w:cstheme="majorBidi"/>
          <w:iCs/>
        </w:rPr>
        <w:tab/>
      </w:r>
      <w:r w:rsidR="002E50AB" w:rsidRPr="00C1384B">
        <w:rPr>
          <w:rStyle w:val="normaltextrun"/>
          <w:rFonts w:asciiTheme="majorBidi" w:hAnsiTheme="majorBidi" w:cstheme="majorBidi"/>
          <w:i/>
          <w:iCs/>
          <w:shd w:val="clear" w:color="auto" w:fill="FFFFFF"/>
        </w:rPr>
        <w:t>Invites</w:t>
      </w:r>
      <w:r w:rsidR="002E50AB" w:rsidRPr="00C1384B">
        <w:rPr>
          <w:rStyle w:val="normaltextrun"/>
          <w:rFonts w:asciiTheme="majorBidi" w:hAnsiTheme="majorBidi" w:cstheme="majorBidi"/>
          <w:shd w:val="clear" w:color="auto" w:fill="FFFFFF"/>
        </w:rPr>
        <w:t xml:space="preserve"> the </w:t>
      </w:r>
      <w:r w:rsidR="002E50AB" w:rsidRPr="00C1384B">
        <w:rPr>
          <w:rFonts w:asciiTheme="majorBidi" w:hAnsiTheme="majorBidi" w:cstheme="majorBidi"/>
        </w:rPr>
        <w:t xml:space="preserve">Technology Executive Committee and the Climate Technology Centre and Network </w:t>
      </w:r>
      <w:r w:rsidR="002E50AB" w:rsidRPr="00C1384B">
        <w:rPr>
          <w:rStyle w:val="normaltextrun"/>
          <w:rFonts w:asciiTheme="majorBidi" w:hAnsiTheme="majorBidi" w:cstheme="majorBidi"/>
          <w:shd w:val="clear" w:color="auto" w:fill="FFFFFF"/>
        </w:rPr>
        <w:t xml:space="preserve">to continue efforts to enhance the exchange of systematic feedback on their work, including </w:t>
      </w:r>
      <w:r w:rsidR="002E50AB">
        <w:rPr>
          <w:rStyle w:val="normaltextrun"/>
          <w:rFonts w:asciiTheme="majorBidi" w:hAnsiTheme="majorBidi" w:cstheme="majorBidi"/>
          <w:shd w:val="clear" w:color="auto" w:fill="FFFFFF"/>
        </w:rPr>
        <w:t>by</w:t>
      </w:r>
      <w:r w:rsidR="002E50AB" w:rsidRPr="00C1384B">
        <w:rPr>
          <w:rStyle w:val="normaltextrun"/>
          <w:rFonts w:asciiTheme="majorBidi" w:hAnsiTheme="majorBidi" w:cstheme="majorBidi"/>
          <w:shd w:val="clear" w:color="auto" w:fill="FFFFFF"/>
        </w:rPr>
        <w:t xml:space="preserve"> the </w:t>
      </w:r>
      <w:r w:rsidR="002E50AB" w:rsidRPr="00C1384B">
        <w:rPr>
          <w:rFonts w:asciiTheme="majorBidi" w:hAnsiTheme="majorBidi" w:cstheme="majorBidi"/>
        </w:rPr>
        <w:t>Technology Executive Committee</w:t>
      </w:r>
      <w:r w:rsidR="002E50AB" w:rsidRPr="00C1384B">
        <w:rPr>
          <w:rStyle w:val="normaltextrun"/>
          <w:rFonts w:asciiTheme="majorBidi" w:hAnsiTheme="majorBidi" w:cstheme="majorBidi"/>
          <w:shd w:val="clear" w:color="auto" w:fill="FFFFFF"/>
        </w:rPr>
        <w:t xml:space="preserve"> taking into consideration lessons learned in relation to the provision of technical assistance by the </w:t>
      </w:r>
      <w:r w:rsidR="002E50AB" w:rsidRPr="00C1384B">
        <w:rPr>
          <w:rFonts w:asciiTheme="majorBidi" w:hAnsiTheme="majorBidi" w:cstheme="majorBidi"/>
        </w:rPr>
        <w:t>Climate Technology Centre and Network</w:t>
      </w:r>
      <w:r w:rsidR="002E50AB" w:rsidRPr="00C1384B">
        <w:rPr>
          <w:rStyle w:val="normaltextrun"/>
          <w:rFonts w:asciiTheme="majorBidi" w:hAnsiTheme="majorBidi" w:cstheme="majorBidi"/>
          <w:shd w:val="clear" w:color="auto" w:fill="FFFFFF"/>
        </w:rPr>
        <w:t xml:space="preserve">, and the </w:t>
      </w:r>
      <w:r w:rsidR="002E50AB" w:rsidRPr="00C1384B">
        <w:rPr>
          <w:rFonts w:asciiTheme="majorBidi" w:hAnsiTheme="majorBidi" w:cstheme="majorBidi"/>
        </w:rPr>
        <w:t>Climate Technology Centre and Network</w:t>
      </w:r>
      <w:r w:rsidR="002E50AB" w:rsidRPr="00C1384B">
        <w:rPr>
          <w:rStyle w:val="normaltextrun"/>
          <w:rFonts w:asciiTheme="majorBidi" w:hAnsiTheme="majorBidi" w:cstheme="majorBidi"/>
          <w:shd w:val="clear" w:color="auto" w:fill="FFFFFF"/>
        </w:rPr>
        <w:t xml:space="preserve"> taking into consideration the policy recommendations of the </w:t>
      </w:r>
      <w:r w:rsidR="002E50AB" w:rsidRPr="00C1384B">
        <w:rPr>
          <w:rFonts w:asciiTheme="majorBidi" w:hAnsiTheme="majorBidi" w:cstheme="majorBidi"/>
        </w:rPr>
        <w:t>Technology Executive Committee</w:t>
      </w:r>
      <w:r w:rsidR="002E50AB" w:rsidRPr="00C1384B">
        <w:rPr>
          <w:rStyle w:val="normaltextrun"/>
          <w:rFonts w:asciiTheme="majorBidi" w:hAnsiTheme="majorBidi" w:cstheme="majorBidi"/>
          <w:shd w:val="clear" w:color="auto" w:fill="FFFFFF"/>
        </w:rPr>
        <w:t xml:space="preserve"> in providing technical assistance to support implementation of the Paris Agreement;</w:t>
      </w:r>
    </w:p>
    <w:p w14:paraId="29AA87C8" w14:textId="08A82541" w:rsidR="002E50AB" w:rsidRPr="00EF6CFC" w:rsidRDefault="00406A0D" w:rsidP="00406A0D">
      <w:pPr>
        <w:pStyle w:val="RegSingleTxtG"/>
        <w:ind w:left="1135"/>
        <w:rPr>
          <w:rStyle w:val="normaltextrun"/>
          <w:rFonts w:asciiTheme="majorBidi" w:hAnsiTheme="majorBidi" w:cstheme="majorBidi"/>
        </w:rPr>
      </w:pPr>
      <w:r w:rsidRPr="00EF6CFC">
        <w:rPr>
          <w:rStyle w:val="normaltextrun"/>
          <w:rFonts w:asciiTheme="majorBidi" w:hAnsiTheme="majorBidi" w:cstheme="majorBidi"/>
          <w:iCs/>
        </w:rPr>
        <w:t>4.</w:t>
      </w:r>
      <w:r w:rsidRPr="00EF6CFC">
        <w:rPr>
          <w:rStyle w:val="normaltextrun"/>
          <w:rFonts w:asciiTheme="majorBidi" w:hAnsiTheme="majorBidi" w:cstheme="majorBidi"/>
          <w:iCs/>
        </w:rPr>
        <w:tab/>
      </w:r>
      <w:r w:rsidR="002E50AB" w:rsidRPr="4809B935">
        <w:rPr>
          <w:rFonts w:asciiTheme="majorBidi" w:hAnsiTheme="majorBidi" w:cstheme="majorBidi"/>
          <w:i/>
          <w:iCs/>
        </w:rPr>
        <w:t xml:space="preserve">Welcomes </w:t>
      </w:r>
      <w:r w:rsidR="002E50AB" w:rsidRPr="09B121A7">
        <w:rPr>
          <w:rFonts w:asciiTheme="majorBidi" w:hAnsiTheme="majorBidi" w:cstheme="majorBidi"/>
        </w:rPr>
        <w:t xml:space="preserve">the engagement of the Technology Executive Committee and the Climate Technology Centre and Network with </w:t>
      </w:r>
      <w:r w:rsidR="002E50AB" w:rsidRPr="09B121A7">
        <w:rPr>
          <w:rStyle w:val="normaltextrun"/>
          <w:rFonts w:asciiTheme="majorBidi" w:hAnsiTheme="majorBidi" w:cstheme="majorBidi"/>
          <w:shd w:val="clear" w:color="auto" w:fill="FFFFFF"/>
        </w:rPr>
        <w:t>national designated entities to provide technical and logistical support to them,</w:t>
      </w:r>
      <w:r w:rsidR="002E50AB">
        <w:rPr>
          <w:rStyle w:val="FootnoteReference"/>
          <w:rFonts w:cstheme="majorBidi"/>
          <w:shd w:val="clear" w:color="auto" w:fill="FFFFFF"/>
        </w:rPr>
        <w:footnoteReference w:id="69"/>
      </w:r>
      <w:r w:rsidR="002E50AB" w:rsidRPr="00EF6CFC">
        <w:t xml:space="preserve"> </w:t>
      </w:r>
      <w:r w:rsidR="002E50AB" w:rsidRPr="09B121A7">
        <w:rPr>
          <w:rStyle w:val="normaltextrun"/>
          <w:rFonts w:asciiTheme="majorBidi" w:hAnsiTheme="majorBidi" w:cstheme="majorBidi"/>
          <w:shd w:val="clear" w:color="auto" w:fill="FFFFFF"/>
        </w:rPr>
        <w:t>including through regional forums for national designated entities, and</w:t>
      </w:r>
      <w:r w:rsidR="002E50AB" w:rsidRPr="00EF6CFC">
        <w:rPr>
          <w:rFonts w:eastAsia="Times New Roman"/>
          <w:color w:val="000000"/>
        </w:rPr>
        <w:t xml:space="preserve"> </w:t>
      </w:r>
      <w:r w:rsidR="002E50AB" w:rsidRPr="4809B935">
        <w:rPr>
          <w:rFonts w:eastAsia="Times New Roman"/>
          <w:i/>
          <w:iCs/>
          <w:color w:val="000000"/>
        </w:rPr>
        <w:t xml:space="preserve">invites </w:t>
      </w:r>
      <w:r w:rsidR="002E50AB" w:rsidRPr="00EF6CFC">
        <w:rPr>
          <w:rFonts w:eastAsia="Times New Roman"/>
          <w:color w:val="000000"/>
        </w:rPr>
        <w:t>the Technology Executive Committee and the Climate Technology Centre and Network to report on the progre</w:t>
      </w:r>
      <w:r w:rsidR="002E50AB" w:rsidRPr="00EF6CFC">
        <w:rPr>
          <w:rFonts w:eastAsia="Times New Roman"/>
        </w:rPr>
        <w:t>ss o</w:t>
      </w:r>
      <w:r w:rsidR="002E50AB">
        <w:rPr>
          <w:rFonts w:eastAsia="Times New Roman"/>
        </w:rPr>
        <w:t>f</w:t>
      </w:r>
      <w:r w:rsidR="002E50AB" w:rsidRPr="00EF6CFC">
        <w:rPr>
          <w:rFonts w:eastAsia="Times New Roman"/>
        </w:rPr>
        <w:t xml:space="preserve"> the support </w:t>
      </w:r>
      <w:proofErr w:type="gramStart"/>
      <w:r w:rsidR="002E50AB" w:rsidRPr="00EF6CFC">
        <w:rPr>
          <w:rFonts w:eastAsia="Times New Roman"/>
        </w:rPr>
        <w:t>provided</w:t>
      </w:r>
      <w:r w:rsidR="002E50AB" w:rsidRPr="09B121A7">
        <w:rPr>
          <w:rStyle w:val="normaltextrun"/>
          <w:rFonts w:asciiTheme="majorBidi" w:hAnsiTheme="majorBidi" w:cstheme="majorBidi"/>
          <w:shd w:val="clear" w:color="auto" w:fill="FFFFFF"/>
        </w:rPr>
        <w:t>;</w:t>
      </w:r>
      <w:proofErr w:type="gramEnd"/>
    </w:p>
    <w:p w14:paraId="0E27D63B" w14:textId="30A36D62" w:rsidR="002E50AB" w:rsidRPr="007D5E35" w:rsidRDefault="00406A0D" w:rsidP="00406A0D">
      <w:pPr>
        <w:pStyle w:val="RegSingleTxtG"/>
        <w:ind w:left="1135"/>
        <w:rPr>
          <w:rStyle w:val="normaltextrun"/>
          <w:rFonts w:asciiTheme="majorBidi" w:hAnsiTheme="majorBidi" w:cstheme="majorBidi"/>
        </w:rPr>
      </w:pPr>
      <w:r w:rsidRPr="007D5E35">
        <w:rPr>
          <w:rStyle w:val="normaltextrun"/>
          <w:rFonts w:asciiTheme="majorBidi" w:hAnsiTheme="majorBidi" w:cstheme="majorBidi"/>
          <w:iCs/>
        </w:rPr>
        <w:t>5.</w:t>
      </w:r>
      <w:r w:rsidRPr="007D5E35">
        <w:rPr>
          <w:rStyle w:val="normaltextrun"/>
          <w:rFonts w:asciiTheme="majorBidi" w:hAnsiTheme="majorBidi" w:cstheme="majorBidi"/>
          <w:iCs/>
        </w:rPr>
        <w:tab/>
      </w:r>
      <w:r w:rsidR="002E50AB" w:rsidRPr="00EF6CFC">
        <w:rPr>
          <w:rStyle w:val="normaltextrun"/>
          <w:rFonts w:asciiTheme="majorBidi" w:hAnsiTheme="majorBidi" w:cstheme="majorBidi"/>
          <w:i/>
          <w:iCs/>
          <w:shd w:val="clear" w:color="auto" w:fill="FFFFFF"/>
        </w:rPr>
        <w:t>Also invites</w:t>
      </w:r>
      <w:r w:rsidR="002E50AB" w:rsidRPr="00EF6CFC">
        <w:rPr>
          <w:rStyle w:val="normaltextrun"/>
          <w:rFonts w:asciiTheme="majorBidi" w:hAnsiTheme="majorBidi" w:cstheme="majorBidi"/>
          <w:shd w:val="clear" w:color="auto" w:fill="FFFFFF"/>
        </w:rPr>
        <w:t xml:space="preserve"> Parties to explore ways of enhancing the </w:t>
      </w:r>
      <w:r w:rsidR="002E50AB">
        <w:rPr>
          <w:rStyle w:val="normaltextrun"/>
          <w:rFonts w:asciiTheme="majorBidi" w:hAnsiTheme="majorBidi" w:cstheme="majorBidi"/>
          <w:shd w:val="clear" w:color="auto" w:fill="FFFFFF"/>
        </w:rPr>
        <w:t xml:space="preserve">provision of </w:t>
      </w:r>
      <w:r w:rsidR="002E50AB" w:rsidRPr="00EF6CFC">
        <w:rPr>
          <w:rStyle w:val="normaltextrun"/>
          <w:rFonts w:asciiTheme="majorBidi" w:hAnsiTheme="majorBidi" w:cstheme="majorBidi"/>
          <w:shd w:val="clear" w:color="auto" w:fill="FFFFFF"/>
        </w:rPr>
        <w:t xml:space="preserve">technical and logistical support to their national designated entities and improving national-level coordination, including </w:t>
      </w:r>
      <w:r w:rsidR="002E50AB">
        <w:rPr>
          <w:rStyle w:val="normaltextrun"/>
          <w:rFonts w:asciiTheme="majorBidi" w:hAnsiTheme="majorBidi" w:cstheme="majorBidi"/>
          <w:shd w:val="clear" w:color="auto" w:fill="FFFFFF"/>
        </w:rPr>
        <w:t>of national designated entities with</w:t>
      </w:r>
      <w:r w:rsidR="002E50AB" w:rsidRPr="00EF6CFC">
        <w:rPr>
          <w:rStyle w:val="normaltextrun"/>
          <w:rFonts w:asciiTheme="majorBidi" w:hAnsiTheme="majorBidi" w:cstheme="majorBidi"/>
          <w:shd w:val="clear" w:color="auto" w:fill="FFFFFF"/>
        </w:rPr>
        <w:t xml:space="preserve"> </w:t>
      </w:r>
      <w:r w:rsidR="002E50AB">
        <w:rPr>
          <w:rStyle w:val="normaltextrun"/>
          <w:rFonts w:asciiTheme="majorBidi" w:hAnsiTheme="majorBidi" w:cstheme="majorBidi"/>
          <w:shd w:val="clear" w:color="auto" w:fill="FFFFFF"/>
        </w:rPr>
        <w:t xml:space="preserve">operational focal points of the </w:t>
      </w:r>
      <w:r w:rsidR="002E50AB" w:rsidRPr="00EF6CFC">
        <w:rPr>
          <w:rStyle w:val="normaltextrun"/>
          <w:rFonts w:asciiTheme="majorBidi" w:hAnsiTheme="majorBidi" w:cstheme="majorBidi"/>
          <w:shd w:val="clear" w:color="auto" w:fill="FFFFFF"/>
        </w:rPr>
        <w:t>Global Environment Facility</w:t>
      </w:r>
      <w:r w:rsidR="002E50AB">
        <w:rPr>
          <w:rStyle w:val="normaltextrun"/>
          <w:rFonts w:asciiTheme="majorBidi" w:hAnsiTheme="majorBidi" w:cstheme="majorBidi"/>
          <w:shd w:val="clear" w:color="auto" w:fill="FFFFFF"/>
        </w:rPr>
        <w:t>,</w:t>
      </w:r>
      <w:r w:rsidR="002E50AB" w:rsidRPr="00EF6CFC">
        <w:rPr>
          <w:rStyle w:val="normaltextrun"/>
          <w:rFonts w:asciiTheme="majorBidi" w:hAnsiTheme="majorBidi" w:cstheme="majorBidi"/>
          <w:shd w:val="clear" w:color="auto" w:fill="FFFFFF"/>
        </w:rPr>
        <w:t xml:space="preserve"> national designated authorities </w:t>
      </w:r>
      <w:r w:rsidR="002E50AB">
        <w:rPr>
          <w:rStyle w:val="normaltextrun"/>
          <w:rFonts w:asciiTheme="majorBidi" w:hAnsiTheme="majorBidi" w:cstheme="majorBidi"/>
          <w:shd w:val="clear" w:color="auto" w:fill="FFFFFF"/>
        </w:rPr>
        <w:t>of</w:t>
      </w:r>
      <w:r w:rsidR="002E50AB" w:rsidRPr="00EF6CFC">
        <w:rPr>
          <w:rStyle w:val="normaltextrun"/>
          <w:rFonts w:asciiTheme="majorBidi" w:hAnsiTheme="majorBidi" w:cstheme="majorBidi"/>
          <w:shd w:val="clear" w:color="auto" w:fill="FFFFFF"/>
        </w:rPr>
        <w:t xml:space="preserve"> the Green Climate Fund</w:t>
      </w:r>
      <w:r w:rsidR="002E50AB">
        <w:rPr>
          <w:rStyle w:val="normaltextrun"/>
          <w:rFonts w:asciiTheme="majorBidi" w:hAnsiTheme="majorBidi" w:cstheme="majorBidi"/>
          <w:shd w:val="clear" w:color="auto" w:fill="FFFFFF"/>
        </w:rPr>
        <w:t xml:space="preserve">, and designated authorities and national implementing entities of the Adaptation </w:t>
      </w:r>
      <w:proofErr w:type="gramStart"/>
      <w:r w:rsidR="002E50AB">
        <w:rPr>
          <w:rStyle w:val="normaltextrun"/>
          <w:rFonts w:asciiTheme="majorBidi" w:hAnsiTheme="majorBidi" w:cstheme="majorBidi"/>
          <w:shd w:val="clear" w:color="auto" w:fill="FFFFFF"/>
        </w:rPr>
        <w:t>Fund</w:t>
      </w:r>
      <w:r w:rsidR="002E50AB" w:rsidRPr="00EF6CFC">
        <w:rPr>
          <w:rStyle w:val="normaltextrun"/>
          <w:rFonts w:asciiTheme="majorBidi" w:hAnsiTheme="majorBidi" w:cstheme="majorBidi"/>
          <w:shd w:val="clear" w:color="auto" w:fill="FFFFFF"/>
        </w:rPr>
        <w:t>;</w:t>
      </w:r>
      <w:proofErr w:type="gramEnd"/>
    </w:p>
    <w:p w14:paraId="29524F5B" w14:textId="042593CA" w:rsidR="002E50AB" w:rsidRDefault="00406A0D" w:rsidP="00406A0D">
      <w:pPr>
        <w:pStyle w:val="RegSingleTxtG"/>
        <w:ind w:left="1135"/>
        <w:rPr>
          <w:highlight w:val="white"/>
        </w:rPr>
      </w:pPr>
      <w:bookmarkStart w:id="120" w:name="_Ref155888899"/>
      <w:r>
        <w:rPr>
          <w:iCs/>
          <w:highlight w:val="white"/>
        </w:rPr>
        <w:t>6.</w:t>
      </w:r>
      <w:r>
        <w:rPr>
          <w:iCs/>
          <w:highlight w:val="white"/>
        </w:rPr>
        <w:tab/>
      </w:r>
      <w:r w:rsidR="002E50AB" w:rsidRPr="00813AC2">
        <w:rPr>
          <w:rFonts w:asciiTheme="majorBidi" w:hAnsiTheme="majorBidi" w:cstheme="majorBidi"/>
          <w:i/>
          <w:iCs/>
        </w:rPr>
        <w:t>Notes</w:t>
      </w:r>
      <w:r w:rsidR="002E50AB">
        <w:t xml:space="preserve"> the Technology Mechanism initiative on artificial intelligence for climate action,</w:t>
      </w:r>
      <w:r w:rsidR="002E50AB">
        <w:rPr>
          <w:rStyle w:val="FootnoteReference"/>
        </w:rPr>
        <w:footnoteReference w:id="70"/>
      </w:r>
      <w:r w:rsidR="002E50AB">
        <w:t xml:space="preserve"> the aim of which is to explore the role of artificial intelligence as a technological tool for advancing and scaling up transformative climate solutions for mitigation and adaptation action in developing countries, with a focus on the least developed countries and small island developing States, while also addressing the challenges and risks posed by artificial intelligence, such as energy consumption, data security and the digital divide;</w:t>
      </w:r>
      <w:bookmarkEnd w:id="120"/>
    </w:p>
    <w:p w14:paraId="55BB1931" w14:textId="14CFD4DB" w:rsidR="002E50AB" w:rsidRDefault="00406A0D" w:rsidP="00406A0D">
      <w:pPr>
        <w:pStyle w:val="RegSingleTxtG"/>
        <w:ind w:left="1135"/>
        <w:rPr>
          <w:highlight w:val="white"/>
        </w:rPr>
      </w:pPr>
      <w:r>
        <w:rPr>
          <w:iCs/>
          <w:highlight w:val="white"/>
        </w:rPr>
        <w:lastRenderedPageBreak/>
        <w:t>7.</w:t>
      </w:r>
      <w:r>
        <w:rPr>
          <w:iCs/>
          <w:highlight w:val="white"/>
        </w:rPr>
        <w:tab/>
      </w:r>
      <w:r w:rsidR="002E50AB" w:rsidRPr="00813AC2">
        <w:rPr>
          <w:i/>
          <w:iCs/>
        </w:rPr>
        <w:t>Requests</w:t>
      </w:r>
      <w:r w:rsidR="002E50AB">
        <w:t xml:space="preserve"> the Technology Executive Committee and the Climate Technology Centre and Network to implement the </w:t>
      </w:r>
      <w:r w:rsidR="002E50AB">
        <w:rPr>
          <w:rStyle w:val="normaltextrun"/>
          <w:rFonts w:asciiTheme="majorBidi" w:hAnsiTheme="majorBidi" w:cstheme="majorBidi"/>
          <w:shd w:val="clear" w:color="auto" w:fill="FFFFFF"/>
        </w:rPr>
        <w:t>i</w:t>
      </w:r>
      <w:r w:rsidR="002E50AB" w:rsidRPr="00EF6CFC">
        <w:rPr>
          <w:rStyle w:val="normaltextrun"/>
          <w:rFonts w:asciiTheme="majorBidi" w:hAnsiTheme="majorBidi" w:cstheme="majorBidi"/>
          <w:shd w:val="clear" w:color="auto" w:fill="FFFFFF"/>
        </w:rPr>
        <w:t>nitiative</w:t>
      </w:r>
      <w:r w:rsidR="002E50AB">
        <w:rPr>
          <w:rStyle w:val="normaltextrun"/>
          <w:rFonts w:asciiTheme="majorBidi" w:hAnsiTheme="majorBidi" w:cstheme="majorBidi"/>
          <w:shd w:val="clear" w:color="auto" w:fill="FFFFFF"/>
        </w:rPr>
        <w:t xml:space="preserve"> referred to in paragraph </w:t>
      </w:r>
      <w:r w:rsidR="00605CF6">
        <w:rPr>
          <w:rStyle w:val="normaltextrun"/>
          <w:rFonts w:asciiTheme="majorBidi" w:hAnsiTheme="majorBidi" w:cstheme="majorBidi"/>
          <w:shd w:val="clear" w:color="auto" w:fill="FFFFFF"/>
          <w:cs/>
        </w:rPr>
        <w:t>‎</w:t>
      </w:r>
      <w:r w:rsidR="00605CF6">
        <w:rPr>
          <w:rStyle w:val="normaltextrun"/>
          <w:rFonts w:asciiTheme="majorBidi" w:hAnsiTheme="majorBidi" w:cstheme="majorBidi"/>
          <w:shd w:val="clear" w:color="auto" w:fill="FFFFFF"/>
        </w:rPr>
        <w:t>6 above</w:t>
      </w:r>
      <w:r w:rsidR="002E50AB">
        <w:t xml:space="preserve"> in a manner that gives special attention to the capacity needs for its use and consider how it can support the implementation of technology needs assessment outcomes and the joint work programme of the Technology Mechanism for 2023–</w:t>
      </w:r>
      <w:proofErr w:type="gramStart"/>
      <w:r w:rsidR="002E50AB">
        <w:t>2027;</w:t>
      </w:r>
      <w:proofErr w:type="gramEnd"/>
    </w:p>
    <w:p w14:paraId="05C2636B" w14:textId="1FCCF496" w:rsidR="002E50AB" w:rsidRPr="00813AC2" w:rsidRDefault="00406A0D" w:rsidP="00406A0D">
      <w:pPr>
        <w:pStyle w:val="RegSingleTxtG"/>
        <w:ind w:left="1135"/>
        <w:rPr>
          <w:rFonts w:asciiTheme="majorBidi" w:hAnsiTheme="majorBidi" w:cstheme="majorBidi"/>
        </w:rPr>
      </w:pPr>
      <w:r w:rsidRPr="00813AC2">
        <w:rPr>
          <w:rFonts w:asciiTheme="majorBidi" w:hAnsiTheme="majorBidi" w:cstheme="majorBidi"/>
          <w:iCs/>
        </w:rPr>
        <w:t>8.</w:t>
      </w:r>
      <w:r w:rsidRPr="00813AC2">
        <w:rPr>
          <w:rFonts w:asciiTheme="majorBidi" w:hAnsiTheme="majorBidi" w:cstheme="majorBidi"/>
          <w:iCs/>
        </w:rPr>
        <w:tab/>
      </w:r>
      <w:r w:rsidR="002E50AB">
        <w:rPr>
          <w:i/>
          <w:iCs/>
        </w:rPr>
        <w:t>Also r</w:t>
      </w:r>
      <w:r w:rsidR="002E50AB" w:rsidRPr="00813AC2">
        <w:rPr>
          <w:i/>
          <w:iCs/>
        </w:rPr>
        <w:t>equest</w:t>
      </w:r>
      <w:r w:rsidR="002E50AB">
        <w:rPr>
          <w:i/>
          <w:iCs/>
        </w:rPr>
        <w:t>s</w:t>
      </w:r>
      <w:r w:rsidR="002E50AB">
        <w:t xml:space="preserve"> the </w:t>
      </w:r>
      <w:r w:rsidR="002E50AB" w:rsidRPr="00C1384B">
        <w:rPr>
          <w:rFonts w:asciiTheme="majorBidi" w:hAnsiTheme="majorBidi" w:cstheme="majorBidi"/>
        </w:rPr>
        <w:t xml:space="preserve">Technology Executive Committee and the Climate Technology Centre and Network </w:t>
      </w:r>
      <w:r w:rsidR="002E50AB">
        <w:t>to enhance awareness of artificial intelligence and its potential role in, as well as its impacts on, the implementation of the outcomes of technology needs assessments and the joint work programme of the Technology Mechanism for 2023–</w:t>
      </w:r>
      <w:proofErr w:type="gramStart"/>
      <w:r w:rsidR="002E50AB">
        <w:t>2027;</w:t>
      </w:r>
      <w:proofErr w:type="gramEnd"/>
    </w:p>
    <w:p w14:paraId="0D6CA198" w14:textId="2AF1F83D" w:rsidR="002E50AB" w:rsidRPr="00C1384B" w:rsidRDefault="00406A0D" w:rsidP="00406A0D">
      <w:pPr>
        <w:pStyle w:val="RegSingleTxtG"/>
        <w:ind w:left="1135"/>
        <w:rPr>
          <w:rFonts w:asciiTheme="majorBidi" w:hAnsiTheme="majorBidi" w:cstheme="majorBidi"/>
        </w:rPr>
      </w:pPr>
      <w:r w:rsidRPr="00C1384B">
        <w:rPr>
          <w:rFonts w:asciiTheme="majorBidi" w:hAnsiTheme="majorBidi" w:cstheme="majorBidi"/>
          <w:iCs/>
        </w:rPr>
        <w:t>9.</w:t>
      </w:r>
      <w:r w:rsidRPr="00C1384B">
        <w:rPr>
          <w:rFonts w:asciiTheme="majorBidi" w:hAnsiTheme="majorBidi" w:cstheme="majorBidi"/>
          <w:iCs/>
        </w:rPr>
        <w:tab/>
      </w:r>
      <w:r w:rsidR="002E50AB" w:rsidRPr="00034AF2">
        <w:rPr>
          <w:rFonts w:asciiTheme="majorBidi" w:hAnsiTheme="majorBidi" w:cstheme="majorBidi"/>
          <w:i/>
          <w:iCs/>
        </w:rPr>
        <w:t xml:space="preserve">Notes </w:t>
      </w:r>
      <w:r w:rsidR="002E50AB" w:rsidRPr="00034AF2">
        <w:rPr>
          <w:rFonts w:asciiTheme="majorBidi" w:hAnsiTheme="majorBidi" w:cstheme="majorBidi"/>
        </w:rPr>
        <w:t xml:space="preserve">the insufficient transfer and deployment of technology </w:t>
      </w:r>
      <w:r w:rsidR="002E50AB">
        <w:rPr>
          <w:rFonts w:asciiTheme="majorBidi" w:hAnsiTheme="majorBidi" w:cstheme="majorBidi"/>
        </w:rPr>
        <w:t>in developing countries,</w:t>
      </w:r>
      <w:r w:rsidR="002E50AB" w:rsidRPr="00034AF2">
        <w:rPr>
          <w:rFonts w:asciiTheme="majorBidi" w:hAnsiTheme="majorBidi" w:cstheme="majorBidi"/>
          <w:i/>
          <w:iCs/>
        </w:rPr>
        <w:t xml:space="preserve"> </w:t>
      </w:r>
      <w:r w:rsidR="002E50AB" w:rsidRPr="00C1384B">
        <w:rPr>
          <w:rFonts w:asciiTheme="majorBidi" w:hAnsiTheme="majorBidi" w:cstheme="majorBidi"/>
          <w:i/>
          <w:iCs/>
        </w:rPr>
        <w:t>encourages</w:t>
      </w:r>
      <w:r w:rsidR="002E50AB" w:rsidRPr="00C1384B">
        <w:rPr>
          <w:rFonts w:asciiTheme="majorBidi" w:hAnsiTheme="majorBidi" w:cstheme="majorBidi"/>
        </w:rPr>
        <w:t xml:space="preserve"> the Technology Executive Committee and the Climate Technology Centre and Network </w:t>
      </w:r>
      <w:r w:rsidR="006C5AC4" w:rsidRPr="004512A0">
        <w:rPr>
          <w:rFonts w:asciiTheme="majorBidi" w:hAnsiTheme="majorBidi" w:cstheme="majorBidi"/>
        </w:rPr>
        <w:t xml:space="preserve">to continue collaborating with the operating entities of the Financial Mechanism and relevant financial </w:t>
      </w:r>
      <w:r w:rsidR="006C5AC4">
        <w:rPr>
          <w:rFonts w:asciiTheme="majorBidi" w:hAnsiTheme="majorBidi" w:cstheme="majorBidi"/>
        </w:rPr>
        <w:t>institutions</w:t>
      </w:r>
      <w:r w:rsidR="006C5AC4" w:rsidRPr="004512A0">
        <w:rPr>
          <w:rFonts w:asciiTheme="majorBidi" w:hAnsiTheme="majorBidi" w:cstheme="majorBidi"/>
        </w:rPr>
        <w:t xml:space="preserve"> with a view to enhanc</w:t>
      </w:r>
      <w:r w:rsidR="006C5AC4">
        <w:rPr>
          <w:rFonts w:asciiTheme="majorBidi" w:hAnsiTheme="majorBidi" w:cstheme="majorBidi"/>
        </w:rPr>
        <w:t>ing</w:t>
      </w:r>
      <w:r w:rsidR="006C5AC4" w:rsidRPr="004512A0">
        <w:rPr>
          <w:rFonts w:asciiTheme="majorBidi" w:hAnsiTheme="majorBidi" w:cstheme="majorBidi"/>
        </w:rPr>
        <w:t xml:space="preserve"> the capacity of developing countries to </w:t>
      </w:r>
      <w:r w:rsidR="006C5AC4" w:rsidRPr="005E1C63">
        <w:rPr>
          <w:rFonts w:asciiTheme="majorBidi" w:hAnsiTheme="majorBidi" w:cstheme="majorBidi"/>
        </w:rPr>
        <w:t>prepare project proposals</w:t>
      </w:r>
      <w:r w:rsidR="006C5AC4">
        <w:rPr>
          <w:rFonts w:asciiTheme="majorBidi" w:hAnsiTheme="majorBidi" w:cstheme="majorBidi"/>
        </w:rPr>
        <w:t xml:space="preserve">, </w:t>
      </w:r>
      <w:r w:rsidR="006C5AC4" w:rsidRPr="005E1C63">
        <w:rPr>
          <w:rFonts w:asciiTheme="majorBidi" w:hAnsiTheme="majorBidi" w:cstheme="majorBidi"/>
        </w:rPr>
        <w:t>facilitating their access to available funding for technology development and transfer and</w:t>
      </w:r>
      <w:r w:rsidR="006C5AC4" w:rsidRPr="004512A0">
        <w:rPr>
          <w:rFonts w:asciiTheme="majorBidi" w:hAnsiTheme="majorBidi" w:cstheme="majorBidi"/>
        </w:rPr>
        <w:t xml:space="preserve"> </w:t>
      </w:r>
      <w:r w:rsidR="006C5AC4">
        <w:rPr>
          <w:rFonts w:asciiTheme="majorBidi" w:hAnsiTheme="majorBidi" w:cstheme="majorBidi"/>
        </w:rPr>
        <w:t xml:space="preserve">for </w:t>
      </w:r>
      <w:r w:rsidR="006C5AC4" w:rsidRPr="004512A0">
        <w:rPr>
          <w:rFonts w:asciiTheme="majorBidi" w:hAnsiTheme="majorBidi" w:cstheme="majorBidi"/>
        </w:rPr>
        <w:t>implement</w:t>
      </w:r>
      <w:r w:rsidR="006C5AC4">
        <w:rPr>
          <w:rFonts w:asciiTheme="majorBidi" w:hAnsiTheme="majorBidi" w:cstheme="majorBidi"/>
        </w:rPr>
        <w:t>ing</w:t>
      </w:r>
      <w:r w:rsidR="006C5AC4" w:rsidRPr="004512A0">
        <w:rPr>
          <w:rFonts w:asciiTheme="majorBidi" w:hAnsiTheme="majorBidi" w:cstheme="majorBidi"/>
        </w:rPr>
        <w:t xml:space="preserve"> the results of their technology needs assessments and </w:t>
      </w:r>
      <w:r w:rsidR="006C5AC4">
        <w:rPr>
          <w:rFonts w:asciiTheme="majorBidi" w:hAnsiTheme="majorBidi" w:cstheme="majorBidi"/>
        </w:rPr>
        <w:t xml:space="preserve">the </w:t>
      </w:r>
      <w:r w:rsidR="006C5AC4" w:rsidRPr="004512A0">
        <w:rPr>
          <w:rFonts w:asciiTheme="majorBidi" w:hAnsiTheme="majorBidi" w:cstheme="majorBidi"/>
        </w:rPr>
        <w:t>technical assistance of the Climate Technology Centre and Network</w:t>
      </w:r>
      <w:r w:rsidR="006C5AC4">
        <w:rPr>
          <w:rFonts w:asciiTheme="majorBidi" w:hAnsiTheme="majorBidi" w:cstheme="majorBidi"/>
        </w:rPr>
        <w:t>,</w:t>
      </w:r>
      <w:r w:rsidR="006C5AC4" w:rsidRPr="00735ABA">
        <w:rPr>
          <w:color w:val="000000"/>
        </w:rPr>
        <w:t xml:space="preserve"> </w:t>
      </w:r>
      <w:r w:rsidR="006C5AC4">
        <w:rPr>
          <w:color w:val="000000"/>
        </w:rPr>
        <w:t>and strengthening the transfer and deployment of technology</w:t>
      </w:r>
      <w:r w:rsidR="002E50AB">
        <w:rPr>
          <w:color w:val="000000"/>
        </w:rPr>
        <w:t xml:space="preserve">, and </w:t>
      </w:r>
      <w:r w:rsidR="002E50AB">
        <w:rPr>
          <w:i/>
          <w:iCs/>
          <w:color w:val="000000"/>
        </w:rPr>
        <w:t>calls for</w:t>
      </w:r>
      <w:r w:rsidR="002E50AB">
        <w:rPr>
          <w:color w:val="000000"/>
        </w:rPr>
        <w:t xml:space="preserve"> regional balance in this work</w:t>
      </w:r>
      <w:r w:rsidR="002E50AB" w:rsidRPr="00C1384B">
        <w:rPr>
          <w:rFonts w:asciiTheme="majorBidi" w:hAnsiTheme="majorBidi" w:cstheme="majorBidi"/>
        </w:rPr>
        <w:t>;</w:t>
      </w:r>
    </w:p>
    <w:p w14:paraId="1B7FEDA8" w14:textId="00F3FB07" w:rsidR="002E50AB" w:rsidRDefault="00406A0D" w:rsidP="00406A0D">
      <w:pPr>
        <w:pStyle w:val="RegSingleTxtG"/>
        <w:ind w:left="1135"/>
        <w:rPr>
          <w:rFonts w:asciiTheme="majorBidi" w:hAnsiTheme="majorBidi" w:cstheme="majorBidi"/>
        </w:rPr>
      </w:pPr>
      <w:r>
        <w:rPr>
          <w:rFonts w:asciiTheme="majorBidi" w:hAnsiTheme="majorBidi" w:cstheme="majorBidi"/>
          <w:iCs/>
        </w:rPr>
        <w:t>10.</w:t>
      </w:r>
      <w:r>
        <w:rPr>
          <w:rFonts w:asciiTheme="majorBidi" w:hAnsiTheme="majorBidi" w:cstheme="majorBidi"/>
          <w:iCs/>
        </w:rPr>
        <w:tab/>
      </w:r>
      <w:r w:rsidR="002E50AB" w:rsidRPr="00C1384B">
        <w:rPr>
          <w:rFonts w:asciiTheme="majorBidi" w:hAnsiTheme="majorBidi" w:cstheme="majorBidi"/>
          <w:i/>
          <w:iCs/>
        </w:rPr>
        <w:t xml:space="preserve">Commends </w:t>
      </w:r>
      <w:r w:rsidR="002E50AB" w:rsidRPr="00C1384B">
        <w:rPr>
          <w:rFonts w:asciiTheme="majorBidi" w:hAnsiTheme="majorBidi" w:cstheme="majorBidi"/>
        </w:rPr>
        <w:t>the Technology Executive Committee and the Climate Technology Centre and Network on their continued efforts to mainstream gender considerations in the implementation of the joint work programme</w:t>
      </w:r>
      <w:r w:rsidR="002E50AB" w:rsidRPr="00C1384B" w:rsidDel="00A14B29">
        <w:rPr>
          <w:rFonts w:asciiTheme="majorBidi" w:hAnsiTheme="majorBidi" w:cstheme="majorBidi"/>
        </w:rPr>
        <w:t xml:space="preserve"> </w:t>
      </w:r>
      <w:r w:rsidR="002E50AB" w:rsidRPr="00C1384B">
        <w:rPr>
          <w:rFonts w:asciiTheme="majorBidi" w:hAnsiTheme="majorBidi" w:cstheme="majorBidi"/>
        </w:rPr>
        <w:t>of the Technology Mechanism for 2023–2027,</w:t>
      </w:r>
      <w:r w:rsidR="002E50AB" w:rsidRPr="00034AF2">
        <w:rPr>
          <w:rFonts w:asciiTheme="majorBidi" w:hAnsiTheme="majorBidi" w:cstheme="majorBidi"/>
        </w:rPr>
        <w:t xml:space="preserve"> including </w:t>
      </w:r>
      <w:r w:rsidR="002E50AB">
        <w:rPr>
          <w:rFonts w:asciiTheme="majorBidi" w:hAnsiTheme="majorBidi" w:cstheme="majorBidi"/>
        </w:rPr>
        <w:t>the launch</w:t>
      </w:r>
      <w:r w:rsidR="002E50AB" w:rsidRPr="00C1384B">
        <w:rPr>
          <w:rFonts w:asciiTheme="majorBidi" w:hAnsiTheme="majorBidi" w:cstheme="majorBidi"/>
        </w:rPr>
        <w:t xml:space="preserve"> </w:t>
      </w:r>
      <w:r w:rsidR="002E50AB" w:rsidRPr="00C1384B" w:rsidDel="001F6130">
        <w:rPr>
          <w:rFonts w:asciiTheme="majorBidi" w:hAnsiTheme="majorBidi" w:cstheme="majorBidi"/>
        </w:rPr>
        <w:t>of</w:t>
      </w:r>
      <w:r w:rsidR="002E50AB" w:rsidRPr="00C1384B">
        <w:rPr>
          <w:rFonts w:asciiTheme="majorBidi" w:hAnsiTheme="majorBidi" w:cstheme="majorBidi"/>
        </w:rPr>
        <w:t xml:space="preserve"> the global roster of gender and climate change technology experts</w:t>
      </w:r>
      <w:r w:rsidR="002E50AB">
        <w:rPr>
          <w:rStyle w:val="FootnoteReference"/>
          <w:rFonts w:cstheme="majorBidi"/>
        </w:rPr>
        <w:footnoteReference w:id="71"/>
      </w:r>
      <w:r w:rsidR="002E50AB" w:rsidRPr="00C1384B">
        <w:rPr>
          <w:rFonts w:asciiTheme="majorBidi" w:hAnsiTheme="majorBidi" w:cstheme="majorBidi"/>
        </w:rPr>
        <w:t xml:space="preserve"> </w:t>
      </w:r>
      <w:r w:rsidR="002E50AB">
        <w:rPr>
          <w:rFonts w:asciiTheme="majorBidi" w:hAnsiTheme="majorBidi" w:cstheme="majorBidi"/>
        </w:rPr>
        <w:t xml:space="preserve">and </w:t>
      </w:r>
      <w:r w:rsidR="002E50AB" w:rsidRPr="00034AF2">
        <w:t xml:space="preserve">the endorsement of the </w:t>
      </w:r>
      <w:r w:rsidR="002E50AB" w:rsidRPr="00034AF2">
        <w:rPr>
          <w:rStyle w:val="normaltextrun"/>
          <w:rFonts w:asciiTheme="majorBidi" w:hAnsiTheme="majorBidi" w:cstheme="majorBidi"/>
          <w:shd w:val="clear" w:color="auto" w:fill="FFFFFF"/>
        </w:rPr>
        <w:t xml:space="preserve">Climate Technology Centre and Network </w:t>
      </w:r>
      <w:r w:rsidR="002E50AB" w:rsidRPr="00034AF2">
        <w:t>gender policy and action plan</w:t>
      </w:r>
      <w:r w:rsidR="002E50AB" w:rsidRPr="00C1384B">
        <w:t>,</w:t>
      </w:r>
      <w:r w:rsidR="002E50AB" w:rsidRPr="00C1384B">
        <w:rPr>
          <w:rFonts w:asciiTheme="majorBidi" w:hAnsiTheme="majorBidi" w:cstheme="majorBidi"/>
        </w:rPr>
        <w:t xml:space="preserve"> and </w:t>
      </w:r>
      <w:r w:rsidR="002E50AB" w:rsidRPr="00C1384B">
        <w:rPr>
          <w:rFonts w:asciiTheme="majorBidi" w:hAnsiTheme="majorBidi" w:cstheme="majorBidi"/>
          <w:i/>
          <w:iCs/>
        </w:rPr>
        <w:t xml:space="preserve">invites </w:t>
      </w:r>
      <w:r w:rsidR="002E50AB" w:rsidRPr="00C1384B">
        <w:rPr>
          <w:rFonts w:asciiTheme="majorBidi" w:hAnsiTheme="majorBidi" w:cstheme="majorBidi"/>
        </w:rPr>
        <w:t>them to continue mainstreaming gender considerations in their work;</w:t>
      </w:r>
    </w:p>
    <w:p w14:paraId="15CD0AAB" w14:textId="5329AD8E" w:rsidR="002E50AB" w:rsidRPr="00C1384B" w:rsidRDefault="00406A0D" w:rsidP="00406A0D">
      <w:pPr>
        <w:pStyle w:val="RegSingleTxtG"/>
        <w:ind w:left="1135"/>
        <w:rPr>
          <w:rFonts w:asciiTheme="majorBidi" w:hAnsiTheme="majorBidi" w:cstheme="majorBidi"/>
          <w:color w:val="000000"/>
        </w:rPr>
      </w:pPr>
      <w:r w:rsidRPr="00C1384B">
        <w:rPr>
          <w:rFonts w:asciiTheme="majorBidi" w:hAnsiTheme="majorBidi" w:cstheme="majorBidi"/>
          <w:iCs/>
          <w:color w:val="000000"/>
        </w:rPr>
        <w:t>11.</w:t>
      </w:r>
      <w:r w:rsidRPr="00C1384B">
        <w:rPr>
          <w:rFonts w:asciiTheme="majorBidi" w:hAnsiTheme="majorBidi" w:cstheme="majorBidi"/>
          <w:iCs/>
          <w:color w:val="000000"/>
        </w:rPr>
        <w:tab/>
      </w:r>
      <w:r w:rsidR="002E50AB" w:rsidRPr="00C1384B">
        <w:rPr>
          <w:rFonts w:asciiTheme="majorBidi" w:hAnsiTheme="majorBidi" w:cstheme="majorBidi"/>
          <w:i/>
          <w:iCs/>
          <w:color w:val="000000"/>
        </w:rPr>
        <w:t xml:space="preserve">Notes with appreciation </w:t>
      </w:r>
      <w:r w:rsidR="002E50AB" w:rsidRPr="00C1384B">
        <w:rPr>
          <w:rFonts w:asciiTheme="majorBidi" w:hAnsiTheme="majorBidi" w:cstheme="majorBidi"/>
          <w:color w:val="000000"/>
        </w:rPr>
        <w:t xml:space="preserve">the information </w:t>
      </w:r>
      <w:r w:rsidR="002E50AB">
        <w:rPr>
          <w:rFonts w:asciiTheme="majorBidi" w:hAnsiTheme="majorBidi" w:cstheme="majorBidi"/>
          <w:color w:val="000000"/>
        </w:rPr>
        <w:t>prepared</w:t>
      </w:r>
      <w:r w:rsidR="002E50AB" w:rsidRPr="00C1384B">
        <w:rPr>
          <w:rFonts w:asciiTheme="majorBidi" w:hAnsiTheme="majorBidi" w:cstheme="majorBidi"/>
          <w:color w:val="000000"/>
        </w:rPr>
        <w:t xml:space="preserve"> by the Technology Executive Committee and the Climate Technology Centre and Network</w:t>
      </w:r>
      <w:r w:rsidR="002E50AB">
        <w:rPr>
          <w:rFonts w:asciiTheme="majorBidi" w:hAnsiTheme="majorBidi" w:cstheme="majorBidi"/>
          <w:color w:val="000000"/>
        </w:rPr>
        <w:t xml:space="preserve"> on their action </w:t>
      </w:r>
      <w:r w:rsidR="002E50AB" w:rsidRPr="00C1384B">
        <w:rPr>
          <w:rFonts w:asciiTheme="majorBidi" w:hAnsiTheme="majorBidi" w:cstheme="majorBidi"/>
          <w:color w:val="000000"/>
        </w:rPr>
        <w:t xml:space="preserve">taken </w:t>
      </w:r>
      <w:r w:rsidR="002E50AB">
        <w:rPr>
          <w:rFonts w:asciiTheme="majorBidi" w:hAnsiTheme="majorBidi" w:cstheme="majorBidi"/>
          <w:color w:val="000000"/>
        </w:rPr>
        <w:t>in response to</w:t>
      </w:r>
      <w:r w:rsidR="002E50AB" w:rsidRPr="00C1384B">
        <w:rPr>
          <w:rFonts w:asciiTheme="majorBidi" w:hAnsiTheme="majorBidi" w:cstheme="majorBidi"/>
          <w:color w:val="000000"/>
        </w:rPr>
        <w:t xml:space="preserve"> the mandates from the Conference of the Parties serving as the meeting of the Parties to the Paris Agreement at its fourth session and the subsidiary bodies at their fifty-seventh sessions</w:t>
      </w:r>
      <w:r w:rsidR="002E50AB" w:rsidRPr="00C1384B">
        <w:rPr>
          <w:rStyle w:val="FootnoteReference"/>
          <w:rFonts w:cstheme="majorBidi"/>
          <w:color w:val="000000"/>
        </w:rPr>
        <w:footnoteReference w:id="72"/>
      </w:r>
      <w:r w:rsidR="002E50AB" w:rsidRPr="00C1384B">
        <w:rPr>
          <w:rFonts w:asciiTheme="majorBidi" w:hAnsiTheme="majorBidi" w:cstheme="majorBidi"/>
          <w:color w:val="000000"/>
        </w:rPr>
        <w:t xml:space="preserve"> and </w:t>
      </w:r>
      <w:r w:rsidR="002E50AB" w:rsidRPr="00C1384B">
        <w:rPr>
          <w:rFonts w:asciiTheme="majorBidi" w:hAnsiTheme="majorBidi" w:cstheme="majorBidi"/>
          <w:i/>
          <w:iCs/>
          <w:color w:val="000000"/>
        </w:rPr>
        <w:t>invites</w:t>
      </w:r>
      <w:r w:rsidR="002E50AB" w:rsidRPr="00C1384B">
        <w:rPr>
          <w:rFonts w:asciiTheme="majorBidi" w:hAnsiTheme="majorBidi" w:cstheme="majorBidi"/>
          <w:color w:val="000000"/>
        </w:rPr>
        <w:t xml:space="preserve"> </w:t>
      </w:r>
      <w:r w:rsidR="002E50AB" w:rsidRPr="00C1384B" w:rsidDel="00C078BA">
        <w:rPr>
          <w:rFonts w:asciiTheme="majorBidi" w:hAnsiTheme="majorBidi" w:cstheme="majorBidi"/>
          <w:color w:val="000000" w:themeColor="text1"/>
        </w:rPr>
        <w:t xml:space="preserve">the </w:t>
      </w:r>
      <w:r w:rsidR="002E50AB" w:rsidRPr="00C1384B">
        <w:rPr>
          <w:rFonts w:asciiTheme="majorBidi" w:hAnsiTheme="majorBidi" w:cstheme="majorBidi"/>
          <w:color w:val="000000"/>
        </w:rPr>
        <w:t xml:space="preserve">Technology Executive Committee and the Climate Technology Centre and Network to provide such information in their </w:t>
      </w:r>
      <w:r w:rsidR="002E50AB">
        <w:rPr>
          <w:rFonts w:asciiTheme="majorBidi" w:hAnsiTheme="majorBidi" w:cstheme="majorBidi"/>
          <w:color w:val="000000"/>
        </w:rPr>
        <w:t xml:space="preserve">joint </w:t>
      </w:r>
      <w:r w:rsidR="002E50AB" w:rsidRPr="00C1384B">
        <w:rPr>
          <w:rFonts w:asciiTheme="majorBidi" w:hAnsiTheme="majorBidi" w:cstheme="majorBidi"/>
          <w:color w:val="000000"/>
        </w:rPr>
        <w:t>annual reports;</w:t>
      </w:r>
    </w:p>
    <w:p w14:paraId="761F0448" w14:textId="6E33C56C" w:rsidR="002E50AB" w:rsidRPr="00C1384B" w:rsidRDefault="00406A0D" w:rsidP="00406A0D">
      <w:pPr>
        <w:pStyle w:val="RegSingleTxtG"/>
        <w:ind w:left="1135"/>
        <w:rPr>
          <w:rStyle w:val="normaltextrun"/>
          <w:rFonts w:asciiTheme="majorBidi" w:hAnsiTheme="majorBidi" w:cstheme="majorBidi"/>
          <w:color w:val="000000"/>
        </w:rPr>
      </w:pPr>
      <w:r w:rsidRPr="00C1384B">
        <w:rPr>
          <w:rStyle w:val="normaltextrun"/>
          <w:rFonts w:asciiTheme="majorBidi" w:hAnsiTheme="majorBidi" w:cstheme="majorBidi"/>
          <w:iCs/>
          <w:color w:val="000000"/>
        </w:rPr>
        <w:t>12.</w:t>
      </w:r>
      <w:r w:rsidRPr="00C1384B">
        <w:rPr>
          <w:rStyle w:val="normaltextrun"/>
          <w:rFonts w:asciiTheme="majorBidi" w:hAnsiTheme="majorBidi" w:cstheme="majorBidi"/>
          <w:iCs/>
          <w:color w:val="000000"/>
        </w:rPr>
        <w:tab/>
      </w:r>
      <w:r w:rsidR="002E50AB" w:rsidRPr="00C1384B">
        <w:rPr>
          <w:rStyle w:val="normaltextrun"/>
          <w:rFonts w:asciiTheme="majorBidi" w:hAnsiTheme="majorBidi" w:cstheme="majorBidi"/>
          <w:i/>
          <w:iCs/>
          <w:shd w:val="clear" w:color="auto" w:fill="FFFFFF"/>
        </w:rPr>
        <w:t xml:space="preserve">Expresses appreciation </w:t>
      </w:r>
      <w:r w:rsidR="002E50AB" w:rsidRPr="00C1384B">
        <w:rPr>
          <w:rStyle w:val="normaltextrun"/>
          <w:rFonts w:asciiTheme="majorBidi" w:hAnsiTheme="majorBidi" w:cstheme="majorBidi"/>
          <w:shd w:val="clear" w:color="auto" w:fill="FFFFFF"/>
        </w:rPr>
        <w:t xml:space="preserve">for the voluntary financial </w:t>
      </w:r>
      <w:r w:rsidR="002E50AB">
        <w:rPr>
          <w:rStyle w:val="normaltextrun"/>
          <w:rFonts w:asciiTheme="majorBidi" w:hAnsiTheme="majorBidi" w:cstheme="majorBidi"/>
          <w:shd w:val="clear" w:color="auto" w:fill="FFFFFF"/>
        </w:rPr>
        <w:t xml:space="preserve">and other </w:t>
      </w:r>
      <w:r w:rsidR="002E50AB" w:rsidRPr="00C1384B">
        <w:rPr>
          <w:rStyle w:val="normaltextrun"/>
          <w:rFonts w:asciiTheme="majorBidi" w:hAnsiTheme="majorBidi" w:cstheme="majorBidi"/>
          <w:shd w:val="clear" w:color="auto" w:fill="FFFFFF"/>
        </w:rPr>
        <w:t xml:space="preserve">contributions received for the work under the Technology Mechanism and </w:t>
      </w:r>
      <w:r w:rsidR="002E50AB" w:rsidRPr="00C1384B">
        <w:rPr>
          <w:rStyle w:val="normaltextrun"/>
          <w:rFonts w:asciiTheme="majorBidi" w:hAnsiTheme="majorBidi" w:cstheme="majorBidi"/>
          <w:i/>
          <w:iCs/>
          <w:shd w:val="clear" w:color="auto" w:fill="FFFFFF"/>
        </w:rPr>
        <w:t>encourages</w:t>
      </w:r>
      <w:r w:rsidR="002E50AB" w:rsidRPr="00C1384B">
        <w:rPr>
          <w:rStyle w:val="normaltextrun"/>
          <w:rFonts w:asciiTheme="majorBidi" w:hAnsiTheme="majorBidi" w:cstheme="majorBidi"/>
          <w:shd w:val="clear" w:color="auto" w:fill="FFFFFF"/>
        </w:rPr>
        <w:t xml:space="preserve"> the provision of enhanced support for that work through financial and other </w:t>
      </w:r>
      <w:proofErr w:type="gramStart"/>
      <w:r w:rsidR="002E50AB" w:rsidRPr="00C1384B">
        <w:rPr>
          <w:rStyle w:val="normaltextrun"/>
          <w:rFonts w:asciiTheme="majorBidi" w:hAnsiTheme="majorBidi" w:cstheme="majorBidi"/>
          <w:shd w:val="clear" w:color="auto" w:fill="FFFFFF"/>
        </w:rPr>
        <w:t>resources;</w:t>
      </w:r>
      <w:proofErr w:type="gramEnd"/>
    </w:p>
    <w:p w14:paraId="1EF426E9" w14:textId="3A085F10" w:rsidR="002E50AB" w:rsidRPr="00C1384B" w:rsidRDefault="00406A0D" w:rsidP="00406A0D">
      <w:pPr>
        <w:pStyle w:val="RegSingleTxtG"/>
        <w:ind w:left="1135"/>
        <w:rPr>
          <w:rStyle w:val="normaltextrun"/>
          <w:rFonts w:asciiTheme="majorBidi" w:hAnsiTheme="majorBidi" w:cstheme="majorBidi"/>
        </w:rPr>
      </w:pPr>
      <w:r w:rsidRPr="00C1384B">
        <w:rPr>
          <w:rStyle w:val="normaltextrun"/>
          <w:rFonts w:asciiTheme="majorBidi" w:hAnsiTheme="majorBidi" w:cstheme="majorBidi"/>
          <w:iCs/>
        </w:rPr>
        <w:t>13.</w:t>
      </w:r>
      <w:r w:rsidRPr="00C1384B">
        <w:rPr>
          <w:rStyle w:val="normaltextrun"/>
          <w:rFonts w:asciiTheme="majorBidi" w:hAnsiTheme="majorBidi" w:cstheme="majorBidi"/>
          <w:iCs/>
        </w:rPr>
        <w:tab/>
      </w:r>
      <w:r w:rsidR="002E50AB" w:rsidRPr="00C1384B">
        <w:rPr>
          <w:rStyle w:val="normaltextrun"/>
          <w:rFonts w:asciiTheme="majorBidi" w:hAnsiTheme="majorBidi" w:cstheme="majorBidi"/>
          <w:i/>
          <w:iCs/>
          <w:shd w:val="clear" w:color="auto" w:fill="FFFFFF"/>
        </w:rPr>
        <w:t>Notes with concern</w:t>
      </w:r>
      <w:r w:rsidR="002E50AB" w:rsidRPr="00C1384B">
        <w:rPr>
          <w:rStyle w:val="normaltextrun"/>
          <w:rFonts w:asciiTheme="majorBidi" w:hAnsiTheme="majorBidi" w:cstheme="majorBidi"/>
          <w:shd w:val="clear" w:color="auto" w:fill="FFFFFF"/>
        </w:rPr>
        <w:t xml:space="preserve"> that gender balance in the composition of the Technology Executive Committee and the Advisory Board of the </w:t>
      </w:r>
      <w:r w:rsidR="002E50AB" w:rsidRPr="00C1384B" w:rsidDel="00B747D5">
        <w:rPr>
          <w:rFonts w:asciiTheme="majorBidi" w:hAnsiTheme="majorBidi" w:cstheme="majorBidi"/>
        </w:rPr>
        <w:t>Climate Technology Centre and Network</w:t>
      </w:r>
      <w:r w:rsidR="002E50AB" w:rsidRPr="00C1384B">
        <w:rPr>
          <w:rStyle w:val="normaltextrun"/>
          <w:rFonts w:asciiTheme="majorBidi" w:hAnsiTheme="majorBidi" w:cstheme="majorBidi"/>
          <w:shd w:val="clear" w:color="auto" w:fill="FFFFFF"/>
        </w:rPr>
        <w:t xml:space="preserve"> has not yet been </w:t>
      </w:r>
      <w:proofErr w:type="gramStart"/>
      <w:r w:rsidR="002E50AB" w:rsidRPr="00C1384B">
        <w:rPr>
          <w:rStyle w:val="normaltextrun"/>
          <w:rFonts w:asciiTheme="majorBidi" w:hAnsiTheme="majorBidi" w:cstheme="majorBidi"/>
          <w:shd w:val="clear" w:color="auto" w:fill="FFFFFF"/>
        </w:rPr>
        <w:t>achieved;</w:t>
      </w:r>
      <w:proofErr w:type="gramEnd"/>
    </w:p>
    <w:p w14:paraId="178569BA" w14:textId="68BD1CD7" w:rsidR="002E50AB" w:rsidRPr="00C1384B" w:rsidRDefault="00406A0D" w:rsidP="00406A0D">
      <w:pPr>
        <w:pStyle w:val="RegSingleTxtG"/>
        <w:ind w:left="1135"/>
        <w:rPr>
          <w:rStyle w:val="normaltextrun"/>
          <w:rFonts w:asciiTheme="majorBidi" w:hAnsiTheme="majorBidi" w:cstheme="majorBidi"/>
          <w:shd w:val="clear" w:color="auto" w:fill="FFFFFF"/>
        </w:rPr>
      </w:pPr>
      <w:r w:rsidRPr="00C1384B">
        <w:rPr>
          <w:rStyle w:val="normaltextrun"/>
          <w:rFonts w:asciiTheme="majorBidi" w:hAnsiTheme="majorBidi" w:cstheme="majorBidi"/>
          <w:iCs/>
        </w:rPr>
        <w:t>14.</w:t>
      </w:r>
      <w:r w:rsidRPr="00C1384B">
        <w:rPr>
          <w:rStyle w:val="normaltextrun"/>
          <w:rFonts w:asciiTheme="majorBidi" w:hAnsiTheme="majorBidi" w:cstheme="majorBidi"/>
          <w:iCs/>
        </w:rPr>
        <w:tab/>
      </w:r>
      <w:r w:rsidR="002E50AB" w:rsidRPr="00C1384B">
        <w:rPr>
          <w:rFonts w:asciiTheme="majorBidi" w:hAnsiTheme="majorBidi" w:cstheme="majorBidi"/>
          <w:i/>
          <w:iCs/>
        </w:rPr>
        <w:t>Welcomes</w:t>
      </w:r>
      <w:r w:rsidR="002E50AB" w:rsidRPr="00C1384B">
        <w:rPr>
          <w:rFonts w:asciiTheme="majorBidi" w:hAnsiTheme="majorBidi" w:cstheme="majorBidi"/>
        </w:rPr>
        <w:t xml:space="preserve"> </w:t>
      </w:r>
      <w:r w:rsidR="002E50AB" w:rsidRPr="00C1384B">
        <w:rPr>
          <w:rStyle w:val="normaltextrun"/>
          <w:rFonts w:asciiTheme="majorBidi" w:hAnsiTheme="majorBidi" w:cstheme="majorBidi"/>
          <w:shd w:val="clear" w:color="auto" w:fill="FFFFFF"/>
        </w:rPr>
        <w:t xml:space="preserve">the finalization of the </w:t>
      </w:r>
      <w:r w:rsidR="002E50AB" w:rsidRPr="00C1384B">
        <w:rPr>
          <w:rStyle w:val="normaltextrun"/>
          <w:rFonts w:asciiTheme="majorBidi" w:hAnsiTheme="majorBidi" w:cstheme="majorBidi"/>
        </w:rPr>
        <w:t xml:space="preserve">Climate Technology Centre and Network </w:t>
      </w:r>
      <w:r w:rsidR="002E50AB" w:rsidRPr="00C1384B">
        <w:rPr>
          <w:rStyle w:val="normaltextrun"/>
          <w:rFonts w:asciiTheme="majorBidi" w:hAnsiTheme="majorBidi" w:cstheme="majorBidi"/>
          <w:shd w:val="clear" w:color="auto" w:fill="FFFFFF"/>
        </w:rPr>
        <w:t xml:space="preserve">resource mobilization and partnership </w:t>
      </w:r>
      <w:r w:rsidR="002E50AB" w:rsidRPr="00E06664">
        <w:rPr>
          <w:rStyle w:val="normaltextrun"/>
          <w:rFonts w:asciiTheme="majorBidi" w:hAnsiTheme="majorBidi" w:cstheme="majorBidi"/>
          <w:shd w:val="clear" w:color="auto" w:fill="FFFFFF"/>
        </w:rPr>
        <w:t>strategy</w:t>
      </w:r>
      <w:r w:rsidR="002E50AB" w:rsidRPr="00C1384B">
        <w:rPr>
          <w:rStyle w:val="normaltextrun"/>
          <w:rFonts w:asciiTheme="majorBidi" w:hAnsiTheme="majorBidi" w:cstheme="majorBidi"/>
          <w:shd w:val="clear" w:color="auto" w:fill="FFFFFF"/>
        </w:rPr>
        <w:t xml:space="preserve"> for 2023–2027</w:t>
      </w:r>
      <w:r w:rsidR="002E50AB">
        <w:rPr>
          <w:rStyle w:val="normaltextrun"/>
          <w:rFonts w:asciiTheme="majorBidi" w:hAnsiTheme="majorBidi" w:cstheme="majorBidi"/>
          <w:shd w:val="clear" w:color="auto" w:fill="FFFFFF"/>
        </w:rPr>
        <w:t>,</w:t>
      </w:r>
      <w:r w:rsidR="002E50AB" w:rsidRPr="00C1384B">
        <w:rPr>
          <w:rStyle w:val="FootnoteReference"/>
          <w:rFonts w:cstheme="majorBidi"/>
          <w:shd w:val="clear" w:color="auto" w:fill="FFFFFF"/>
        </w:rPr>
        <w:footnoteReference w:id="73"/>
      </w:r>
      <w:r w:rsidR="002E50AB" w:rsidRPr="00C1384B">
        <w:rPr>
          <w:rStyle w:val="normaltextrun"/>
          <w:rFonts w:asciiTheme="majorBidi" w:hAnsiTheme="majorBidi" w:cstheme="majorBidi"/>
          <w:shd w:val="clear" w:color="auto" w:fill="FFFFFF"/>
        </w:rPr>
        <w:t xml:space="preserve"> </w:t>
      </w:r>
      <w:r w:rsidR="002E50AB">
        <w:rPr>
          <w:rStyle w:val="normaltextrun"/>
          <w:rFonts w:asciiTheme="majorBidi" w:hAnsiTheme="majorBidi" w:cstheme="majorBidi"/>
          <w:shd w:val="clear" w:color="auto" w:fill="FFFFFF"/>
        </w:rPr>
        <w:t xml:space="preserve">which has the aim of diversifying the resources of the Climate Technology Centre and Network and ensuring its funding is adequate, predictable and </w:t>
      </w:r>
      <w:proofErr w:type="gramStart"/>
      <w:r w:rsidR="002E50AB">
        <w:rPr>
          <w:rStyle w:val="normaltextrun"/>
          <w:rFonts w:asciiTheme="majorBidi" w:hAnsiTheme="majorBidi" w:cstheme="majorBidi"/>
          <w:shd w:val="clear" w:color="auto" w:fill="FFFFFF"/>
        </w:rPr>
        <w:t>flexible</w:t>
      </w:r>
      <w:r w:rsidR="002E50AB" w:rsidRPr="00C1384B">
        <w:rPr>
          <w:rStyle w:val="normaltextrun"/>
          <w:rFonts w:asciiTheme="majorBidi" w:hAnsiTheme="majorBidi" w:cstheme="majorBidi"/>
          <w:shd w:val="clear" w:color="auto" w:fill="FFFFFF"/>
        </w:rPr>
        <w:t>;</w:t>
      </w:r>
      <w:proofErr w:type="gramEnd"/>
      <w:r w:rsidR="002E50AB" w:rsidRPr="00C1384B">
        <w:rPr>
          <w:rStyle w:val="normaltextrun"/>
          <w:rFonts w:asciiTheme="majorBidi" w:hAnsiTheme="majorBidi" w:cstheme="majorBidi"/>
          <w:shd w:val="clear" w:color="auto" w:fill="FFFFFF"/>
        </w:rPr>
        <w:t xml:space="preserve"> </w:t>
      </w:r>
    </w:p>
    <w:p w14:paraId="7435B712" w14:textId="72A2C06D" w:rsidR="002E50AB" w:rsidRPr="005B1A9D" w:rsidRDefault="00406A0D" w:rsidP="00406A0D">
      <w:pPr>
        <w:pStyle w:val="RegSingleTxtG"/>
        <w:ind w:left="1135"/>
        <w:rPr>
          <w:rStyle w:val="normaltextrun"/>
          <w:rFonts w:asciiTheme="majorBidi" w:hAnsiTheme="majorBidi" w:cstheme="majorBidi"/>
          <w:shd w:val="clear" w:color="auto" w:fill="FFFFFF"/>
        </w:rPr>
      </w:pPr>
      <w:r w:rsidRPr="005B1A9D">
        <w:rPr>
          <w:rStyle w:val="normaltextrun"/>
          <w:rFonts w:asciiTheme="majorBidi" w:hAnsiTheme="majorBidi" w:cstheme="majorBidi"/>
          <w:iCs/>
        </w:rPr>
        <w:t>15.</w:t>
      </w:r>
      <w:r w:rsidRPr="005B1A9D">
        <w:rPr>
          <w:rStyle w:val="normaltextrun"/>
          <w:rFonts w:asciiTheme="majorBidi" w:hAnsiTheme="majorBidi" w:cstheme="majorBidi"/>
          <w:iCs/>
        </w:rPr>
        <w:tab/>
      </w:r>
      <w:r w:rsidR="002E50AB">
        <w:rPr>
          <w:rFonts w:asciiTheme="majorBidi" w:hAnsiTheme="majorBidi" w:cstheme="majorBidi"/>
          <w:i/>
          <w:iCs/>
        </w:rPr>
        <w:t xml:space="preserve">Encourages </w:t>
      </w:r>
      <w:r w:rsidR="002E50AB" w:rsidRPr="001F3973">
        <w:rPr>
          <w:rFonts w:asciiTheme="majorBidi" w:hAnsiTheme="majorBidi" w:cstheme="majorBidi"/>
        </w:rPr>
        <w:t>the</w:t>
      </w:r>
      <w:r w:rsidR="002E50AB" w:rsidRPr="00311E47">
        <w:rPr>
          <w:rFonts w:asciiTheme="majorBidi" w:hAnsiTheme="majorBidi" w:cstheme="majorBidi"/>
        </w:rPr>
        <w:t xml:space="preserve"> </w:t>
      </w:r>
      <w:r w:rsidR="002E50AB" w:rsidRPr="00C1384B">
        <w:t>Climate Technology Centre and Network</w:t>
      </w:r>
      <w:r w:rsidR="002E50AB">
        <w:t xml:space="preserve">, its host the United Nations Environment Programme and the UNFCCC secretariat to collaborate on resource mobilization to ensure effective implementation of the </w:t>
      </w:r>
      <w:r w:rsidR="002E50AB" w:rsidRPr="0018616B">
        <w:t>joint work programme of the Technology Mechanism for 2023–2027</w:t>
      </w:r>
      <w:r w:rsidR="002E50AB">
        <w:t xml:space="preserve"> and </w:t>
      </w:r>
      <w:r w:rsidR="002E50AB" w:rsidRPr="001F3973">
        <w:rPr>
          <w:i/>
          <w:iCs/>
        </w:rPr>
        <w:t>requests</w:t>
      </w:r>
      <w:r w:rsidR="002E50AB">
        <w:t xml:space="preserve"> the </w:t>
      </w:r>
      <w:r w:rsidR="002E50AB" w:rsidRPr="0018616B">
        <w:t>Technology Executive Committee and the Climate Technology Centre and Network</w:t>
      </w:r>
      <w:r w:rsidR="002E50AB">
        <w:t xml:space="preserve"> to include information on the progress of their efforts in their next joint annual </w:t>
      </w:r>
      <w:proofErr w:type="gramStart"/>
      <w:r w:rsidR="002E50AB">
        <w:t>report;</w:t>
      </w:r>
      <w:proofErr w:type="gramEnd"/>
    </w:p>
    <w:p w14:paraId="4BBD17B6" w14:textId="3C7F1704" w:rsidR="002E50AB" w:rsidRDefault="00406A0D" w:rsidP="00406A0D">
      <w:pPr>
        <w:pStyle w:val="RegSingleTxtG"/>
        <w:ind w:left="1135"/>
        <w:rPr>
          <w:rStyle w:val="normaltextrun"/>
          <w:rFonts w:asciiTheme="majorBidi" w:hAnsiTheme="majorBidi" w:cstheme="majorBidi"/>
          <w:shd w:val="clear" w:color="auto" w:fill="FFFFFF"/>
        </w:rPr>
      </w:pPr>
      <w:r>
        <w:rPr>
          <w:rStyle w:val="normaltextrun"/>
          <w:rFonts w:asciiTheme="majorBidi" w:hAnsiTheme="majorBidi" w:cstheme="majorBidi"/>
          <w:iCs/>
        </w:rPr>
        <w:t>16.</w:t>
      </w:r>
      <w:r>
        <w:rPr>
          <w:rStyle w:val="normaltextrun"/>
          <w:rFonts w:asciiTheme="majorBidi" w:hAnsiTheme="majorBidi" w:cstheme="majorBidi"/>
          <w:iCs/>
        </w:rPr>
        <w:tab/>
      </w:r>
      <w:r w:rsidR="00475545" w:rsidRPr="00C1384B">
        <w:rPr>
          <w:rStyle w:val="normaltextrun"/>
          <w:rFonts w:asciiTheme="majorBidi" w:hAnsiTheme="majorBidi" w:cstheme="majorBidi"/>
          <w:i/>
          <w:iCs/>
          <w:shd w:val="clear" w:color="auto" w:fill="FFFFFF"/>
        </w:rPr>
        <w:t xml:space="preserve">Acknowledges </w:t>
      </w:r>
      <w:r w:rsidR="00475545" w:rsidRPr="00C1384B">
        <w:rPr>
          <w:rStyle w:val="normaltextrun"/>
          <w:rFonts w:asciiTheme="majorBidi" w:hAnsiTheme="majorBidi" w:cstheme="majorBidi"/>
          <w:shd w:val="clear" w:color="auto" w:fill="FFFFFF"/>
        </w:rPr>
        <w:t xml:space="preserve">the role of the Climate Technology Centre and Network </w:t>
      </w:r>
      <w:r w:rsidR="00475545">
        <w:rPr>
          <w:rStyle w:val="normaltextrun"/>
          <w:rFonts w:asciiTheme="majorBidi" w:hAnsiTheme="majorBidi" w:cstheme="majorBidi"/>
          <w:shd w:val="clear" w:color="auto" w:fill="FFFFFF"/>
        </w:rPr>
        <w:t>P</w:t>
      </w:r>
      <w:r w:rsidR="00475545" w:rsidRPr="00C1384B">
        <w:rPr>
          <w:rStyle w:val="normaltextrun"/>
          <w:rFonts w:asciiTheme="majorBidi" w:hAnsiTheme="majorBidi" w:cstheme="majorBidi"/>
          <w:shd w:val="clear" w:color="auto" w:fill="FFFFFF"/>
        </w:rPr>
        <w:t xml:space="preserve">artnership and </w:t>
      </w:r>
      <w:r w:rsidR="00475545">
        <w:rPr>
          <w:rStyle w:val="normaltextrun"/>
          <w:rFonts w:asciiTheme="majorBidi" w:hAnsiTheme="majorBidi" w:cstheme="majorBidi"/>
          <w:shd w:val="clear" w:color="auto" w:fill="FFFFFF"/>
        </w:rPr>
        <w:t>L</w:t>
      </w:r>
      <w:r w:rsidR="00475545" w:rsidRPr="00C1384B">
        <w:rPr>
          <w:rStyle w:val="normaltextrun"/>
          <w:rFonts w:asciiTheme="majorBidi" w:hAnsiTheme="majorBidi" w:cstheme="majorBidi"/>
          <w:shd w:val="clear" w:color="auto" w:fill="FFFFFF"/>
        </w:rPr>
        <w:t xml:space="preserve">iaison </w:t>
      </w:r>
      <w:r w:rsidR="00475545">
        <w:rPr>
          <w:rStyle w:val="normaltextrun"/>
          <w:rFonts w:asciiTheme="majorBidi" w:hAnsiTheme="majorBidi" w:cstheme="majorBidi"/>
          <w:shd w:val="clear" w:color="auto" w:fill="FFFFFF"/>
        </w:rPr>
        <w:t>O</w:t>
      </w:r>
      <w:r w:rsidR="00475545" w:rsidRPr="00C1384B">
        <w:rPr>
          <w:rStyle w:val="normaltextrun"/>
          <w:rFonts w:asciiTheme="majorBidi" w:hAnsiTheme="majorBidi" w:cstheme="majorBidi"/>
          <w:shd w:val="clear" w:color="auto" w:fill="FFFFFF"/>
        </w:rPr>
        <w:t xml:space="preserve">ffice in enhancing interaction among national designated entities and with the </w:t>
      </w:r>
      <w:r w:rsidR="00475545" w:rsidRPr="00C1384B">
        <w:rPr>
          <w:rStyle w:val="normaltextrun"/>
          <w:rFonts w:asciiTheme="majorBidi" w:hAnsiTheme="majorBidi" w:cstheme="majorBidi"/>
          <w:shd w:val="clear" w:color="auto" w:fill="FFFFFF"/>
        </w:rPr>
        <w:lastRenderedPageBreak/>
        <w:t>Green Climate Fund</w:t>
      </w:r>
      <w:r w:rsidR="00475545">
        <w:rPr>
          <w:rStyle w:val="normaltextrun"/>
          <w:rFonts w:asciiTheme="majorBidi" w:hAnsiTheme="majorBidi" w:cstheme="majorBidi"/>
          <w:shd w:val="clear" w:color="auto" w:fill="FFFFFF"/>
        </w:rPr>
        <w:t>,</w:t>
      </w:r>
      <w:r w:rsidR="00475545" w:rsidRPr="00C1384B">
        <w:rPr>
          <w:rStyle w:val="normaltextrun"/>
          <w:rFonts w:asciiTheme="majorBidi" w:hAnsiTheme="majorBidi" w:cstheme="majorBidi"/>
          <w:shd w:val="clear" w:color="auto" w:fill="FFFFFF"/>
        </w:rPr>
        <w:t xml:space="preserve"> and in providing technical support to developing countries across the core service areas of the Climate Technology Centre and Network and </w:t>
      </w:r>
      <w:r w:rsidR="00475545" w:rsidRPr="000058D0">
        <w:rPr>
          <w:rStyle w:val="normaltextrun"/>
          <w:rFonts w:asciiTheme="majorBidi" w:hAnsiTheme="majorBidi" w:cstheme="majorBidi"/>
          <w:i/>
          <w:iCs/>
          <w:shd w:val="clear" w:color="auto" w:fill="FFFFFF"/>
        </w:rPr>
        <w:t>requests</w:t>
      </w:r>
      <w:r w:rsidR="00475545" w:rsidRPr="00C1384B">
        <w:rPr>
          <w:rStyle w:val="normaltextrun"/>
          <w:rFonts w:asciiTheme="majorBidi" w:hAnsiTheme="majorBidi" w:cstheme="majorBidi"/>
          <w:shd w:val="clear" w:color="auto" w:fill="FFFFFF"/>
        </w:rPr>
        <w:t xml:space="preserve"> the Climate Technology Centre and Network to include information on the </w:t>
      </w:r>
      <w:r w:rsidR="00475545" w:rsidRPr="000058D0">
        <w:rPr>
          <w:rStyle w:val="normaltextrun"/>
          <w:rFonts w:asciiTheme="majorBidi" w:hAnsiTheme="majorBidi" w:cstheme="majorBidi"/>
          <w:shd w:val="clear" w:color="auto" w:fill="FFFFFF"/>
        </w:rPr>
        <w:t>major outcomes</w:t>
      </w:r>
      <w:r w:rsidR="00475545" w:rsidRPr="00C1384B">
        <w:rPr>
          <w:rStyle w:val="normaltextrun"/>
          <w:rFonts w:asciiTheme="majorBidi" w:hAnsiTheme="majorBidi" w:cstheme="majorBidi"/>
          <w:shd w:val="clear" w:color="auto" w:fill="FFFFFF"/>
        </w:rPr>
        <w:t xml:space="preserve"> </w:t>
      </w:r>
      <w:r w:rsidR="00475545">
        <w:rPr>
          <w:rStyle w:val="normaltextrun"/>
          <w:rFonts w:asciiTheme="majorBidi" w:hAnsiTheme="majorBidi" w:cstheme="majorBidi"/>
          <w:shd w:val="clear" w:color="auto" w:fill="FFFFFF"/>
        </w:rPr>
        <w:t xml:space="preserve">of </w:t>
      </w:r>
      <w:r w:rsidR="00475545" w:rsidRPr="00C1384B">
        <w:rPr>
          <w:rStyle w:val="normaltextrun"/>
          <w:rFonts w:asciiTheme="majorBidi" w:hAnsiTheme="majorBidi" w:cstheme="majorBidi"/>
          <w:shd w:val="clear" w:color="auto" w:fill="FFFFFF"/>
        </w:rPr>
        <w:t xml:space="preserve">and lessons learned by its </w:t>
      </w:r>
      <w:r w:rsidR="00475545">
        <w:rPr>
          <w:rStyle w:val="normaltextrun"/>
          <w:rFonts w:asciiTheme="majorBidi" w:hAnsiTheme="majorBidi" w:cstheme="majorBidi"/>
          <w:shd w:val="clear" w:color="auto" w:fill="FFFFFF"/>
        </w:rPr>
        <w:t>P</w:t>
      </w:r>
      <w:r w:rsidR="00475545" w:rsidRPr="00C1384B">
        <w:rPr>
          <w:rStyle w:val="normaltextrun"/>
          <w:rFonts w:asciiTheme="majorBidi" w:hAnsiTheme="majorBidi" w:cstheme="majorBidi"/>
          <w:shd w:val="clear" w:color="auto" w:fill="FFFFFF"/>
        </w:rPr>
        <w:t xml:space="preserve">artnership and </w:t>
      </w:r>
      <w:r w:rsidR="00475545">
        <w:rPr>
          <w:rStyle w:val="normaltextrun"/>
          <w:rFonts w:asciiTheme="majorBidi" w:hAnsiTheme="majorBidi" w:cstheme="majorBidi"/>
          <w:shd w:val="clear" w:color="auto" w:fill="FFFFFF"/>
        </w:rPr>
        <w:t>L</w:t>
      </w:r>
      <w:r w:rsidR="00475545" w:rsidRPr="00C1384B">
        <w:rPr>
          <w:rStyle w:val="normaltextrun"/>
          <w:rFonts w:asciiTheme="majorBidi" w:hAnsiTheme="majorBidi" w:cstheme="majorBidi"/>
          <w:shd w:val="clear" w:color="auto" w:fill="FFFFFF"/>
        </w:rPr>
        <w:t xml:space="preserve">iaison </w:t>
      </w:r>
      <w:r w:rsidR="00475545">
        <w:rPr>
          <w:rStyle w:val="normaltextrun"/>
          <w:rFonts w:asciiTheme="majorBidi" w:hAnsiTheme="majorBidi" w:cstheme="majorBidi"/>
          <w:shd w:val="clear" w:color="auto" w:fill="FFFFFF"/>
        </w:rPr>
        <w:t>O</w:t>
      </w:r>
      <w:r w:rsidR="00475545" w:rsidRPr="00C1384B">
        <w:rPr>
          <w:rStyle w:val="normaltextrun"/>
          <w:rFonts w:asciiTheme="majorBidi" w:hAnsiTheme="majorBidi" w:cstheme="majorBidi"/>
          <w:shd w:val="clear" w:color="auto" w:fill="FFFFFF"/>
        </w:rPr>
        <w:t>ffice in its annual reports</w:t>
      </w:r>
      <w:r w:rsidR="002E50AB">
        <w:rPr>
          <w:rStyle w:val="normaltextrun"/>
          <w:rFonts w:asciiTheme="majorBidi" w:hAnsiTheme="majorBidi" w:cstheme="majorBidi"/>
          <w:shd w:val="clear" w:color="auto" w:fill="FFFFFF"/>
        </w:rPr>
        <w:t>;</w:t>
      </w:r>
    </w:p>
    <w:p w14:paraId="304389CB" w14:textId="0C3DDE20" w:rsidR="002E50AB" w:rsidRDefault="00406A0D" w:rsidP="00406A0D">
      <w:pPr>
        <w:pStyle w:val="RegSingleTxtG"/>
        <w:ind w:left="1135"/>
        <w:rPr>
          <w:rStyle w:val="normaltextrun"/>
          <w:rFonts w:asciiTheme="majorBidi" w:hAnsiTheme="majorBidi" w:cstheme="majorBidi"/>
          <w:color w:val="000000"/>
        </w:rPr>
      </w:pPr>
      <w:r>
        <w:rPr>
          <w:rStyle w:val="normaltextrun"/>
          <w:rFonts w:asciiTheme="majorBidi" w:hAnsiTheme="majorBidi" w:cstheme="majorBidi"/>
          <w:iCs/>
          <w:color w:val="000000"/>
        </w:rPr>
        <w:t>17.</w:t>
      </w:r>
      <w:r>
        <w:rPr>
          <w:rStyle w:val="normaltextrun"/>
          <w:rFonts w:asciiTheme="majorBidi" w:hAnsiTheme="majorBidi" w:cstheme="majorBidi"/>
          <w:iCs/>
          <w:color w:val="000000"/>
        </w:rPr>
        <w:tab/>
      </w:r>
      <w:r w:rsidR="002E50AB" w:rsidRPr="00813AC2">
        <w:rPr>
          <w:rStyle w:val="normaltextrun"/>
          <w:rFonts w:asciiTheme="majorBidi" w:hAnsiTheme="majorBidi" w:cstheme="majorBidi"/>
          <w:i/>
          <w:iCs/>
          <w:color w:val="000000"/>
        </w:rPr>
        <w:t>Notes with concern</w:t>
      </w:r>
      <w:r w:rsidR="002E50AB" w:rsidRPr="00813AC2">
        <w:rPr>
          <w:rStyle w:val="normaltextrun"/>
          <w:rFonts w:asciiTheme="majorBidi" w:hAnsiTheme="majorBidi" w:cstheme="majorBidi"/>
          <w:color w:val="000000"/>
        </w:rPr>
        <w:t xml:space="preserve"> that securing funding for implementing the mandates of the Technology Mechanism and its </w:t>
      </w:r>
      <w:r w:rsidR="002E50AB">
        <w:rPr>
          <w:rStyle w:val="normaltextrun"/>
          <w:rFonts w:asciiTheme="majorBidi" w:hAnsiTheme="majorBidi" w:cstheme="majorBidi"/>
          <w:color w:val="000000"/>
        </w:rPr>
        <w:t>j</w:t>
      </w:r>
      <w:r w:rsidR="002E50AB" w:rsidRPr="00813AC2">
        <w:rPr>
          <w:rStyle w:val="normaltextrun"/>
          <w:rFonts w:asciiTheme="majorBidi" w:hAnsiTheme="majorBidi" w:cstheme="majorBidi"/>
          <w:color w:val="000000"/>
        </w:rPr>
        <w:t xml:space="preserve">oint </w:t>
      </w:r>
      <w:r w:rsidR="002E50AB">
        <w:rPr>
          <w:rStyle w:val="normaltextrun"/>
          <w:rFonts w:asciiTheme="majorBidi" w:hAnsiTheme="majorBidi" w:cstheme="majorBidi"/>
          <w:color w:val="000000"/>
        </w:rPr>
        <w:t>w</w:t>
      </w:r>
      <w:r w:rsidR="002E50AB" w:rsidRPr="00813AC2">
        <w:rPr>
          <w:rStyle w:val="normaltextrun"/>
          <w:rFonts w:asciiTheme="majorBidi" w:hAnsiTheme="majorBidi" w:cstheme="majorBidi"/>
          <w:color w:val="000000"/>
        </w:rPr>
        <w:t xml:space="preserve">ork </w:t>
      </w:r>
      <w:r w:rsidR="002E50AB">
        <w:rPr>
          <w:rStyle w:val="normaltextrun"/>
          <w:rFonts w:asciiTheme="majorBidi" w:hAnsiTheme="majorBidi" w:cstheme="majorBidi"/>
          <w:color w:val="000000"/>
        </w:rPr>
        <w:t>p</w:t>
      </w:r>
      <w:r w:rsidR="002E50AB" w:rsidRPr="00813AC2">
        <w:rPr>
          <w:rStyle w:val="normaltextrun"/>
          <w:rFonts w:asciiTheme="majorBidi" w:hAnsiTheme="majorBidi" w:cstheme="majorBidi"/>
          <w:color w:val="000000"/>
        </w:rPr>
        <w:t xml:space="preserve">rogramme </w:t>
      </w:r>
      <w:r w:rsidR="002E50AB" w:rsidRPr="0018616B">
        <w:t>for 2023–2027</w:t>
      </w:r>
      <w:r w:rsidR="002E50AB">
        <w:t xml:space="preserve"> </w:t>
      </w:r>
      <w:r w:rsidR="002E50AB" w:rsidRPr="00813AC2">
        <w:rPr>
          <w:rStyle w:val="normaltextrun"/>
          <w:rFonts w:asciiTheme="majorBidi" w:hAnsiTheme="majorBidi" w:cstheme="majorBidi"/>
          <w:color w:val="000000"/>
        </w:rPr>
        <w:t xml:space="preserve">remains a challenge, especially for the </w:t>
      </w:r>
      <w:r w:rsidR="002E50AB">
        <w:rPr>
          <w:rStyle w:val="normaltextrun"/>
          <w:rFonts w:asciiTheme="majorBidi" w:hAnsiTheme="majorBidi" w:cstheme="majorBidi"/>
          <w:color w:val="000000"/>
        </w:rPr>
        <w:t>Climate Technology Centre and Network,</w:t>
      </w:r>
      <w:r w:rsidR="002E50AB" w:rsidRPr="00813AC2">
        <w:rPr>
          <w:rStyle w:val="normaltextrun"/>
          <w:rFonts w:asciiTheme="majorBidi" w:hAnsiTheme="majorBidi" w:cstheme="majorBidi"/>
          <w:color w:val="000000"/>
        </w:rPr>
        <w:t xml:space="preserve"> and </w:t>
      </w:r>
      <w:r w:rsidR="002E50AB" w:rsidRPr="0069330D">
        <w:rPr>
          <w:rStyle w:val="normaltextrun"/>
          <w:rFonts w:asciiTheme="majorBidi" w:hAnsiTheme="majorBidi" w:cstheme="majorBidi"/>
          <w:i/>
          <w:iCs/>
          <w:color w:val="000000"/>
        </w:rPr>
        <w:t>encourages</w:t>
      </w:r>
      <w:r w:rsidR="002E50AB" w:rsidRPr="00813AC2">
        <w:rPr>
          <w:rStyle w:val="normaltextrun"/>
          <w:rFonts w:asciiTheme="majorBidi" w:hAnsiTheme="majorBidi" w:cstheme="majorBidi"/>
          <w:color w:val="000000"/>
        </w:rPr>
        <w:t xml:space="preserve"> the provision of enhanced support</w:t>
      </w:r>
      <w:r w:rsidR="002E50AB">
        <w:rPr>
          <w:rStyle w:val="normaltextrun"/>
          <w:rFonts w:asciiTheme="majorBidi" w:hAnsiTheme="majorBidi" w:cstheme="majorBidi"/>
          <w:color w:val="000000"/>
        </w:rPr>
        <w:t>.</w:t>
      </w:r>
    </w:p>
    <w:p w14:paraId="252C5155" w14:textId="5D085D27" w:rsidR="00914D35" w:rsidRPr="000F6262" w:rsidRDefault="00914D35" w:rsidP="0012537F">
      <w:pPr>
        <w:tabs>
          <w:tab w:val="left" w:pos="1701"/>
        </w:tabs>
        <w:spacing w:line="20" w:lineRule="atLeast"/>
        <w:ind w:left="6521" w:right="1134"/>
        <w:jc w:val="right"/>
        <w:rPr>
          <w:i/>
          <w:iCs/>
        </w:rPr>
      </w:pPr>
      <w:r>
        <w:rPr>
          <w:i/>
          <w:iCs/>
        </w:rPr>
        <w:t>5</w:t>
      </w:r>
      <w:r w:rsidRPr="00AD1686">
        <w:rPr>
          <w:i/>
          <w:iCs/>
          <w:vertAlign w:val="superscript"/>
        </w:rPr>
        <w:t>th</w:t>
      </w:r>
      <w:r>
        <w:rPr>
          <w:i/>
          <w:iCs/>
        </w:rPr>
        <w:t xml:space="preserve"> </w:t>
      </w:r>
      <w:r w:rsidRPr="000F6262">
        <w:rPr>
          <w:i/>
          <w:iCs/>
        </w:rPr>
        <w:t>plenary meeting</w:t>
      </w:r>
    </w:p>
    <w:p w14:paraId="3038E9CB" w14:textId="289AAB3E" w:rsidR="00914D35" w:rsidRPr="000F6262" w:rsidRDefault="00914D35" w:rsidP="0012537F">
      <w:pPr>
        <w:tabs>
          <w:tab w:val="left" w:pos="1701"/>
        </w:tabs>
        <w:spacing w:line="20" w:lineRule="atLeast"/>
        <w:ind w:left="6521" w:right="1134"/>
        <w:jc w:val="right"/>
        <w:rPr>
          <w:i/>
          <w:iCs/>
        </w:rPr>
      </w:pPr>
      <w:r w:rsidRPr="000F6262">
        <w:rPr>
          <w:i/>
          <w:iCs/>
        </w:rPr>
        <w:t>1</w:t>
      </w:r>
      <w:r>
        <w:rPr>
          <w:i/>
          <w:iCs/>
        </w:rPr>
        <w:t>1</w:t>
      </w:r>
      <w:r w:rsidRPr="000F6262">
        <w:rPr>
          <w:i/>
          <w:iCs/>
        </w:rPr>
        <w:t xml:space="preserve"> December 2023</w:t>
      </w:r>
    </w:p>
    <w:bookmarkEnd w:id="119"/>
    <w:p w14:paraId="533D13F4" w14:textId="00C13A6D" w:rsidR="008E54C6" w:rsidRDefault="008E54C6" w:rsidP="005710C3">
      <w:pPr>
        <w:pStyle w:val="RegSingleTxtG"/>
        <w:jc w:val="center"/>
        <w:sectPr w:rsidR="008E54C6" w:rsidSect="00DA6BD2">
          <w:headerReference w:type="even" r:id="rId58"/>
          <w:headerReference w:type="default" r:id="rId59"/>
          <w:footerReference w:type="even" r:id="rId60"/>
          <w:footerReference w:type="default" r:id="rId61"/>
          <w:footnotePr>
            <w:numRestart w:val="eachSect"/>
          </w:footnotePr>
          <w:pgSz w:w="11906" w:h="16838" w:code="9"/>
          <w:pgMar w:top="1417" w:right="1134" w:bottom="1134" w:left="1134" w:header="850" w:footer="567" w:gutter="0"/>
          <w:cols w:space="708"/>
          <w:docGrid w:linePitch="360"/>
        </w:sectPr>
      </w:pPr>
    </w:p>
    <w:p w14:paraId="6C166CA4" w14:textId="0D55A835" w:rsidR="00ED2368" w:rsidRDefault="00ED2368" w:rsidP="00406A0D">
      <w:pPr>
        <w:pStyle w:val="RegHChG"/>
        <w:spacing w:before="240"/>
        <w:ind w:left="1134" w:hanging="454"/>
      </w:pPr>
      <w:bookmarkStart w:id="121" w:name="_Toc161241775"/>
      <w:bookmarkStart w:id="122" w:name="_Toc161242001"/>
      <w:bookmarkStart w:id="123" w:name="decision15"/>
      <w:r w:rsidRPr="007321A1">
        <w:lastRenderedPageBreak/>
        <w:t xml:space="preserve">Decision </w:t>
      </w:r>
      <w:r>
        <w:t>15</w:t>
      </w:r>
      <w:r w:rsidRPr="007321A1">
        <w:t>/CMA.5</w:t>
      </w:r>
      <w:bookmarkEnd w:id="121"/>
      <w:bookmarkEnd w:id="122"/>
    </w:p>
    <w:p w14:paraId="3352B4BC" w14:textId="77777777" w:rsidR="00ED2368" w:rsidRPr="009B600A" w:rsidRDefault="00ED2368" w:rsidP="001D5F6A">
      <w:pPr>
        <w:pStyle w:val="HChG"/>
        <w:ind w:hanging="567"/>
        <w:jc w:val="both"/>
      </w:pPr>
      <w:r>
        <w:tab/>
      </w:r>
      <w:r>
        <w:tab/>
      </w:r>
      <w:r w:rsidRPr="00A41CF9">
        <w:rPr>
          <w:bCs/>
        </w:rPr>
        <w:t xml:space="preserve">Annual technical </w:t>
      </w:r>
      <w:r w:rsidRPr="00FD25AD">
        <w:t>progress</w:t>
      </w:r>
      <w:r w:rsidRPr="00743FCD">
        <w:t xml:space="preserve"> report of the Paris Committee on Capacity-building for 2023</w:t>
      </w:r>
    </w:p>
    <w:p w14:paraId="06EC4C2B" w14:textId="2AB61052" w:rsidR="00ED2368" w:rsidRPr="009D54B8" w:rsidRDefault="001A4351" w:rsidP="001A4351">
      <w:pPr>
        <w:pStyle w:val="SingleTxtG"/>
        <w:rPr>
          <w:iCs/>
          <w:lang w:val="en-US"/>
        </w:rPr>
      </w:pPr>
      <w:r>
        <w:rPr>
          <w:i/>
          <w:lang w:val="en-US"/>
        </w:rPr>
        <w:tab/>
      </w:r>
      <w:r>
        <w:rPr>
          <w:i/>
          <w:lang w:val="en-US"/>
        </w:rPr>
        <w:tab/>
      </w:r>
      <w:r w:rsidR="00ED2368" w:rsidRPr="008926FB">
        <w:rPr>
          <w:i/>
          <w:lang w:val="en-US"/>
        </w:rPr>
        <w:t xml:space="preserve">The Conference of the Parties serving as the meeting of the Parties to </w:t>
      </w:r>
      <w:r w:rsidR="00ED2368">
        <w:rPr>
          <w:i/>
          <w:lang w:val="en-US"/>
        </w:rPr>
        <w:t>the Paris Agreement</w:t>
      </w:r>
      <w:r w:rsidR="00ED2368" w:rsidRPr="00EF0494">
        <w:rPr>
          <w:lang w:val="en-US"/>
        </w:rPr>
        <w:t>,</w:t>
      </w:r>
      <w:r w:rsidR="00ED2368" w:rsidRPr="009D54B8">
        <w:rPr>
          <w:iCs/>
          <w:lang w:val="en-US"/>
        </w:rPr>
        <w:t xml:space="preserve"> </w:t>
      </w:r>
    </w:p>
    <w:p w14:paraId="3232C61E" w14:textId="0C7A3661" w:rsidR="00ED2368" w:rsidRPr="007D4CE1" w:rsidRDefault="0027701F" w:rsidP="00ED2368">
      <w:pPr>
        <w:pStyle w:val="SingleTxtG"/>
        <w:rPr>
          <w:lang w:val="en-US"/>
        </w:rPr>
      </w:pPr>
      <w:r>
        <w:rPr>
          <w:lang w:val="en-US"/>
        </w:rPr>
        <w:tab/>
      </w:r>
      <w:r w:rsidR="00ED2368">
        <w:rPr>
          <w:lang w:val="en-US"/>
        </w:rPr>
        <w:tab/>
      </w:r>
      <w:r w:rsidR="00ED2368" w:rsidRPr="008926FB">
        <w:rPr>
          <w:i/>
          <w:lang w:val="en-US"/>
        </w:rPr>
        <w:t>Recalling</w:t>
      </w:r>
      <w:r w:rsidR="00ED2368" w:rsidRPr="007D4CE1">
        <w:rPr>
          <w:lang w:val="en-US"/>
        </w:rPr>
        <w:t xml:space="preserve"> decisions</w:t>
      </w:r>
      <w:r w:rsidR="00ED2368">
        <w:rPr>
          <w:lang w:val="en-US"/>
        </w:rPr>
        <w:t xml:space="preserve"> </w:t>
      </w:r>
      <w:r w:rsidR="00ED2368" w:rsidRPr="00311E47">
        <w:t>3/CMA.2, 18/CMA.3 and 21/CMA.4,</w:t>
      </w:r>
    </w:p>
    <w:p w14:paraId="60E74516" w14:textId="1E5B9EAD" w:rsidR="00ED2368" w:rsidRPr="000C6CE5" w:rsidRDefault="00406A0D" w:rsidP="00406A0D">
      <w:pPr>
        <w:pStyle w:val="RegSingleTxtG"/>
        <w:tabs>
          <w:tab w:val="left" w:pos="568"/>
        </w:tabs>
        <w:ind w:left="1135"/>
      </w:pPr>
      <w:bookmarkStart w:id="124" w:name="_Ref155889081"/>
      <w:r w:rsidRPr="000C6CE5">
        <w:rPr>
          <w:bCs/>
        </w:rPr>
        <w:t>1.</w:t>
      </w:r>
      <w:r w:rsidRPr="000C6CE5">
        <w:rPr>
          <w:bCs/>
        </w:rPr>
        <w:tab/>
      </w:r>
      <w:r w:rsidR="00ED2368" w:rsidRPr="00A41CF9">
        <w:rPr>
          <w:i/>
          <w:iCs/>
        </w:rPr>
        <w:t xml:space="preserve">Welcomes </w:t>
      </w:r>
      <w:r w:rsidR="00ED2368" w:rsidRPr="00A41CF9">
        <w:t>the annual technical progress report of the Paris Committee on Capacity-building for 2023</w:t>
      </w:r>
      <w:r w:rsidR="00ED2368" w:rsidRPr="003C127A">
        <w:rPr>
          <w:sz w:val="18"/>
          <w:szCs w:val="18"/>
          <w:vertAlign w:val="superscript"/>
        </w:rPr>
        <w:footnoteReference w:id="74"/>
      </w:r>
      <w:r w:rsidR="00ED2368" w:rsidRPr="00A41CF9">
        <w:t xml:space="preserve"> and </w:t>
      </w:r>
      <w:r w:rsidR="00ED2368" w:rsidRPr="00A41CF9">
        <w:rPr>
          <w:i/>
          <w:iCs/>
        </w:rPr>
        <w:t>takes note</w:t>
      </w:r>
      <w:r w:rsidR="00ED2368" w:rsidRPr="00A41CF9">
        <w:t xml:space="preserve"> of the recommendations therein;</w:t>
      </w:r>
      <w:r w:rsidR="00ED2368" w:rsidRPr="003C127A">
        <w:rPr>
          <w:sz w:val="18"/>
          <w:szCs w:val="18"/>
          <w:vertAlign w:val="superscript"/>
        </w:rPr>
        <w:footnoteReference w:id="75"/>
      </w:r>
      <w:bookmarkEnd w:id="124"/>
    </w:p>
    <w:p w14:paraId="2352552E" w14:textId="40A53E81" w:rsidR="00ED2368" w:rsidRPr="00841A54" w:rsidRDefault="00406A0D" w:rsidP="00406A0D">
      <w:pPr>
        <w:pStyle w:val="RegSingleTxtG"/>
        <w:tabs>
          <w:tab w:val="left" w:pos="568"/>
        </w:tabs>
        <w:ind w:left="1135"/>
      </w:pPr>
      <w:r w:rsidRPr="00841A54">
        <w:rPr>
          <w:bCs/>
        </w:rPr>
        <w:t>2.</w:t>
      </w:r>
      <w:r w:rsidRPr="00841A54">
        <w:rPr>
          <w:bCs/>
        </w:rPr>
        <w:tab/>
      </w:r>
      <w:r w:rsidR="00ED2368" w:rsidRPr="00A41CF9">
        <w:rPr>
          <w:i/>
          <w:iCs/>
        </w:rPr>
        <w:t xml:space="preserve">Invites </w:t>
      </w:r>
      <w:r w:rsidR="00ED2368" w:rsidRPr="00A41CF9">
        <w:t xml:space="preserve">Parties, as appropriate, the operating entities of the Financial Mechanism, the constituted bodies under the Paris Agreement, United Nations organizations, observers and other stakeholders to consider the recommendations referred to in paragraph </w:t>
      </w:r>
      <w:r w:rsidR="00605CF6">
        <w:rPr>
          <w:cs/>
        </w:rPr>
        <w:t>‎</w:t>
      </w:r>
      <w:r w:rsidR="00605CF6">
        <w:t>1 above</w:t>
      </w:r>
      <w:r w:rsidR="00ED2368" w:rsidRPr="00A41CF9">
        <w:t xml:space="preserve"> and to take any necessary action, as appropriate and in accordance with their </w:t>
      </w:r>
      <w:proofErr w:type="gramStart"/>
      <w:r w:rsidR="00ED2368" w:rsidRPr="00A41CF9">
        <w:t>mandates;</w:t>
      </w:r>
      <w:proofErr w:type="gramEnd"/>
    </w:p>
    <w:p w14:paraId="289A86AD" w14:textId="37D9FBFF" w:rsidR="00ED2368" w:rsidRDefault="00406A0D" w:rsidP="00406A0D">
      <w:pPr>
        <w:pStyle w:val="RegSingleTxtG"/>
        <w:tabs>
          <w:tab w:val="left" w:pos="568"/>
        </w:tabs>
        <w:ind w:left="1135"/>
      </w:pPr>
      <w:r>
        <w:rPr>
          <w:bCs/>
        </w:rPr>
        <w:t>3.</w:t>
      </w:r>
      <w:r>
        <w:rPr>
          <w:bCs/>
        </w:rPr>
        <w:tab/>
      </w:r>
      <w:r w:rsidR="00ED2368" w:rsidRPr="00743FCD">
        <w:rPr>
          <w:i/>
          <w:iCs/>
        </w:rPr>
        <w:t>Acknowledges</w:t>
      </w:r>
      <w:r w:rsidR="00ED2368" w:rsidRPr="00743FCD">
        <w:t xml:space="preserve"> the progress of the </w:t>
      </w:r>
      <w:r w:rsidR="00ED2368" w:rsidRPr="00A41CF9">
        <w:t xml:space="preserve">Paris Committee on Capacity-building </w:t>
      </w:r>
      <w:r w:rsidR="00ED2368" w:rsidRPr="00743FCD">
        <w:t>in implementing its workplan</w:t>
      </w:r>
      <w:r w:rsidR="00ED2368" w:rsidRPr="00A41CF9">
        <w:t xml:space="preserve"> </w:t>
      </w:r>
      <w:r w:rsidR="00ED2368" w:rsidRPr="00743FCD">
        <w:t>for 2021–2024</w:t>
      </w:r>
      <w:r w:rsidR="00ED2368">
        <w:t>,</w:t>
      </w:r>
      <w:r w:rsidR="00ED2368" w:rsidRPr="003C127A">
        <w:rPr>
          <w:sz w:val="18"/>
          <w:szCs w:val="18"/>
          <w:vertAlign w:val="superscript"/>
        </w:rPr>
        <w:footnoteReference w:id="76"/>
      </w:r>
      <w:r w:rsidR="00ED2368" w:rsidRPr="00743FCD">
        <w:t xml:space="preserve"> </w:t>
      </w:r>
      <w:r w:rsidR="00ED2368">
        <w:t>which is based</w:t>
      </w:r>
      <w:r w:rsidR="00ED2368" w:rsidRPr="00743FCD">
        <w:t xml:space="preserve"> on the priority areas and activities set out in the annex to decision 9/CP.25 and </w:t>
      </w:r>
      <w:r w:rsidR="00ED2368">
        <w:t>confirmed</w:t>
      </w:r>
      <w:r w:rsidR="00ED2368" w:rsidRPr="00743FCD">
        <w:t xml:space="preserve"> in paragraph 4 of decision 3/CMA.</w:t>
      </w:r>
      <w:proofErr w:type="gramStart"/>
      <w:r w:rsidR="00ED2368" w:rsidRPr="00743FCD">
        <w:t>2;</w:t>
      </w:r>
      <w:proofErr w:type="gramEnd"/>
      <w:r w:rsidR="00ED2368" w:rsidRPr="00743FCD">
        <w:t> </w:t>
      </w:r>
    </w:p>
    <w:p w14:paraId="4B2D60D5" w14:textId="53B091E6" w:rsidR="00ED2368" w:rsidRDefault="00406A0D" w:rsidP="00406A0D">
      <w:pPr>
        <w:pStyle w:val="RegSingleTxtG"/>
        <w:tabs>
          <w:tab w:val="left" w:pos="568"/>
        </w:tabs>
        <w:ind w:left="1135"/>
      </w:pPr>
      <w:r>
        <w:rPr>
          <w:bCs/>
        </w:rPr>
        <w:t>4.</w:t>
      </w:r>
      <w:r>
        <w:rPr>
          <w:bCs/>
        </w:rPr>
        <w:tab/>
      </w:r>
      <w:r w:rsidR="00ED2368">
        <w:rPr>
          <w:i/>
          <w:iCs/>
        </w:rPr>
        <w:t>W</w:t>
      </w:r>
      <w:r w:rsidR="00ED2368" w:rsidRPr="00A41CF9">
        <w:rPr>
          <w:i/>
          <w:iCs/>
        </w:rPr>
        <w:t>elcomes</w:t>
      </w:r>
      <w:r w:rsidR="00ED2368" w:rsidRPr="00A41CF9">
        <w:t xml:space="preserve"> the work of the Paris Committee on Capacity-building in relation to enhancing coherence and coordination of capacity-building activities under the Paris Agreement, including its collaboration with constituted bodies and other stakeholders in this </w:t>
      </w:r>
      <w:proofErr w:type="gramStart"/>
      <w:r w:rsidR="00ED2368" w:rsidRPr="00A41CF9">
        <w:t>regard;</w:t>
      </w:r>
      <w:proofErr w:type="gramEnd"/>
    </w:p>
    <w:p w14:paraId="26E897E2" w14:textId="4060913C" w:rsidR="00ED2368" w:rsidRDefault="00406A0D" w:rsidP="00406A0D">
      <w:pPr>
        <w:pStyle w:val="RegSingleTxtG"/>
        <w:tabs>
          <w:tab w:val="left" w:pos="568"/>
        </w:tabs>
        <w:ind w:left="1135"/>
      </w:pPr>
      <w:r>
        <w:rPr>
          <w:bCs/>
        </w:rPr>
        <w:t>5.</w:t>
      </w:r>
      <w:r>
        <w:rPr>
          <w:bCs/>
        </w:rPr>
        <w:tab/>
      </w:r>
      <w:r w:rsidR="00ED2368">
        <w:rPr>
          <w:i/>
          <w:iCs/>
        </w:rPr>
        <w:t>Notes</w:t>
      </w:r>
      <w:r w:rsidR="00ED2368" w:rsidRPr="007F6EEE">
        <w:rPr>
          <w:i/>
          <w:iCs/>
        </w:rPr>
        <w:t xml:space="preserve"> </w:t>
      </w:r>
      <w:r w:rsidR="00ED2368" w:rsidRPr="000C71BD">
        <w:t>that capacity gaps and needs still exist in developing countries pertaining to the implementation of the Paris Agreement</w:t>
      </w:r>
      <w:r w:rsidR="00ED2368">
        <w:t xml:space="preserve"> and </w:t>
      </w:r>
      <w:r w:rsidR="00ED2368">
        <w:rPr>
          <w:i/>
          <w:iCs/>
        </w:rPr>
        <w:t>recalls</w:t>
      </w:r>
      <w:r w:rsidR="00ED2368">
        <w:t xml:space="preserve"> Article 11</w:t>
      </w:r>
      <w:r w:rsidR="0027701F">
        <w:t xml:space="preserve">, paragraph </w:t>
      </w:r>
      <w:r w:rsidR="00ED2368">
        <w:t>3</w:t>
      </w:r>
      <w:r w:rsidR="0027701F">
        <w:t>,</w:t>
      </w:r>
      <w:r w:rsidR="00ED2368">
        <w:t xml:space="preserve"> of the Paris Agreement</w:t>
      </w:r>
      <w:r w:rsidR="00C96104">
        <w:t xml:space="preserve"> in this </w:t>
      </w:r>
      <w:proofErr w:type="gramStart"/>
      <w:r w:rsidR="00C96104">
        <w:t>regard</w:t>
      </w:r>
      <w:r w:rsidR="00ED2368">
        <w:t>;</w:t>
      </w:r>
      <w:proofErr w:type="gramEnd"/>
    </w:p>
    <w:p w14:paraId="44177E09" w14:textId="3610DFA5" w:rsidR="00ED2368" w:rsidRDefault="00406A0D" w:rsidP="00406A0D">
      <w:pPr>
        <w:pStyle w:val="RegSingleTxtG"/>
        <w:tabs>
          <w:tab w:val="left" w:pos="568"/>
        </w:tabs>
        <w:ind w:left="1135"/>
      </w:pPr>
      <w:r>
        <w:rPr>
          <w:bCs/>
        </w:rPr>
        <w:t>6.</w:t>
      </w:r>
      <w:r>
        <w:rPr>
          <w:bCs/>
        </w:rPr>
        <w:tab/>
      </w:r>
      <w:r w:rsidR="00ED2368" w:rsidRPr="007F6EEE">
        <w:rPr>
          <w:i/>
          <w:iCs/>
        </w:rPr>
        <w:t xml:space="preserve">Invites </w:t>
      </w:r>
      <w:r w:rsidR="00ED2368" w:rsidRPr="00D57069">
        <w:t>Parties and relevant institutions, as appropriate, to provide support and resources to the Paris Committee on Capacity-building for implementing its workplan for 2021–2024 in the light of the aim of the Committee established in decision 1/CP.21.</w:t>
      </w:r>
    </w:p>
    <w:p w14:paraId="7F22D567" w14:textId="77777777" w:rsidR="00E02C76" w:rsidRPr="000F6262" w:rsidRDefault="00E02C76" w:rsidP="00311E47">
      <w:pPr>
        <w:tabs>
          <w:tab w:val="left" w:pos="1701"/>
        </w:tabs>
        <w:spacing w:line="20" w:lineRule="atLeast"/>
        <w:ind w:left="6521" w:right="1134"/>
        <w:jc w:val="right"/>
        <w:rPr>
          <w:i/>
          <w:iCs/>
        </w:rPr>
      </w:pPr>
      <w:r>
        <w:rPr>
          <w:i/>
          <w:iCs/>
        </w:rPr>
        <w:t>6</w:t>
      </w:r>
      <w:r w:rsidRPr="00AD1686">
        <w:rPr>
          <w:i/>
          <w:iCs/>
          <w:vertAlign w:val="superscript"/>
        </w:rPr>
        <w:t>th</w:t>
      </w:r>
      <w:r>
        <w:rPr>
          <w:i/>
          <w:iCs/>
        </w:rPr>
        <w:t xml:space="preserve"> </w:t>
      </w:r>
      <w:r w:rsidRPr="000F6262">
        <w:rPr>
          <w:i/>
          <w:iCs/>
        </w:rPr>
        <w:t>plenary meeting</w:t>
      </w:r>
    </w:p>
    <w:p w14:paraId="1036A0CA" w14:textId="5CD23C68" w:rsidR="00245EF2" w:rsidRDefault="00E02C76" w:rsidP="00245EF2">
      <w:pPr>
        <w:tabs>
          <w:tab w:val="left" w:pos="1701"/>
        </w:tabs>
        <w:spacing w:line="20" w:lineRule="atLeast"/>
        <w:ind w:left="6521" w:right="1134"/>
        <w:jc w:val="right"/>
        <w:rPr>
          <w:i/>
          <w:iCs/>
        </w:rPr>
        <w:sectPr w:rsidR="00245EF2" w:rsidSect="00DA6BD2">
          <w:headerReference w:type="even" r:id="rId62"/>
          <w:headerReference w:type="default" r:id="rId63"/>
          <w:footerReference w:type="even" r:id="rId64"/>
          <w:footerReference w:type="default" r:id="rId65"/>
          <w:footnotePr>
            <w:numRestart w:val="eachSect"/>
          </w:footnotePr>
          <w:pgSz w:w="11906" w:h="16838" w:code="9"/>
          <w:pgMar w:top="1417" w:right="1134" w:bottom="1134" w:left="1134" w:header="850" w:footer="567" w:gutter="0"/>
          <w:cols w:space="708"/>
          <w:docGrid w:linePitch="360"/>
        </w:sectPr>
      </w:pPr>
      <w:r w:rsidRPr="000F6262">
        <w:rPr>
          <w:i/>
          <w:iCs/>
        </w:rPr>
        <w:t>13 December 2023</w:t>
      </w:r>
      <w:bookmarkEnd w:id="123"/>
    </w:p>
    <w:p w14:paraId="33D40E74" w14:textId="77777777" w:rsidR="00EA5135" w:rsidRDefault="00EA5135" w:rsidP="000C3E0F">
      <w:pPr>
        <w:pStyle w:val="HChG"/>
        <w:sectPr w:rsidR="00EA5135" w:rsidSect="006936CF">
          <w:headerReference w:type="even" r:id="rId66"/>
          <w:headerReference w:type="default" r:id="rId67"/>
          <w:footerReference w:type="even" r:id="rId68"/>
          <w:footerReference w:type="default" r:id="rId69"/>
          <w:footnotePr>
            <w:numRestart w:val="eachSect"/>
          </w:footnotePr>
          <w:type w:val="continuous"/>
          <w:pgSz w:w="11906" w:h="16838" w:code="9"/>
          <w:pgMar w:top="1418" w:right="1134" w:bottom="1134" w:left="1134" w:header="850" w:footer="567" w:gutter="0"/>
          <w:cols w:space="708"/>
          <w:docGrid w:linePitch="360"/>
        </w:sectPr>
      </w:pPr>
    </w:p>
    <w:p w14:paraId="715BC427" w14:textId="78683815" w:rsidR="000C3E0F" w:rsidRDefault="000C3E0F" w:rsidP="00406A0D">
      <w:pPr>
        <w:pStyle w:val="RegHChG"/>
        <w:spacing w:before="240"/>
        <w:ind w:left="1134" w:hanging="454"/>
      </w:pPr>
      <w:bookmarkStart w:id="125" w:name="_Toc161241776"/>
      <w:bookmarkStart w:id="126" w:name="_Toc161242002"/>
      <w:bookmarkStart w:id="127" w:name="decision16"/>
      <w:r w:rsidRPr="00547F2C">
        <w:lastRenderedPageBreak/>
        <w:t xml:space="preserve">Decision </w:t>
      </w:r>
      <w:r>
        <w:t>16</w:t>
      </w:r>
      <w:r w:rsidRPr="00547F2C">
        <w:t>/CMA.5</w:t>
      </w:r>
      <w:bookmarkEnd w:id="125"/>
      <w:bookmarkEnd w:id="126"/>
    </w:p>
    <w:p w14:paraId="6880FDFB" w14:textId="523D3046" w:rsidR="000C3E0F" w:rsidRPr="00163258" w:rsidRDefault="000C3E0F" w:rsidP="00406A0D">
      <w:pPr>
        <w:pStyle w:val="RegHChG"/>
        <w:ind w:left="1135" w:hanging="454"/>
        <w:rPr>
          <w:lang w:val="en-US"/>
        </w:rPr>
      </w:pPr>
      <w:bookmarkStart w:id="128" w:name="_Toc161241777"/>
      <w:bookmarkStart w:id="129" w:name="_Toc161242003"/>
      <w:r w:rsidRPr="00F820AE">
        <w:rPr>
          <w:lang w:val="en-US"/>
        </w:rPr>
        <w:t>Terms of reference for the second review of the Paris Committee on Capacity-building</w:t>
      </w:r>
      <w:bookmarkEnd w:id="128"/>
      <w:bookmarkEnd w:id="129"/>
      <w:r w:rsidRPr="00F820AE">
        <w:rPr>
          <w:lang w:val="en-US"/>
        </w:rPr>
        <w:t xml:space="preserve"> </w:t>
      </w:r>
    </w:p>
    <w:p w14:paraId="379C8317" w14:textId="0303D9E1" w:rsidR="000C3E0F" w:rsidRPr="009D54B8" w:rsidRDefault="001A4351" w:rsidP="001A4351">
      <w:pPr>
        <w:pStyle w:val="SingleTxtG"/>
        <w:rPr>
          <w:iCs/>
          <w:lang w:val="en-US"/>
        </w:rPr>
      </w:pPr>
      <w:r>
        <w:rPr>
          <w:i/>
          <w:iCs/>
          <w:lang w:val="en-US"/>
        </w:rPr>
        <w:tab/>
      </w:r>
      <w:r>
        <w:rPr>
          <w:i/>
          <w:iCs/>
          <w:lang w:val="en-US"/>
        </w:rPr>
        <w:tab/>
      </w:r>
      <w:r w:rsidR="000C3E0F" w:rsidRPr="00354E33">
        <w:rPr>
          <w:i/>
          <w:iCs/>
          <w:lang w:val="en-US"/>
        </w:rPr>
        <w:t>The Conference of the Parties serving as the meeting of the Parties to the Paris Agreement</w:t>
      </w:r>
      <w:r w:rsidR="000C3E0F" w:rsidRPr="0027743D">
        <w:rPr>
          <w:lang w:val="en-US"/>
        </w:rPr>
        <w:t xml:space="preserve">, </w:t>
      </w:r>
    </w:p>
    <w:p w14:paraId="0A5DDB55" w14:textId="2BDAE0ED" w:rsidR="000C3E0F" w:rsidRPr="009D54B8" w:rsidRDefault="001A4351" w:rsidP="001A4351">
      <w:pPr>
        <w:pStyle w:val="SingleTxtG"/>
        <w:rPr>
          <w:iCs/>
          <w:lang w:val="en-US"/>
        </w:rPr>
      </w:pPr>
      <w:r>
        <w:rPr>
          <w:lang w:val="en-US"/>
        </w:rPr>
        <w:tab/>
      </w:r>
      <w:r>
        <w:rPr>
          <w:lang w:val="en-US"/>
        </w:rPr>
        <w:tab/>
      </w:r>
      <w:r w:rsidR="000C3E0F" w:rsidRPr="0027743D">
        <w:rPr>
          <w:lang w:val="en-US"/>
        </w:rPr>
        <w:t xml:space="preserve">Recalling decisions </w:t>
      </w:r>
      <w:r w:rsidR="000C3E0F">
        <w:rPr>
          <w:lang w:val="en-US"/>
        </w:rPr>
        <w:t>1/CP.21, 9/CP.25, 3/CMA.2, 18/CMA.3 and 21/</w:t>
      </w:r>
      <w:r w:rsidR="000C3E0F" w:rsidRPr="008F7BFC">
        <w:rPr>
          <w:lang w:val="en-US"/>
        </w:rPr>
        <w:t>CMA.4</w:t>
      </w:r>
      <w:r w:rsidR="000C3E0F" w:rsidRPr="00FB763A">
        <w:rPr>
          <w:lang w:val="en-US"/>
        </w:rPr>
        <w:t>,</w:t>
      </w:r>
    </w:p>
    <w:p w14:paraId="4DB3F46A" w14:textId="0E2A6A2C" w:rsidR="000C3E0F" w:rsidRPr="008C223C" w:rsidRDefault="00406A0D" w:rsidP="00406A0D">
      <w:pPr>
        <w:pStyle w:val="RegSingleTxtG"/>
        <w:ind w:left="1134"/>
        <w:rPr>
          <w:iCs/>
          <w:lang w:val="en-US"/>
        </w:rPr>
      </w:pPr>
      <w:r w:rsidRPr="008C223C">
        <w:rPr>
          <w:lang w:val="en-US"/>
        </w:rPr>
        <w:t>1.</w:t>
      </w:r>
      <w:r w:rsidRPr="008C223C">
        <w:rPr>
          <w:lang w:val="en-US"/>
        </w:rPr>
        <w:tab/>
      </w:r>
      <w:r w:rsidR="000C3E0F" w:rsidRPr="008C223C">
        <w:rPr>
          <w:i/>
          <w:lang w:val="en-US"/>
        </w:rPr>
        <w:t xml:space="preserve">Decides </w:t>
      </w:r>
      <w:r w:rsidR="000C3E0F" w:rsidRPr="008C223C">
        <w:rPr>
          <w:iCs/>
          <w:lang w:val="en-US"/>
        </w:rPr>
        <w:t xml:space="preserve">to conduct </w:t>
      </w:r>
      <w:r w:rsidR="000C3E0F">
        <w:rPr>
          <w:iCs/>
          <w:lang w:val="en-US"/>
        </w:rPr>
        <w:t xml:space="preserve">the </w:t>
      </w:r>
      <w:r w:rsidR="000C3E0F" w:rsidRPr="007F16BF">
        <w:rPr>
          <w:lang w:val="en-US"/>
        </w:rPr>
        <w:t>second</w:t>
      </w:r>
      <w:r w:rsidR="000C3E0F" w:rsidRPr="008C223C">
        <w:rPr>
          <w:iCs/>
          <w:lang w:val="en-US"/>
        </w:rPr>
        <w:t xml:space="preserve"> review of the progress and need for extension of the Paris Committee on Capacity-building</w:t>
      </w:r>
      <w:r w:rsidR="000C3E0F">
        <w:rPr>
          <w:iCs/>
          <w:lang w:val="en-US"/>
        </w:rPr>
        <w:t xml:space="preserve"> at its sixth session (November 2024</w:t>
      </w:r>
      <w:proofErr w:type="gramStart"/>
      <w:r w:rsidR="000C3E0F">
        <w:rPr>
          <w:iCs/>
          <w:lang w:val="en-US"/>
        </w:rPr>
        <w:t>)</w:t>
      </w:r>
      <w:r w:rsidR="000C3E0F" w:rsidRPr="008C223C">
        <w:rPr>
          <w:iCs/>
          <w:lang w:val="en-US"/>
        </w:rPr>
        <w:t>;</w:t>
      </w:r>
      <w:proofErr w:type="gramEnd"/>
    </w:p>
    <w:p w14:paraId="0BB46A9E" w14:textId="3CC5DFE0" w:rsidR="000C3E0F" w:rsidRPr="00E46805" w:rsidRDefault="00406A0D" w:rsidP="00406A0D">
      <w:pPr>
        <w:pStyle w:val="RegSingleTxtG"/>
        <w:ind w:left="1701" w:hanging="567"/>
        <w:rPr>
          <w:lang w:val="en-US"/>
        </w:rPr>
      </w:pPr>
      <w:r w:rsidRPr="00E46805">
        <w:rPr>
          <w:lang w:val="en-US"/>
        </w:rPr>
        <w:t>2.</w:t>
      </w:r>
      <w:r w:rsidRPr="00E46805">
        <w:rPr>
          <w:lang w:val="en-US"/>
        </w:rPr>
        <w:tab/>
      </w:r>
      <w:r w:rsidR="000C3E0F">
        <w:rPr>
          <w:i/>
          <w:lang w:val="en-US"/>
        </w:rPr>
        <w:t>Affirms</w:t>
      </w:r>
      <w:r w:rsidR="000C3E0F" w:rsidRPr="00E46805">
        <w:rPr>
          <w:lang w:val="en-US"/>
        </w:rPr>
        <w:t xml:space="preserve">, in this context, </w:t>
      </w:r>
      <w:r w:rsidR="000C3E0F" w:rsidRPr="00C32891">
        <w:rPr>
          <w:lang w:val="en-US"/>
        </w:rPr>
        <w:t xml:space="preserve">decision </w:t>
      </w:r>
      <w:r w:rsidR="00DD2F5A" w:rsidRPr="00C32891">
        <w:rPr>
          <w:iCs/>
          <w:lang w:val="en-US"/>
        </w:rPr>
        <w:t>12</w:t>
      </w:r>
      <w:r w:rsidR="000C3E0F" w:rsidRPr="00C32891">
        <w:rPr>
          <w:iCs/>
          <w:lang w:val="en-US"/>
        </w:rPr>
        <w:t>/CP.</w:t>
      </w:r>
      <w:proofErr w:type="gramStart"/>
      <w:r w:rsidR="000C3E0F" w:rsidRPr="00C32891">
        <w:rPr>
          <w:iCs/>
          <w:lang w:val="en-US"/>
        </w:rPr>
        <w:t>28;</w:t>
      </w:r>
      <w:proofErr w:type="gramEnd"/>
    </w:p>
    <w:p w14:paraId="236AD64A" w14:textId="47344EF5" w:rsidR="000C3E0F" w:rsidRPr="00E46805" w:rsidRDefault="00406A0D" w:rsidP="00406A0D">
      <w:pPr>
        <w:pStyle w:val="RegSingleTxtG"/>
        <w:tabs>
          <w:tab w:val="clear" w:pos="1701"/>
        </w:tabs>
        <w:ind w:left="1134"/>
        <w:rPr>
          <w:iCs/>
          <w:lang w:val="en-US"/>
        </w:rPr>
      </w:pPr>
      <w:r w:rsidRPr="00E46805">
        <w:rPr>
          <w:lang w:val="en-US"/>
        </w:rPr>
        <w:t>3.</w:t>
      </w:r>
      <w:r w:rsidRPr="00E46805">
        <w:rPr>
          <w:lang w:val="en-US"/>
        </w:rPr>
        <w:tab/>
      </w:r>
      <w:r w:rsidR="000C3E0F" w:rsidRPr="005E10FE">
        <w:rPr>
          <w:i/>
          <w:lang w:val="en-US"/>
        </w:rPr>
        <w:t>Adopts</w:t>
      </w:r>
      <w:r w:rsidR="000C3E0F" w:rsidRPr="005E10FE">
        <w:rPr>
          <w:iCs/>
          <w:lang w:val="en-US"/>
        </w:rPr>
        <w:t xml:space="preserve"> the terms of reference for the second review of the Paris Committee on Capacity-building,</w:t>
      </w:r>
      <w:r w:rsidR="000C3E0F" w:rsidRPr="008F33B6">
        <w:rPr>
          <w:sz w:val="18"/>
          <w:szCs w:val="18"/>
          <w:vertAlign w:val="superscript"/>
          <w:lang w:val="en-US"/>
        </w:rPr>
        <w:footnoteReference w:id="77"/>
      </w:r>
      <w:r w:rsidR="000C3E0F" w:rsidRPr="005E10FE">
        <w:rPr>
          <w:iCs/>
          <w:lang w:val="en-US"/>
        </w:rPr>
        <w:t xml:space="preserve"> contained in the </w:t>
      </w:r>
      <w:proofErr w:type="gramStart"/>
      <w:r w:rsidR="000C3E0F" w:rsidRPr="005E10FE">
        <w:rPr>
          <w:iCs/>
          <w:lang w:val="en-US"/>
        </w:rPr>
        <w:t>annex;</w:t>
      </w:r>
      <w:proofErr w:type="gramEnd"/>
    </w:p>
    <w:p w14:paraId="54AB92C6" w14:textId="00F67EB8" w:rsidR="000C3E0F" w:rsidRPr="008E2A36" w:rsidRDefault="00406A0D" w:rsidP="00406A0D">
      <w:pPr>
        <w:pStyle w:val="RegSingleTxtG"/>
        <w:tabs>
          <w:tab w:val="clear" w:pos="1701"/>
        </w:tabs>
        <w:ind w:left="1134"/>
        <w:rPr>
          <w:lang w:val="en-US"/>
        </w:rPr>
      </w:pPr>
      <w:bookmarkStart w:id="130" w:name="_Ref155889306"/>
      <w:r w:rsidRPr="008E2A36">
        <w:rPr>
          <w:lang w:val="en-US"/>
        </w:rPr>
        <w:t>4.</w:t>
      </w:r>
      <w:r w:rsidRPr="008E2A36">
        <w:rPr>
          <w:lang w:val="en-US"/>
        </w:rPr>
        <w:tab/>
      </w:r>
      <w:r w:rsidR="000C3E0F" w:rsidRPr="008E2A36">
        <w:rPr>
          <w:i/>
          <w:lang w:val="en-US"/>
        </w:rPr>
        <w:t xml:space="preserve">Invites </w:t>
      </w:r>
      <w:r w:rsidR="000C3E0F" w:rsidRPr="008E2A36">
        <w:rPr>
          <w:lang w:val="en-US"/>
        </w:rPr>
        <w:t>Parties, constituted bodies</w:t>
      </w:r>
      <w:r w:rsidR="000C3E0F">
        <w:rPr>
          <w:lang w:val="en-US"/>
        </w:rPr>
        <w:t xml:space="preserve"> under the Convention and the Paris Agreement</w:t>
      </w:r>
      <w:r w:rsidR="000C3E0F" w:rsidRPr="008E2A36">
        <w:rPr>
          <w:lang w:val="en-US"/>
        </w:rPr>
        <w:t xml:space="preserve">, </w:t>
      </w:r>
      <w:r w:rsidR="000C3E0F">
        <w:rPr>
          <w:lang w:val="en-US"/>
        </w:rPr>
        <w:t xml:space="preserve">the </w:t>
      </w:r>
      <w:r w:rsidR="000C3E0F" w:rsidRPr="008E2A36">
        <w:rPr>
          <w:lang w:val="en-US"/>
        </w:rPr>
        <w:t xml:space="preserve">operating entities </w:t>
      </w:r>
      <w:r w:rsidR="000C3E0F">
        <w:rPr>
          <w:lang w:val="en-US"/>
        </w:rPr>
        <w:t>of the Financial Mechanism,</w:t>
      </w:r>
      <w:r w:rsidR="000C3E0F" w:rsidRPr="008E2A36">
        <w:rPr>
          <w:lang w:val="en-US"/>
        </w:rPr>
        <w:t xml:space="preserve"> </w:t>
      </w:r>
      <w:r w:rsidR="000C3E0F">
        <w:rPr>
          <w:lang w:val="en-US"/>
        </w:rPr>
        <w:t xml:space="preserve">representatives of </w:t>
      </w:r>
      <w:r w:rsidR="000C3E0F" w:rsidRPr="008E2A36">
        <w:rPr>
          <w:lang w:val="en-US"/>
        </w:rPr>
        <w:t xml:space="preserve">relevant processes under the </w:t>
      </w:r>
      <w:r w:rsidR="000C3E0F">
        <w:rPr>
          <w:lang w:val="en-US"/>
        </w:rPr>
        <w:t>Paris Agreement,</w:t>
      </w:r>
      <w:r w:rsidR="000C3E0F" w:rsidRPr="008E2A36">
        <w:rPr>
          <w:lang w:val="en-US"/>
        </w:rPr>
        <w:t xml:space="preserve"> and </w:t>
      </w:r>
      <w:r w:rsidR="000C3E0F">
        <w:rPr>
          <w:lang w:val="en-US"/>
        </w:rPr>
        <w:t>non-Party</w:t>
      </w:r>
      <w:r w:rsidR="000C3E0F" w:rsidRPr="008E2A36">
        <w:rPr>
          <w:lang w:val="en-US"/>
        </w:rPr>
        <w:t xml:space="preserve"> stakeholders to submit via the submission portal</w:t>
      </w:r>
      <w:r w:rsidR="000C3E0F">
        <w:rPr>
          <w:rStyle w:val="FootnoteReference"/>
          <w:lang w:val="en-US"/>
        </w:rPr>
        <w:footnoteReference w:id="78"/>
      </w:r>
      <w:r w:rsidR="000C3E0F" w:rsidRPr="008E2A36">
        <w:rPr>
          <w:lang w:val="en-US"/>
        </w:rPr>
        <w:t xml:space="preserve"> by </w:t>
      </w:r>
      <w:r w:rsidR="000C3E0F">
        <w:rPr>
          <w:lang w:val="en-US"/>
        </w:rPr>
        <w:t>29 February</w:t>
      </w:r>
      <w:r w:rsidR="000C3E0F" w:rsidRPr="008E2A36">
        <w:rPr>
          <w:lang w:val="en-US"/>
        </w:rPr>
        <w:t xml:space="preserve"> 2024 views on the second review of </w:t>
      </w:r>
      <w:r w:rsidR="000C3E0F">
        <w:rPr>
          <w:lang w:val="en-US"/>
        </w:rPr>
        <w:t xml:space="preserve">the </w:t>
      </w:r>
      <w:r w:rsidR="000C3E0F" w:rsidRPr="008E2A36">
        <w:rPr>
          <w:lang w:val="en-US"/>
        </w:rPr>
        <w:t>Paris Committee on Capacity-building based on the terms of reference contained in the annex for consideration by the Subsidiary Body for Implementation at its sixtieth session (June 2024);</w:t>
      </w:r>
      <w:bookmarkEnd w:id="130"/>
      <w:r w:rsidR="000C3E0F" w:rsidRPr="008E2A36">
        <w:rPr>
          <w:lang w:val="en-US"/>
        </w:rPr>
        <w:t xml:space="preserve"> </w:t>
      </w:r>
    </w:p>
    <w:p w14:paraId="552A911E" w14:textId="7090E6DF" w:rsidR="000C3E0F" w:rsidRPr="008E2A36" w:rsidRDefault="00406A0D" w:rsidP="00406A0D">
      <w:pPr>
        <w:pStyle w:val="RegSingleTxtG"/>
        <w:ind w:left="1134"/>
        <w:rPr>
          <w:lang w:val="en-US"/>
        </w:rPr>
      </w:pPr>
      <w:bookmarkStart w:id="131" w:name="_Ref155889322"/>
      <w:r w:rsidRPr="008E2A36">
        <w:rPr>
          <w:lang w:val="en-US"/>
        </w:rPr>
        <w:t>5.</w:t>
      </w:r>
      <w:r w:rsidRPr="008E2A36">
        <w:rPr>
          <w:lang w:val="en-US"/>
        </w:rPr>
        <w:tab/>
      </w:r>
      <w:r w:rsidR="000C3E0F" w:rsidRPr="008E2A36">
        <w:rPr>
          <w:i/>
          <w:lang w:val="en-US"/>
        </w:rPr>
        <w:t xml:space="preserve">Requests </w:t>
      </w:r>
      <w:r w:rsidR="000C3E0F" w:rsidRPr="008E2A36">
        <w:rPr>
          <w:lang w:val="en-US"/>
        </w:rPr>
        <w:t>the secretariat to prepare a synthesis report o</w:t>
      </w:r>
      <w:r w:rsidR="000C3E0F">
        <w:rPr>
          <w:lang w:val="en-US"/>
        </w:rPr>
        <w:t>n</w:t>
      </w:r>
      <w:r w:rsidR="000C3E0F" w:rsidRPr="008E2A36">
        <w:rPr>
          <w:lang w:val="en-US"/>
        </w:rPr>
        <w:t xml:space="preserve"> the submissions referred to in paragraph </w:t>
      </w:r>
      <w:r w:rsidR="00605CF6">
        <w:rPr>
          <w:cs/>
          <w:lang w:val="en-US"/>
        </w:rPr>
        <w:t>‎</w:t>
      </w:r>
      <w:r w:rsidR="00605CF6">
        <w:rPr>
          <w:lang w:val="en-US"/>
        </w:rPr>
        <w:t>4 above</w:t>
      </w:r>
      <w:r w:rsidR="000C3E0F" w:rsidRPr="008E2A36">
        <w:rPr>
          <w:lang w:val="en-US"/>
        </w:rPr>
        <w:t xml:space="preserve"> for consideration by the Subsidiary Body for Implementation at its sixtieth </w:t>
      </w:r>
      <w:proofErr w:type="gramStart"/>
      <w:r w:rsidR="000C3E0F" w:rsidRPr="008E2A36">
        <w:rPr>
          <w:lang w:val="en-US"/>
        </w:rPr>
        <w:t>session;</w:t>
      </w:r>
      <w:bookmarkEnd w:id="131"/>
      <w:proofErr w:type="gramEnd"/>
    </w:p>
    <w:p w14:paraId="5D0E07E9" w14:textId="0C81F496" w:rsidR="000C3E0F" w:rsidRPr="009D54B8" w:rsidRDefault="00406A0D" w:rsidP="00406A0D">
      <w:pPr>
        <w:pStyle w:val="RegSingleTxtG"/>
        <w:ind w:left="1134"/>
        <w:rPr>
          <w:iCs/>
          <w:lang w:val="en-US"/>
        </w:rPr>
      </w:pPr>
      <w:r w:rsidRPr="009D54B8">
        <w:rPr>
          <w:lang w:val="en-US"/>
        </w:rPr>
        <w:t>6.</w:t>
      </w:r>
      <w:r w:rsidRPr="009D54B8">
        <w:rPr>
          <w:lang w:val="en-US"/>
        </w:rPr>
        <w:tab/>
      </w:r>
      <w:r w:rsidR="000C3E0F" w:rsidRPr="008E2A36">
        <w:rPr>
          <w:i/>
          <w:lang w:val="en-US"/>
        </w:rPr>
        <w:t xml:space="preserve">Also requests </w:t>
      </w:r>
      <w:r w:rsidR="000C3E0F" w:rsidRPr="008E2A36">
        <w:rPr>
          <w:lang w:val="en-US"/>
        </w:rPr>
        <w:t xml:space="preserve">the Subsidiary Body for Implementation, at its sixtieth session, to initiate the second review </w:t>
      </w:r>
      <w:r w:rsidR="000C3E0F">
        <w:rPr>
          <w:lang w:val="en-US"/>
        </w:rPr>
        <w:t xml:space="preserve">of </w:t>
      </w:r>
      <w:r w:rsidR="000C3E0F" w:rsidRPr="008E2A36">
        <w:rPr>
          <w:lang w:val="en-US"/>
        </w:rPr>
        <w:t xml:space="preserve">the Paris Committee on Capacity-building, in accordance with the terms of reference, taking into account the submissions referred to in paragraph </w:t>
      </w:r>
      <w:r w:rsidR="00605CF6">
        <w:rPr>
          <w:cs/>
          <w:lang w:val="en-US"/>
        </w:rPr>
        <w:t>‎</w:t>
      </w:r>
      <w:r w:rsidR="00605CF6">
        <w:rPr>
          <w:lang w:val="en-US"/>
        </w:rPr>
        <w:t>4 above</w:t>
      </w:r>
      <w:r w:rsidR="000C3E0F">
        <w:rPr>
          <w:lang w:val="en-US"/>
        </w:rPr>
        <w:t xml:space="preserve"> </w:t>
      </w:r>
      <w:r w:rsidR="000C3E0F" w:rsidRPr="008E2A36">
        <w:rPr>
          <w:lang w:val="en-US"/>
        </w:rPr>
        <w:t xml:space="preserve">and the synthesis report referred to in paragraph </w:t>
      </w:r>
      <w:r w:rsidR="00605CF6">
        <w:rPr>
          <w:cs/>
          <w:lang w:val="en-US"/>
        </w:rPr>
        <w:t>‎</w:t>
      </w:r>
      <w:r w:rsidR="00605CF6">
        <w:rPr>
          <w:lang w:val="en-US"/>
        </w:rPr>
        <w:t xml:space="preserve">5 </w:t>
      </w:r>
      <w:proofErr w:type="gramStart"/>
      <w:r w:rsidR="00605CF6">
        <w:rPr>
          <w:lang w:val="en-US"/>
        </w:rPr>
        <w:t>above</w:t>
      </w:r>
      <w:r w:rsidR="000C3E0F" w:rsidRPr="008E2A36">
        <w:rPr>
          <w:lang w:val="en-US"/>
        </w:rPr>
        <w:t>;</w:t>
      </w:r>
      <w:proofErr w:type="gramEnd"/>
      <w:r w:rsidR="000C3E0F" w:rsidRPr="009D54B8">
        <w:rPr>
          <w:iCs/>
          <w:lang w:val="en-US"/>
        </w:rPr>
        <w:t xml:space="preserve"> </w:t>
      </w:r>
    </w:p>
    <w:p w14:paraId="028F4480" w14:textId="13B7C80A" w:rsidR="00D97699" w:rsidRDefault="00406A0D" w:rsidP="00406A0D">
      <w:pPr>
        <w:pStyle w:val="RegSingleTxtG"/>
        <w:ind w:left="1134"/>
        <w:rPr>
          <w:lang w:val="en-US"/>
        </w:rPr>
      </w:pPr>
      <w:r>
        <w:rPr>
          <w:lang w:val="en-US"/>
        </w:rPr>
        <w:t>7.</w:t>
      </w:r>
      <w:r>
        <w:rPr>
          <w:lang w:val="en-US"/>
        </w:rPr>
        <w:tab/>
      </w:r>
      <w:r w:rsidR="000C3E0F">
        <w:rPr>
          <w:i/>
          <w:lang w:val="en-US"/>
        </w:rPr>
        <w:t xml:space="preserve">Further </w:t>
      </w:r>
      <w:r w:rsidR="000C3E0F" w:rsidRPr="008E2A36">
        <w:rPr>
          <w:i/>
          <w:lang w:val="en-US"/>
        </w:rPr>
        <w:t xml:space="preserve">requests </w:t>
      </w:r>
      <w:r w:rsidR="000C3E0F" w:rsidRPr="008E2A36">
        <w:rPr>
          <w:lang w:val="en-US"/>
        </w:rPr>
        <w:t>the Subsidiary Body for Implementation to complete its work on the second review of the Paris Committee on Capacity-building at its sixty-first session (November 2024</w:t>
      </w:r>
      <w:r w:rsidR="000C3E0F" w:rsidRPr="00630A89">
        <w:rPr>
          <w:lang w:val="en-US"/>
        </w:rPr>
        <w:t>)</w:t>
      </w:r>
      <w:r w:rsidR="000C3E0F" w:rsidRPr="008E2A36">
        <w:rPr>
          <w:lang w:val="en-US"/>
        </w:rPr>
        <w:t xml:space="preserve"> with a view to recommending a draft decision on the matter for consideration and adoption </w:t>
      </w:r>
      <w:r w:rsidR="000C3E0F" w:rsidRPr="00041D5D">
        <w:rPr>
          <w:lang w:val="en-US"/>
        </w:rPr>
        <w:t>by the Conference of the Parties serving as the meeting of the Parties to the Paris Agreement at its sixth session</w:t>
      </w:r>
      <w:r w:rsidR="000C3E0F">
        <w:rPr>
          <w:lang w:val="en-US"/>
        </w:rPr>
        <w:t>.</w:t>
      </w:r>
    </w:p>
    <w:p w14:paraId="6C8CFC1D" w14:textId="4E9C0505" w:rsidR="00D97699" w:rsidRDefault="00D97699">
      <w:pPr>
        <w:suppressAutoHyphens w:val="0"/>
        <w:spacing w:line="240" w:lineRule="auto"/>
        <w:rPr>
          <w:lang w:val="en-US"/>
        </w:rPr>
      </w:pPr>
    </w:p>
    <w:p w14:paraId="213F7C5E" w14:textId="47B8B2FF" w:rsidR="001E0600" w:rsidRDefault="00406A0D" w:rsidP="00406A0D">
      <w:pPr>
        <w:pStyle w:val="RegSingleTxtG"/>
        <w:ind w:left="1134"/>
        <w:rPr>
          <w:lang w:val="en-US"/>
        </w:rPr>
        <w:sectPr w:rsidR="001E0600" w:rsidSect="00DA6BD2">
          <w:headerReference w:type="even" r:id="rId70"/>
          <w:footerReference w:type="even" r:id="rId71"/>
          <w:footnotePr>
            <w:numRestart w:val="eachSect"/>
          </w:footnotePr>
          <w:pgSz w:w="11906" w:h="16838" w:code="9"/>
          <w:pgMar w:top="1417" w:right="1134" w:bottom="1134" w:left="1134" w:header="850" w:footer="567" w:gutter="0"/>
          <w:cols w:space="708"/>
          <w:docGrid w:linePitch="360"/>
        </w:sectPr>
      </w:pPr>
      <w:r>
        <w:rPr>
          <w:lang w:val="en-US"/>
        </w:rPr>
        <w:t>1.</w:t>
      </w:r>
      <w:r>
        <w:rPr>
          <w:lang w:val="en-US"/>
        </w:rPr>
        <w:tab/>
      </w:r>
    </w:p>
    <w:p w14:paraId="4B742E71" w14:textId="4605C24E" w:rsidR="000C3E0F" w:rsidRPr="009D54B8" w:rsidRDefault="000C3E0F" w:rsidP="008F33B6">
      <w:pPr>
        <w:pStyle w:val="HChG"/>
        <w:spacing w:before="240"/>
        <w:rPr>
          <w:lang w:val="en-US"/>
        </w:rPr>
      </w:pPr>
      <w:r w:rsidRPr="00435C50">
        <w:rPr>
          <w:lang w:val="en-US"/>
        </w:rPr>
        <w:lastRenderedPageBreak/>
        <w:t>Annex</w:t>
      </w:r>
    </w:p>
    <w:p w14:paraId="4326790C" w14:textId="77777777" w:rsidR="000C3E0F" w:rsidRPr="00332A49" w:rsidRDefault="000C3E0F" w:rsidP="000C3E0F">
      <w:pPr>
        <w:pStyle w:val="HChG"/>
        <w:rPr>
          <w:lang w:val="en-US"/>
        </w:rPr>
      </w:pPr>
      <w:r>
        <w:rPr>
          <w:lang w:val="en-US"/>
        </w:rPr>
        <w:tab/>
      </w:r>
      <w:r>
        <w:rPr>
          <w:lang w:val="en-US"/>
        </w:rPr>
        <w:tab/>
      </w:r>
      <w:r w:rsidRPr="00435C50">
        <w:rPr>
          <w:lang w:val="en-US"/>
        </w:rPr>
        <w:t xml:space="preserve">Terms of reference for </w:t>
      </w:r>
      <w:r w:rsidRPr="003021AD">
        <w:rPr>
          <w:lang w:val="en-US"/>
        </w:rPr>
        <w:t>the second review of the</w:t>
      </w:r>
      <w:r w:rsidRPr="00435C50">
        <w:rPr>
          <w:lang w:val="en-US"/>
        </w:rPr>
        <w:t xml:space="preserve"> P</w:t>
      </w:r>
      <w:r w:rsidRPr="00332A49">
        <w:rPr>
          <w:lang w:val="en-US"/>
        </w:rPr>
        <w:t xml:space="preserve">aris </w:t>
      </w:r>
      <w:r w:rsidRPr="00435C50">
        <w:rPr>
          <w:lang w:val="en-US"/>
        </w:rPr>
        <w:t>C</w:t>
      </w:r>
      <w:r w:rsidRPr="00332A49">
        <w:rPr>
          <w:lang w:val="en-US"/>
        </w:rPr>
        <w:t xml:space="preserve">ommittee on </w:t>
      </w:r>
      <w:r w:rsidRPr="00435C50">
        <w:rPr>
          <w:lang w:val="en-US"/>
        </w:rPr>
        <w:t>C</w:t>
      </w:r>
      <w:r w:rsidRPr="00332A49">
        <w:rPr>
          <w:lang w:val="en-US"/>
        </w:rPr>
        <w:t>apacity-building</w:t>
      </w:r>
    </w:p>
    <w:p w14:paraId="35FE8C97" w14:textId="6359BBDE" w:rsidR="000C3E0F" w:rsidRPr="00087AA0" w:rsidRDefault="00406A0D" w:rsidP="00406A0D">
      <w:pPr>
        <w:pStyle w:val="RegHChG"/>
        <w:tabs>
          <w:tab w:val="left" w:pos="1135"/>
        </w:tabs>
        <w:ind w:left="1135" w:hanging="454"/>
        <w:rPr>
          <w:lang w:val="en-US"/>
        </w:rPr>
      </w:pPr>
      <w:bookmarkStart w:id="132" w:name="_Toc161241778"/>
      <w:bookmarkStart w:id="133" w:name="_Toc161242004"/>
      <w:r w:rsidRPr="00087AA0">
        <w:rPr>
          <w:lang w:val="en-US"/>
        </w:rPr>
        <w:t>I.</w:t>
      </w:r>
      <w:r w:rsidRPr="00087AA0">
        <w:rPr>
          <w:lang w:val="en-US"/>
        </w:rPr>
        <w:tab/>
      </w:r>
      <w:r w:rsidR="000C3E0F" w:rsidRPr="00087AA0">
        <w:rPr>
          <w:lang w:val="en-US"/>
        </w:rPr>
        <w:t>Mandate</w:t>
      </w:r>
      <w:bookmarkEnd w:id="132"/>
      <w:bookmarkEnd w:id="133"/>
    </w:p>
    <w:p w14:paraId="01643E6C" w14:textId="548A93ED" w:rsidR="000C3E0F" w:rsidRPr="00EC546C" w:rsidRDefault="00406A0D" w:rsidP="00406A0D">
      <w:pPr>
        <w:pStyle w:val="RegSingleTxtG"/>
        <w:tabs>
          <w:tab w:val="clear" w:pos="1701"/>
          <w:tab w:val="left" w:pos="1134"/>
          <w:tab w:val="left" w:pos="1276"/>
        </w:tabs>
        <w:ind w:left="1134"/>
        <w:rPr>
          <w:lang w:val="en-US"/>
        </w:rPr>
      </w:pPr>
      <w:r w:rsidRPr="00EC546C">
        <w:rPr>
          <w:bCs/>
          <w:lang w:val="en-US"/>
        </w:rPr>
        <w:t>1.</w:t>
      </w:r>
      <w:r w:rsidRPr="00EC546C">
        <w:rPr>
          <w:bCs/>
          <w:lang w:val="en-US"/>
        </w:rPr>
        <w:tab/>
      </w:r>
      <w:r w:rsidR="000C3E0F" w:rsidRPr="00EC546C">
        <w:rPr>
          <w:lang w:val="en-US"/>
        </w:rPr>
        <w:t>At its twenty-fifth session, the Conference of the Parties (COP) decided to review, at</w:t>
      </w:r>
      <w:r w:rsidR="000C3E0F" w:rsidRPr="00CA3A9C">
        <w:t xml:space="preserve"> </w:t>
      </w:r>
      <w:r w:rsidR="000C3E0F" w:rsidRPr="00EC546C">
        <w:rPr>
          <w:lang w:val="en-US"/>
        </w:rPr>
        <w:t>COP 29 (November 2024), the progress and need for extension of the Paris Committee on Capacity-building (PCCB).</w:t>
      </w:r>
      <w:r w:rsidR="000C3E0F">
        <w:rPr>
          <w:rStyle w:val="FootnoteReference"/>
          <w:lang w:val="en-US"/>
        </w:rPr>
        <w:footnoteReference w:id="79"/>
      </w:r>
    </w:p>
    <w:p w14:paraId="7DBB663C" w14:textId="1856C9DB" w:rsidR="000C3E0F" w:rsidRDefault="00406A0D" w:rsidP="00406A0D">
      <w:pPr>
        <w:pStyle w:val="RegSingleTxtG"/>
        <w:tabs>
          <w:tab w:val="clear" w:pos="1701"/>
          <w:tab w:val="left" w:pos="1134"/>
          <w:tab w:val="left" w:pos="1276"/>
        </w:tabs>
        <w:ind w:left="1134"/>
        <w:rPr>
          <w:lang w:val="en-US"/>
        </w:rPr>
      </w:pPr>
      <w:r>
        <w:rPr>
          <w:bCs/>
          <w:lang w:val="en-US"/>
        </w:rPr>
        <w:t>2.</w:t>
      </w:r>
      <w:r>
        <w:rPr>
          <w:bCs/>
          <w:lang w:val="en-US"/>
        </w:rPr>
        <w:tab/>
      </w:r>
      <w:r w:rsidR="000C3E0F">
        <w:rPr>
          <w:lang w:val="en-US"/>
        </w:rPr>
        <w:t>COP 25 requested the</w:t>
      </w:r>
      <w:r w:rsidR="000C3E0F" w:rsidRPr="008016B7">
        <w:rPr>
          <w:lang w:val="en-US"/>
        </w:rPr>
        <w:t xml:space="preserve"> Subsidiary Body for Implementation </w:t>
      </w:r>
      <w:r w:rsidR="000C3E0F">
        <w:rPr>
          <w:lang w:val="en-US"/>
        </w:rPr>
        <w:t xml:space="preserve">(SBI) </w:t>
      </w:r>
      <w:r w:rsidR="000C3E0F" w:rsidRPr="008016B7">
        <w:rPr>
          <w:lang w:val="en-US"/>
        </w:rPr>
        <w:t>to initiate</w:t>
      </w:r>
      <w:r w:rsidR="000C3E0F">
        <w:rPr>
          <w:lang w:val="en-US"/>
        </w:rPr>
        <w:t>,</w:t>
      </w:r>
      <w:r w:rsidR="000C3E0F" w:rsidRPr="008016B7">
        <w:rPr>
          <w:lang w:val="en-US"/>
        </w:rPr>
        <w:t xml:space="preserve"> at </w:t>
      </w:r>
      <w:r w:rsidR="000C3E0F">
        <w:rPr>
          <w:lang w:val="en-US"/>
        </w:rPr>
        <w:t xml:space="preserve">SBI 58, </w:t>
      </w:r>
      <w:r w:rsidR="000C3E0F" w:rsidRPr="008016B7">
        <w:rPr>
          <w:lang w:val="en-US"/>
        </w:rPr>
        <w:t xml:space="preserve">the preparation of the terms of </w:t>
      </w:r>
      <w:r w:rsidR="000C3E0F" w:rsidRPr="003021AD">
        <w:rPr>
          <w:lang w:val="en-US"/>
        </w:rPr>
        <w:t xml:space="preserve">reference for the second review of the </w:t>
      </w:r>
      <w:r w:rsidR="000C3E0F">
        <w:rPr>
          <w:lang w:val="en-US"/>
        </w:rPr>
        <w:t>PCCB</w:t>
      </w:r>
      <w:r w:rsidR="000C3E0F" w:rsidRPr="003021AD">
        <w:rPr>
          <w:lang w:val="en-US"/>
        </w:rPr>
        <w:t xml:space="preserve"> with a view to COP </w:t>
      </w:r>
      <w:r w:rsidR="000C3E0F">
        <w:rPr>
          <w:lang w:val="en-US"/>
        </w:rPr>
        <w:t xml:space="preserve">28 </w:t>
      </w:r>
      <w:r w:rsidR="000C3E0F" w:rsidRPr="003021AD">
        <w:rPr>
          <w:lang w:val="en-US"/>
        </w:rPr>
        <w:t>agreeing on the final terms of reference.</w:t>
      </w:r>
      <w:r w:rsidR="000C3E0F" w:rsidRPr="003021AD">
        <w:rPr>
          <w:rStyle w:val="FootnoteReference"/>
          <w:lang w:val="en-US"/>
        </w:rPr>
        <w:footnoteReference w:id="80"/>
      </w:r>
    </w:p>
    <w:p w14:paraId="194E0410" w14:textId="7BC038FA" w:rsidR="000C3E0F" w:rsidRPr="00422A9C" w:rsidRDefault="00406A0D" w:rsidP="00406A0D">
      <w:pPr>
        <w:pStyle w:val="RegSingleTxtG"/>
        <w:tabs>
          <w:tab w:val="clear" w:pos="1701"/>
          <w:tab w:val="left" w:pos="1134"/>
          <w:tab w:val="left" w:pos="1276"/>
        </w:tabs>
        <w:ind w:left="1134"/>
        <w:rPr>
          <w:lang w:val="en-US"/>
        </w:rPr>
      </w:pPr>
      <w:r w:rsidRPr="00422A9C">
        <w:rPr>
          <w:bCs/>
          <w:lang w:val="en-US"/>
        </w:rPr>
        <w:t>3.</w:t>
      </w:r>
      <w:r w:rsidRPr="00422A9C">
        <w:rPr>
          <w:bCs/>
          <w:lang w:val="en-US"/>
        </w:rPr>
        <w:tab/>
      </w:r>
      <w:r w:rsidR="000C3E0F" w:rsidRPr="00422A9C">
        <w:rPr>
          <w:lang w:val="en-US"/>
        </w:rPr>
        <w:t>COP 28 invited the Conference of the Parties serving as the meeting of the Parties to the Paris Agreement (CMA) to participate in the second review of the PCCB at CMA 6 (November 2024). At CMA 5, the CMA decided to also conduct the second review of the PCCB, at CMA 6.</w:t>
      </w:r>
    </w:p>
    <w:p w14:paraId="60FE86FE" w14:textId="2DFDC6CC" w:rsidR="000C3E0F" w:rsidRPr="00D20CDD" w:rsidRDefault="00406A0D" w:rsidP="00406A0D">
      <w:pPr>
        <w:pStyle w:val="RegSingleTxtG"/>
        <w:tabs>
          <w:tab w:val="clear" w:pos="1701"/>
          <w:tab w:val="left" w:pos="1134"/>
          <w:tab w:val="left" w:pos="1276"/>
        </w:tabs>
        <w:ind w:left="1134"/>
        <w:rPr>
          <w:lang w:val="en-US"/>
        </w:rPr>
      </w:pPr>
      <w:r w:rsidRPr="00D20CDD">
        <w:rPr>
          <w:bCs/>
          <w:lang w:val="en-US"/>
        </w:rPr>
        <w:t>4.</w:t>
      </w:r>
      <w:r w:rsidRPr="00D20CDD">
        <w:rPr>
          <w:bCs/>
          <w:lang w:val="en-US"/>
        </w:rPr>
        <w:tab/>
      </w:r>
      <w:r w:rsidR="000C3E0F">
        <w:rPr>
          <w:lang w:val="en-US"/>
        </w:rPr>
        <w:t>COP 28 and CMA 5</w:t>
      </w:r>
      <w:r w:rsidR="000C3E0F" w:rsidRPr="00D20CDD">
        <w:rPr>
          <w:lang w:val="en-US"/>
        </w:rPr>
        <w:t xml:space="preserve"> requested SBI</w:t>
      </w:r>
      <w:r w:rsidR="000C3E0F">
        <w:rPr>
          <w:lang w:val="en-US"/>
        </w:rPr>
        <w:t xml:space="preserve"> 60 (June 2024)</w:t>
      </w:r>
      <w:r w:rsidR="000C3E0F" w:rsidRPr="00D20CDD">
        <w:rPr>
          <w:lang w:val="en-US"/>
        </w:rPr>
        <w:t xml:space="preserve"> to initiate the second review of the PCCB.</w:t>
      </w:r>
    </w:p>
    <w:p w14:paraId="1F8DAC6C" w14:textId="4E03672C" w:rsidR="000C3E0F" w:rsidRPr="0033025E" w:rsidRDefault="00406A0D" w:rsidP="00406A0D">
      <w:pPr>
        <w:pStyle w:val="RegHChG"/>
        <w:tabs>
          <w:tab w:val="left" w:pos="1135"/>
        </w:tabs>
        <w:ind w:left="1135" w:hanging="454"/>
        <w:rPr>
          <w:lang w:val="en-US"/>
        </w:rPr>
      </w:pPr>
      <w:bookmarkStart w:id="134" w:name="_Toc161241779"/>
      <w:bookmarkStart w:id="135" w:name="_Toc161242005"/>
      <w:r w:rsidRPr="0033025E">
        <w:rPr>
          <w:lang w:val="en-US"/>
        </w:rPr>
        <w:t>II.</w:t>
      </w:r>
      <w:r w:rsidRPr="0033025E">
        <w:rPr>
          <w:lang w:val="en-US"/>
        </w:rPr>
        <w:tab/>
      </w:r>
      <w:r w:rsidR="000C3E0F" w:rsidRPr="0033025E">
        <w:rPr>
          <w:lang w:val="en-US"/>
        </w:rPr>
        <w:t>Objective</w:t>
      </w:r>
      <w:bookmarkEnd w:id="134"/>
      <w:bookmarkEnd w:id="135"/>
    </w:p>
    <w:p w14:paraId="191C5F2A" w14:textId="04C328DD" w:rsidR="000C3E0F" w:rsidRPr="006848BF" w:rsidRDefault="00406A0D" w:rsidP="00406A0D">
      <w:pPr>
        <w:pStyle w:val="RegSingleTxtG"/>
        <w:tabs>
          <w:tab w:val="clear" w:pos="1701"/>
          <w:tab w:val="left" w:pos="1134"/>
          <w:tab w:val="left" w:pos="1276"/>
        </w:tabs>
        <w:ind w:left="1134"/>
        <w:rPr>
          <w:lang w:val="en-US"/>
        </w:rPr>
      </w:pPr>
      <w:r w:rsidRPr="006848BF">
        <w:rPr>
          <w:bCs/>
          <w:lang w:val="en-US"/>
        </w:rPr>
        <w:t>5.</w:t>
      </w:r>
      <w:r w:rsidRPr="006848BF">
        <w:rPr>
          <w:bCs/>
          <w:lang w:val="en-US"/>
        </w:rPr>
        <w:tab/>
      </w:r>
      <w:r w:rsidR="000C3E0F" w:rsidRPr="006848BF">
        <w:rPr>
          <w:lang w:val="en-US"/>
        </w:rPr>
        <w:t>The objective of the second review is to assess the progress of the PCCB towards achieving its overall aim set out in decision 1/CP.21, paragraph 71, and affirmed in decision 3/CMA.2, paragraph 3, and in addressing its priority areas and activities set out in decision 9/CP.25, paragraph 9 and annex, and affirmed in decision 3/CMA.2, paragraph 4, as well as the need for its extension.</w:t>
      </w:r>
    </w:p>
    <w:p w14:paraId="707B7D03" w14:textId="1BF28B7E" w:rsidR="000C3E0F" w:rsidRPr="001033D3" w:rsidRDefault="00406A0D" w:rsidP="00406A0D">
      <w:pPr>
        <w:pStyle w:val="RegHChG"/>
        <w:tabs>
          <w:tab w:val="left" w:pos="1135"/>
        </w:tabs>
        <w:ind w:left="1135" w:hanging="454"/>
        <w:rPr>
          <w:b w:val="0"/>
          <w:bCs/>
          <w:lang w:val="en-US"/>
        </w:rPr>
      </w:pPr>
      <w:bookmarkStart w:id="136" w:name="_Toc161241780"/>
      <w:bookmarkStart w:id="137" w:name="_Toc161242006"/>
      <w:r w:rsidRPr="001033D3">
        <w:rPr>
          <w:bCs/>
          <w:lang w:val="en-US"/>
        </w:rPr>
        <w:t>III.</w:t>
      </w:r>
      <w:r w:rsidRPr="001033D3">
        <w:rPr>
          <w:bCs/>
          <w:lang w:val="en-US"/>
        </w:rPr>
        <w:tab/>
      </w:r>
      <w:r w:rsidR="000C3E0F" w:rsidRPr="00273832">
        <w:rPr>
          <w:lang w:val="en-US"/>
        </w:rPr>
        <w:t>Scope</w:t>
      </w:r>
      <w:bookmarkEnd w:id="136"/>
      <w:bookmarkEnd w:id="137"/>
    </w:p>
    <w:p w14:paraId="4C77C31E" w14:textId="0CCC7D60" w:rsidR="000C3E0F" w:rsidRPr="001033D3" w:rsidRDefault="00406A0D" w:rsidP="00406A0D">
      <w:pPr>
        <w:pStyle w:val="RegSingleTxtG"/>
        <w:tabs>
          <w:tab w:val="clear" w:pos="1701"/>
          <w:tab w:val="left" w:pos="1134"/>
          <w:tab w:val="left" w:pos="1276"/>
        </w:tabs>
        <w:ind w:left="1134"/>
        <w:rPr>
          <w:b/>
          <w:bCs/>
          <w:lang w:val="en-US"/>
        </w:rPr>
      </w:pPr>
      <w:r w:rsidRPr="001033D3">
        <w:rPr>
          <w:bCs/>
          <w:lang w:val="en-US"/>
        </w:rPr>
        <w:t>6.</w:t>
      </w:r>
      <w:r w:rsidRPr="001033D3">
        <w:rPr>
          <w:bCs/>
          <w:lang w:val="en-US"/>
        </w:rPr>
        <w:tab/>
      </w:r>
      <w:r w:rsidR="000C3E0F" w:rsidRPr="00311E47">
        <w:rPr>
          <w:lang w:val="en-US"/>
        </w:rPr>
        <w:t xml:space="preserve">The review will cover the progress and need for </w:t>
      </w:r>
      <w:r w:rsidR="000C3E0F" w:rsidRPr="001033D3">
        <w:rPr>
          <w:bCs/>
          <w:lang w:val="en-US"/>
        </w:rPr>
        <w:t>extension of the PCCB.</w:t>
      </w:r>
    </w:p>
    <w:p w14:paraId="29852673" w14:textId="18084CED" w:rsidR="000C3E0F" w:rsidRPr="00273832" w:rsidRDefault="00406A0D" w:rsidP="00406A0D">
      <w:pPr>
        <w:pStyle w:val="RegHChG"/>
        <w:tabs>
          <w:tab w:val="left" w:pos="1135"/>
        </w:tabs>
        <w:ind w:left="1135" w:hanging="454"/>
        <w:rPr>
          <w:lang w:val="en-US"/>
        </w:rPr>
      </w:pPr>
      <w:bookmarkStart w:id="138" w:name="_Toc161241781"/>
      <w:bookmarkStart w:id="139" w:name="_Toc161242007"/>
      <w:r w:rsidRPr="00273832">
        <w:rPr>
          <w:lang w:val="en-US"/>
        </w:rPr>
        <w:t>IV.</w:t>
      </w:r>
      <w:r w:rsidRPr="00273832">
        <w:rPr>
          <w:lang w:val="en-US"/>
        </w:rPr>
        <w:tab/>
      </w:r>
      <w:r w:rsidR="000C3E0F" w:rsidRPr="00273832">
        <w:rPr>
          <w:lang w:val="en-US"/>
        </w:rPr>
        <w:t>Sources of information</w:t>
      </w:r>
      <w:bookmarkEnd w:id="138"/>
      <w:bookmarkEnd w:id="139"/>
    </w:p>
    <w:p w14:paraId="7420C75E" w14:textId="0DEEAA4F" w:rsidR="000C3E0F" w:rsidRPr="00BF6F64" w:rsidRDefault="00406A0D" w:rsidP="00406A0D">
      <w:pPr>
        <w:pStyle w:val="RegSingleTxtG"/>
        <w:tabs>
          <w:tab w:val="clear" w:pos="1701"/>
          <w:tab w:val="left" w:pos="1134"/>
          <w:tab w:val="left" w:pos="1276"/>
        </w:tabs>
        <w:ind w:left="1134"/>
        <w:rPr>
          <w:b/>
          <w:bCs/>
          <w:lang w:val="en-US"/>
        </w:rPr>
      </w:pPr>
      <w:r w:rsidRPr="00BF6F64">
        <w:rPr>
          <w:bCs/>
          <w:lang w:val="en-US"/>
        </w:rPr>
        <w:t>7.</w:t>
      </w:r>
      <w:r w:rsidRPr="00BF6F64">
        <w:rPr>
          <w:bCs/>
          <w:lang w:val="en-US"/>
        </w:rPr>
        <w:tab/>
      </w:r>
      <w:r w:rsidR="000C3E0F" w:rsidRPr="009276B7">
        <w:rPr>
          <w:lang w:val="en-US"/>
        </w:rPr>
        <w:t>The</w:t>
      </w:r>
      <w:r w:rsidR="000C3E0F" w:rsidRPr="00BF6F64">
        <w:rPr>
          <w:bCs/>
          <w:lang w:val="en-US"/>
        </w:rPr>
        <w:t xml:space="preserve"> </w:t>
      </w:r>
      <w:r w:rsidR="000C3E0F" w:rsidRPr="00B7328C">
        <w:t>review will draw upon, inter alia, the following sources of information:</w:t>
      </w:r>
    </w:p>
    <w:p w14:paraId="288D46D4" w14:textId="09293BFA" w:rsidR="000C3E0F" w:rsidRPr="00273832" w:rsidRDefault="00406A0D" w:rsidP="00406A0D">
      <w:pPr>
        <w:pStyle w:val="RegSingleTxtG"/>
        <w:tabs>
          <w:tab w:val="clear" w:pos="1701"/>
          <w:tab w:val="left" w:pos="1702"/>
        </w:tabs>
        <w:ind w:left="1134" w:right="1133" w:firstLine="567"/>
        <w:rPr>
          <w:lang w:val="en-US"/>
        </w:rPr>
      </w:pPr>
      <w:r w:rsidRPr="00273832">
        <w:rPr>
          <w:lang w:val="en-US"/>
        </w:rPr>
        <w:t>(a)</w:t>
      </w:r>
      <w:r w:rsidRPr="00273832">
        <w:rPr>
          <w:lang w:val="en-US"/>
        </w:rPr>
        <w:tab/>
      </w:r>
      <w:r w:rsidR="000C3E0F">
        <w:rPr>
          <w:lang w:val="en-US"/>
        </w:rPr>
        <w:t xml:space="preserve">The </w:t>
      </w:r>
      <w:r w:rsidR="000C3E0F" w:rsidRPr="0064483E">
        <w:t>annual</w:t>
      </w:r>
      <w:r w:rsidR="000C3E0F" w:rsidRPr="00273832">
        <w:rPr>
          <w:lang w:val="en-US"/>
        </w:rPr>
        <w:t xml:space="preserve"> technical progress reports of the </w:t>
      </w:r>
      <w:proofErr w:type="gramStart"/>
      <w:r w:rsidR="000C3E0F" w:rsidRPr="00273832">
        <w:rPr>
          <w:lang w:val="en-US"/>
        </w:rPr>
        <w:t>PCCB;</w:t>
      </w:r>
      <w:proofErr w:type="gramEnd"/>
    </w:p>
    <w:p w14:paraId="4EE2F939" w14:textId="4ECF7E33" w:rsidR="000C3E0F" w:rsidRPr="00273832" w:rsidRDefault="00406A0D" w:rsidP="00406A0D">
      <w:pPr>
        <w:pStyle w:val="RegSingleTxtG2"/>
        <w:tabs>
          <w:tab w:val="left" w:pos="2269"/>
        </w:tabs>
        <w:ind w:left="1135" w:firstLine="567"/>
        <w:rPr>
          <w:lang w:val="en-US"/>
        </w:rPr>
      </w:pPr>
      <w:r w:rsidRPr="00273832">
        <w:rPr>
          <w:lang w:val="en-US"/>
        </w:rPr>
        <w:t>(b)</w:t>
      </w:r>
      <w:r w:rsidRPr="00273832">
        <w:rPr>
          <w:lang w:val="en-US"/>
        </w:rPr>
        <w:tab/>
      </w:r>
      <w:r w:rsidR="000C3E0F" w:rsidRPr="00273832">
        <w:rPr>
          <w:lang w:val="en-US"/>
        </w:rPr>
        <w:t xml:space="preserve">Relevant </w:t>
      </w:r>
      <w:r w:rsidR="000C3E0F" w:rsidRPr="00864001">
        <w:rPr>
          <w:lang w:val="en-US"/>
        </w:rPr>
        <w:t xml:space="preserve">decisions of the COP and the </w:t>
      </w:r>
      <w:r w:rsidR="000C3E0F">
        <w:rPr>
          <w:lang w:val="en-US"/>
        </w:rPr>
        <w:t>CMA</w:t>
      </w:r>
      <w:r w:rsidR="000C3E0F" w:rsidRPr="00864001">
        <w:rPr>
          <w:lang w:val="en-US"/>
        </w:rPr>
        <w:t xml:space="preserve"> related</w:t>
      </w:r>
      <w:r w:rsidR="000C3E0F" w:rsidRPr="00273832">
        <w:rPr>
          <w:lang w:val="en-US"/>
        </w:rPr>
        <w:t xml:space="preserve"> to the </w:t>
      </w:r>
      <w:proofErr w:type="gramStart"/>
      <w:r w:rsidR="000C3E0F" w:rsidRPr="00273832">
        <w:rPr>
          <w:lang w:val="en-US"/>
        </w:rPr>
        <w:t>PCCB;</w:t>
      </w:r>
      <w:proofErr w:type="gramEnd"/>
    </w:p>
    <w:p w14:paraId="747FE11C" w14:textId="7088E53E" w:rsidR="000C3E0F" w:rsidRPr="00864001" w:rsidRDefault="00406A0D" w:rsidP="00406A0D">
      <w:pPr>
        <w:pStyle w:val="RegSingleTxtG2"/>
        <w:tabs>
          <w:tab w:val="left" w:pos="2269"/>
        </w:tabs>
        <w:ind w:left="1135" w:firstLine="567"/>
        <w:rPr>
          <w:lang w:val="en-US"/>
        </w:rPr>
      </w:pPr>
      <w:r w:rsidRPr="00864001">
        <w:rPr>
          <w:lang w:val="en-US"/>
        </w:rPr>
        <w:t>(c)</w:t>
      </w:r>
      <w:r w:rsidRPr="00864001">
        <w:rPr>
          <w:lang w:val="en-US"/>
        </w:rPr>
        <w:tab/>
      </w:r>
      <w:r w:rsidR="000C3E0F">
        <w:rPr>
          <w:lang w:val="en-US"/>
        </w:rPr>
        <w:t>The s</w:t>
      </w:r>
      <w:r w:rsidR="000C3E0F" w:rsidRPr="00BB55F1">
        <w:rPr>
          <w:lang w:val="en-US"/>
        </w:rPr>
        <w:t xml:space="preserve">ubmissions </w:t>
      </w:r>
      <w:r w:rsidR="000C3E0F" w:rsidRPr="00864001">
        <w:rPr>
          <w:lang w:val="en-US"/>
        </w:rPr>
        <w:t xml:space="preserve">referred to in this </w:t>
      </w:r>
      <w:proofErr w:type="gramStart"/>
      <w:r w:rsidR="000C3E0F" w:rsidRPr="00864001">
        <w:rPr>
          <w:lang w:val="en-US"/>
        </w:rPr>
        <w:t>decision</w:t>
      </w:r>
      <w:bookmarkStart w:id="140" w:name="_Hlk137290805"/>
      <w:r w:rsidR="000C3E0F" w:rsidRPr="00864001">
        <w:rPr>
          <w:lang w:val="en-US"/>
        </w:rPr>
        <w:t>;</w:t>
      </w:r>
      <w:bookmarkEnd w:id="140"/>
      <w:proofErr w:type="gramEnd"/>
    </w:p>
    <w:p w14:paraId="68EBF478" w14:textId="253B5717" w:rsidR="000C3E0F" w:rsidRPr="00864001" w:rsidRDefault="00406A0D" w:rsidP="00406A0D">
      <w:pPr>
        <w:pStyle w:val="RegSingleTxtG2"/>
        <w:tabs>
          <w:tab w:val="left" w:pos="2269"/>
        </w:tabs>
        <w:ind w:left="1135" w:firstLine="567"/>
        <w:rPr>
          <w:lang w:val="en-US"/>
        </w:rPr>
      </w:pPr>
      <w:r w:rsidRPr="00864001">
        <w:rPr>
          <w:lang w:val="en-US"/>
        </w:rPr>
        <w:t>(d)</w:t>
      </w:r>
      <w:r w:rsidRPr="00864001">
        <w:rPr>
          <w:lang w:val="en-US"/>
        </w:rPr>
        <w:tab/>
      </w:r>
      <w:r w:rsidR="000C3E0F" w:rsidRPr="00864001">
        <w:rPr>
          <w:lang w:val="en-US"/>
        </w:rPr>
        <w:t xml:space="preserve">The synthesis report referred to in </w:t>
      </w:r>
      <w:r w:rsidR="000C3E0F">
        <w:rPr>
          <w:lang w:val="en-US"/>
        </w:rPr>
        <w:t>this</w:t>
      </w:r>
      <w:r w:rsidR="000C3E0F" w:rsidRPr="00864001">
        <w:rPr>
          <w:lang w:val="en-US"/>
        </w:rPr>
        <w:t xml:space="preserve"> </w:t>
      </w:r>
      <w:proofErr w:type="gramStart"/>
      <w:r w:rsidR="000C3E0F" w:rsidRPr="00864001">
        <w:rPr>
          <w:lang w:val="en-US"/>
        </w:rPr>
        <w:t>decision;</w:t>
      </w:r>
      <w:proofErr w:type="gramEnd"/>
    </w:p>
    <w:p w14:paraId="3F0E7ED4" w14:textId="1C773BBC" w:rsidR="000C3E0F" w:rsidRPr="00273832" w:rsidRDefault="00406A0D" w:rsidP="00406A0D">
      <w:pPr>
        <w:pStyle w:val="RegSingleTxtG2"/>
        <w:tabs>
          <w:tab w:val="left" w:pos="2269"/>
        </w:tabs>
        <w:ind w:left="1135" w:firstLine="567"/>
        <w:rPr>
          <w:lang w:val="en-US"/>
        </w:rPr>
      </w:pPr>
      <w:r w:rsidRPr="00273832">
        <w:rPr>
          <w:lang w:val="en-US"/>
        </w:rPr>
        <w:t>(e)</w:t>
      </w:r>
      <w:r w:rsidRPr="00273832">
        <w:rPr>
          <w:lang w:val="en-US"/>
        </w:rPr>
        <w:tab/>
      </w:r>
      <w:r w:rsidR="000C3E0F">
        <w:t>The</w:t>
      </w:r>
      <w:r w:rsidR="000C3E0F" w:rsidRPr="00BB55F1">
        <w:t xml:space="preserve"> views </w:t>
      </w:r>
      <w:r w:rsidR="000C3E0F">
        <w:t xml:space="preserve">expressed by </w:t>
      </w:r>
      <w:r w:rsidR="000C3E0F" w:rsidRPr="00BB55F1">
        <w:t>Parties during the review, that is at</w:t>
      </w:r>
      <w:r w:rsidR="000C3E0F">
        <w:t xml:space="preserve"> SBI 60 and SBI 61 (November 2024).</w:t>
      </w:r>
    </w:p>
    <w:p w14:paraId="2A245FB0" w14:textId="76267149" w:rsidR="000C3E0F" w:rsidRDefault="00406A0D" w:rsidP="00406A0D">
      <w:pPr>
        <w:pStyle w:val="RegHChG"/>
        <w:tabs>
          <w:tab w:val="left" w:pos="1135"/>
        </w:tabs>
        <w:ind w:left="1135" w:hanging="454"/>
        <w:rPr>
          <w:lang w:val="en-US"/>
        </w:rPr>
      </w:pPr>
      <w:bookmarkStart w:id="141" w:name="_Toc161241782"/>
      <w:bookmarkStart w:id="142" w:name="_Toc161242008"/>
      <w:r>
        <w:rPr>
          <w:lang w:val="en-US"/>
        </w:rPr>
        <w:lastRenderedPageBreak/>
        <w:t>V.</w:t>
      </w:r>
      <w:r>
        <w:rPr>
          <w:lang w:val="en-US"/>
        </w:rPr>
        <w:tab/>
      </w:r>
      <w:r w:rsidR="000C3E0F">
        <w:rPr>
          <w:lang w:val="en-US"/>
        </w:rPr>
        <w:t>Approach</w:t>
      </w:r>
      <w:bookmarkEnd w:id="141"/>
      <w:bookmarkEnd w:id="142"/>
    </w:p>
    <w:p w14:paraId="5077A027" w14:textId="2E196960" w:rsidR="000C3E0F" w:rsidRPr="00092985" w:rsidRDefault="00406A0D" w:rsidP="00406A0D">
      <w:pPr>
        <w:pStyle w:val="RegH1G"/>
        <w:tabs>
          <w:tab w:val="left" w:pos="1135"/>
        </w:tabs>
        <w:ind w:left="1135" w:hanging="454"/>
        <w:rPr>
          <w:lang w:val="en-US"/>
        </w:rPr>
      </w:pPr>
      <w:bookmarkStart w:id="143" w:name="_Toc161241783"/>
      <w:bookmarkStart w:id="144" w:name="_Toc161242009"/>
      <w:r w:rsidRPr="00092985">
        <w:rPr>
          <w:lang w:val="en-US"/>
        </w:rPr>
        <w:t>A.</w:t>
      </w:r>
      <w:r w:rsidRPr="00092985">
        <w:rPr>
          <w:lang w:val="en-US"/>
        </w:rPr>
        <w:tab/>
      </w:r>
      <w:r w:rsidR="000C3E0F" w:rsidRPr="00092985">
        <w:rPr>
          <w:lang w:val="en-US"/>
        </w:rPr>
        <w:t>Progress</w:t>
      </w:r>
      <w:bookmarkEnd w:id="143"/>
      <w:bookmarkEnd w:id="144"/>
    </w:p>
    <w:p w14:paraId="1847E15F" w14:textId="5ADB675E" w:rsidR="000C3E0F" w:rsidRPr="000777F4" w:rsidRDefault="00406A0D" w:rsidP="00406A0D">
      <w:pPr>
        <w:pStyle w:val="RegSingleTxtG"/>
        <w:tabs>
          <w:tab w:val="clear" w:pos="1701"/>
          <w:tab w:val="left" w:pos="1134"/>
          <w:tab w:val="left" w:pos="1276"/>
        </w:tabs>
        <w:ind w:left="1134"/>
        <w:rPr>
          <w:b/>
          <w:lang w:val="en-US"/>
        </w:rPr>
      </w:pPr>
      <w:r w:rsidRPr="000777F4">
        <w:rPr>
          <w:bCs/>
          <w:lang w:val="en-US"/>
        </w:rPr>
        <w:t>8.</w:t>
      </w:r>
      <w:r w:rsidRPr="000777F4">
        <w:rPr>
          <w:bCs/>
          <w:lang w:val="en-US"/>
        </w:rPr>
        <w:tab/>
      </w:r>
      <w:r w:rsidR="000C3E0F" w:rsidRPr="000777F4">
        <w:rPr>
          <w:bCs/>
          <w:lang w:val="en-US"/>
        </w:rPr>
        <w:t>First, the progress of the PCCB towards achieving its overall aim and in addressing its priority areas and activities will be assessed taking into consideration the progress of the PCCB in implementing its 2021–2024 workplan.</w:t>
      </w:r>
      <w:r w:rsidR="000C3E0F" w:rsidRPr="000777F4">
        <w:rPr>
          <w:rStyle w:val="FootnoteReference"/>
          <w:bCs/>
          <w:lang w:val="en-US"/>
        </w:rPr>
        <w:footnoteReference w:id="81"/>
      </w:r>
    </w:p>
    <w:p w14:paraId="189DADE4" w14:textId="3F149C8C" w:rsidR="000C3E0F" w:rsidRPr="00F550E3" w:rsidRDefault="00406A0D" w:rsidP="00406A0D">
      <w:pPr>
        <w:pStyle w:val="RegH1G"/>
        <w:tabs>
          <w:tab w:val="left" w:pos="1135"/>
        </w:tabs>
        <w:ind w:left="1135" w:hanging="454"/>
        <w:rPr>
          <w:lang w:val="en-US"/>
        </w:rPr>
      </w:pPr>
      <w:bookmarkStart w:id="145" w:name="_Toc161241784"/>
      <w:bookmarkStart w:id="146" w:name="_Toc161242010"/>
      <w:r w:rsidRPr="00F550E3">
        <w:rPr>
          <w:lang w:val="en-US"/>
        </w:rPr>
        <w:t>B.</w:t>
      </w:r>
      <w:r w:rsidRPr="00F550E3">
        <w:rPr>
          <w:lang w:val="en-US"/>
        </w:rPr>
        <w:tab/>
      </w:r>
      <w:r w:rsidR="000C3E0F" w:rsidRPr="00F550E3">
        <w:t>Need for extension</w:t>
      </w:r>
      <w:bookmarkEnd w:id="145"/>
      <w:bookmarkEnd w:id="146"/>
      <w:r w:rsidR="000C3E0F" w:rsidRPr="00F550E3">
        <w:t xml:space="preserve"> </w:t>
      </w:r>
    </w:p>
    <w:p w14:paraId="7424B607" w14:textId="29E486D0" w:rsidR="000C3E0F" w:rsidRDefault="00406A0D" w:rsidP="00406A0D">
      <w:pPr>
        <w:pStyle w:val="RegSingleTxtG"/>
        <w:tabs>
          <w:tab w:val="clear" w:pos="1701"/>
          <w:tab w:val="left" w:pos="1134"/>
          <w:tab w:val="left" w:pos="1276"/>
        </w:tabs>
        <w:ind w:left="1134"/>
        <w:rPr>
          <w:b/>
        </w:rPr>
      </w:pPr>
      <w:r>
        <w:rPr>
          <w:bCs/>
        </w:rPr>
        <w:t>9.</w:t>
      </w:r>
      <w:r>
        <w:rPr>
          <w:bCs/>
        </w:rPr>
        <w:tab/>
      </w:r>
      <w:r w:rsidR="000C3E0F" w:rsidRPr="00573F6F">
        <w:rPr>
          <w:bCs/>
          <w:lang w:val="en-US"/>
        </w:rPr>
        <w:t>The</w:t>
      </w:r>
      <w:r w:rsidR="000C3E0F">
        <w:t xml:space="preserve"> assessment of the progress of the PCCB will be the basis for determining the need for its extension and, as applicable, any other provisions relevant to the form of the extension.</w:t>
      </w:r>
    </w:p>
    <w:p w14:paraId="5B438896" w14:textId="77777777" w:rsidR="00FF70AE" w:rsidRPr="00FF70AE" w:rsidRDefault="00FF70AE" w:rsidP="00A93375">
      <w:pPr>
        <w:pStyle w:val="ListParagraph"/>
        <w:tabs>
          <w:tab w:val="left" w:pos="1701"/>
        </w:tabs>
        <w:spacing w:line="20" w:lineRule="atLeast"/>
        <w:ind w:left="1135" w:right="1134"/>
        <w:jc w:val="right"/>
        <w:rPr>
          <w:i/>
          <w:iCs/>
        </w:rPr>
      </w:pPr>
      <w:r w:rsidRPr="00FF70AE">
        <w:rPr>
          <w:i/>
          <w:iCs/>
        </w:rPr>
        <w:t>6</w:t>
      </w:r>
      <w:r w:rsidRPr="00FF70AE">
        <w:rPr>
          <w:i/>
          <w:iCs/>
          <w:vertAlign w:val="superscript"/>
        </w:rPr>
        <w:t>th</w:t>
      </w:r>
      <w:r w:rsidRPr="00FF70AE">
        <w:rPr>
          <w:i/>
          <w:iCs/>
        </w:rPr>
        <w:t xml:space="preserve"> plenary meeting</w:t>
      </w:r>
    </w:p>
    <w:p w14:paraId="48DBD043" w14:textId="77777777" w:rsidR="00FF70AE" w:rsidRPr="00FF70AE" w:rsidRDefault="00FF70AE" w:rsidP="006B4741">
      <w:pPr>
        <w:pStyle w:val="ListParagraph"/>
        <w:tabs>
          <w:tab w:val="left" w:pos="1701"/>
        </w:tabs>
        <w:spacing w:line="20" w:lineRule="atLeast"/>
        <w:ind w:left="1135" w:right="1134"/>
        <w:jc w:val="right"/>
        <w:rPr>
          <w:i/>
          <w:iCs/>
        </w:rPr>
      </w:pPr>
      <w:r w:rsidRPr="00FF70AE">
        <w:rPr>
          <w:i/>
          <w:iCs/>
        </w:rPr>
        <w:t>13 December 2023</w:t>
      </w:r>
      <w:bookmarkEnd w:id="127"/>
    </w:p>
    <w:p w14:paraId="68AE2BFD" w14:textId="2503596F" w:rsidR="00DA6BD2" w:rsidRDefault="00455A88">
      <w:pPr>
        <w:spacing w:before="240"/>
        <w:ind w:left="1134" w:right="1134"/>
        <w:jc w:val="center"/>
        <w:rPr>
          <w:u w:val="single"/>
        </w:rPr>
      </w:pPr>
      <w:r>
        <w:rPr>
          <w:u w:val="single"/>
        </w:rPr>
        <w:tab/>
      </w:r>
      <w:r>
        <w:rPr>
          <w:u w:val="single"/>
        </w:rPr>
        <w:tab/>
      </w:r>
      <w:r>
        <w:rPr>
          <w:u w:val="single"/>
        </w:rPr>
        <w:tab/>
      </w:r>
      <w:r>
        <w:rPr>
          <w:u w:val="single"/>
        </w:rPr>
        <w:tab/>
      </w:r>
    </w:p>
    <w:p w14:paraId="218E6149" w14:textId="77777777" w:rsidR="00455A88" w:rsidRPr="00F10CC5" w:rsidRDefault="00455A88">
      <w:pPr>
        <w:spacing w:before="240"/>
        <w:ind w:left="1134" w:right="1134"/>
        <w:jc w:val="center"/>
        <w:rPr>
          <w:u w:val="single"/>
        </w:rPr>
      </w:pPr>
    </w:p>
    <w:sectPr w:rsidR="00455A88" w:rsidRPr="00F10CC5" w:rsidSect="00DA6BD2">
      <w:headerReference w:type="even" r:id="rId72"/>
      <w:headerReference w:type="default" r:id="rId73"/>
      <w:footerReference w:type="even" r:id="rId74"/>
      <w:footerReference w:type="default" r:id="rId75"/>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50963" w14:textId="77777777" w:rsidR="004A0971" w:rsidRPr="008362C4" w:rsidRDefault="004A0971" w:rsidP="008362C4">
      <w:pPr>
        <w:spacing w:line="14" w:lineRule="exact"/>
        <w:rPr>
          <w:color w:val="FFFFFF" w:themeColor="background1"/>
        </w:rPr>
      </w:pPr>
      <w:r w:rsidRPr="008362C4">
        <w:rPr>
          <w:color w:val="FFFFFF" w:themeColor="background1"/>
        </w:rPr>
        <w:separator/>
      </w:r>
    </w:p>
    <w:p w14:paraId="2705F7F4" w14:textId="77777777" w:rsidR="004A0971" w:rsidRPr="008362C4" w:rsidRDefault="004A0971" w:rsidP="00C45173">
      <w:pPr>
        <w:spacing w:line="14" w:lineRule="atLeast"/>
        <w:rPr>
          <w:color w:val="FFFFFF" w:themeColor="background1"/>
          <w:sz w:val="2"/>
          <w:szCs w:val="2"/>
        </w:rPr>
      </w:pPr>
    </w:p>
  </w:endnote>
  <w:endnote w:type="continuationSeparator" w:id="0">
    <w:p w14:paraId="227D3807" w14:textId="77777777" w:rsidR="004A0971" w:rsidRDefault="004A0971">
      <w:r>
        <w:continuationSeparator/>
      </w:r>
    </w:p>
    <w:p w14:paraId="38DB1C24" w14:textId="77777777" w:rsidR="004A0971" w:rsidRDefault="004A0971"/>
  </w:endnote>
  <w:endnote w:type="continuationNotice" w:id="1">
    <w:p w14:paraId="7071D9C9" w14:textId="77777777" w:rsidR="004A0971" w:rsidRDefault="004A09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C26E" w14:textId="750276C0" w:rsidR="0031149B" w:rsidRPr="003B5708" w:rsidRDefault="003B5708" w:rsidP="003B5708">
    <w:pPr>
      <w:pStyle w:val="Footer"/>
      <w:tabs>
        <w:tab w:val="right" w:pos="9638"/>
      </w:tabs>
    </w:pPr>
    <w:r w:rsidRPr="003B5708">
      <w:rPr>
        <w:b/>
        <w:color w:val="2B579A"/>
        <w:sz w:val="18"/>
        <w:shd w:val="clear" w:color="auto" w:fill="E6E6E6"/>
      </w:rPr>
      <w:fldChar w:fldCharType="begin"/>
    </w:r>
    <w:r w:rsidRPr="003B5708">
      <w:rPr>
        <w:b/>
        <w:sz w:val="18"/>
      </w:rPr>
      <w:instrText xml:space="preserve"> PAGE  \* MERGEFORMAT </w:instrText>
    </w:r>
    <w:r w:rsidRPr="003B5708">
      <w:rPr>
        <w:b/>
        <w:color w:val="2B579A"/>
        <w:sz w:val="18"/>
        <w:shd w:val="clear" w:color="auto" w:fill="E6E6E6"/>
      </w:rPr>
      <w:fldChar w:fldCharType="separate"/>
    </w:r>
    <w:r w:rsidRPr="003B5708">
      <w:rPr>
        <w:b/>
        <w:noProof/>
        <w:sz w:val="18"/>
      </w:rPr>
      <w:t>4</w:t>
    </w:r>
    <w:r w:rsidRPr="003B5708">
      <w:rPr>
        <w:b/>
        <w:color w:val="2B579A"/>
        <w:sz w:val="18"/>
        <w:shd w:val="clear" w:color="auto" w:fill="E6E6E6"/>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EB75" w14:textId="424D34DC" w:rsidR="00FC6B5F" w:rsidRPr="00DA6BD2" w:rsidRDefault="00AF7A9E">
    <w:pPr>
      <w:pStyle w:val="Footer"/>
      <w:tabs>
        <w:tab w:val="right" w:pos="9638"/>
      </w:tabs>
      <w:rPr>
        <w:b/>
        <w:sz w:val="18"/>
      </w:rPr>
    </w:pPr>
    <w:r>
      <w:tab/>
    </w:r>
    <w:r w:rsidRPr="00383528">
      <w:rPr>
        <w:b/>
        <w:sz w:val="18"/>
      </w:rPr>
      <w:fldChar w:fldCharType="begin"/>
    </w:r>
    <w:r w:rsidRPr="0059687B">
      <w:rPr>
        <w:b/>
        <w:sz w:val="18"/>
      </w:rPr>
      <w:instrText xml:space="preserve"> PAGE  \* MERGEFORMAT </w:instrText>
    </w:r>
    <w:r w:rsidRPr="00383528">
      <w:rPr>
        <w:b/>
        <w:sz w:val="18"/>
      </w:rPr>
      <w:fldChar w:fldCharType="separate"/>
    </w:r>
    <w:r w:rsidR="00DA6BD2" w:rsidRPr="00DA6BD2">
      <w:rPr>
        <w:b/>
        <w:noProof/>
        <w:sz w:val="18"/>
      </w:rPr>
      <w:t>18</w:t>
    </w:r>
    <w:r w:rsidRPr="00383528">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E16E4" w14:textId="004AB3D6" w:rsidR="00FC6B5F" w:rsidRPr="00DA6BD2" w:rsidRDefault="00AF7A9E">
    <w:pPr>
      <w:pStyle w:val="Footer"/>
      <w:tabs>
        <w:tab w:val="right" w:pos="9638"/>
      </w:tabs>
    </w:pPr>
    <w:r w:rsidRPr="00383528">
      <w:rPr>
        <w:b/>
        <w:sz w:val="18"/>
      </w:rPr>
      <w:fldChar w:fldCharType="begin"/>
    </w:r>
    <w:r w:rsidRPr="00F91723">
      <w:rPr>
        <w:b/>
        <w:sz w:val="18"/>
      </w:rPr>
      <w:instrText xml:space="preserve"> PAGE  \* MERGEFORMAT </w:instrText>
    </w:r>
    <w:r w:rsidRPr="00383528">
      <w:rPr>
        <w:b/>
        <w:sz w:val="18"/>
      </w:rPr>
      <w:fldChar w:fldCharType="separate"/>
    </w:r>
    <w:r w:rsidR="00DA6BD2" w:rsidRPr="00DA6BD2">
      <w:rPr>
        <w:b/>
        <w:noProof/>
        <w:sz w:val="18"/>
      </w:rPr>
      <w:t>21</w:t>
    </w:r>
    <w:r w:rsidRPr="00383528">
      <w:rPr>
        <w:b/>
        <w:sz w:val="18"/>
      </w:rPr>
      <w:fldChar w:fldCharType="end"/>
    </w:r>
    <w:r w:rsidR="00DA6BD2">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20CC1" w14:textId="3F3E76FA" w:rsidR="00FC6B5F" w:rsidRPr="00DA6BD2" w:rsidRDefault="00AF7A9E">
    <w:pPr>
      <w:pStyle w:val="Footer"/>
      <w:tabs>
        <w:tab w:val="right" w:pos="9638"/>
      </w:tabs>
      <w:rPr>
        <w:b/>
        <w:sz w:val="18"/>
      </w:rPr>
    </w:pPr>
    <w:r>
      <w:tab/>
    </w:r>
    <w:r w:rsidRPr="00383528">
      <w:rPr>
        <w:b/>
        <w:sz w:val="18"/>
      </w:rPr>
      <w:fldChar w:fldCharType="begin"/>
    </w:r>
    <w:r w:rsidRPr="00F91723">
      <w:rPr>
        <w:b/>
        <w:sz w:val="18"/>
      </w:rPr>
      <w:instrText xml:space="preserve"> PAGE  \* MERGEFORMAT </w:instrText>
    </w:r>
    <w:r w:rsidRPr="00383528">
      <w:rPr>
        <w:b/>
        <w:sz w:val="18"/>
      </w:rPr>
      <w:fldChar w:fldCharType="separate"/>
    </w:r>
    <w:r w:rsidR="00DA6BD2" w:rsidRPr="00DA6BD2">
      <w:rPr>
        <w:b/>
        <w:noProof/>
        <w:sz w:val="18"/>
      </w:rPr>
      <w:t>20</w:t>
    </w:r>
    <w:r w:rsidRPr="00383528">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3B92" w14:textId="03FFA195" w:rsidR="000819B0" w:rsidRPr="00383528" w:rsidRDefault="00383528" w:rsidP="00383528">
    <w:pPr>
      <w:pStyle w:val="Footer"/>
      <w:tabs>
        <w:tab w:val="right" w:pos="9638"/>
      </w:tabs>
      <w:rPr>
        <w:b/>
        <w:sz w:val="18"/>
      </w:rPr>
    </w:pPr>
    <w:r w:rsidRPr="00383528">
      <w:rPr>
        <w:b/>
        <w:sz w:val="18"/>
      </w:rPr>
      <w:fldChar w:fldCharType="begin"/>
    </w:r>
    <w:r w:rsidRPr="00383528">
      <w:rPr>
        <w:b/>
        <w:sz w:val="18"/>
      </w:rPr>
      <w:instrText xml:space="preserve"> PAGE  \* MERGEFORMAT </w:instrText>
    </w:r>
    <w:r w:rsidRPr="00383528">
      <w:rPr>
        <w:b/>
        <w:sz w:val="18"/>
      </w:rPr>
      <w:fldChar w:fldCharType="separate"/>
    </w:r>
    <w:r w:rsidRPr="00383528">
      <w:rPr>
        <w:b/>
        <w:noProof/>
        <w:sz w:val="18"/>
      </w:rPr>
      <w:t>29</w:t>
    </w:r>
    <w:r w:rsidRPr="00383528">
      <w:rPr>
        <w:b/>
        <w:sz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464C3" w14:textId="77777777" w:rsidR="00AF7A36" w:rsidRPr="00DA6BD2" w:rsidRDefault="00DA6BD2" w:rsidP="00DA6BD2">
    <w:pPr>
      <w:pStyle w:val="Footer"/>
      <w:tabs>
        <w:tab w:val="right" w:pos="9638"/>
      </w:tabs>
      <w:rPr>
        <w:b/>
        <w:sz w:val="18"/>
      </w:rPr>
    </w:pPr>
    <w:r>
      <w:tab/>
    </w:r>
    <w:r w:rsidRPr="00DA6BD2">
      <w:rPr>
        <w:b/>
        <w:sz w:val="18"/>
      </w:rPr>
      <w:fldChar w:fldCharType="begin"/>
    </w:r>
    <w:r w:rsidRPr="00DA6BD2">
      <w:rPr>
        <w:b/>
        <w:sz w:val="18"/>
      </w:rPr>
      <w:instrText xml:space="preserve"> PAGE  \* MERGEFORMAT </w:instrText>
    </w:r>
    <w:r w:rsidRPr="00DA6BD2">
      <w:rPr>
        <w:b/>
        <w:sz w:val="18"/>
      </w:rPr>
      <w:fldChar w:fldCharType="separate"/>
    </w:r>
    <w:r w:rsidRPr="00DA6BD2">
      <w:rPr>
        <w:b/>
        <w:noProof/>
        <w:sz w:val="18"/>
      </w:rPr>
      <w:t>20</w:t>
    </w:r>
    <w:r w:rsidRPr="00DA6BD2">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F33F" w14:textId="1F06B743" w:rsidR="00FC6B5F" w:rsidRPr="00DA6BD2" w:rsidRDefault="00AF7A9E">
    <w:pPr>
      <w:pStyle w:val="Footer"/>
      <w:tabs>
        <w:tab w:val="right" w:pos="9638"/>
      </w:tabs>
    </w:pPr>
    <w:r w:rsidRPr="00383528">
      <w:rPr>
        <w:b/>
        <w:sz w:val="18"/>
      </w:rPr>
      <w:fldChar w:fldCharType="begin"/>
    </w:r>
    <w:r w:rsidRPr="004F2F8E">
      <w:rPr>
        <w:b/>
        <w:sz w:val="18"/>
      </w:rPr>
      <w:instrText xml:space="preserve"> PAGE  \* MERGEFORMAT </w:instrText>
    </w:r>
    <w:r w:rsidRPr="00383528">
      <w:rPr>
        <w:b/>
        <w:sz w:val="18"/>
      </w:rPr>
      <w:fldChar w:fldCharType="separate"/>
    </w:r>
    <w:r w:rsidR="00DA6BD2" w:rsidRPr="00DA6BD2">
      <w:rPr>
        <w:b/>
        <w:noProof/>
        <w:sz w:val="18"/>
      </w:rPr>
      <w:t>23</w:t>
    </w:r>
    <w:r w:rsidRPr="00383528">
      <w:rPr>
        <w:b/>
        <w:sz w:val="18"/>
      </w:rPr>
      <w:fldChar w:fldCharType="end"/>
    </w:r>
    <w:r w:rsidR="00DA6BD2">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F253B" w14:textId="36B03B76" w:rsidR="00FC6B5F" w:rsidRPr="00DA6BD2" w:rsidRDefault="00AF7A9E">
    <w:pPr>
      <w:pStyle w:val="Footer"/>
      <w:tabs>
        <w:tab w:val="right" w:pos="9638"/>
      </w:tabs>
      <w:rPr>
        <w:b/>
        <w:sz w:val="18"/>
      </w:rPr>
    </w:pPr>
    <w:r>
      <w:tab/>
    </w:r>
    <w:r w:rsidRPr="00383528">
      <w:rPr>
        <w:b/>
        <w:sz w:val="18"/>
      </w:rPr>
      <w:fldChar w:fldCharType="begin"/>
    </w:r>
    <w:r w:rsidRPr="0007295E">
      <w:rPr>
        <w:b/>
        <w:bCs/>
        <w:sz w:val="18"/>
        <w:szCs w:val="18"/>
      </w:rPr>
      <w:instrText xml:space="preserve"> PAGE   \* MERGEFORMAT </w:instrText>
    </w:r>
    <w:r w:rsidRPr="00383528">
      <w:rPr>
        <w:b/>
        <w:sz w:val="18"/>
      </w:rPr>
      <w:fldChar w:fldCharType="separate"/>
    </w:r>
    <w:r w:rsidR="00DA6BD2" w:rsidRPr="00DA6BD2">
      <w:rPr>
        <w:b/>
        <w:noProof/>
        <w:sz w:val="18"/>
      </w:rPr>
      <w:t>24</w:t>
    </w:r>
    <w:r w:rsidRPr="00383528">
      <w:rPr>
        <w:b/>
        <w:sz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AE7C" w14:textId="459BB79C" w:rsidR="00FC6B5F" w:rsidRPr="00DA6BD2" w:rsidRDefault="00AF7A9E">
    <w:pPr>
      <w:pStyle w:val="Footer"/>
      <w:tabs>
        <w:tab w:val="right" w:pos="9638"/>
      </w:tabs>
    </w:pPr>
    <w:r w:rsidRPr="00383528">
      <w:rPr>
        <w:b/>
        <w:sz w:val="18"/>
      </w:rPr>
      <w:fldChar w:fldCharType="begin"/>
    </w:r>
    <w:r w:rsidRPr="00575190">
      <w:rPr>
        <w:b/>
        <w:sz w:val="18"/>
      </w:rPr>
      <w:instrText xml:space="preserve"> PAGE  \* MERGEFORMAT </w:instrText>
    </w:r>
    <w:r w:rsidRPr="00383528">
      <w:rPr>
        <w:b/>
        <w:sz w:val="18"/>
      </w:rPr>
      <w:fldChar w:fldCharType="separate"/>
    </w:r>
    <w:r w:rsidR="00DA6BD2" w:rsidRPr="00DA6BD2">
      <w:rPr>
        <w:b/>
        <w:noProof/>
        <w:sz w:val="18"/>
      </w:rPr>
      <w:t>27</w:t>
    </w:r>
    <w:r w:rsidRPr="00383528">
      <w:rPr>
        <w:b/>
        <w:sz w:val="18"/>
      </w:rPr>
      <w:fldChar w:fldCharType="end"/>
    </w:r>
    <w:r w:rsidR="00DA6BD2">
      <w:rPr>
        <w:sz w:val="18"/>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D6D3" w14:textId="616BAF80" w:rsidR="00FC6B5F" w:rsidRPr="00DA6BD2" w:rsidRDefault="00AF7A9E">
    <w:pPr>
      <w:pStyle w:val="Footer"/>
      <w:tabs>
        <w:tab w:val="right" w:pos="9638"/>
      </w:tabs>
      <w:rPr>
        <w:b/>
        <w:sz w:val="18"/>
      </w:rPr>
    </w:pPr>
    <w:r>
      <w:tab/>
    </w:r>
    <w:r w:rsidRPr="00383528">
      <w:rPr>
        <w:b/>
        <w:sz w:val="18"/>
      </w:rPr>
      <w:fldChar w:fldCharType="begin"/>
    </w:r>
    <w:r w:rsidRPr="00575190">
      <w:rPr>
        <w:b/>
        <w:sz w:val="18"/>
      </w:rPr>
      <w:instrText xml:space="preserve"> PAGE  \* MERGEFORMAT </w:instrText>
    </w:r>
    <w:r w:rsidRPr="00383528">
      <w:rPr>
        <w:b/>
        <w:sz w:val="18"/>
      </w:rPr>
      <w:fldChar w:fldCharType="separate"/>
    </w:r>
    <w:r w:rsidR="00DA6BD2" w:rsidRPr="00DA6BD2">
      <w:rPr>
        <w:b/>
        <w:noProof/>
        <w:sz w:val="18"/>
      </w:rPr>
      <w:t>26</w:t>
    </w:r>
    <w:r w:rsidRPr="00383528">
      <w:rPr>
        <w:b/>
        <w:sz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2EED0" w14:textId="4D8DB464" w:rsidR="000819B0" w:rsidRPr="00DA6BD2" w:rsidRDefault="00383528" w:rsidP="00383528">
    <w:pPr>
      <w:pStyle w:val="Footer"/>
      <w:tabs>
        <w:tab w:val="right" w:pos="9638"/>
      </w:tabs>
    </w:pPr>
    <w:r w:rsidRPr="00383528">
      <w:rPr>
        <w:b/>
        <w:sz w:val="18"/>
      </w:rPr>
      <w:fldChar w:fldCharType="begin"/>
    </w:r>
    <w:r w:rsidRPr="00383528">
      <w:rPr>
        <w:b/>
        <w:sz w:val="18"/>
      </w:rPr>
      <w:instrText xml:space="preserve"> PAGE  \* MERGEFORMAT </w:instrText>
    </w:r>
    <w:r w:rsidRPr="00383528">
      <w:rPr>
        <w:b/>
        <w:sz w:val="18"/>
      </w:rPr>
      <w:fldChar w:fldCharType="separate"/>
    </w:r>
    <w:r w:rsidR="00DA6BD2" w:rsidRPr="00DA6BD2">
      <w:rPr>
        <w:b/>
        <w:noProof/>
        <w:sz w:val="18"/>
      </w:rPr>
      <w:t>29</w:t>
    </w:r>
    <w:r w:rsidRPr="00383528">
      <w:rPr>
        <w:b/>
        <w:sz w:val="18"/>
      </w:rPr>
      <w:fldChar w:fldCharType="end"/>
    </w:r>
    <w:r w:rsidR="00DA6BD2">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C2F2" w14:textId="0FB00D50" w:rsidR="003E45B1" w:rsidRPr="003B5708" w:rsidRDefault="003B5708" w:rsidP="003B5708">
    <w:pPr>
      <w:pStyle w:val="Footer"/>
      <w:tabs>
        <w:tab w:val="right" w:pos="9638"/>
      </w:tabs>
      <w:rPr>
        <w:b/>
        <w:sz w:val="18"/>
      </w:rPr>
    </w:pPr>
    <w:r>
      <w:tab/>
    </w:r>
    <w:r w:rsidRPr="003B5708">
      <w:rPr>
        <w:b/>
        <w:color w:val="2B579A"/>
        <w:sz w:val="18"/>
        <w:shd w:val="clear" w:color="auto" w:fill="E6E6E6"/>
      </w:rPr>
      <w:fldChar w:fldCharType="begin"/>
    </w:r>
    <w:r w:rsidRPr="003B5708">
      <w:rPr>
        <w:b/>
        <w:sz w:val="18"/>
      </w:rPr>
      <w:instrText xml:space="preserve"> PAGE  \* MERGEFORMAT </w:instrText>
    </w:r>
    <w:r w:rsidRPr="003B5708">
      <w:rPr>
        <w:b/>
        <w:color w:val="2B579A"/>
        <w:sz w:val="18"/>
        <w:shd w:val="clear" w:color="auto" w:fill="E6E6E6"/>
      </w:rPr>
      <w:fldChar w:fldCharType="separate"/>
    </w:r>
    <w:r w:rsidRPr="003B5708">
      <w:rPr>
        <w:b/>
        <w:noProof/>
        <w:sz w:val="18"/>
      </w:rPr>
      <w:t>5</w:t>
    </w:r>
    <w:r w:rsidRPr="003B5708">
      <w:rPr>
        <w:b/>
        <w:color w:val="2B579A"/>
        <w:sz w:val="18"/>
        <w:shd w:val="clear" w:color="auto" w:fill="E6E6E6"/>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3D017" w14:textId="7EBA77E5" w:rsidR="000819B0" w:rsidRPr="00DA6BD2" w:rsidRDefault="009D3CDD" w:rsidP="009D3CDD">
    <w:pPr>
      <w:pStyle w:val="Footer"/>
      <w:tabs>
        <w:tab w:val="right" w:pos="9638"/>
      </w:tabs>
      <w:rPr>
        <w:b/>
        <w:sz w:val="18"/>
      </w:rPr>
    </w:pPr>
    <w:r>
      <w:tab/>
    </w:r>
    <w:r w:rsidR="00383528" w:rsidRPr="00383528">
      <w:rPr>
        <w:b/>
        <w:sz w:val="18"/>
      </w:rPr>
      <w:fldChar w:fldCharType="begin"/>
    </w:r>
    <w:r w:rsidR="00383528" w:rsidRPr="00383528">
      <w:rPr>
        <w:b/>
        <w:sz w:val="18"/>
      </w:rPr>
      <w:instrText xml:space="preserve"> PAGE  \* MERGEFORMAT </w:instrText>
    </w:r>
    <w:r w:rsidR="00383528" w:rsidRPr="00383528">
      <w:rPr>
        <w:b/>
        <w:sz w:val="18"/>
      </w:rPr>
      <w:fldChar w:fldCharType="separate"/>
    </w:r>
    <w:r w:rsidR="00DA6BD2" w:rsidRPr="00DA6BD2">
      <w:rPr>
        <w:b/>
        <w:noProof/>
        <w:sz w:val="18"/>
      </w:rPr>
      <w:t>30</w:t>
    </w:r>
    <w:r w:rsidR="00383528" w:rsidRPr="00383528">
      <w:rPr>
        <w:b/>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E6B2" w14:textId="15A72F39" w:rsidR="00FC6B5F" w:rsidRPr="00DA6BD2" w:rsidRDefault="00AF7A9E" w:rsidP="00F51990">
    <w:pPr>
      <w:pStyle w:val="Footer"/>
      <w:tabs>
        <w:tab w:val="right" w:pos="9638"/>
      </w:tabs>
    </w:pPr>
    <w:r w:rsidRPr="00383528">
      <w:rPr>
        <w:b/>
        <w:sz w:val="18"/>
      </w:rPr>
      <w:fldChar w:fldCharType="begin"/>
    </w:r>
    <w:r w:rsidRPr="00F51990">
      <w:rPr>
        <w:b/>
        <w:sz w:val="18"/>
      </w:rPr>
      <w:instrText xml:space="preserve"> PAGE  \* MERGEFORMAT </w:instrText>
    </w:r>
    <w:r w:rsidRPr="00383528">
      <w:rPr>
        <w:b/>
        <w:sz w:val="18"/>
      </w:rPr>
      <w:fldChar w:fldCharType="separate"/>
    </w:r>
    <w:r w:rsidR="00DA6BD2" w:rsidRPr="00DA6BD2">
      <w:rPr>
        <w:b/>
        <w:noProof/>
        <w:sz w:val="18"/>
      </w:rPr>
      <w:t>33</w:t>
    </w:r>
    <w:r w:rsidRPr="00383528">
      <w:rPr>
        <w:b/>
        <w:sz w:val="18"/>
      </w:rPr>
      <w:fldChar w:fldCharType="end"/>
    </w:r>
    <w:r w:rsidR="00DA6BD2">
      <w:rPr>
        <w:sz w:val="18"/>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8EEF" w14:textId="1D63347F" w:rsidR="00FC6B5F" w:rsidRPr="00DA6BD2" w:rsidRDefault="00AF7A9E" w:rsidP="00F51990">
    <w:pPr>
      <w:pStyle w:val="Footer"/>
      <w:tabs>
        <w:tab w:val="right" w:pos="9638"/>
      </w:tabs>
      <w:rPr>
        <w:b/>
        <w:sz w:val="18"/>
      </w:rPr>
    </w:pPr>
    <w:r>
      <w:tab/>
    </w:r>
    <w:r w:rsidRPr="00383528">
      <w:rPr>
        <w:b/>
        <w:sz w:val="18"/>
      </w:rPr>
      <w:fldChar w:fldCharType="begin"/>
    </w:r>
    <w:r w:rsidRPr="00F51990">
      <w:rPr>
        <w:b/>
        <w:sz w:val="18"/>
      </w:rPr>
      <w:instrText xml:space="preserve"> PAGE  \* MERGEFORMAT </w:instrText>
    </w:r>
    <w:r w:rsidRPr="00383528">
      <w:rPr>
        <w:b/>
        <w:sz w:val="18"/>
      </w:rPr>
      <w:fldChar w:fldCharType="separate"/>
    </w:r>
    <w:r w:rsidR="00DA6BD2" w:rsidRPr="00DA6BD2">
      <w:rPr>
        <w:b/>
        <w:noProof/>
        <w:sz w:val="18"/>
      </w:rPr>
      <w:t>32</w:t>
    </w:r>
    <w:r w:rsidRPr="00383528">
      <w:rPr>
        <w:b/>
        <w:sz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34104" w14:textId="1E161180" w:rsidR="00FC6B5F" w:rsidRPr="00383528" w:rsidRDefault="00AF7A9E" w:rsidP="00F51990">
    <w:pPr>
      <w:pStyle w:val="Footer"/>
      <w:tabs>
        <w:tab w:val="right" w:pos="9638"/>
      </w:tabs>
      <w:rPr>
        <w:b/>
        <w:sz w:val="18"/>
      </w:rPr>
    </w:pPr>
    <w:r w:rsidRPr="00383528">
      <w:rPr>
        <w:b/>
        <w:sz w:val="18"/>
      </w:rPr>
      <w:fldChar w:fldCharType="begin"/>
    </w:r>
    <w:r w:rsidRPr="00F51990">
      <w:rPr>
        <w:b/>
        <w:sz w:val="18"/>
      </w:rPr>
      <w:instrText xml:space="preserve"> PAGE  \* MERGEFORMAT </w:instrText>
    </w:r>
    <w:r w:rsidRPr="00383528">
      <w:rPr>
        <w:b/>
        <w:sz w:val="18"/>
      </w:rPr>
      <w:fldChar w:fldCharType="separate"/>
    </w:r>
    <w:r w:rsidR="00383528" w:rsidRPr="00383528">
      <w:rPr>
        <w:b/>
        <w:noProof/>
        <w:sz w:val="18"/>
      </w:rPr>
      <w:t>43</w:t>
    </w:r>
    <w:r w:rsidRPr="00383528">
      <w:rPr>
        <w:b/>
        <w:sz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1E967" w14:textId="48388933" w:rsidR="00FC6B5F" w:rsidRPr="00F51990" w:rsidRDefault="00AF7A9E" w:rsidP="00F51990">
    <w:pPr>
      <w:pStyle w:val="Footer"/>
      <w:tabs>
        <w:tab w:val="right" w:pos="9638"/>
      </w:tabs>
      <w:rPr>
        <w:b/>
        <w:sz w:val="18"/>
      </w:rPr>
    </w:pPr>
    <w:r>
      <w:tab/>
    </w:r>
    <w:r w:rsidRPr="00DA6BD2">
      <w:rPr>
        <w:b/>
        <w:sz w:val="18"/>
      </w:rPr>
      <w:fldChar w:fldCharType="begin"/>
    </w:r>
    <w:r w:rsidRPr="00F51990">
      <w:rPr>
        <w:b/>
        <w:sz w:val="18"/>
      </w:rPr>
      <w:instrText xml:space="preserve"> PAGE  \* MERGEFORMAT </w:instrText>
    </w:r>
    <w:r w:rsidRPr="00DA6BD2">
      <w:rPr>
        <w:b/>
        <w:sz w:val="18"/>
      </w:rPr>
      <w:fldChar w:fldCharType="separate"/>
    </w:r>
    <w:r w:rsidR="00DA6BD2" w:rsidRPr="00DA6BD2">
      <w:rPr>
        <w:b/>
        <w:noProof/>
        <w:sz w:val="18"/>
      </w:rPr>
      <w:t>34</w:t>
    </w:r>
    <w:r w:rsidRPr="00DA6BD2">
      <w:rPr>
        <w:b/>
        <w:sz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138F0" w14:textId="5EB68677" w:rsidR="00FC6B5F" w:rsidRPr="00DA6BD2" w:rsidRDefault="00AF7A9E" w:rsidP="00F51990">
    <w:pPr>
      <w:pStyle w:val="Footer"/>
      <w:tabs>
        <w:tab w:val="right" w:pos="9638"/>
      </w:tabs>
    </w:pPr>
    <w:r w:rsidRPr="00383528">
      <w:rPr>
        <w:b/>
        <w:sz w:val="18"/>
      </w:rPr>
      <w:fldChar w:fldCharType="begin"/>
    </w:r>
    <w:r w:rsidRPr="00F51990">
      <w:rPr>
        <w:b/>
        <w:sz w:val="18"/>
      </w:rPr>
      <w:instrText xml:space="preserve"> PAGE  \* MERGEFORMAT </w:instrText>
    </w:r>
    <w:r w:rsidRPr="00383528">
      <w:rPr>
        <w:b/>
        <w:sz w:val="18"/>
      </w:rPr>
      <w:fldChar w:fldCharType="separate"/>
    </w:r>
    <w:r w:rsidR="00DA6BD2" w:rsidRPr="00DA6BD2">
      <w:rPr>
        <w:b/>
        <w:noProof/>
        <w:sz w:val="18"/>
      </w:rPr>
      <w:t>1</w:t>
    </w:r>
    <w:r w:rsidRPr="00383528">
      <w:rPr>
        <w:b/>
        <w:sz w:val="18"/>
      </w:rPr>
      <w:fldChar w:fldCharType="end"/>
    </w:r>
    <w:r w:rsidR="00DA6BD2">
      <w:rPr>
        <w:sz w:val="18"/>
      </w:rPr>
      <w:tab/>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1332D" w14:textId="77CEF60D" w:rsidR="00FC6B5F" w:rsidRPr="00F51990" w:rsidRDefault="00AF7A9E" w:rsidP="00F51990">
    <w:pPr>
      <w:pStyle w:val="Footer"/>
      <w:tabs>
        <w:tab w:val="right" w:pos="9638"/>
      </w:tabs>
      <w:rPr>
        <w:b/>
        <w:sz w:val="18"/>
      </w:rPr>
    </w:pPr>
    <w:r>
      <w:tab/>
    </w:r>
    <w:r w:rsidRPr="00DA6BD2">
      <w:rPr>
        <w:b/>
        <w:sz w:val="18"/>
      </w:rPr>
      <w:fldChar w:fldCharType="begin"/>
    </w:r>
    <w:r w:rsidRPr="00F51990">
      <w:rPr>
        <w:b/>
        <w:sz w:val="18"/>
      </w:rPr>
      <w:instrText xml:space="preserve"> PAGE  \* MERGEFORMAT </w:instrText>
    </w:r>
    <w:r w:rsidRPr="00DA6BD2">
      <w:rPr>
        <w:b/>
        <w:sz w:val="18"/>
      </w:rPr>
      <w:fldChar w:fldCharType="separate"/>
    </w:r>
    <w:r w:rsidR="00DA6BD2" w:rsidRPr="00DA6BD2">
      <w:rPr>
        <w:b/>
        <w:noProof/>
        <w:sz w:val="18"/>
      </w:rPr>
      <w:t>36</w:t>
    </w:r>
    <w:r w:rsidRPr="00DA6BD2">
      <w:rPr>
        <w:b/>
        <w:sz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8255E" w14:textId="77777777" w:rsidR="00AF7A36" w:rsidRDefault="00DA6BD2" w:rsidP="00DA6BD2">
    <w:pPr>
      <w:pStyle w:val="Footer"/>
      <w:tabs>
        <w:tab w:val="right" w:pos="9638"/>
      </w:tabs>
    </w:pPr>
    <w:r w:rsidRPr="00DA6BD2">
      <w:rPr>
        <w:b/>
        <w:sz w:val="18"/>
      </w:rPr>
      <w:fldChar w:fldCharType="begin"/>
    </w:r>
    <w:r w:rsidRPr="00DA6BD2">
      <w:rPr>
        <w:b/>
        <w:sz w:val="18"/>
      </w:rPr>
      <w:instrText xml:space="preserve"> PAGE  \* MERGEFORMAT </w:instrText>
    </w:r>
    <w:r w:rsidRPr="00DA6BD2">
      <w:rPr>
        <w:b/>
        <w:sz w:val="18"/>
      </w:rPr>
      <w:fldChar w:fldCharType="separate"/>
    </w:r>
    <w:r w:rsidRPr="00DA6BD2">
      <w:rPr>
        <w:b/>
        <w:noProof/>
        <w:sz w:val="18"/>
      </w:rPr>
      <w:t>35</w:t>
    </w:r>
    <w:r w:rsidRPr="00DA6BD2">
      <w:rPr>
        <w:b/>
        <w:sz w:val="18"/>
      </w:rPr>
      <w:fldChar w:fldCharType="end"/>
    </w:r>
    <w:r>
      <w:rPr>
        <w:sz w:val="18"/>
      </w:rPr>
      <w:tab/>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D8C3F" w14:textId="77777777" w:rsidR="00AF7A36" w:rsidRDefault="00DA6BD2" w:rsidP="00DA6BD2">
    <w:pPr>
      <w:pStyle w:val="Footer"/>
      <w:tabs>
        <w:tab w:val="right" w:pos="9638"/>
      </w:tabs>
    </w:pPr>
    <w:r w:rsidRPr="00DA6BD2">
      <w:rPr>
        <w:b/>
        <w:sz w:val="18"/>
      </w:rPr>
      <w:fldChar w:fldCharType="begin"/>
    </w:r>
    <w:r w:rsidRPr="00DA6BD2">
      <w:rPr>
        <w:b/>
        <w:sz w:val="18"/>
      </w:rPr>
      <w:instrText xml:space="preserve"> PAGE  \* MERGEFORMAT </w:instrText>
    </w:r>
    <w:r w:rsidRPr="00DA6BD2">
      <w:rPr>
        <w:b/>
        <w:sz w:val="18"/>
      </w:rPr>
      <w:fldChar w:fldCharType="separate"/>
    </w:r>
    <w:r w:rsidRPr="00DA6BD2">
      <w:rPr>
        <w:b/>
        <w:noProof/>
        <w:sz w:val="18"/>
      </w:rPr>
      <w:t>38</w:t>
    </w:r>
    <w:r w:rsidRPr="00DA6BD2">
      <w:rPr>
        <w:b/>
        <w:sz w:val="18"/>
      </w:rPr>
      <w:fldChar w:fldCharType="end"/>
    </w:r>
    <w:r>
      <w:rPr>
        <w:sz w:val="18"/>
      </w:rPr>
      <w:tab/>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9CAE2" w14:textId="77777777" w:rsidR="00AF7A36" w:rsidRPr="00DA6BD2" w:rsidRDefault="00DA6BD2" w:rsidP="00DA6BD2">
    <w:pPr>
      <w:pStyle w:val="Footer"/>
      <w:tabs>
        <w:tab w:val="right" w:pos="9638"/>
      </w:tabs>
      <w:rPr>
        <w:b/>
        <w:sz w:val="18"/>
      </w:rPr>
    </w:pPr>
    <w:r>
      <w:tab/>
    </w:r>
    <w:r w:rsidRPr="00DA6BD2">
      <w:rPr>
        <w:b/>
        <w:sz w:val="18"/>
      </w:rPr>
      <w:fldChar w:fldCharType="begin"/>
    </w:r>
    <w:r w:rsidRPr="00DA6BD2">
      <w:rPr>
        <w:b/>
        <w:sz w:val="18"/>
      </w:rPr>
      <w:instrText xml:space="preserve"> PAGE  \* MERGEFORMAT </w:instrText>
    </w:r>
    <w:r w:rsidRPr="00DA6BD2">
      <w:rPr>
        <w:b/>
        <w:sz w:val="18"/>
      </w:rPr>
      <w:fldChar w:fldCharType="separate"/>
    </w:r>
    <w:r w:rsidRPr="00DA6BD2">
      <w:rPr>
        <w:b/>
        <w:noProof/>
        <w:sz w:val="18"/>
      </w:rPr>
      <w:t>37</w:t>
    </w:r>
    <w:r w:rsidRPr="00DA6BD2">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A268A" w14:textId="4F30D0F8" w:rsidR="00DC6FDF" w:rsidRPr="00DA6BD2" w:rsidRDefault="00DC6FDF">
    <w:pPr>
      <w:pStyle w:val="Footer"/>
      <w:tabs>
        <w:tab w:val="right" w:pos="9638"/>
      </w:tabs>
    </w:pPr>
    <w:r w:rsidRPr="00383528">
      <w:rPr>
        <w:b/>
        <w:sz w:val="18"/>
      </w:rPr>
      <w:fldChar w:fldCharType="begin"/>
    </w:r>
    <w:r w:rsidRPr="004F2F8E">
      <w:rPr>
        <w:b/>
        <w:sz w:val="18"/>
      </w:rPr>
      <w:instrText xml:space="preserve"> PAGE  \* MERGEFORMAT </w:instrText>
    </w:r>
    <w:r w:rsidRPr="00383528">
      <w:rPr>
        <w:b/>
        <w:sz w:val="18"/>
      </w:rPr>
      <w:fldChar w:fldCharType="separate"/>
    </w:r>
    <w:r w:rsidR="00DA6BD2" w:rsidRPr="00DA6BD2">
      <w:rPr>
        <w:b/>
        <w:noProof/>
        <w:sz w:val="18"/>
      </w:rPr>
      <w:t>7</w:t>
    </w:r>
    <w:r w:rsidRPr="00383528">
      <w:rPr>
        <w:b/>
        <w:sz w:val="18"/>
      </w:rPr>
      <w:fldChar w:fldCharType="end"/>
    </w:r>
    <w:r w:rsidR="00DA6BD2">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CD38" w14:textId="28D97187" w:rsidR="00DC6FDF" w:rsidRPr="00DA6BD2" w:rsidRDefault="00DC6FDF">
    <w:pPr>
      <w:pStyle w:val="Footer"/>
      <w:tabs>
        <w:tab w:val="right" w:pos="9638"/>
      </w:tabs>
      <w:rPr>
        <w:b/>
        <w:sz w:val="18"/>
      </w:rPr>
    </w:pPr>
    <w:r>
      <w:tab/>
    </w:r>
    <w:r w:rsidRPr="00383528">
      <w:rPr>
        <w:b/>
        <w:sz w:val="18"/>
      </w:rPr>
      <w:fldChar w:fldCharType="begin"/>
    </w:r>
    <w:r w:rsidRPr="0007295E">
      <w:rPr>
        <w:b/>
        <w:bCs/>
        <w:sz w:val="18"/>
        <w:szCs w:val="18"/>
      </w:rPr>
      <w:instrText xml:space="preserve"> PAGE   \* MERGEFORMAT </w:instrText>
    </w:r>
    <w:r w:rsidRPr="00383528">
      <w:rPr>
        <w:b/>
        <w:sz w:val="18"/>
      </w:rPr>
      <w:fldChar w:fldCharType="separate"/>
    </w:r>
    <w:r w:rsidR="00DA6BD2" w:rsidRPr="00DA6BD2">
      <w:rPr>
        <w:b/>
        <w:noProof/>
        <w:sz w:val="18"/>
      </w:rPr>
      <w:t>6</w:t>
    </w:r>
    <w:r w:rsidRPr="00383528">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14166" w14:textId="1917A678" w:rsidR="000819B0" w:rsidRPr="00DA6BD2" w:rsidRDefault="00383528" w:rsidP="00383528">
    <w:pPr>
      <w:pStyle w:val="Footer"/>
      <w:tabs>
        <w:tab w:val="right" w:pos="9638"/>
      </w:tabs>
    </w:pPr>
    <w:r w:rsidRPr="00383528">
      <w:rPr>
        <w:b/>
        <w:sz w:val="18"/>
      </w:rPr>
      <w:fldChar w:fldCharType="begin"/>
    </w:r>
    <w:r w:rsidRPr="00383528">
      <w:rPr>
        <w:b/>
        <w:sz w:val="18"/>
      </w:rPr>
      <w:instrText xml:space="preserve"> PAGE  \* MERGEFORMAT </w:instrText>
    </w:r>
    <w:r w:rsidRPr="00383528">
      <w:rPr>
        <w:b/>
        <w:sz w:val="18"/>
      </w:rPr>
      <w:fldChar w:fldCharType="separate"/>
    </w:r>
    <w:r w:rsidR="00DA6BD2" w:rsidRPr="00DA6BD2">
      <w:rPr>
        <w:b/>
        <w:noProof/>
        <w:sz w:val="18"/>
      </w:rPr>
      <w:t>13</w:t>
    </w:r>
    <w:r w:rsidRPr="00383528">
      <w:rPr>
        <w:b/>
        <w:sz w:val="18"/>
      </w:rPr>
      <w:fldChar w:fldCharType="end"/>
    </w:r>
    <w:r w:rsidR="00DA6BD2">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65E8D" w14:textId="277966FE" w:rsidR="000819B0" w:rsidRPr="00DA6BD2" w:rsidRDefault="003B3B44" w:rsidP="00383528">
    <w:pPr>
      <w:pStyle w:val="Footer"/>
      <w:tabs>
        <w:tab w:val="right" w:pos="9638"/>
      </w:tabs>
      <w:rPr>
        <w:b/>
        <w:sz w:val="18"/>
      </w:rPr>
    </w:pPr>
    <w:r>
      <w:tab/>
    </w:r>
    <w:r w:rsidR="00383528" w:rsidRPr="00383528">
      <w:rPr>
        <w:b/>
        <w:sz w:val="18"/>
      </w:rPr>
      <w:fldChar w:fldCharType="begin"/>
    </w:r>
    <w:r w:rsidR="00383528" w:rsidRPr="00383528">
      <w:rPr>
        <w:b/>
        <w:sz w:val="18"/>
      </w:rPr>
      <w:instrText xml:space="preserve"> PAGE  \* MERGEFORMAT </w:instrText>
    </w:r>
    <w:r w:rsidR="00383528" w:rsidRPr="00383528">
      <w:rPr>
        <w:b/>
        <w:sz w:val="18"/>
      </w:rPr>
      <w:fldChar w:fldCharType="separate"/>
    </w:r>
    <w:r w:rsidR="00DA6BD2" w:rsidRPr="00DA6BD2">
      <w:rPr>
        <w:b/>
        <w:noProof/>
        <w:sz w:val="18"/>
      </w:rPr>
      <w:t>14</w:t>
    </w:r>
    <w:r w:rsidR="00383528" w:rsidRPr="00383528">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834D" w14:textId="711B46D2" w:rsidR="00FC6B5F" w:rsidRPr="00DA6BD2" w:rsidRDefault="00A87ACB" w:rsidP="00F51990">
    <w:pPr>
      <w:pStyle w:val="Footer"/>
      <w:tabs>
        <w:tab w:val="right" w:pos="9638"/>
      </w:tabs>
    </w:pPr>
    <w:r w:rsidRPr="00383528">
      <w:rPr>
        <w:b/>
        <w:sz w:val="18"/>
      </w:rPr>
      <w:fldChar w:fldCharType="begin"/>
    </w:r>
    <w:r w:rsidRPr="00F51990">
      <w:rPr>
        <w:b/>
        <w:sz w:val="18"/>
      </w:rPr>
      <w:instrText xml:space="preserve"> PAGE  \* MERGEFORMAT </w:instrText>
    </w:r>
    <w:r w:rsidRPr="00383528">
      <w:rPr>
        <w:b/>
        <w:sz w:val="18"/>
      </w:rPr>
      <w:fldChar w:fldCharType="separate"/>
    </w:r>
    <w:r w:rsidR="00DA6BD2" w:rsidRPr="00DA6BD2">
      <w:rPr>
        <w:b/>
        <w:noProof/>
        <w:sz w:val="18"/>
      </w:rPr>
      <w:t>15</w:t>
    </w:r>
    <w:r w:rsidRPr="00383528">
      <w:rPr>
        <w:b/>
        <w:sz w:val="18"/>
      </w:rPr>
      <w:fldChar w:fldCharType="end"/>
    </w:r>
    <w:r w:rsidR="00DA6BD2">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C68B2" w14:textId="1C32D691" w:rsidR="00FC6B5F" w:rsidRPr="00DA6BD2" w:rsidRDefault="00A87ACB" w:rsidP="00F51990">
    <w:pPr>
      <w:pStyle w:val="Footer"/>
      <w:tabs>
        <w:tab w:val="right" w:pos="9638"/>
      </w:tabs>
      <w:rPr>
        <w:b/>
        <w:sz w:val="18"/>
      </w:rPr>
    </w:pPr>
    <w:r>
      <w:tab/>
    </w:r>
    <w:r w:rsidRPr="00383528">
      <w:rPr>
        <w:b/>
        <w:sz w:val="18"/>
      </w:rPr>
      <w:fldChar w:fldCharType="begin"/>
    </w:r>
    <w:r w:rsidRPr="00F51990">
      <w:rPr>
        <w:b/>
        <w:sz w:val="18"/>
      </w:rPr>
      <w:instrText xml:space="preserve"> PAGE  \* MERGEFORMAT </w:instrText>
    </w:r>
    <w:r w:rsidRPr="00383528">
      <w:rPr>
        <w:b/>
        <w:sz w:val="18"/>
      </w:rPr>
      <w:fldChar w:fldCharType="separate"/>
    </w:r>
    <w:r w:rsidR="00DA6BD2" w:rsidRPr="00DA6BD2">
      <w:rPr>
        <w:b/>
        <w:noProof/>
        <w:sz w:val="18"/>
      </w:rPr>
      <w:t>16</w:t>
    </w:r>
    <w:r w:rsidRPr="00383528">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CA701" w14:textId="2CF761AD" w:rsidR="00FC6B5F" w:rsidRPr="00DA6BD2" w:rsidRDefault="00383528">
    <w:pPr>
      <w:pStyle w:val="Footer"/>
      <w:tabs>
        <w:tab w:val="right" w:pos="9638"/>
      </w:tabs>
    </w:pPr>
    <w:r w:rsidRPr="00383528">
      <w:rPr>
        <w:b/>
        <w:sz w:val="18"/>
      </w:rPr>
      <w:fldChar w:fldCharType="begin"/>
    </w:r>
    <w:r w:rsidRPr="00383528">
      <w:rPr>
        <w:b/>
        <w:sz w:val="18"/>
      </w:rPr>
      <w:instrText xml:space="preserve"> PAGE  \* MERGEFORMAT </w:instrText>
    </w:r>
    <w:r w:rsidRPr="00383528">
      <w:rPr>
        <w:b/>
        <w:sz w:val="18"/>
      </w:rPr>
      <w:fldChar w:fldCharType="separate"/>
    </w:r>
    <w:r w:rsidR="00DA6BD2" w:rsidRPr="00DA6BD2">
      <w:rPr>
        <w:b/>
        <w:noProof/>
        <w:sz w:val="18"/>
      </w:rPr>
      <w:t>19</w:t>
    </w:r>
    <w:r w:rsidRPr="00383528">
      <w:rPr>
        <w:b/>
        <w:sz w:val="18"/>
      </w:rPr>
      <w:fldChar w:fldCharType="end"/>
    </w:r>
    <w:r w:rsidR="00DA6BD2">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79D04" w14:textId="77777777" w:rsidR="004A0971" w:rsidRDefault="004A0971">
      <w:r>
        <w:separator/>
      </w:r>
    </w:p>
  </w:footnote>
  <w:footnote w:type="continuationSeparator" w:id="0">
    <w:p w14:paraId="6A789992" w14:textId="77777777" w:rsidR="004A0971" w:rsidRDefault="004A0971">
      <w:r>
        <w:continuationSeparator/>
      </w:r>
    </w:p>
    <w:p w14:paraId="2FA8642F" w14:textId="77777777" w:rsidR="004A0971" w:rsidRDefault="004A0971"/>
  </w:footnote>
  <w:footnote w:type="continuationNotice" w:id="1">
    <w:p w14:paraId="3E5D79E7" w14:textId="77777777" w:rsidR="004A0971" w:rsidRDefault="004A0971">
      <w:pPr>
        <w:spacing w:line="240" w:lineRule="auto"/>
      </w:pPr>
    </w:p>
  </w:footnote>
  <w:footnote w:id="2">
    <w:p w14:paraId="40E2F4DB" w14:textId="6E90D7CE" w:rsidR="00DC6FDF" w:rsidRPr="00267251" w:rsidRDefault="00DC6FDF" w:rsidP="00311E47">
      <w:pPr>
        <w:pStyle w:val="FootnoteText"/>
        <w:widowControl w:val="0"/>
        <w:rPr>
          <w:lang w:val="en-US"/>
        </w:rPr>
      </w:pPr>
      <w:r>
        <w:tab/>
      </w:r>
      <w:r>
        <w:rPr>
          <w:rStyle w:val="FootnoteReference"/>
        </w:rPr>
        <w:footnoteRef/>
      </w:r>
      <w:r>
        <w:tab/>
      </w:r>
      <w:r>
        <w:rPr>
          <w:lang w:val="en-US"/>
        </w:rPr>
        <w:t>Nothing in this document prejudices Parties’ views or prejudges outcomes on matters related to the governance of the Warsaw International Mechanism for Loss and Damage associated with Climate Change Impacts.</w:t>
      </w:r>
    </w:p>
  </w:footnote>
  <w:footnote w:id="3">
    <w:p w14:paraId="5DD840B6" w14:textId="03E929E9" w:rsidR="00DC6FDF" w:rsidRPr="00267251" w:rsidRDefault="00DC6FDF" w:rsidP="00311E47">
      <w:pPr>
        <w:pStyle w:val="FootnoteText"/>
        <w:widowControl w:val="0"/>
        <w:rPr>
          <w:lang w:val="en-US"/>
        </w:rPr>
      </w:pPr>
      <w:r>
        <w:tab/>
      </w:r>
      <w:r>
        <w:rPr>
          <w:rStyle w:val="FootnoteReference"/>
        </w:rPr>
        <w:footnoteRef/>
      </w:r>
      <w:r>
        <w:tab/>
      </w:r>
      <w:r w:rsidRPr="00267251">
        <w:rPr>
          <w:lang w:val="en-US"/>
        </w:rPr>
        <w:t>Decision 2/CMA.2, para. 43.</w:t>
      </w:r>
    </w:p>
  </w:footnote>
  <w:footnote w:id="4">
    <w:p w14:paraId="4C376713" w14:textId="3D3AEEDE" w:rsidR="00DC6FDF" w:rsidRPr="00267251" w:rsidRDefault="00DC6FDF" w:rsidP="00311E47">
      <w:pPr>
        <w:pStyle w:val="FootnoteText"/>
        <w:widowControl w:val="0"/>
        <w:rPr>
          <w:lang w:val="en-US"/>
        </w:rPr>
      </w:pPr>
      <w:r>
        <w:tab/>
      </w:r>
      <w:r>
        <w:rPr>
          <w:rStyle w:val="FootnoteReference"/>
        </w:rPr>
        <w:footnoteRef/>
      </w:r>
      <w:r>
        <w:tab/>
      </w:r>
      <w:r w:rsidR="00D73105">
        <w:rPr>
          <w:lang w:val="en-US"/>
        </w:rPr>
        <w:t xml:space="preserve">As footnote </w:t>
      </w:r>
      <w:r w:rsidR="00605CF6">
        <w:rPr>
          <w:lang w:val="en-US"/>
        </w:rPr>
        <w:t>1</w:t>
      </w:r>
      <w:r w:rsidR="00D73105">
        <w:rPr>
          <w:lang w:val="en-US"/>
        </w:rPr>
        <w:t xml:space="preserve"> above</w:t>
      </w:r>
      <w:r>
        <w:rPr>
          <w:lang w:val="en-US"/>
        </w:rPr>
        <w:t>.</w:t>
      </w:r>
    </w:p>
  </w:footnote>
  <w:footnote w:id="5">
    <w:p w14:paraId="1551FC00" w14:textId="69625C0F" w:rsidR="00DC6FDF" w:rsidRPr="00267251" w:rsidRDefault="00931E88" w:rsidP="00311E47">
      <w:pPr>
        <w:pStyle w:val="FootnoteText"/>
        <w:widowControl w:val="0"/>
        <w:rPr>
          <w:lang w:val="en-US"/>
        </w:rPr>
      </w:pPr>
      <w:r>
        <w:tab/>
      </w:r>
      <w:r>
        <w:rPr>
          <w:rStyle w:val="FootnoteReference"/>
        </w:rPr>
        <w:footnoteRef/>
      </w:r>
      <w:r>
        <w:tab/>
      </w:r>
      <w:r w:rsidRPr="00267251">
        <w:rPr>
          <w:lang w:val="en-US"/>
        </w:rPr>
        <w:t xml:space="preserve">Decision 12/CMA.4, para. </w:t>
      </w:r>
      <w:r>
        <w:t xml:space="preserve">24 </w:t>
      </w:r>
    </w:p>
  </w:footnote>
  <w:footnote w:id="6">
    <w:p w14:paraId="5C1310D9" w14:textId="52309E25" w:rsidR="00DC6FDF" w:rsidRPr="00267251" w:rsidRDefault="00DC6FDF" w:rsidP="00311E47">
      <w:pPr>
        <w:pStyle w:val="FootnoteText"/>
        <w:widowControl w:val="0"/>
        <w:rPr>
          <w:lang w:val="en-US"/>
        </w:rPr>
      </w:pPr>
      <w:r>
        <w:tab/>
      </w:r>
      <w:r>
        <w:rPr>
          <w:rStyle w:val="FootnoteReference"/>
        </w:rPr>
        <w:footnoteRef/>
      </w:r>
      <w:r>
        <w:tab/>
        <w:t xml:space="preserve">In accordance with the process outlined in </w:t>
      </w:r>
      <w:r w:rsidR="0020263A">
        <w:t xml:space="preserve">paras. 19–23 of </w:t>
      </w:r>
      <w:r>
        <w:t>decision 12/CMA.4, endorsed by decision 11/CP.27.</w:t>
      </w:r>
    </w:p>
  </w:footnote>
  <w:footnote w:id="7">
    <w:p w14:paraId="627A46A5" w14:textId="4FAE2304" w:rsidR="00DC6FDF" w:rsidRPr="00546F77" w:rsidRDefault="00DC6FDF" w:rsidP="00311E47">
      <w:pPr>
        <w:pStyle w:val="FootnoteText"/>
        <w:widowControl w:val="0"/>
        <w:rPr>
          <w:lang w:val="en-US"/>
        </w:rPr>
      </w:pPr>
      <w:r>
        <w:tab/>
      </w:r>
      <w:r>
        <w:rPr>
          <w:rStyle w:val="FootnoteReference"/>
        </w:rPr>
        <w:footnoteRef/>
      </w:r>
      <w:r>
        <w:tab/>
        <w:t>FCCC/SB/2023/1.</w:t>
      </w:r>
    </w:p>
  </w:footnote>
  <w:footnote w:id="8">
    <w:p w14:paraId="07F524C7" w14:textId="18EA7FF6" w:rsidR="00DC6FDF" w:rsidRPr="00546F77" w:rsidRDefault="00DC6FDF" w:rsidP="00311E47">
      <w:pPr>
        <w:pStyle w:val="FootnoteText"/>
        <w:widowControl w:val="0"/>
        <w:rPr>
          <w:lang w:val="en-US"/>
        </w:rPr>
      </w:pPr>
      <w:r>
        <w:tab/>
      </w:r>
      <w:r>
        <w:rPr>
          <w:rStyle w:val="FootnoteReference"/>
        </w:rPr>
        <w:footnoteRef/>
      </w:r>
      <w:r>
        <w:tab/>
        <w:t xml:space="preserve">Details on the evaluation panel and the process for selecting the host are available at </w:t>
      </w:r>
      <w:hyperlink r:id="rId1" w:history="1">
        <w:r w:rsidRPr="00303D66">
          <w:rPr>
            <w:rStyle w:val="Hyperlink"/>
          </w:rPr>
          <w:t>https://unfccc.int/SNevalpanel</w:t>
        </w:r>
      </w:hyperlink>
      <w:r>
        <w:t>.</w:t>
      </w:r>
    </w:p>
  </w:footnote>
  <w:footnote w:id="9">
    <w:p w14:paraId="62908AEE" w14:textId="24E63071" w:rsidR="00DC6FDF" w:rsidRPr="00546F77" w:rsidRDefault="00DC6FDF" w:rsidP="00311E47">
      <w:pPr>
        <w:pStyle w:val="FootnoteText"/>
        <w:widowControl w:val="0"/>
        <w:rPr>
          <w:lang w:val="en-US"/>
        </w:rPr>
      </w:pPr>
      <w:r>
        <w:tab/>
      </w:r>
      <w:r>
        <w:rPr>
          <w:rStyle w:val="FootnoteReference"/>
        </w:rPr>
        <w:footnoteRef/>
      </w:r>
      <w:r>
        <w:tab/>
        <w:t xml:space="preserve">The call was issued on 31 December 2022 and is available at </w:t>
      </w:r>
      <w:hyperlink r:id="rId2" w:history="1">
        <w:r>
          <w:rPr>
            <w:rStyle w:val="Hyperlink"/>
          </w:rPr>
          <w:t>https://unfccc.int/documents/624794</w:t>
        </w:r>
      </w:hyperlink>
      <w:r>
        <w:rPr>
          <w:lang w:val="en-US"/>
        </w:rPr>
        <w:t>.</w:t>
      </w:r>
    </w:p>
  </w:footnote>
  <w:footnote w:id="10">
    <w:p w14:paraId="5E2EC5D8" w14:textId="02A9A599" w:rsidR="00DC6FDF" w:rsidRPr="002B3DF4" w:rsidRDefault="00AB3721" w:rsidP="00311E47">
      <w:pPr>
        <w:pStyle w:val="FootnoteText"/>
        <w:widowControl w:val="0"/>
        <w:rPr>
          <w:lang w:val="en-US"/>
        </w:rPr>
      </w:pPr>
      <w:r>
        <w:tab/>
      </w:r>
      <w:r w:rsidR="00DC6FDF">
        <w:rPr>
          <w:rStyle w:val="FootnoteReference"/>
        </w:rPr>
        <w:footnoteRef/>
      </w:r>
      <w:r w:rsidR="00DC6FDF">
        <w:tab/>
      </w:r>
      <w:hyperlink r:id="rId3" w:history="1">
        <w:r w:rsidR="00DC6FDF" w:rsidRPr="00925078">
          <w:rPr>
            <w:rStyle w:val="Hyperlink"/>
            <w:lang w:val="it-IT"/>
          </w:rPr>
          <w:t>https://unfccc.int/proposalsSNhost</w:t>
        </w:r>
      </w:hyperlink>
      <w:r w:rsidR="00DC6FDF" w:rsidRPr="00CF0C53">
        <w:rPr>
          <w:lang w:val="it-IT"/>
        </w:rPr>
        <w:t>.</w:t>
      </w:r>
    </w:p>
  </w:footnote>
  <w:footnote w:id="11">
    <w:p w14:paraId="4368D333" w14:textId="20EFE832" w:rsidR="00DC6FDF" w:rsidRPr="00EA7B51" w:rsidRDefault="00DC6FDF" w:rsidP="00311E47">
      <w:pPr>
        <w:pStyle w:val="FootnoteText"/>
        <w:widowControl w:val="0"/>
        <w:rPr>
          <w:lang w:val="es-ES"/>
        </w:rPr>
      </w:pPr>
      <w:r>
        <w:tab/>
      </w:r>
      <w:r>
        <w:rPr>
          <w:rStyle w:val="FootnoteReference"/>
        </w:rPr>
        <w:footnoteRef/>
      </w:r>
      <w:r>
        <w:tab/>
      </w:r>
      <w:r w:rsidRPr="00CF0C53">
        <w:rPr>
          <w:lang w:val="it-IT"/>
        </w:rPr>
        <w:t xml:space="preserve">Pursuant to decision 12/CMA.4, annex I, para. </w:t>
      </w:r>
      <w:r w:rsidRPr="00C10DDB">
        <w:rPr>
          <w:lang w:val="it-IT"/>
        </w:rPr>
        <w:t>21.</w:t>
      </w:r>
    </w:p>
  </w:footnote>
  <w:footnote w:id="12">
    <w:p w14:paraId="277B1C4D" w14:textId="7E44E291" w:rsidR="00DC6FDF" w:rsidRPr="00EA7B51" w:rsidRDefault="00DC6FDF" w:rsidP="00DC6FDF">
      <w:pPr>
        <w:pStyle w:val="FootnoteText"/>
        <w:widowControl w:val="0"/>
        <w:tabs>
          <w:tab w:val="clear" w:pos="1021"/>
          <w:tab w:val="right" w:pos="1020"/>
        </w:tabs>
        <w:rPr>
          <w:lang w:val="es-ES"/>
        </w:rPr>
      </w:pPr>
      <w:r>
        <w:rPr>
          <w:lang w:val="es-ES"/>
        </w:rPr>
        <w:tab/>
      </w:r>
      <w:r>
        <w:rPr>
          <w:rStyle w:val="FootnoteReference"/>
        </w:rPr>
        <w:footnoteRef/>
      </w:r>
      <w:r w:rsidRPr="00EA7B51">
        <w:rPr>
          <w:lang w:val="es-ES"/>
        </w:rPr>
        <w:tab/>
      </w:r>
      <w:r w:rsidRPr="008C53DD">
        <w:rPr>
          <w:lang w:val="it-IT"/>
        </w:rPr>
        <w:t>Decision 12/CMA.4, annex I, para. 15.</w:t>
      </w:r>
    </w:p>
  </w:footnote>
  <w:footnote w:id="13">
    <w:p w14:paraId="38F98878" w14:textId="13EDD53B" w:rsidR="00DC6FDF" w:rsidRPr="00C2166F" w:rsidRDefault="00DC6FDF" w:rsidP="00DC6FDF">
      <w:pPr>
        <w:pStyle w:val="FootnoteText"/>
        <w:widowControl w:val="0"/>
        <w:rPr>
          <w:lang w:val="pt-BR"/>
        </w:rPr>
      </w:pPr>
      <w:r>
        <w:rPr>
          <w:lang w:val="pt-BR"/>
        </w:rPr>
        <w:tab/>
      </w:r>
      <w:r>
        <w:rPr>
          <w:rStyle w:val="FootnoteReference"/>
        </w:rPr>
        <w:footnoteRef/>
      </w:r>
      <w:r w:rsidRPr="00C2166F">
        <w:rPr>
          <w:lang w:val="pt-BR"/>
        </w:rPr>
        <w:tab/>
      </w:r>
      <w:proofErr w:type="spellStart"/>
      <w:r w:rsidRPr="00587F60">
        <w:rPr>
          <w:lang w:val="es-ES"/>
        </w:rPr>
        <w:t>Decision</w:t>
      </w:r>
      <w:proofErr w:type="spellEnd"/>
      <w:r w:rsidRPr="00C2166F">
        <w:rPr>
          <w:lang w:val="pt-BR"/>
        </w:rPr>
        <w:t xml:space="preserve"> 12/CMA.4, para</w:t>
      </w:r>
      <w:r>
        <w:rPr>
          <w:lang w:val="pt-BR"/>
        </w:rPr>
        <w:t>.</w:t>
      </w:r>
      <w:r w:rsidRPr="00C2166F">
        <w:rPr>
          <w:lang w:val="pt-BR"/>
        </w:rPr>
        <w:t xml:space="preserve"> 15.</w:t>
      </w:r>
    </w:p>
  </w:footnote>
  <w:footnote w:id="14">
    <w:p w14:paraId="57F53CE8" w14:textId="4EF45656" w:rsidR="00DC6FDF" w:rsidRPr="008D6C3B" w:rsidRDefault="00DC6FDF" w:rsidP="00DC6FDF">
      <w:pPr>
        <w:pStyle w:val="FootnoteText"/>
        <w:widowControl w:val="0"/>
        <w:tabs>
          <w:tab w:val="clear" w:pos="1021"/>
          <w:tab w:val="right" w:pos="1020"/>
        </w:tabs>
        <w:rPr>
          <w:lang w:val="it-IT"/>
        </w:rPr>
      </w:pPr>
      <w:r>
        <w:rPr>
          <w:lang w:val="it-IT"/>
        </w:rPr>
        <w:tab/>
      </w:r>
      <w:r>
        <w:rPr>
          <w:rStyle w:val="FootnoteReference"/>
        </w:rPr>
        <w:footnoteRef/>
      </w:r>
      <w:r w:rsidRPr="000B398C">
        <w:rPr>
          <w:lang w:val="it-IT"/>
        </w:rPr>
        <w:tab/>
      </w:r>
      <w:r>
        <w:rPr>
          <w:lang w:val="it-IT"/>
        </w:rPr>
        <w:t>D</w:t>
      </w:r>
      <w:r w:rsidRPr="008D6C3B">
        <w:rPr>
          <w:lang w:val="it-IT"/>
        </w:rPr>
        <w:t>ecision 12/CMA.4, annex I, para. 19.</w:t>
      </w:r>
    </w:p>
  </w:footnote>
  <w:footnote w:id="15">
    <w:p w14:paraId="762E7DE6" w14:textId="39CB1B3A" w:rsidR="00DC6FDF" w:rsidRPr="008D6C3B" w:rsidRDefault="00DC6FDF" w:rsidP="00DC6FDF">
      <w:pPr>
        <w:pStyle w:val="FootnoteText"/>
        <w:widowControl w:val="0"/>
        <w:rPr>
          <w:lang w:val="it-IT"/>
        </w:rPr>
      </w:pPr>
      <w:r>
        <w:rPr>
          <w:lang w:val="it-IT"/>
        </w:rPr>
        <w:tab/>
      </w:r>
      <w:r>
        <w:rPr>
          <w:rStyle w:val="FootnoteReference"/>
        </w:rPr>
        <w:footnoteRef/>
      </w:r>
      <w:r w:rsidRPr="008D6C3B">
        <w:rPr>
          <w:lang w:val="it-IT"/>
        </w:rPr>
        <w:tab/>
      </w:r>
      <w:r w:rsidRPr="16D5E8AB">
        <w:rPr>
          <w:rFonts w:cstheme="minorBidi"/>
          <w:lang w:val="it-IT"/>
        </w:rPr>
        <w:t>In accordance with decision 12/CMA.4, annex I, para. 13.</w:t>
      </w:r>
    </w:p>
  </w:footnote>
  <w:footnote w:id="16">
    <w:p w14:paraId="70A0D6CA" w14:textId="0264D611" w:rsidR="00DC6FDF" w:rsidRPr="00AA4B79" w:rsidRDefault="00DC6FDF" w:rsidP="00DC6FDF">
      <w:pPr>
        <w:pStyle w:val="FootnoteText"/>
        <w:widowControl w:val="0"/>
        <w:tabs>
          <w:tab w:val="clear" w:pos="1021"/>
          <w:tab w:val="right" w:pos="1020"/>
        </w:tabs>
        <w:rPr>
          <w:lang w:val="en-US"/>
        </w:rPr>
      </w:pPr>
      <w:r>
        <w:tab/>
      </w:r>
      <w:r>
        <w:rPr>
          <w:rStyle w:val="FootnoteReference"/>
        </w:rPr>
        <w:footnoteRef/>
      </w:r>
      <w:r>
        <w:tab/>
      </w:r>
      <w:r w:rsidRPr="004533BF">
        <w:t xml:space="preserve">In accordance with </w:t>
      </w:r>
      <w:r w:rsidR="000026F0">
        <w:t xml:space="preserve">para. 17(b) of </w:t>
      </w:r>
      <w:r w:rsidRPr="004533BF">
        <w:t>decision 12/CMA.4, endorsed by decision 11/CP.27.</w:t>
      </w:r>
    </w:p>
  </w:footnote>
  <w:footnote w:id="17">
    <w:p w14:paraId="655CF57F" w14:textId="5AB71F31" w:rsidR="00DC6FDF" w:rsidRPr="00A224E0" w:rsidRDefault="00DC6FDF" w:rsidP="00911A85">
      <w:pPr>
        <w:pStyle w:val="FootnoteText"/>
        <w:widowControl w:val="0"/>
        <w:rPr>
          <w:lang w:val="en-US"/>
        </w:rPr>
      </w:pPr>
      <w:r>
        <w:tab/>
      </w:r>
      <w:r>
        <w:rPr>
          <w:rStyle w:val="FootnoteReference"/>
        </w:rPr>
        <w:footnoteRef/>
      </w:r>
      <w:r>
        <w:tab/>
      </w:r>
      <w:r w:rsidRPr="35EB6E6B">
        <w:t xml:space="preserve">Noting that this does not set a precedent for making pledges to the Santiago </w:t>
      </w:r>
      <w:r>
        <w:t>n</w:t>
      </w:r>
      <w:r w:rsidRPr="35EB6E6B">
        <w:t>etwork.</w:t>
      </w:r>
    </w:p>
  </w:footnote>
  <w:footnote w:id="18">
    <w:p w14:paraId="649623D4" w14:textId="2AE08CDB" w:rsidR="00DC6FDF" w:rsidRPr="00176663" w:rsidRDefault="00DC6FDF" w:rsidP="00911A85">
      <w:pPr>
        <w:pStyle w:val="FootnoteText"/>
        <w:widowControl w:val="0"/>
        <w:rPr>
          <w:lang w:val="en-US"/>
        </w:rPr>
      </w:pPr>
      <w:r>
        <w:tab/>
      </w:r>
      <w:r>
        <w:rPr>
          <w:rStyle w:val="FootnoteReference"/>
        </w:rPr>
        <w:footnoteRef/>
      </w:r>
      <w:r>
        <w:tab/>
        <w:t xml:space="preserve">In accordance with </w:t>
      </w:r>
      <w:r w:rsidRPr="16D5E8AB">
        <w:rPr>
          <w:rFonts w:cstheme="minorBidi"/>
        </w:rPr>
        <w:t>decision 12/CMA.4,</w:t>
      </w:r>
      <w:r>
        <w:t xml:space="preserve"> </w:t>
      </w:r>
      <w:r w:rsidRPr="16D5E8AB">
        <w:rPr>
          <w:rFonts w:cstheme="minorBidi"/>
        </w:rPr>
        <w:t>paras. 10–13.</w:t>
      </w:r>
    </w:p>
  </w:footnote>
  <w:footnote w:id="19">
    <w:p w14:paraId="6EE967C3" w14:textId="31125015" w:rsidR="00DC6FDF" w:rsidRPr="00120C42" w:rsidRDefault="00DC6FDF" w:rsidP="00911A85">
      <w:pPr>
        <w:pStyle w:val="FootnoteText"/>
        <w:widowControl w:val="0"/>
        <w:rPr>
          <w:lang w:val="en-US"/>
        </w:rPr>
      </w:pPr>
      <w:r>
        <w:tab/>
      </w:r>
      <w:r>
        <w:rPr>
          <w:rStyle w:val="FootnoteReference"/>
        </w:rPr>
        <w:footnoteRef/>
      </w:r>
      <w:r>
        <w:tab/>
      </w:r>
      <w:r w:rsidRPr="00EE5D45">
        <w:t>It</w:t>
      </w:r>
      <w:r w:rsidRPr="16D5E8AB">
        <w:t xml:space="preserve"> is noted that discussions on the governance of the Warsaw International Mechanism did not produce an outcome; this is without prejudice to further consideration of this matter.</w:t>
      </w:r>
    </w:p>
  </w:footnote>
  <w:footnote w:id="20">
    <w:p w14:paraId="788D80C3" w14:textId="77777777" w:rsidR="00DC6FDF" w:rsidRPr="006874D5" w:rsidRDefault="00DC6FDF" w:rsidP="00A578C5">
      <w:pPr>
        <w:pStyle w:val="FootnoteText"/>
        <w:widowControl w:val="0"/>
        <w:rPr>
          <w:lang w:val="en-US"/>
        </w:rPr>
      </w:pPr>
      <w:r>
        <w:tab/>
      </w:r>
      <w:r w:rsidRPr="00E13FE6">
        <w:rPr>
          <w:rStyle w:val="FootnoteReference"/>
        </w:rPr>
        <w:footnoteRef/>
      </w:r>
      <w:r w:rsidRPr="00E13FE6">
        <w:tab/>
        <w:t>N</w:t>
      </w:r>
      <w:r w:rsidRPr="16D5E8AB">
        <w:rPr>
          <w:color w:val="000000"/>
        </w:rPr>
        <w:t>othing in this MOU prejudices t</w:t>
      </w:r>
      <w:r w:rsidRPr="00E13FE6">
        <w:rPr>
          <w:rStyle w:val="ui-provider"/>
        </w:rPr>
        <w:t xml:space="preserve">he views of </w:t>
      </w:r>
      <w:r>
        <w:rPr>
          <w:rStyle w:val="ui-provider"/>
        </w:rPr>
        <w:t xml:space="preserve">the </w:t>
      </w:r>
      <w:r w:rsidRPr="00E13FE6">
        <w:rPr>
          <w:rStyle w:val="ui-provider"/>
        </w:rPr>
        <w:t xml:space="preserve">Parties to the Convention </w:t>
      </w:r>
      <w:r>
        <w:rPr>
          <w:rStyle w:val="ui-provider"/>
        </w:rPr>
        <w:t>or the views of the Parties to</w:t>
      </w:r>
      <w:r w:rsidRPr="00E13FE6">
        <w:rPr>
          <w:rStyle w:val="ui-provider"/>
        </w:rPr>
        <w:t xml:space="preserve"> the Paris Agreement </w:t>
      </w:r>
      <w:r w:rsidRPr="16D5E8AB">
        <w:rPr>
          <w:color w:val="000000"/>
        </w:rPr>
        <w:t>or prejudges outcomes on matters related to the governance of the Warsaw International Mechanism for Loss and Damage associated with Climate Change Impacts.</w:t>
      </w:r>
      <w:r w:rsidRPr="00E13FE6">
        <w:t xml:space="preserve"> This</w:t>
      </w:r>
      <w:r w:rsidRPr="16D5E8AB">
        <w:t xml:space="preserve"> is without prejudice to further consideration of this matter.</w:t>
      </w:r>
    </w:p>
  </w:footnote>
  <w:footnote w:id="21">
    <w:p w14:paraId="6791C135" w14:textId="77777777" w:rsidR="00DC6FDF" w:rsidRDefault="00DC6FDF" w:rsidP="00911A85">
      <w:pPr>
        <w:pStyle w:val="FootnoteText"/>
        <w:widowControl w:val="0"/>
      </w:pPr>
      <w:r>
        <w:tab/>
      </w:r>
      <w:r>
        <w:rPr>
          <w:rStyle w:val="FootnoteReference"/>
        </w:rPr>
        <w:footnoteRef/>
      </w:r>
      <w:r>
        <w:tab/>
        <w:t>D</w:t>
      </w:r>
      <w:r w:rsidRPr="00076F37">
        <w:t xml:space="preserve">ecision 19/CMA.3, </w:t>
      </w:r>
      <w:r>
        <w:t xml:space="preserve">para. 9, with the decision </w:t>
      </w:r>
      <w:r w:rsidRPr="00076F37">
        <w:t>endorsed by the COP in decision 17/CP.26</w:t>
      </w:r>
      <w:r>
        <w:t>.</w:t>
      </w:r>
    </w:p>
  </w:footnote>
  <w:footnote w:id="22">
    <w:p w14:paraId="1609C89B" w14:textId="77777777" w:rsidR="004D12BE" w:rsidRPr="00E841E0" w:rsidRDefault="004D12BE" w:rsidP="00D11AB9">
      <w:pPr>
        <w:pStyle w:val="FootnoteText"/>
        <w:widowControl w:val="0"/>
        <w:rPr>
          <w:lang w:val="en-US"/>
        </w:rPr>
      </w:pPr>
      <w:r>
        <w:tab/>
      </w:r>
      <w:r>
        <w:rPr>
          <w:rStyle w:val="FootnoteReference"/>
        </w:rPr>
        <w:footnoteRef/>
      </w:r>
      <w:r>
        <w:tab/>
      </w:r>
      <w:r w:rsidRPr="00A70639">
        <w:rPr>
          <w:color w:val="000000"/>
          <w:szCs w:val="18"/>
          <w:lang w:val="it-IT"/>
        </w:rPr>
        <w:t>Decision 12/CMA.4, annex I.</w:t>
      </w:r>
      <w:r>
        <w:t xml:space="preserve"> </w:t>
      </w:r>
    </w:p>
  </w:footnote>
  <w:footnote w:id="23">
    <w:p w14:paraId="5DADFE92" w14:textId="77777777" w:rsidR="00DC6FDF" w:rsidRDefault="00DC6FDF" w:rsidP="00911A85">
      <w:pPr>
        <w:pStyle w:val="FootnoteText"/>
        <w:widowControl w:val="0"/>
      </w:pPr>
      <w:r>
        <w:tab/>
      </w:r>
      <w:r>
        <w:rPr>
          <w:rStyle w:val="FootnoteReference"/>
        </w:rPr>
        <w:footnoteRef/>
      </w:r>
      <w:r>
        <w:tab/>
        <w:t>D</w:t>
      </w:r>
      <w:r w:rsidRPr="005B111B">
        <w:t xml:space="preserve">ecision 12/CMA.4, </w:t>
      </w:r>
      <w:r>
        <w:t xml:space="preserve">paras. 3 and 8, with the decision </w:t>
      </w:r>
      <w:r w:rsidRPr="005B111B">
        <w:t>endorsed by the COP in decision 11/CP.27</w:t>
      </w:r>
      <w:r>
        <w:t xml:space="preserve">. </w:t>
      </w:r>
    </w:p>
  </w:footnote>
  <w:footnote w:id="24">
    <w:p w14:paraId="2C081E4E" w14:textId="7DB68A24" w:rsidR="003447BD" w:rsidRPr="00353383" w:rsidRDefault="003447BD" w:rsidP="00353383">
      <w:pPr>
        <w:pStyle w:val="FootnoteText"/>
        <w:widowControl w:val="0"/>
        <w:tabs>
          <w:tab w:val="clear" w:pos="1021"/>
          <w:tab w:val="right" w:pos="1020"/>
        </w:tabs>
        <w:rPr>
          <w:lang w:val="en-US"/>
        </w:rPr>
      </w:pPr>
      <w:r>
        <w:tab/>
      </w:r>
      <w:r>
        <w:rPr>
          <w:rStyle w:val="FootnoteReference"/>
        </w:rPr>
        <w:footnoteRef/>
      </w:r>
      <w:r>
        <w:tab/>
      </w:r>
      <w:r w:rsidR="00353383">
        <w:t>D</w:t>
      </w:r>
      <w:r w:rsidR="00353383" w:rsidRPr="0093787A">
        <w:t>ecision entitled “Authorization for the United Nations Office for Disaster Risk Reduction regarding the hosting of the secretariat of the Santiago network for averting, minimizing and addressing loss and damage associated with the adverse effects of climate change”</w:t>
      </w:r>
      <w:r w:rsidR="00353383">
        <w:t>.</w:t>
      </w:r>
      <w:r>
        <w:t xml:space="preserve"> </w:t>
      </w:r>
    </w:p>
  </w:footnote>
  <w:footnote w:id="25">
    <w:p w14:paraId="242596EB" w14:textId="77777777" w:rsidR="00DC6FDF" w:rsidRPr="00A81A85" w:rsidRDefault="00DC6FDF" w:rsidP="00911A85">
      <w:pPr>
        <w:pStyle w:val="FootnoteText"/>
        <w:widowControl w:val="0"/>
        <w:rPr>
          <w:lang w:val="en-US"/>
        </w:rPr>
      </w:pPr>
      <w:r>
        <w:tab/>
      </w:r>
      <w:r w:rsidRPr="00E13FE6">
        <w:rPr>
          <w:rStyle w:val="FootnoteReference"/>
        </w:rPr>
        <w:footnoteRef/>
      </w:r>
      <w:r w:rsidRPr="00E13FE6">
        <w:tab/>
        <w:t>N</w:t>
      </w:r>
      <w:r w:rsidRPr="16D5E8AB">
        <w:rPr>
          <w:color w:val="000000"/>
        </w:rPr>
        <w:t>othing in this MOU prejudices t</w:t>
      </w:r>
      <w:r w:rsidRPr="00E13FE6">
        <w:rPr>
          <w:rStyle w:val="ui-provider"/>
        </w:rPr>
        <w:t xml:space="preserve">he views of </w:t>
      </w:r>
      <w:r>
        <w:rPr>
          <w:rStyle w:val="ui-provider"/>
        </w:rPr>
        <w:t xml:space="preserve">the </w:t>
      </w:r>
      <w:r w:rsidRPr="00E13FE6">
        <w:rPr>
          <w:rStyle w:val="ui-provider"/>
        </w:rPr>
        <w:t xml:space="preserve">Parties to the Convention </w:t>
      </w:r>
      <w:r>
        <w:rPr>
          <w:rStyle w:val="ui-provider"/>
        </w:rPr>
        <w:t>or the views of the Parties to</w:t>
      </w:r>
      <w:r w:rsidRPr="00E13FE6">
        <w:rPr>
          <w:rStyle w:val="ui-provider"/>
        </w:rPr>
        <w:t xml:space="preserve"> the Paris Agreement </w:t>
      </w:r>
      <w:r w:rsidRPr="16D5E8AB">
        <w:rPr>
          <w:color w:val="000000"/>
        </w:rPr>
        <w:t>or prejudges outcomes on matters related to the governance of the Warsaw International Mechanism for Loss and Damage associated with Climate Change Impacts.</w:t>
      </w:r>
      <w:r w:rsidRPr="00E13FE6">
        <w:t xml:space="preserve"> This</w:t>
      </w:r>
      <w:r w:rsidRPr="16D5E8AB">
        <w:t xml:space="preserve"> is without prejudice to further consideration of this matter.</w:t>
      </w:r>
    </w:p>
  </w:footnote>
  <w:footnote w:id="26">
    <w:p w14:paraId="272FB4DD" w14:textId="77777777" w:rsidR="00DC6FDF" w:rsidRPr="00E841E0" w:rsidRDefault="00DC6FDF" w:rsidP="00DC6FDF">
      <w:pPr>
        <w:pStyle w:val="FootnoteText"/>
        <w:widowControl w:val="0"/>
        <w:rPr>
          <w:lang w:val="en-US"/>
        </w:rPr>
      </w:pPr>
      <w:r>
        <w:tab/>
      </w:r>
      <w:r>
        <w:rPr>
          <w:rStyle w:val="FootnoteReference"/>
        </w:rPr>
        <w:footnoteRef/>
      </w:r>
      <w:r>
        <w:tab/>
      </w:r>
      <w:r w:rsidRPr="16D5E8AB">
        <w:rPr>
          <w:color w:val="000000"/>
          <w:lang w:val="it-IT"/>
        </w:rPr>
        <w:t>In accordance with decision 12/CMA.4, annex I, para. 7(g).</w:t>
      </w:r>
      <w:r>
        <w:t xml:space="preserve"> </w:t>
      </w:r>
    </w:p>
  </w:footnote>
  <w:footnote w:id="27">
    <w:p w14:paraId="6C3A450B" w14:textId="4C1C1DC9" w:rsidR="00DC6FDF" w:rsidRPr="006A3367" w:rsidRDefault="00DC6FDF" w:rsidP="00DC6FDF">
      <w:pPr>
        <w:pBdr>
          <w:top w:val="nil"/>
          <w:left w:val="nil"/>
          <w:bottom w:val="nil"/>
          <w:right w:val="nil"/>
          <w:between w:val="nil"/>
        </w:pBdr>
        <w:tabs>
          <w:tab w:val="right" w:pos="1021"/>
        </w:tabs>
        <w:spacing w:line="220" w:lineRule="auto"/>
        <w:ind w:left="1134" w:right="1134" w:hanging="1134"/>
        <w:rPr>
          <w:sz w:val="18"/>
          <w:szCs w:val="18"/>
          <w:lang w:val="en-US"/>
        </w:rPr>
      </w:pPr>
      <w:r>
        <w:rPr>
          <w:sz w:val="18"/>
          <w:szCs w:val="18"/>
        </w:rPr>
        <w:tab/>
      </w:r>
      <w:r>
        <w:rPr>
          <w:rStyle w:val="FootnoteReference"/>
        </w:rPr>
        <w:footnoteRef/>
      </w:r>
      <w:r w:rsidRPr="006A3367">
        <w:rPr>
          <w:sz w:val="18"/>
          <w:szCs w:val="18"/>
        </w:rPr>
        <w:tab/>
      </w:r>
      <w:r>
        <w:rPr>
          <w:color w:val="000000"/>
          <w:sz w:val="18"/>
          <w:szCs w:val="18"/>
          <w:lang w:val="it-IT"/>
        </w:rPr>
        <w:t xml:space="preserve">Available at </w:t>
      </w:r>
      <w:hyperlink r:id="rId4" w:history="1">
        <w:r w:rsidRPr="002A68FD">
          <w:rPr>
            <w:rStyle w:val="Hyperlink"/>
            <w:sz w:val="18"/>
            <w:szCs w:val="18"/>
            <w:lang w:val="it-IT"/>
          </w:rPr>
          <w:t>https://digitallibrary.un.org/record/3930354</w:t>
        </w:r>
      </w:hyperlink>
      <w:r w:rsidRPr="16D5E8AB">
        <w:rPr>
          <w:color w:val="000000"/>
          <w:lang w:val="it-IT"/>
        </w:rPr>
        <w:t>.</w:t>
      </w:r>
    </w:p>
  </w:footnote>
  <w:footnote w:id="28">
    <w:p w14:paraId="1277B122" w14:textId="77777777" w:rsidR="00DC6FDF" w:rsidRPr="00877065" w:rsidRDefault="00DC6FDF" w:rsidP="00DC6FDF">
      <w:pPr>
        <w:pStyle w:val="FootnoteText"/>
        <w:widowControl w:val="0"/>
        <w:rPr>
          <w:lang w:val="es-ES"/>
        </w:rPr>
      </w:pPr>
      <w:r>
        <w:tab/>
      </w:r>
      <w:r>
        <w:rPr>
          <w:rStyle w:val="FootnoteReference"/>
        </w:rPr>
        <w:footnoteRef/>
      </w:r>
      <w:r>
        <w:tab/>
      </w:r>
      <w:r w:rsidRPr="16D5E8AB">
        <w:rPr>
          <w:color w:val="000000"/>
          <w:lang w:val="it-IT"/>
        </w:rPr>
        <w:t>Decision 12/CMA.4, annex I, chap. IV.A.</w:t>
      </w:r>
      <w:r w:rsidRPr="00877065">
        <w:rPr>
          <w:lang w:val="es-ES"/>
        </w:rPr>
        <w:t xml:space="preserve"> </w:t>
      </w:r>
    </w:p>
  </w:footnote>
  <w:footnote w:id="29">
    <w:p w14:paraId="14D31BD4" w14:textId="77777777" w:rsidR="00DC6FDF" w:rsidRPr="00A1274B" w:rsidRDefault="00DC6FDF" w:rsidP="00DC6FDF">
      <w:pPr>
        <w:pStyle w:val="FootnoteText"/>
        <w:widowControl w:val="0"/>
        <w:rPr>
          <w:lang w:val="en-US"/>
        </w:rPr>
      </w:pPr>
      <w:r>
        <w:rPr>
          <w:lang w:val="es-ES"/>
        </w:rPr>
        <w:tab/>
      </w:r>
      <w:r>
        <w:rPr>
          <w:rStyle w:val="FootnoteReference"/>
        </w:rPr>
        <w:footnoteRef/>
      </w:r>
      <w:r w:rsidRPr="00877065">
        <w:rPr>
          <w:lang w:val="es-ES"/>
        </w:rPr>
        <w:tab/>
      </w:r>
      <w:r w:rsidRPr="16D5E8AB">
        <w:rPr>
          <w:color w:val="000000"/>
          <w:lang w:val="it-IT"/>
        </w:rPr>
        <w:t>Decision 12/CMA.4, para. 17.</w:t>
      </w:r>
      <w:r>
        <w:t xml:space="preserve"> </w:t>
      </w:r>
    </w:p>
  </w:footnote>
  <w:footnote w:id="30">
    <w:p w14:paraId="01DF4985" w14:textId="156050F7" w:rsidR="00DC6FDF" w:rsidRPr="00674027" w:rsidRDefault="00DC6FDF" w:rsidP="00DC6FDF">
      <w:pPr>
        <w:pStyle w:val="FootnoteText"/>
        <w:widowControl w:val="0"/>
        <w:rPr>
          <w:lang w:val="en-US"/>
        </w:rPr>
      </w:pPr>
      <w:r>
        <w:tab/>
      </w:r>
      <w:r>
        <w:rPr>
          <w:rStyle w:val="FootnoteReference"/>
        </w:rPr>
        <w:footnoteRef/>
      </w:r>
      <w:r>
        <w:tab/>
      </w:r>
      <w:r w:rsidRPr="16D5E8AB">
        <w:rPr>
          <w:color w:val="000000"/>
          <w:lang w:val="it-IT"/>
        </w:rPr>
        <w:t>Decision 12/CMA.4, annex I, chap</w:t>
      </w:r>
      <w:r w:rsidR="00621AFA">
        <w:rPr>
          <w:color w:val="000000"/>
          <w:lang w:val="it-IT"/>
        </w:rPr>
        <w:t>.</w:t>
      </w:r>
      <w:r w:rsidRPr="16D5E8AB">
        <w:rPr>
          <w:color w:val="000000"/>
          <w:lang w:val="it-IT"/>
        </w:rPr>
        <w:t xml:space="preserve"> IV.B.</w:t>
      </w:r>
      <w:r>
        <w:t xml:space="preserve"> </w:t>
      </w:r>
    </w:p>
  </w:footnote>
  <w:footnote w:id="31">
    <w:p w14:paraId="6E141AF3" w14:textId="77777777" w:rsidR="00DC6FDF" w:rsidRPr="00A70137" w:rsidRDefault="00DC6FDF" w:rsidP="00DC6FDF">
      <w:pPr>
        <w:pStyle w:val="FootnoteText"/>
        <w:widowControl w:val="0"/>
        <w:rPr>
          <w:lang w:val="es-ES"/>
        </w:rPr>
      </w:pPr>
      <w:r>
        <w:tab/>
      </w:r>
      <w:r>
        <w:rPr>
          <w:rStyle w:val="FootnoteReference"/>
        </w:rPr>
        <w:footnoteRef/>
      </w:r>
      <w:r>
        <w:tab/>
      </w:r>
      <w:r w:rsidRPr="16D5E8AB">
        <w:rPr>
          <w:color w:val="000000"/>
          <w:lang w:val="it-IT"/>
        </w:rPr>
        <w:t>Decision 12/CMA.4, annex I, chap. VIII.</w:t>
      </w:r>
      <w:r w:rsidRPr="00A70137">
        <w:rPr>
          <w:lang w:val="es-ES"/>
        </w:rPr>
        <w:t xml:space="preserve"> </w:t>
      </w:r>
    </w:p>
  </w:footnote>
  <w:footnote w:id="32">
    <w:p w14:paraId="145ADFDB" w14:textId="77777777" w:rsidR="00DC6FDF" w:rsidRPr="00877065" w:rsidRDefault="00DC6FDF" w:rsidP="00DC6FDF">
      <w:pPr>
        <w:pStyle w:val="FootnoteText"/>
        <w:widowControl w:val="0"/>
        <w:rPr>
          <w:lang w:val="es-ES"/>
        </w:rPr>
      </w:pPr>
      <w:r>
        <w:rPr>
          <w:lang w:val="es-ES"/>
        </w:rPr>
        <w:tab/>
      </w:r>
      <w:r>
        <w:rPr>
          <w:rStyle w:val="FootnoteReference"/>
        </w:rPr>
        <w:footnoteRef/>
      </w:r>
      <w:r w:rsidRPr="00877065">
        <w:rPr>
          <w:lang w:val="es-ES"/>
        </w:rPr>
        <w:tab/>
      </w:r>
      <w:r w:rsidRPr="16D5E8AB">
        <w:rPr>
          <w:color w:val="000000"/>
          <w:lang w:val="it-IT"/>
        </w:rPr>
        <w:t>Decision 2/CMA.2, para. 46.</w:t>
      </w:r>
      <w:r w:rsidRPr="00877065">
        <w:rPr>
          <w:lang w:val="es-ES"/>
        </w:rPr>
        <w:t xml:space="preserve"> </w:t>
      </w:r>
    </w:p>
  </w:footnote>
  <w:footnote w:id="33">
    <w:p w14:paraId="7D4A9D9C" w14:textId="77777777" w:rsidR="00DC6FDF" w:rsidRPr="00B94D0C" w:rsidRDefault="00DC6FDF" w:rsidP="00DC6FDF">
      <w:pPr>
        <w:pStyle w:val="FootnoteText"/>
        <w:widowControl w:val="0"/>
        <w:rPr>
          <w:lang w:val="en-US"/>
        </w:rPr>
      </w:pPr>
      <w:r>
        <w:rPr>
          <w:lang w:val="es-ES"/>
        </w:rPr>
        <w:tab/>
      </w:r>
      <w:r>
        <w:rPr>
          <w:rStyle w:val="FootnoteReference"/>
        </w:rPr>
        <w:footnoteRef/>
      </w:r>
      <w:r w:rsidRPr="00877065">
        <w:rPr>
          <w:lang w:val="es-ES"/>
        </w:rPr>
        <w:tab/>
      </w:r>
      <w:r w:rsidRPr="16D5E8AB">
        <w:rPr>
          <w:color w:val="000000"/>
          <w:lang w:val="it-IT"/>
        </w:rPr>
        <w:t>Decision 12/CMA.4, annex I, para. 20.</w:t>
      </w:r>
      <w:r>
        <w:t xml:space="preserve"> </w:t>
      </w:r>
    </w:p>
  </w:footnote>
  <w:footnote w:id="34">
    <w:p w14:paraId="796EEDB9" w14:textId="77777777" w:rsidR="00530ED7" w:rsidRPr="00F33E2F" w:rsidRDefault="00530ED7" w:rsidP="00311E47">
      <w:pPr>
        <w:pStyle w:val="FootnoteText"/>
        <w:widowControl w:val="0"/>
        <w:rPr>
          <w:rFonts w:eastAsia="MS Mincho"/>
          <w:lang w:eastAsia="ja-JP"/>
        </w:rPr>
      </w:pPr>
      <w:r>
        <w:tab/>
      </w:r>
      <w:r>
        <w:rPr>
          <w:rStyle w:val="FootnoteReference"/>
        </w:rPr>
        <w:footnoteRef/>
      </w:r>
      <w:r>
        <w:tab/>
      </w:r>
      <w:r>
        <w:rPr>
          <w:lang w:val="en-US"/>
        </w:rPr>
        <w:t>Nothing in this document prejudices Parties’ views or prejudges outcomes on matters related to the governance of the Warsaw International Mechanism for Loss and Damage associated with Climate Change Impacts.</w:t>
      </w:r>
      <w:r>
        <w:t xml:space="preserve"> </w:t>
      </w:r>
    </w:p>
  </w:footnote>
  <w:footnote w:id="35">
    <w:p w14:paraId="2FA2BC28" w14:textId="77777777" w:rsidR="00530ED7" w:rsidRPr="00F33E2F" w:rsidRDefault="00530ED7" w:rsidP="00311E47">
      <w:pPr>
        <w:pStyle w:val="FootnoteText"/>
        <w:widowControl w:val="0"/>
        <w:rPr>
          <w:rFonts w:eastAsia="MS Mincho"/>
          <w:lang w:eastAsia="ja-JP"/>
        </w:rPr>
      </w:pPr>
      <w:r>
        <w:tab/>
      </w:r>
      <w:r>
        <w:rPr>
          <w:rStyle w:val="FootnoteReference"/>
        </w:rPr>
        <w:footnoteRef/>
      </w:r>
      <w:r>
        <w:tab/>
        <w:t xml:space="preserve">FCCC/SB/2023/4 and </w:t>
      </w:r>
      <w:proofErr w:type="gramStart"/>
      <w:r>
        <w:t>Add</w:t>
      </w:r>
      <w:proofErr w:type="gramEnd"/>
      <w:r>
        <w:t xml:space="preserve">.1–2. </w:t>
      </w:r>
    </w:p>
  </w:footnote>
  <w:footnote w:id="36">
    <w:p w14:paraId="11191E61" w14:textId="77777777" w:rsidR="00530ED7" w:rsidRPr="00F372AD" w:rsidRDefault="00530ED7" w:rsidP="00311E47">
      <w:pPr>
        <w:pStyle w:val="FootnoteText"/>
        <w:widowControl w:val="0"/>
        <w:rPr>
          <w:rFonts w:eastAsia="MS Mincho"/>
          <w:lang w:eastAsia="ja-JP"/>
        </w:rPr>
      </w:pPr>
      <w:r>
        <w:tab/>
      </w:r>
      <w:r>
        <w:rPr>
          <w:rStyle w:val="FootnoteReference"/>
        </w:rPr>
        <w:footnoteRef/>
      </w:r>
      <w:r>
        <w:tab/>
        <w:t xml:space="preserve">In accordance with para. 26 of decision 2/CMA.2, which is noted in decision 2/CP.25. </w:t>
      </w:r>
    </w:p>
  </w:footnote>
  <w:footnote w:id="37">
    <w:p w14:paraId="0BAF2C88" w14:textId="77777777" w:rsidR="00530ED7" w:rsidRPr="00CD7A3C" w:rsidRDefault="00530ED7" w:rsidP="00311E47">
      <w:pPr>
        <w:pStyle w:val="FootnoteText"/>
        <w:widowControl w:val="0"/>
        <w:rPr>
          <w:rFonts w:eastAsia="MS Mincho"/>
          <w:lang w:eastAsia="ja-JP"/>
        </w:rPr>
      </w:pPr>
      <w:r>
        <w:tab/>
      </w:r>
      <w:r>
        <w:rPr>
          <w:rStyle w:val="FootnoteReference"/>
        </w:rPr>
        <w:footnoteRef/>
      </w:r>
      <w:r>
        <w:tab/>
        <w:t xml:space="preserve">Under activity 1 of the five-year rolling workplan of the Executive Committee, contained in annex I to document FCCC/SB/2022/2/Add.2. Information on the photography exhibition is available at </w:t>
      </w:r>
      <w:hyperlink r:id="rId5" w:history="1">
        <w:r w:rsidRPr="00371816">
          <w:rPr>
            <w:rStyle w:val="Hyperlink"/>
          </w:rPr>
          <w:t>https://unfccc.int/wim-excom/L-and-D-in-focus</w:t>
        </w:r>
      </w:hyperlink>
      <w:r>
        <w:t xml:space="preserve">. </w:t>
      </w:r>
    </w:p>
  </w:footnote>
  <w:footnote w:id="38">
    <w:p w14:paraId="5A4C2736" w14:textId="77777777" w:rsidR="00530ED7" w:rsidRPr="00CD7A3C" w:rsidRDefault="00530ED7" w:rsidP="00311E47">
      <w:pPr>
        <w:pStyle w:val="FootnoteText"/>
        <w:widowControl w:val="0"/>
        <w:rPr>
          <w:rFonts w:eastAsia="MS Mincho"/>
          <w:lang w:eastAsia="ja-JP"/>
        </w:rPr>
      </w:pPr>
      <w:r>
        <w:tab/>
      </w:r>
      <w:r>
        <w:rPr>
          <w:rStyle w:val="FootnoteReference"/>
        </w:rPr>
        <w:footnoteRef/>
      </w:r>
      <w:r>
        <w:tab/>
      </w:r>
      <w:r w:rsidRPr="00440AAA">
        <w:rPr>
          <w:lang w:val="en-US"/>
        </w:rPr>
        <w:t>As set out in decision 2/CP.19, para. 5.</w:t>
      </w:r>
      <w:r>
        <w:t xml:space="preserve"> </w:t>
      </w:r>
    </w:p>
  </w:footnote>
  <w:footnote w:id="39">
    <w:p w14:paraId="3689193C" w14:textId="1ECD3508" w:rsidR="00530ED7" w:rsidRPr="00CD7A3C" w:rsidRDefault="00530ED7" w:rsidP="00311E47">
      <w:pPr>
        <w:pStyle w:val="FootnoteText"/>
        <w:widowControl w:val="0"/>
        <w:rPr>
          <w:rFonts w:eastAsia="MS Mincho"/>
          <w:lang w:eastAsia="ja-JP"/>
        </w:rPr>
      </w:pPr>
      <w:r>
        <w:tab/>
      </w:r>
      <w:r>
        <w:rPr>
          <w:rStyle w:val="FootnoteReference"/>
        </w:rPr>
        <w:footnoteRef/>
      </w:r>
      <w:r>
        <w:tab/>
        <w:t xml:space="preserve">For reference to the engagement of the Executive Committee of the Warsaw International Mechanism in the </w:t>
      </w:r>
      <w:r w:rsidRPr="1C65FAAA">
        <w:rPr>
          <w:rFonts w:asciiTheme="majorBidi" w:hAnsiTheme="majorBidi" w:cstheme="majorBidi"/>
        </w:rPr>
        <w:t>annual high-level dialogue on coordination and complementarity under the funding arrangements for responding to loss and damage</w:t>
      </w:r>
      <w:r>
        <w:t>, see annex II to decision</w:t>
      </w:r>
      <w:r w:rsidR="008007C5">
        <w:t>s</w:t>
      </w:r>
      <w:r>
        <w:t xml:space="preserve"> </w:t>
      </w:r>
      <w:r w:rsidR="00E17044">
        <w:t>1</w:t>
      </w:r>
      <w:r>
        <w:t xml:space="preserve">/CP.28 and </w:t>
      </w:r>
      <w:r w:rsidR="00E17044">
        <w:t>2</w:t>
      </w:r>
      <w:r>
        <w:t xml:space="preserve">/CMA.5. </w:t>
      </w:r>
    </w:p>
  </w:footnote>
  <w:footnote w:id="40">
    <w:p w14:paraId="4499EBBD" w14:textId="77777777" w:rsidR="00530ED7" w:rsidRPr="00CD7A3C" w:rsidRDefault="00530ED7" w:rsidP="00311E47">
      <w:pPr>
        <w:pStyle w:val="FootnoteText"/>
        <w:widowControl w:val="0"/>
        <w:rPr>
          <w:rFonts w:eastAsia="MS Mincho"/>
          <w:lang w:eastAsia="ja-JP"/>
        </w:rPr>
      </w:pPr>
      <w:r>
        <w:tab/>
      </w:r>
      <w:r>
        <w:rPr>
          <w:rStyle w:val="FootnoteReference"/>
        </w:rPr>
        <w:footnoteRef/>
      </w:r>
      <w:r>
        <w:tab/>
        <w:t xml:space="preserve">Contained in annex I to document FCCC/SB/2022/2/Add.2. </w:t>
      </w:r>
    </w:p>
  </w:footnote>
  <w:footnote w:id="41">
    <w:p w14:paraId="5FF57C70" w14:textId="77777777" w:rsidR="00530ED7" w:rsidRPr="00CD7A3C" w:rsidRDefault="00530ED7" w:rsidP="00311E47">
      <w:pPr>
        <w:pStyle w:val="FootnoteText"/>
        <w:widowControl w:val="0"/>
        <w:rPr>
          <w:rFonts w:eastAsia="MS Mincho"/>
          <w:lang w:eastAsia="ja-JP"/>
        </w:rPr>
      </w:pPr>
      <w:r>
        <w:tab/>
      </w:r>
      <w:r>
        <w:rPr>
          <w:rStyle w:val="FootnoteReference"/>
        </w:rPr>
        <w:footnoteRef/>
      </w:r>
      <w:r>
        <w:tab/>
      </w:r>
      <w:r w:rsidRPr="00EE5D45">
        <w:t>It</w:t>
      </w:r>
      <w:r w:rsidRPr="1C65FAAA">
        <w:t xml:space="preserve"> is noted that discussions on the governance of the Warsaw International Mechanism did not produce an outcome; this is without prejudice to further consideration of this matter.</w:t>
      </w:r>
      <w:r>
        <w:t xml:space="preserve"> </w:t>
      </w:r>
    </w:p>
    <w:p w14:paraId="7D51D986" w14:textId="77777777" w:rsidR="00E4447C" w:rsidRPr="00CD7A3C" w:rsidRDefault="00E4447C" w:rsidP="00816880">
      <w:pPr>
        <w:pStyle w:val="FootnoteText"/>
        <w:widowControl w:val="0"/>
        <w:tabs>
          <w:tab w:val="clear" w:pos="1021"/>
          <w:tab w:val="right" w:pos="1020"/>
        </w:tabs>
        <w:jc w:val="both"/>
        <w:rPr>
          <w:rFonts w:eastAsia="MS Mincho"/>
          <w:lang w:eastAsia="ja-JP"/>
        </w:rPr>
      </w:pPr>
    </w:p>
  </w:footnote>
  <w:footnote w:id="42">
    <w:p w14:paraId="55E8084F" w14:textId="77777777" w:rsidR="00886CFB" w:rsidRPr="00A25BAF" w:rsidRDefault="00886CFB" w:rsidP="00886CFB">
      <w:pPr>
        <w:pStyle w:val="FootnoteText"/>
        <w:widowControl w:val="0"/>
        <w:tabs>
          <w:tab w:val="clear" w:pos="1021"/>
          <w:tab w:val="right" w:pos="1020"/>
        </w:tabs>
        <w:rPr>
          <w:lang w:val="en-US"/>
        </w:rPr>
      </w:pPr>
      <w:r>
        <w:tab/>
      </w:r>
      <w:r>
        <w:rPr>
          <w:rStyle w:val="FootnoteReference"/>
        </w:rPr>
        <w:footnoteRef/>
      </w:r>
      <w:r>
        <w:tab/>
      </w:r>
      <w:r w:rsidRPr="00A25BAF">
        <w:t>FCCC/PA/CMA/2023/11</w:t>
      </w:r>
      <w:r>
        <w:t xml:space="preserve"> and </w:t>
      </w:r>
      <w:proofErr w:type="gramStart"/>
      <w:r>
        <w:t>Add</w:t>
      </w:r>
      <w:proofErr w:type="gramEnd"/>
      <w:r>
        <w:t xml:space="preserve">.1. </w:t>
      </w:r>
    </w:p>
  </w:footnote>
  <w:footnote w:id="43">
    <w:p w14:paraId="4193A5F3" w14:textId="77777777" w:rsidR="00886CFB" w:rsidRPr="001B7756" w:rsidRDefault="00886CFB" w:rsidP="00886CFB">
      <w:pPr>
        <w:pStyle w:val="FootnoteText"/>
        <w:rPr>
          <w:lang w:val="en-US"/>
        </w:rPr>
      </w:pPr>
      <w:r>
        <w:tab/>
      </w:r>
      <w:r>
        <w:rPr>
          <w:rStyle w:val="FootnoteReference"/>
        </w:rPr>
        <w:footnoteRef/>
      </w:r>
      <w:r>
        <w:tab/>
      </w:r>
      <w:r w:rsidRPr="00711C5C">
        <w:t>FCCC/PA/CMA/2023/INF.1</w:t>
      </w:r>
      <w:r>
        <w:t>.</w:t>
      </w:r>
    </w:p>
  </w:footnote>
  <w:footnote w:id="44">
    <w:p w14:paraId="585240A7" w14:textId="77777777" w:rsidR="00886CFB" w:rsidRPr="008C5A5C" w:rsidRDefault="00886CFB" w:rsidP="00886CFB">
      <w:pPr>
        <w:pStyle w:val="FootnoteText"/>
        <w:widowControl w:val="0"/>
        <w:rPr>
          <w:lang w:val="en-US"/>
        </w:rPr>
      </w:pPr>
      <w:r>
        <w:tab/>
      </w:r>
      <w:r>
        <w:rPr>
          <w:rStyle w:val="FootnoteReference"/>
        </w:rPr>
        <w:footnoteRef/>
      </w:r>
      <w:r>
        <w:tab/>
        <w:t>FCCC/CP/1996/2</w:t>
      </w:r>
      <w:r>
        <w:rPr>
          <w:lang w:val="en-US"/>
        </w:rPr>
        <w:t xml:space="preserve">. </w:t>
      </w:r>
    </w:p>
  </w:footnote>
  <w:footnote w:id="45">
    <w:p w14:paraId="66873DA7" w14:textId="77777777" w:rsidR="00886CFB" w:rsidRPr="00D81C18" w:rsidRDefault="00886CFB" w:rsidP="00B92058">
      <w:pPr>
        <w:pStyle w:val="FootnoteText"/>
        <w:widowControl w:val="0"/>
        <w:tabs>
          <w:tab w:val="clear" w:pos="1021"/>
          <w:tab w:val="right" w:pos="1020"/>
        </w:tabs>
        <w:jc w:val="both"/>
        <w:rPr>
          <w:lang w:val="en-US"/>
        </w:rPr>
      </w:pPr>
      <w:r>
        <w:tab/>
      </w:r>
      <w:r>
        <w:rPr>
          <w:rStyle w:val="FootnoteReference"/>
        </w:rPr>
        <w:footnoteRef/>
      </w:r>
      <w:r>
        <w:tab/>
      </w:r>
      <w:hyperlink r:id="rId6" w:history="1">
        <w:r w:rsidRPr="00706912">
          <w:rPr>
            <w:rStyle w:val="Hyperlink"/>
          </w:rPr>
          <w:t>https://www4.unfccc.int/sites/submissionsstaging/Pages/Home.aspx</w:t>
        </w:r>
      </w:hyperlink>
      <w:r>
        <w:t>.</w:t>
      </w:r>
    </w:p>
  </w:footnote>
  <w:footnote w:id="46">
    <w:p w14:paraId="518AAFED" w14:textId="77777777" w:rsidR="002272E0" w:rsidRDefault="002272E0" w:rsidP="00D528CB">
      <w:pPr>
        <w:pStyle w:val="FootnoteText"/>
        <w:widowControl w:val="0"/>
      </w:pPr>
      <w:r>
        <w:tab/>
      </w:r>
      <w:r>
        <w:rPr>
          <w:rStyle w:val="FootnoteReference"/>
        </w:rPr>
        <w:footnoteRef/>
      </w:r>
      <w:r>
        <w:tab/>
      </w:r>
      <w:r w:rsidRPr="00BA4B49">
        <w:t>FCCC/CP/2023/2–FCCC/PA/CMA/2023/8, annex II.</w:t>
      </w:r>
    </w:p>
  </w:footnote>
  <w:footnote w:id="47">
    <w:p w14:paraId="508BFAD4" w14:textId="5D16AFC9" w:rsidR="002272E0" w:rsidRPr="00C67A55" w:rsidRDefault="002272E0" w:rsidP="00D528CB">
      <w:pPr>
        <w:pStyle w:val="FootnoteText"/>
        <w:widowControl w:val="0"/>
        <w:rPr>
          <w:lang w:val="en-US"/>
        </w:rPr>
      </w:pPr>
      <w:r>
        <w:tab/>
      </w:r>
      <w:r>
        <w:rPr>
          <w:rStyle w:val="FootnoteReference"/>
        </w:rPr>
        <w:footnoteRef/>
      </w:r>
      <w:r>
        <w:tab/>
      </w:r>
      <w:r w:rsidRPr="00057B2D">
        <w:t>FCCC/CP/2023/2/Add.3</w:t>
      </w:r>
      <w:r w:rsidR="004635F4">
        <w:t>–</w:t>
      </w:r>
      <w:r w:rsidRPr="00057B2D">
        <w:t>FCCC/PA/CMA/2023/8/Add.3</w:t>
      </w:r>
      <w:r>
        <w:t>.</w:t>
      </w:r>
    </w:p>
  </w:footnote>
  <w:footnote w:id="48">
    <w:p w14:paraId="252267CA" w14:textId="77777777" w:rsidR="002272E0" w:rsidRPr="00EC2827" w:rsidRDefault="002272E0" w:rsidP="00D528CB">
      <w:pPr>
        <w:pStyle w:val="FootnoteText"/>
        <w:widowControl w:val="0"/>
        <w:rPr>
          <w:lang w:val="es-ES"/>
        </w:rPr>
      </w:pPr>
      <w:r>
        <w:tab/>
      </w:r>
      <w:r>
        <w:rPr>
          <w:rStyle w:val="FootnoteReference"/>
        </w:rPr>
        <w:footnoteRef/>
      </w:r>
      <w:r w:rsidRPr="00EC2827">
        <w:rPr>
          <w:lang w:val="es-ES"/>
        </w:rPr>
        <w:tab/>
        <w:t xml:space="preserve">FCCC/PA/CMA/2023/7/Rev.1. </w:t>
      </w:r>
    </w:p>
  </w:footnote>
  <w:footnote w:id="49">
    <w:p w14:paraId="33F482E1" w14:textId="77777777" w:rsidR="002272E0" w:rsidRPr="00EC2827" w:rsidRDefault="002272E0" w:rsidP="00311E47">
      <w:pPr>
        <w:pStyle w:val="FootnoteText"/>
        <w:widowControl w:val="0"/>
        <w:rPr>
          <w:lang w:val="es-ES"/>
        </w:rPr>
      </w:pPr>
      <w:r w:rsidRPr="00EC2827">
        <w:rPr>
          <w:lang w:val="es-ES"/>
        </w:rPr>
        <w:tab/>
      </w:r>
      <w:r>
        <w:rPr>
          <w:rStyle w:val="FootnoteReference"/>
        </w:rPr>
        <w:footnoteRef/>
      </w:r>
      <w:r w:rsidRPr="00EC2827">
        <w:rPr>
          <w:lang w:val="es-ES"/>
        </w:rPr>
        <w:tab/>
      </w:r>
      <w:hyperlink r:id="rId7" w:history="1">
        <w:r w:rsidRPr="00EC2827">
          <w:rPr>
            <w:rStyle w:val="Hyperlink"/>
            <w:lang w:val="es-ES"/>
          </w:rPr>
          <w:t>https://www4.unfccc.int/sites/submissionsstaging/Pages/Home.aspx</w:t>
        </w:r>
      </w:hyperlink>
      <w:r w:rsidRPr="00EC2827">
        <w:rPr>
          <w:lang w:val="es-ES"/>
        </w:rPr>
        <w:t xml:space="preserve">. </w:t>
      </w:r>
    </w:p>
  </w:footnote>
  <w:footnote w:id="50">
    <w:p w14:paraId="464DCB0E" w14:textId="77777777" w:rsidR="002272E0" w:rsidRPr="000E0B23" w:rsidRDefault="002272E0" w:rsidP="00311E47">
      <w:pPr>
        <w:pStyle w:val="FootnoteText"/>
        <w:widowControl w:val="0"/>
        <w:rPr>
          <w:lang w:val="en-US"/>
        </w:rPr>
      </w:pPr>
      <w:r w:rsidRPr="00EC2827">
        <w:rPr>
          <w:lang w:val="es-ES"/>
        </w:rPr>
        <w:tab/>
      </w:r>
      <w:r>
        <w:rPr>
          <w:rStyle w:val="FootnoteReference"/>
        </w:rPr>
        <w:footnoteRef/>
      </w:r>
      <w:r>
        <w:tab/>
      </w:r>
      <w:r w:rsidRPr="00E810B5">
        <w:t>Standing</w:t>
      </w:r>
      <w:r>
        <w:rPr>
          <w:rStyle w:val="ui-provider"/>
        </w:rPr>
        <w:t xml:space="preserve"> Committee on Finance. 2023. </w:t>
      </w:r>
      <w:r>
        <w:rPr>
          <w:rStyle w:val="ui-provider"/>
          <w:i/>
          <w:iCs/>
        </w:rPr>
        <w:t xml:space="preserve">Report on the doubling of adaptation finance. </w:t>
      </w:r>
      <w:r>
        <w:rPr>
          <w:rStyle w:val="ui-provider"/>
        </w:rPr>
        <w:t xml:space="preserve">Bonn: UNFCCC. Available at </w:t>
      </w:r>
      <w:hyperlink r:id="rId8" w:history="1">
        <w:r w:rsidRPr="00BB302B">
          <w:rPr>
            <w:rStyle w:val="Hyperlink"/>
          </w:rPr>
          <w:t>https://unfccc.int/SCF</w:t>
        </w:r>
      </w:hyperlink>
      <w:r w:rsidRPr="00F8735B">
        <w:t>.</w:t>
      </w:r>
    </w:p>
  </w:footnote>
  <w:footnote w:id="51">
    <w:p w14:paraId="31739F58" w14:textId="66DA39AF" w:rsidR="002272E0" w:rsidRPr="000359E6" w:rsidRDefault="002272E0" w:rsidP="00311E47">
      <w:pPr>
        <w:pStyle w:val="FootnoteText"/>
        <w:widowControl w:val="0"/>
        <w:rPr>
          <w:lang w:val="en-US"/>
        </w:rPr>
      </w:pPr>
      <w:r>
        <w:tab/>
      </w:r>
      <w:r>
        <w:rPr>
          <w:rStyle w:val="FootnoteReference"/>
        </w:rPr>
        <w:footnoteRef/>
      </w:r>
      <w:r>
        <w:tab/>
      </w:r>
      <w:r w:rsidRPr="00057B2D">
        <w:t>FCCC/CP/2023/2/Add.</w:t>
      </w:r>
      <w:r>
        <w:t>1</w:t>
      </w:r>
      <w:r w:rsidR="00D52B56">
        <w:t>–</w:t>
      </w:r>
      <w:r w:rsidRPr="00057B2D">
        <w:t>FCCC/PA/CMA/2023/8/Add.</w:t>
      </w:r>
      <w:r>
        <w:t>1.</w:t>
      </w:r>
    </w:p>
  </w:footnote>
  <w:footnote w:id="52">
    <w:p w14:paraId="1FA4C500" w14:textId="77777777" w:rsidR="008B6470" w:rsidRPr="008605AC" w:rsidRDefault="008B6470" w:rsidP="008B6470">
      <w:pPr>
        <w:pStyle w:val="FootnoteText"/>
        <w:rPr>
          <w:lang w:val="en-US"/>
        </w:rPr>
      </w:pPr>
      <w:r>
        <w:tab/>
      </w:r>
      <w:r>
        <w:rPr>
          <w:rStyle w:val="FootnoteReference"/>
        </w:rPr>
        <w:footnoteRef/>
      </w:r>
      <w:r>
        <w:tab/>
      </w:r>
      <w:r>
        <w:rPr>
          <w:szCs w:val="18"/>
        </w:rPr>
        <w:t>In accordance with decision 1/CP.21, para. 61.</w:t>
      </w:r>
    </w:p>
  </w:footnote>
  <w:footnote w:id="53">
    <w:p w14:paraId="2A81CD5C" w14:textId="77777777" w:rsidR="00F20803" w:rsidRPr="00E66329" w:rsidRDefault="00F20803" w:rsidP="00F20803">
      <w:pPr>
        <w:pStyle w:val="FootnoteText"/>
        <w:rPr>
          <w:lang w:val="en-US"/>
        </w:rPr>
      </w:pPr>
      <w:r>
        <w:tab/>
      </w:r>
      <w:r>
        <w:rPr>
          <w:rStyle w:val="FootnoteReference"/>
        </w:rPr>
        <w:footnoteRef/>
      </w:r>
      <w:r>
        <w:tab/>
        <w:t xml:space="preserve">FCCC/CP/2023/8 and </w:t>
      </w:r>
      <w:proofErr w:type="gramStart"/>
      <w:r>
        <w:t>Add</w:t>
      </w:r>
      <w:proofErr w:type="gramEnd"/>
      <w:r>
        <w:t>.1.</w:t>
      </w:r>
    </w:p>
  </w:footnote>
  <w:footnote w:id="54">
    <w:p w14:paraId="4B7A5D85" w14:textId="282ECB48" w:rsidR="007C70DA" w:rsidRPr="00AF14D4" w:rsidRDefault="007C70DA" w:rsidP="009746E0">
      <w:pPr>
        <w:pStyle w:val="FootnoteText"/>
        <w:jc w:val="both"/>
        <w:rPr>
          <w:lang w:val="en-US"/>
        </w:rPr>
      </w:pPr>
      <w:r>
        <w:tab/>
      </w:r>
      <w:r>
        <w:rPr>
          <w:rStyle w:val="FootnoteReference"/>
        </w:rPr>
        <w:footnoteRef/>
      </w:r>
      <w:r>
        <w:tab/>
        <w:t>Contained in annex III to G</w:t>
      </w:r>
      <w:r w:rsidR="00C967C7">
        <w:t xml:space="preserve">reen </w:t>
      </w:r>
      <w:r>
        <w:t>C</w:t>
      </w:r>
      <w:r w:rsidR="00C967C7">
        <w:t xml:space="preserve">limate </w:t>
      </w:r>
      <w:r>
        <w:t>F</w:t>
      </w:r>
      <w:r w:rsidR="00C967C7">
        <w:t>und</w:t>
      </w:r>
      <w:r>
        <w:t xml:space="preserve"> document GCF/B.36/21.</w:t>
      </w:r>
    </w:p>
  </w:footnote>
  <w:footnote w:id="55">
    <w:p w14:paraId="5D4DBDE3" w14:textId="77777777" w:rsidR="00775EF1" w:rsidRPr="0044604F" w:rsidRDefault="00775EF1" w:rsidP="00775EF1">
      <w:pPr>
        <w:pStyle w:val="FootnoteText"/>
        <w:ind w:left="0" w:firstLine="0"/>
      </w:pPr>
      <w:r>
        <w:tab/>
      </w:r>
      <w:r>
        <w:rPr>
          <w:rStyle w:val="FootnoteReference"/>
        </w:rPr>
        <w:footnoteRef/>
      </w:r>
      <w:r>
        <w:tab/>
      </w:r>
      <w:r w:rsidRPr="00F12B85">
        <w:t>FCCC/KP/CMP/2023/2</w:t>
      </w:r>
      <w:r>
        <w:t>–</w:t>
      </w:r>
      <w:r w:rsidRPr="00F12B85">
        <w:t>FCCC/PA/CMA/2023/6</w:t>
      </w:r>
      <w:r>
        <w:t xml:space="preserve"> and </w:t>
      </w:r>
      <w:proofErr w:type="gramStart"/>
      <w:r>
        <w:t>Add</w:t>
      </w:r>
      <w:proofErr w:type="gramEnd"/>
      <w:r>
        <w:t>.1.</w:t>
      </w:r>
    </w:p>
  </w:footnote>
  <w:footnote w:id="56">
    <w:p w14:paraId="0A7A8463" w14:textId="77777777" w:rsidR="00775EF1" w:rsidRPr="00EE77AB" w:rsidRDefault="00775EF1" w:rsidP="00775EF1">
      <w:pPr>
        <w:pStyle w:val="FootnoteText"/>
        <w:widowControl w:val="0"/>
        <w:tabs>
          <w:tab w:val="clear" w:pos="1021"/>
          <w:tab w:val="right" w:pos="1020"/>
        </w:tabs>
        <w:rPr>
          <w:lang w:val="en-US"/>
        </w:rPr>
      </w:pPr>
      <w:r>
        <w:tab/>
      </w:r>
      <w:r>
        <w:rPr>
          <w:rStyle w:val="FootnoteReference"/>
        </w:rPr>
        <w:footnoteRef/>
      </w:r>
      <w:r>
        <w:tab/>
      </w:r>
      <w:r w:rsidRPr="006F3B0B">
        <w:t>See Adaptation Fund Board document AFB/B.40/5/Rev.1</w:t>
      </w:r>
      <w:r>
        <w:t xml:space="preserve">. </w:t>
      </w:r>
    </w:p>
  </w:footnote>
  <w:footnote w:id="57">
    <w:p w14:paraId="1935720E" w14:textId="77777777" w:rsidR="00775EF1" w:rsidRPr="00092A14" w:rsidRDefault="00775EF1" w:rsidP="00775EF1">
      <w:pPr>
        <w:pStyle w:val="FootnoteText"/>
        <w:widowControl w:val="0"/>
        <w:rPr>
          <w:lang w:val="en-AU"/>
        </w:rPr>
      </w:pPr>
      <w:r>
        <w:tab/>
      </w:r>
      <w:r>
        <w:rPr>
          <w:rStyle w:val="FootnoteReference"/>
        </w:rPr>
        <w:footnoteRef/>
      </w:r>
      <w:r>
        <w:tab/>
      </w:r>
      <w:r w:rsidRPr="006F3B0B">
        <w:t>See Adaptation Fund Board document AFB/B.</w:t>
      </w:r>
      <w:r>
        <w:t>39</w:t>
      </w:r>
      <w:r w:rsidRPr="006F3B0B">
        <w:t>/5/Rev.</w:t>
      </w:r>
      <w:r>
        <w:t>2.</w:t>
      </w:r>
    </w:p>
  </w:footnote>
  <w:footnote w:id="58">
    <w:p w14:paraId="32653D62" w14:textId="77777777" w:rsidR="00775EF1" w:rsidRPr="000C5088" w:rsidRDefault="00775EF1" w:rsidP="00775EF1">
      <w:pPr>
        <w:pStyle w:val="FootnoteText"/>
        <w:widowControl w:val="0"/>
        <w:tabs>
          <w:tab w:val="clear" w:pos="1021"/>
          <w:tab w:val="right" w:pos="1020"/>
        </w:tabs>
        <w:rPr>
          <w:lang w:val="en-US"/>
        </w:rPr>
      </w:pPr>
      <w:r w:rsidRPr="00465B4E">
        <w:rPr>
          <w:lang w:val="en-US"/>
        </w:rPr>
        <w:tab/>
      </w:r>
      <w:r>
        <w:rPr>
          <w:rStyle w:val="FootnoteReference"/>
        </w:rPr>
        <w:footnoteRef/>
      </w:r>
      <w:r>
        <w:tab/>
      </w:r>
      <w:r w:rsidRPr="00DC6B92">
        <w:tab/>
        <w:t>See Adaptation Fund Board document AFB/B.41/8/Rev.1.</w:t>
      </w:r>
    </w:p>
  </w:footnote>
  <w:footnote w:id="59">
    <w:p w14:paraId="70F09837" w14:textId="77777777" w:rsidR="00775EF1" w:rsidRPr="00BD3494" w:rsidRDefault="00775EF1" w:rsidP="00311E47">
      <w:pPr>
        <w:pStyle w:val="FootnoteText"/>
        <w:widowControl w:val="0"/>
        <w:rPr>
          <w:lang w:val="en-US"/>
        </w:rPr>
      </w:pPr>
      <w:r>
        <w:tab/>
      </w:r>
      <w:r>
        <w:rPr>
          <w:rStyle w:val="FootnoteReference"/>
        </w:rPr>
        <w:footnoteRef/>
      </w:r>
      <w:r>
        <w:tab/>
      </w:r>
      <w:r w:rsidRPr="0019374C">
        <w:t>Including a</w:t>
      </w:r>
      <w:r>
        <w:t xml:space="preserve"> </w:t>
      </w:r>
      <w:r w:rsidRPr="0019374C">
        <w:t xml:space="preserve">training course </w:t>
      </w:r>
      <w:r w:rsidRPr="006D1326">
        <w:t>on enhanced direct access; a study on the role of national financial institutions and trust funds in providing climate adaptation – lessons learned from the Adaptation Fund; a study on strengthening resilience through disaster risk reduction</w:t>
      </w:r>
      <w:r w:rsidRPr="0019374C">
        <w:t xml:space="preserve"> and early warning systems</w:t>
      </w:r>
      <w:r>
        <w:t>;</w:t>
      </w:r>
      <w:r w:rsidRPr="0019374C">
        <w:t xml:space="preserve"> </w:t>
      </w:r>
      <w:r>
        <w:t>an</w:t>
      </w:r>
      <w:r w:rsidRPr="0019374C">
        <w:t xml:space="preserve"> event during the Adaptation Futures 2023 Conference in Montreal, Canada; </w:t>
      </w:r>
      <w:r>
        <w:t>a</w:t>
      </w:r>
      <w:r w:rsidRPr="0019374C">
        <w:t xml:space="preserve"> </w:t>
      </w:r>
      <w:r>
        <w:t>p</w:t>
      </w:r>
      <w:r w:rsidRPr="0019374C">
        <w:t xml:space="preserve">roject </w:t>
      </w:r>
      <w:r>
        <w:t>m</w:t>
      </w:r>
      <w:r w:rsidRPr="0019374C">
        <w:t xml:space="preserve">onitoring </w:t>
      </w:r>
      <w:r>
        <w:t>m</w:t>
      </w:r>
      <w:r w:rsidRPr="0019374C">
        <w:t>ission in Peru</w:t>
      </w:r>
      <w:r>
        <w:t>;</w:t>
      </w:r>
      <w:r w:rsidRPr="0019374C">
        <w:t xml:space="preserve"> and </w:t>
      </w:r>
      <w:r>
        <w:t>p</w:t>
      </w:r>
      <w:r w:rsidRPr="0019374C">
        <w:t>articipation in the</w:t>
      </w:r>
      <w:r>
        <w:t xml:space="preserve"> 2023</w:t>
      </w:r>
      <w:r w:rsidRPr="0019374C">
        <w:t xml:space="preserve"> </w:t>
      </w:r>
      <w:proofErr w:type="spellStart"/>
      <w:r w:rsidRPr="0019374C">
        <w:t>RedLAC</w:t>
      </w:r>
      <w:proofErr w:type="spellEnd"/>
      <w:r w:rsidRPr="0019374C">
        <w:t xml:space="preserve"> Congress in Cusco, Peru</w:t>
      </w:r>
      <w:r>
        <w:t xml:space="preserve">. </w:t>
      </w:r>
    </w:p>
  </w:footnote>
  <w:footnote w:id="60">
    <w:p w14:paraId="590C57FC" w14:textId="083770DB" w:rsidR="00775EF1" w:rsidRPr="007F58F8" w:rsidRDefault="00775EF1" w:rsidP="00311E47">
      <w:pPr>
        <w:pStyle w:val="FootnoteText"/>
        <w:widowControl w:val="0"/>
        <w:rPr>
          <w:lang w:val="en-US"/>
        </w:rPr>
      </w:pPr>
      <w:r>
        <w:tab/>
      </w:r>
      <w:r w:rsidRPr="00D907B5">
        <w:rPr>
          <w:rStyle w:val="FootnoteReference"/>
        </w:rPr>
        <w:footnoteRef/>
      </w:r>
      <w:r w:rsidRPr="00D907B5">
        <w:tab/>
        <w:t xml:space="preserve">See </w:t>
      </w:r>
      <w:r w:rsidR="005A157F">
        <w:t>d</w:t>
      </w:r>
      <w:r w:rsidRPr="00D907B5">
        <w:t>ecision 13/CMA</w:t>
      </w:r>
      <w:r w:rsidRPr="000876B1">
        <w:t>.3, para. 5.</w:t>
      </w:r>
    </w:p>
  </w:footnote>
  <w:footnote w:id="61">
    <w:p w14:paraId="49984EDD" w14:textId="77777777" w:rsidR="00775EF1" w:rsidRPr="00BD3494" w:rsidRDefault="00775EF1" w:rsidP="00311E47">
      <w:pPr>
        <w:pStyle w:val="FootnoteText"/>
        <w:widowControl w:val="0"/>
      </w:pPr>
      <w:r>
        <w:tab/>
      </w:r>
      <w:r>
        <w:rPr>
          <w:rStyle w:val="FootnoteReference"/>
        </w:rPr>
        <w:footnoteRef/>
      </w:r>
      <w:r>
        <w:tab/>
        <w:t xml:space="preserve">Including the declaration by the Adaptation Fund, the Climate Investment Funds, the Global Environment Facility and the Green Climate Fund on enhancing access to climate finance and increasing </w:t>
      </w:r>
      <w:r w:rsidRPr="00BF14C9">
        <w:t xml:space="preserve">the effectiveness of multilateral climate funds (see </w:t>
      </w:r>
      <w:hyperlink r:id="rId9" w:history="1">
        <w:r w:rsidRPr="004D2D8E">
          <w:rPr>
            <w:rStyle w:val="Hyperlink"/>
          </w:rPr>
          <w:t>https://www.adaptation-fund.org/enhancing-access-and-increasing-impact-the-role-of-the-multilateral-climate-funds/</w:t>
        </w:r>
      </w:hyperlink>
      <w:r w:rsidRPr="00BF14C9">
        <w:t>).</w:t>
      </w:r>
    </w:p>
  </w:footnote>
  <w:footnote w:id="62">
    <w:p w14:paraId="7ADA08F8" w14:textId="407DF13F" w:rsidR="00B41ED4" w:rsidRPr="00770EE6" w:rsidRDefault="00B41ED4" w:rsidP="00B41ED4">
      <w:pPr>
        <w:pStyle w:val="FootnoteText"/>
        <w:widowControl w:val="0"/>
        <w:tabs>
          <w:tab w:val="clear" w:pos="1021"/>
          <w:tab w:val="right" w:pos="1020"/>
        </w:tabs>
        <w:rPr>
          <w:lang w:val="es-ES"/>
        </w:rPr>
      </w:pPr>
      <w:r>
        <w:tab/>
      </w:r>
      <w:r>
        <w:rPr>
          <w:rStyle w:val="FootnoteReference"/>
        </w:rPr>
        <w:footnoteRef/>
      </w:r>
      <w:r w:rsidRPr="00F054E4">
        <w:rPr>
          <w:lang w:val="es-ES"/>
        </w:rPr>
        <w:tab/>
      </w:r>
      <w:r w:rsidR="00F25DE0" w:rsidRPr="009A2540">
        <w:rPr>
          <w:lang w:val="es-ES"/>
        </w:rPr>
        <w:t>FCCC/PA/CMA/2023/2/Rev.1</w:t>
      </w:r>
      <w:r w:rsidRPr="00311E47">
        <w:rPr>
          <w:rStyle w:val="Hyperlink"/>
          <w:rFonts w:asciiTheme="majorBidi" w:hAnsiTheme="majorBidi" w:cstheme="majorBidi"/>
          <w:color w:val="auto"/>
          <w:szCs w:val="18"/>
          <w:u w:val="none"/>
          <w:shd w:val="clear" w:color="auto" w:fill="FFFFFF"/>
          <w:lang w:val="es-ES"/>
        </w:rPr>
        <w:t>.</w:t>
      </w:r>
    </w:p>
  </w:footnote>
  <w:footnote w:id="63">
    <w:p w14:paraId="199717C5" w14:textId="77777777" w:rsidR="00B41ED4" w:rsidRPr="00F276E6" w:rsidRDefault="00B41ED4" w:rsidP="00B41ED4">
      <w:pPr>
        <w:pStyle w:val="FootnoteText"/>
        <w:widowControl w:val="0"/>
        <w:tabs>
          <w:tab w:val="clear" w:pos="1021"/>
          <w:tab w:val="right" w:pos="1020"/>
        </w:tabs>
        <w:rPr>
          <w:lang w:val="es-ES"/>
        </w:rPr>
      </w:pPr>
      <w:r w:rsidRPr="00F276E6">
        <w:rPr>
          <w:lang w:val="es-ES"/>
        </w:rPr>
        <w:tab/>
      </w:r>
      <w:r w:rsidRPr="0093344F">
        <w:rPr>
          <w:rStyle w:val="FootnoteReference"/>
        </w:rPr>
        <w:footnoteRef/>
      </w:r>
      <w:r w:rsidRPr="00F276E6">
        <w:rPr>
          <w:lang w:val="es-ES"/>
        </w:rPr>
        <w:tab/>
      </w:r>
      <w:r w:rsidRPr="00311E47">
        <w:rPr>
          <w:rStyle w:val="Hyperlink"/>
          <w:rFonts w:asciiTheme="majorBidi" w:hAnsiTheme="majorBidi" w:cstheme="majorBidi"/>
          <w:color w:val="auto"/>
          <w:szCs w:val="18"/>
          <w:u w:val="none"/>
          <w:lang w:val="es-ES"/>
        </w:rPr>
        <w:t>FCCC/PA/CMA/2023/3.</w:t>
      </w:r>
    </w:p>
  </w:footnote>
  <w:footnote w:id="64">
    <w:p w14:paraId="547795D7" w14:textId="77777777" w:rsidR="00B41ED4" w:rsidRPr="00476C9C" w:rsidRDefault="00B41ED4" w:rsidP="00B41ED4">
      <w:pPr>
        <w:pStyle w:val="FootnoteText"/>
        <w:widowControl w:val="0"/>
        <w:tabs>
          <w:tab w:val="clear" w:pos="1021"/>
          <w:tab w:val="right" w:pos="1020"/>
        </w:tabs>
        <w:rPr>
          <w:lang w:val="es-ES"/>
        </w:rPr>
      </w:pPr>
      <w:r w:rsidRPr="00770EE6">
        <w:rPr>
          <w:lang w:val="es-ES"/>
        </w:rPr>
        <w:tab/>
      </w:r>
      <w:r>
        <w:rPr>
          <w:rStyle w:val="FootnoteReference"/>
        </w:rPr>
        <w:footnoteRef/>
      </w:r>
      <w:r w:rsidRPr="00476C9C">
        <w:rPr>
          <w:lang w:val="es-ES"/>
        </w:rPr>
        <w:tab/>
        <w:t>FCCC/PA/CMA/2023/13.</w:t>
      </w:r>
    </w:p>
  </w:footnote>
  <w:footnote w:id="65">
    <w:p w14:paraId="5CD7DE96" w14:textId="77777777" w:rsidR="002E50AB" w:rsidRPr="00476C9C" w:rsidRDefault="002E50AB" w:rsidP="00123955">
      <w:pPr>
        <w:pStyle w:val="FootnoteText"/>
        <w:widowControl w:val="0"/>
        <w:rPr>
          <w:lang w:val="es-ES"/>
        </w:rPr>
      </w:pPr>
      <w:r w:rsidRPr="00476C9C">
        <w:rPr>
          <w:lang w:val="es-ES"/>
        </w:rPr>
        <w:tab/>
      </w:r>
      <w:r>
        <w:rPr>
          <w:rStyle w:val="FootnoteReference"/>
        </w:rPr>
        <w:footnoteRef/>
      </w:r>
      <w:r w:rsidRPr="00476C9C">
        <w:rPr>
          <w:lang w:val="es-ES"/>
        </w:rPr>
        <w:tab/>
        <w:t xml:space="preserve">FCCC/SB/2023/3. </w:t>
      </w:r>
    </w:p>
  </w:footnote>
  <w:footnote w:id="66">
    <w:p w14:paraId="60831288" w14:textId="77777777" w:rsidR="002E50AB" w:rsidRPr="002205BD" w:rsidRDefault="002E50AB" w:rsidP="00123955">
      <w:pPr>
        <w:pStyle w:val="FootnoteText"/>
        <w:rPr>
          <w:lang w:val="en-US"/>
        </w:rPr>
      </w:pPr>
      <w:r w:rsidRPr="00476C9C">
        <w:rPr>
          <w:lang w:val="es-ES"/>
        </w:rPr>
        <w:tab/>
      </w:r>
      <w:r>
        <w:rPr>
          <w:rStyle w:val="FootnoteReference"/>
        </w:rPr>
        <w:footnoteRef/>
      </w:r>
      <w:r>
        <w:tab/>
        <w:t xml:space="preserve">Available at </w:t>
      </w:r>
      <w:hyperlink r:id="rId10" w:history="1">
        <w:r w:rsidRPr="00675388">
          <w:rPr>
            <w:rStyle w:val="Hyperlink"/>
          </w:rPr>
          <w:t>https://unfccc.int/ttclear/tec/workplan</w:t>
        </w:r>
      </w:hyperlink>
      <w:r>
        <w:t xml:space="preserve">. </w:t>
      </w:r>
    </w:p>
  </w:footnote>
  <w:footnote w:id="67">
    <w:p w14:paraId="1F6AD6C8" w14:textId="18AB89CF" w:rsidR="002E50AB" w:rsidRPr="002205BD" w:rsidRDefault="002E50AB" w:rsidP="00123955">
      <w:pPr>
        <w:pStyle w:val="FootnoteText"/>
        <w:rPr>
          <w:lang w:val="en-US"/>
        </w:rPr>
      </w:pPr>
      <w:r>
        <w:tab/>
      </w:r>
      <w:r>
        <w:rPr>
          <w:rStyle w:val="FootnoteReference"/>
        </w:rPr>
        <w:footnoteRef/>
      </w:r>
      <w:r>
        <w:tab/>
        <w:t xml:space="preserve">UNFCCC. 2023. </w:t>
      </w:r>
      <w:r w:rsidRPr="00311E47">
        <w:rPr>
          <w:i/>
          <w:iCs/>
        </w:rPr>
        <w:t>Technology and Nationally Determined Contributions</w:t>
      </w:r>
      <w:r w:rsidR="00CE0727" w:rsidRPr="00311E47">
        <w:rPr>
          <w:i/>
          <w:iCs/>
        </w:rPr>
        <w:t>:</w:t>
      </w:r>
      <w:r w:rsidRPr="00311E47">
        <w:rPr>
          <w:i/>
          <w:iCs/>
        </w:rPr>
        <w:t xml:space="preserve"> Stimulating the Uptake of Technologies in Support of Nationally Determined Contribution Implementation</w:t>
      </w:r>
      <w:r>
        <w:t xml:space="preserve">. </w:t>
      </w:r>
      <w:r w:rsidR="00725BDE">
        <w:t xml:space="preserve">Bonn: UNFCCC. </w:t>
      </w:r>
      <w:r>
        <w:t xml:space="preserve">Available at </w:t>
      </w:r>
      <w:hyperlink r:id="rId11" w:history="1">
        <w:r w:rsidRPr="00AE3A4E">
          <w:rPr>
            <w:rStyle w:val="Hyperlink"/>
          </w:rPr>
          <w:t>https://unfccc.int/ttclear/tec/techandndc.html</w:t>
        </w:r>
      </w:hyperlink>
      <w:r>
        <w:t>.</w:t>
      </w:r>
    </w:p>
  </w:footnote>
  <w:footnote w:id="68">
    <w:p w14:paraId="60BE754B" w14:textId="77777777" w:rsidR="002E50AB" w:rsidRDefault="002E50AB" w:rsidP="00123955">
      <w:pPr>
        <w:pStyle w:val="FootnoteText"/>
        <w:widowControl w:val="0"/>
      </w:pPr>
      <w:r>
        <w:tab/>
      </w:r>
      <w:r>
        <w:rPr>
          <w:rStyle w:val="FootnoteReference"/>
        </w:rPr>
        <w:footnoteRef/>
      </w:r>
      <w:r>
        <w:tab/>
        <w:t xml:space="preserve">Namely </w:t>
      </w:r>
      <w:r w:rsidRPr="004332A4">
        <w:t>national systems of innovation, water</w:t>
      </w:r>
      <w:r>
        <w:t>–</w:t>
      </w:r>
      <w:r w:rsidRPr="004332A4">
        <w:t>energy</w:t>
      </w:r>
      <w:r>
        <w:t>–</w:t>
      </w:r>
      <w:r w:rsidRPr="004332A4">
        <w:t>food systems, energy systems, buildings and resilient infrastructure, business and industry, and technology needs assessment</w:t>
      </w:r>
      <w:r>
        <w:t xml:space="preserve">s. </w:t>
      </w:r>
    </w:p>
  </w:footnote>
  <w:footnote w:id="69">
    <w:p w14:paraId="18D633D9" w14:textId="5CA38F94" w:rsidR="002E50AB" w:rsidRPr="00CE422A" w:rsidRDefault="00F91511" w:rsidP="009B59B7">
      <w:pPr>
        <w:pStyle w:val="FootnoteText"/>
        <w:widowControl w:val="0"/>
        <w:rPr>
          <w:lang w:val="en-US"/>
        </w:rPr>
      </w:pPr>
      <w:r>
        <w:tab/>
      </w:r>
      <w:r>
        <w:rPr>
          <w:rStyle w:val="FootnoteReference"/>
        </w:rPr>
        <w:footnoteRef/>
      </w:r>
      <w:r>
        <w:tab/>
      </w:r>
      <w:r w:rsidRPr="00311E47">
        <w:rPr>
          <w:rFonts w:eastAsia="Times New Roman"/>
          <w:color w:val="000000"/>
          <w:lang w:val="en-US"/>
        </w:rPr>
        <w:t xml:space="preserve">As per decision </w:t>
      </w:r>
      <w:r w:rsidRPr="00311E47">
        <w:rPr>
          <w:rFonts w:eastAsia="Times New Roman"/>
          <w:lang w:val="en-US"/>
        </w:rPr>
        <w:t>20/</w:t>
      </w:r>
      <w:r w:rsidRPr="00311E47">
        <w:rPr>
          <w:rFonts w:eastAsia="Times New Roman"/>
          <w:color w:val="000000"/>
          <w:lang w:val="en-US"/>
        </w:rPr>
        <w:t xml:space="preserve">CMA.4, para. </w:t>
      </w:r>
      <w:r w:rsidRPr="00CE422A">
        <w:rPr>
          <w:rFonts w:eastAsia="Times New Roman"/>
          <w:color w:val="000000"/>
          <w:lang w:val="en-US"/>
        </w:rPr>
        <w:t>7.</w:t>
      </w:r>
      <w:r>
        <w:t xml:space="preserve"> </w:t>
      </w:r>
    </w:p>
  </w:footnote>
  <w:footnote w:id="70">
    <w:p w14:paraId="680A9D47" w14:textId="77777777" w:rsidR="002E50AB" w:rsidRPr="005B3314" w:rsidRDefault="002E50AB" w:rsidP="00123955">
      <w:pPr>
        <w:pStyle w:val="FootnoteText"/>
        <w:widowControl w:val="0"/>
        <w:rPr>
          <w:lang w:val="en-US"/>
        </w:rPr>
      </w:pPr>
      <w:r w:rsidRPr="00CE422A">
        <w:rPr>
          <w:lang w:val="en-US"/>
        </w:rPr>
        <w:tab/>
      </w:r>
      <w:r>
        <w:rPr>
          <w:rStyle w:val="FootnoteReference"/>
        </w:rPr>
        <w:footnoteRef/>
      </w:r>
      <w:r w:rsidRPr="005B3314">
        <w:rPr>
          <w:lang w:val="en-US"/>
        </w:rPr>
        <w:tab/>
        <w:t xml:space="preserve">See </w:t>
      </w:r>
      <w:hyperlink r:id="rId12" w:history="1">
        <w:r w:rsidRPr="005B3314">
          <w:rPr>
            <w:rStyle w:val="Hyperlink"/>
            <w:lang w:val="en-US"/>
          </w:rPr>
          <w:t>https://unfccc.int/ttclear/acl_users/MultiPAS/artificial_intelligence</w:t>
        </w:r>
      </w:hyperlink>
      <w:r w:rsidRPr="005B3314">
        <w:rPr>
          <w:lang w:val="en-US"/>
        </w:rPr>
        <w:t>.</w:t>
      </w:r>
    </w:p>
  </w:footnote>
  <w:footnote w:id="71">
    <w:p w14:paraId="7A408C79" w14:textId="77777777" w:rsidR="002E50AB" w:rsidRPr="00BF0047" w:rsidRDefault="002E50AB" w:rsidP="00311E47">
      <w:pPr>
        <w:pStyle w:val="FootnoteText"/>
        <w:widowControl w:val="0"/>
        <w:ind w:left="0" w:firstLine="0"/>
        <w:rPr>
          <w:lang w:val="en-US"/>
        </w:rPr>
      </w:pPr>
      <w:r w:rsidRPr="005B3314">
        <w:rPr>
          <w:lang w:val="en-US"/>
        </w:rPr>
        <w:tab/>
      </w:r>
      <w:r>
        <w:rPr>
          <w:rStyle w:val="FootnoteReference"/>
        </w:rPr>
        <w:footnoteRef/>
      </w:r>
      <w:r>
        <w:tab/>
        <w:t xml:space="preserve">See </w:t>
      </w:r>
      <w:hyperlink r:id="rId13" w:history="1">
        <w:r w:rsidRPr="00456A71">
          <w:rPr>
            <w:rStyle w:val="Hyperlink"/>
          </w:rPr>
          <w:t>https://www.ctc-n.org/network/gender-climate-expert-roster</w:t>
        </w:r>
      </w:hyperlink>
      <w:r>
        <w:t xml:space="preserve">. </w:t>
      </w:r>
    </w:p>
  </w:footnote>
  <w:footnote w:id="72">
    <w:p w14:paraId="31458647" w14:textId="26E2FB4E" w:rsidR="008E54C6" w:rsidRPr="002E26F0" w:rsidRDefault="002E50AB" w:rsidP="00311E47">
      <w:pPr>
        <w:pStyle w:val="FootnoteText"/>
        <w:widowControl w:val="0"/>
        <w:rPr>
          <w:lang w:val="en-US"/>
        </w:rPr>
      </w:pPr>
      <w:r w:rsidRPr="008E7DAB">
        <w:rPr>
          <w:lang w:val="en-US"/>
        </w:rPr>
        <w:tab/>
      </w:r>
      <w:r>
        <w:rPr>
          <w:rStyle w:val="FootnoteReference"/>
        </w:rPr>
        <w:footnoteRef/>
      </w:r>
      <w:r>
        <w:tab/>
        <w:t>See the document entitled “</w:t>
      </w:r>
      <w:r w:rsidRPr="00871F97">
        <w:t>Responses from the TEC and the CTCN to guidance from Parties in 2023</w:t>
      </w:r>
      <w:r>
        <w:t xml:space="preserve">”, available </w:t>
      </w:r>
      <w:r>
        <w:rPr>
          <w:lang w:val="en-US"/>
        </w:rPr>
        <w:t xml:space="preserve">at </w:t>
      </w:r>
      <w:hyperlink r:id="rId14" w:history="1">
        <w:r w:rsidRPr="00D43215">
          <w:rPr>
            <w:rStyle w:val="Hyperlink"/>
            <w:lang w:val="en-US"/>
          </w:rPr>
          <w:t>https://unfccc.int/ttclear/tec/documents.html</w:t>
        </w:r>
      </w:hyperlink>
      <w:r>
        <w:rPr>
          <w:lang w:val="en-US"/>
        </w:rPr>
        <w:t xml:space="preserve"> (under annual reports and related documents).</w:t>
      </w:r>
    </w:p>
  </w:footnote>
  <w:footnote w:id="73">
    <w:p w14:paraId="2C361F8B" w14:textId="77777777" w:rsidR="002E50AB" w:rsidRPr="002D75DF" w:rsidRDefault="002E50AB" w:rsidP="00311E47">
      <w:pPr>
        <w:pStyle w:val="FootnoteText"/>
        <w:widowControl w:val="0"/>
        <w:rPr>
          <w:lang w:val="en-US"/>
        </w:rPr>
      </w:pPr>
      <w:r w:rsidRPr="00144E42">
        <w:rPr>
          <w:lang w:val="en-US"/>
        </w:rPr>
        <w:tab/>
      </w:r>
      <w:r>
        <w:rPr>
          <w:rStyle w:val="FootnoteReference"/>
        </w:rPr>
        <w:footnoteRef/>
      </w:r>
      <w:r>
        <w:tab/>
        <w:t xml:space="preserve">See Climate Technology Centre and Network Advisory Board document AB/2023/22/22.1, available at </w:t>
      </w:r>
      <w:hyperlink r:id="rId15" w:history="1">
        <w:r w:rsidRPr="00456A71">
          <w:rPr>
            <w:rStyle w:val="Hyperlink"/>
          </w:rPr>
          <w:t>https://www.ctc-n.org/calendar/events/22nd-ctcn-advisory-board-meeting</w:t>
        </w:r>
      </w:hyperlink>
      <w:r>
        <w:t xml:space="preserve"> (under documents).</w:t>
      </w:r>
    </w:p>
  </w:footnote>
  <w:footnote w:id="74">
    <w:p w14:paraId="5BE4719A" w14:textId="77777777" w:rsidR="00ED2368" w:rsidRPr="00771099" w:rsidRDefault="00ED2368" w:rsidP="00ED2368">
      <w:pPr>
        <w:pStyle w:val="FootnoteText"/>
        <w:rPr>
          <w:lang w:val="fr-FR"/>
        </w:rPr>
      </w:pPr>
      <w:r w:rsidRPr="00C76995">
        <w:rPr>
          <w:lang w:val="en-US"/>
        </w:rPr>
        <w:tab/>
      </w:r>
      <w:r>
        <w:rPr>
          <w:rStyle w:val="FootnoteReference"/>
        </w:rPr>
        <w:footnoteRef/>
      </w:r>
      <w:r w:rsidRPr="00771099">
        <w:rPr>
          <w:lang w:val="fr-FR"/>
        </w:rPr>
        <w:tab/>
        <w:t>FCCC/SBI/2023/14.</w:t>
      </w:r>
    </w:p>
  </w:footnote>
  <w:footnote w:id="75">
    <w:p w14:paraId="65E6F9BC" w14:textId="77777777" w:rsidR="00ED2368" w:rsidRPr="009D666E" w:rsidRDefault="00ED2368" w:rsidP="00ED2368">
      <w:pPr>
        <w:pStyle w:val="FootnoteText"/>
      </w:pPr>
      <w:r w:rsidRPr="00771099">
        <w:rPr>
          <w:lang w:val="fr-FR"/>
        </w:rPr>
        <w:tab/>
      </w:r>
      <w:r>
        <w:rPr>
          <w:rStyle w:val="FootnoteReference"/>
        </w:rPr>
        <w:footnoteRef/>
      </w:r>
      <w:r w:rsidRPr="00771099">
        <w:rPr>
          <w:lang w:val="fr-FR"/>
        </w:rPr>
        <w:tab/>
        <w:t xml:space="preserve">FCCC/SBI/2023/14, chap. </w:t>
      </w:r>
      <w:r>
        <w:t>III.</w:t>
      </w:r>
    </w:p>
  </w:footnote>
  <w:footnote w:id="76">
    <w:p w14:paraId="69078480" w14:textId="77777777" w:rsidR="00ED2368" w:rsidRPr="009D666E" w:rsidRDefault="00ED2368" w:rsidP="00ED2368">
      <w:pPr>
        <w:pStyle w:val="FootnoteText"/>
      </w:pPr>
      <w:r>
        <w:tab/>
      </w:r>
      <w:r>
        <w:rPr>
          <w:rStyle w:val="FootnoteReference"/>
        </w:rPr>
        <w:footnoteRef/>
      </w:r>
      <w:r>
        <w:tab/>
      </w:r>
      <w:r w:rsidRPr="009D666E">
        <w:t>FCCC/SBI/2020/13, annex I.</w:t>
      </w:r>
    </w:p>
  </w:footnote>
  <w:footnote w:id="77">
    <w:p w14:paraId="737CCF02" w14:textId="77777777" w:rsidR="000C3E0F" w:rsidRPr="00481B1C" w:rsidRDefault="000C3E0F" w:rsidP="00311E47">
      <w:pPr>
        <w:pStyle w:val="FootnoteText"/>
      </w:pPr>
      <w:r>
        <w:tab/>
      </w:r>
      <w:r>
        <w:rPr>
          <w:rStyle w:val="FootnoteReference"/>
        </w:rPr>
        <w:footnoteRef/>
      </w:r>
      <w:r>
        <w:tab/>
      </w:r>
      <w:r w:rsidRPr="00DA5F96">
        <w:t>Pursuant to decision 9/CP.25, para</w:t>
      </w:r>
      <w:r>
        <w:t>s</w:t>
      </w:r>
      <w:r w:rsidRPr="00DA5F96">
        <w:t>. 12</w:t>
      </w:r>
      <w:r>
        <w:t>–13</w:t>
      </w:r>
      <w:r w:rsidRPr="00DA5F96">
        <w:t>.</w:t>
      </w:r>
    </w:p>
  </w:footnote>
  <w:footnote w:id="78">
    <w:p w14:paraId="161E639C" w14:textId="77777777" w:rsidR="000C3E0F" w:rsidRPr="005A60DF" w:rsidRDefault="000C3E0F" w:rsidP="00311E47">
      <w:pPr>
        <w:pStyle w:val="FootnoteText"/>
      </w:pPr>
      <w:r>
        <w:tab/>
      </w:r>
      <w:r>
        <w:rPr>
          <w:rStyle w:val="FootnoteReference"/>
        </w:rPr>
        <w:footnoteRef/>
      </w:r>
      <w:r>
        <w:tab/>
      </w:r>
      <w:hyperlink r:id="rId16" w:history="1">
        <w:r w:rsidRPr="00A73D34">
          <w:rPr>
            <w:rStyle w:val="Hyperlink"/>
          </w:rPr>
          <w:t>https://www4.unfccc.int/sites/submissionsstaging/Pages/Home.aspx</w:t>
        </w:r>
      </w:hyperlink>
      <w:r w:rsidRPr="005A60DF">
        <w:t>.</w:t>
      </w:r>
    </w:p>
  </w:footnote>
  <w:footnote w:id="79">
    <w:p w14:paraId="26E01018" w14:textId="77777777" w:rsidR="000C3E0F" w:rsidRPr="00B53680" w:rsidRDefault="000C3E0F" w:rsidP="000C3E0F">
      <w:pPr>
        <w:pStyle w:val="FootnoteText"/>
        <w:rPr>
          <w:lang w:val="es-419"/>
        </w:rPr>
      </w:pPr>
      <w:r>
        <w:tab/>
      </w:r>
      <w:r>
        <w:rPr>
          <w:rStyle w:val="FootnoteReference"/>
        </w:rPr>
        <w:footnoteRef/>
      </w:r>
      <w:r w:rsidRPr="005C5D17">
        <w:rPr>
          <w:lang w:val="es-ES"/>
        </w:rPr>
        <w:tab/>
      </w:r>
      <w:proofErr w:type="spellStart"/>
      <w:r w:rsidRPr="005C5D17">
        <w:rPr>
          <w:lang w:val="es-ES"/>
        </w:rPr>
        <w:t>Decision</w:t>
      </w:r>
      <w:proofErr w:type="spellEnd"/>
      <w:r w:rsidRPr="005C5D17">
        <w:rPr>
          <w:lang w:val="es-ES"/>
        </w:rPr>
        <w:t xml:space="preserve"> 9/CP.25</w:t>
      </w:r>
      <w:r w:rsidRPr="00B53680">
        <w:rPr>
          <w:lang w:val="es-419"/>
        </w:rPr>
        <w:t>, para. 12.</w:t>
      </w:r>
    </w:p>
  </w:footnote>
  <w:footnote w:id="80">
    <w:p w14:paraId="7CD639F0" w14:textId="77777777" w:rsidR="000C3E0F" w:rsidRPr="001349CA" w:rsidRDefault="000C3E0F" w:rsidP="000C3E0F">
      <w:pPr>
        <w:pStyle w:val="FootnoteText"/>
        <w:rPr>
          <w:lang w:val="en-US"/>
        </w:rPr>
      </w:pPr>
      <w:r w:rsidRPr="00B53680">
        <w:rPr>
          <w:lang w:val="es-419"/>
        </w:rPr>
        <w:tab/>
      </w:r>
      <w:r>
        <w:rPr>
          <w:rStyle w:val="FootnoteReference"/>
        </w:rPr>
        <w:footnoteRef/>
      </w:r>
      <w:r w:rsidRPr="00B53680">
        <w:rPr>
          <w:lang w:val="es-419"/>
        </w:rPr>
        <w:tab/>
      </w:r>
      <w:proofErr w:type="spellStart"/>
      <w:r w:rsidRPr="009D54B8">
        <w:rPr>
          <w:lang w:val="es-ES"/>
        </w:rPr>
        <w:t>Decision</w:t>
      </w:r>
      <w:proofErr w:type="spellEnd"/>
      <w:r w:rsidRPr="00B53680">
        <w:rPr>
          <w:lang w:val="es-419"/>
        </w:rPr>
        <w:t xml:space="preserve"> 9/CP.25, para. </w:t>
      </w:r>
      <w:r>
        <w:t>13.</w:t>
      </w:r>
    </w:p>
  </w:footnote>
  <w:footnote w:id="81">
    <w:p w14:paraId="4179A87E" w14:textId="77777777" w:rsidR="000C3E0F" w:rsidRDefault="000C3E0F" w:rsidP="000C3E0F">
      <w:pPr>
        <w:pStyle w:val="FootnoteText"/>
        <w:widowControl w:val="0"/>
        <w:tabs>
          <w:tab w:val="clear" w:pos="1021"/>
          <w:tab w:val="right" w:pos="1020"/>
        </w:tabs>
      </w:pPr>
      <w:r>
        <w:tab/>
      </w:r>
      <w:r>
        <w:rPr>
          <w:rStyle w:val="FootnoteReference"/>
        </w:rPr>
        <w:footnoteRef/>
      </w:r>
      <w:r>
        <w:tab/>
        <w:t xml:space="preserve">Available at </w:t>
      </w:r>
      <w:hyperlink r:id="rId17" w:history="1">
        <w:r w:rsidRPr="00581BD2">
          <w:rPr>
            <w:rStyle w:val="Hyperlink"/>
          </w:rPr>
          <w:t>https://unfccc.int/documents/267207</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5497B" w14:textId="77777777" w:rsidR="003E45B1" w:rsidRPr="003B5708" w:rsidRDefault="003B5708" w:rsidP="00311E47">
    <w:pPr>
      <w:pStyle w:val="Header"/>
      <w:ind w:right="-1"/>
    </w:pPr>
    <w:r>
      <w:t>FCCC/PA/CMA/2023/X/Add.2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60689" w14:textId="22AA143B" w:rsidR="00FC6B5F" w:rsidRPr="005710C3" w:rsidRDefault="005710C3" w:rsidP="005710C3">
    <w:pPr>
      <w:pStyle w:val="Header"/>
    </w:pPr>
    <w:r>
      <w:t>FCCC/PA/CMA/2023/</w:t>
    </w:r>
    <w:r w:rsidR="00DA6BD2">
      <w:t>16</w:t>
    </w:r>
    <w:r>
      <w:t>/Add.2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AEEE4" w14:textId="2CBA05FD" w:rsidR="005710C3" w:rsidRPr="005710C3" w:rsidRDefault="005710C3" w:rsidP="003C1F0D">
    <w:pPr>
      <w:pStyle w:val="Header"/>
      <w:jc w:val="right"/>
    </w:pPr>
    <w:r>
      <w:t>FCCC/PA/CMA/2023/</w:t>
    </w:r>
    <w:r w:rsidR="00DA6BD2">
      <w:t>16</w:t>
    </w:r>
    <w:r>
      <w:t>/Add.2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0DB38" w14:textId="77777777" w:rsidR="00FC6B5F" w:rsidRDefault="00FC6B5F">
    <w:pPr>
      <w:pStyle w:val="Header"/>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59617" w14:textId="6809858B" w:rsidR="00FC6B5F" w:rsidRPr="00EC0F7F" w:rsidRDefault="00EC0F7F" w:rsidP="00EC0F7F">
    <w:pPr>
      <w:pStyle w:val="Header"/>
    </w:pPr>
    <w:r>
      <w:t>FCCC/PA/CMA/2023/</w:t>
    </w:r>
    <w:r w:rsidR="00DA6BD2">
      <w:t>16</w:t>
    </w:r>
    <w:r>
      <w:t>/Add.2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8C8A" w14:textId="25B38510" w:rsidR="00FC6B5F" w:rsidRPr="005710C3" w:rsidRDefault="005710C3" w:rsidP="005710C3">
    <w:pPr>
      <w:pStyle w:val="Header"/>
      <w:jc w:val="right"/>
    </w:pPr>
    <w:r>
      <w:t>FCCC/PA/CMA/2023/</w:t>
    </w:r>
    <w:r w:rsidR="00DA6BD2">
      <w:t>16</w:t>
    </w:r>
    <w:r>
      <w:t>/Add.2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4119A" w14:textId="77777777" w:rsidR="00FC6B5F" w:rsidRDefault="00FC6B5F">
    <w:pPr>
      <w:pStyle w:val="Header"/>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820B7" w14:textId="77777777" w:rsidR="000819B0" w:rsidRDefault="00383528">
    <w:pPr>
      <w:pStyle w:val="Header"/>
    </w:pPr>
    <w:r>
      <w:t>FCCC/PA/CMA/2023/X/Add.2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B173" w14:textId="77777777" w:rsidR="00AF7A36" w:rsidRDefault="00DA6BD2" w:rsidP="00DA6BD2">
    <w:pPr>
      <w:pStyle w:val="Header"/>
      <w:jc w:val="right"/>
    </w:pPr>
    <w:r>
      <w:t>FCCC/PA/CMA/2023/16/Add.2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2412" w14:textId="3CB8F268" w:rsidR="00FC6B5F" w:rsidRPr="005710C3" w:rsidRDefault="005710C3" w:rsidP="005710C3">
    <w:pPr>
      <w:pStyle w:val="Header"/>
    </w:pPr>
    <w:r>
      <w:t>FCCC/PA/CMA/2023/</w:t>
    </w:r>
    <w:r w:rsidR="00DA6BD2">
      <w:t>16</w:t>
    </w:r>
    <w:r>
      <w:t>/Add.2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FC68C" w14:textId="62F27D7B" w:rsidR="00FC6B5F" w:rsidRPr="005710C3" w:rsidRDefault="005710C3" w:rsidP="00311E47">
    <w:pPr>
      <w:pStyle w:val="Header"/>
      <w:jc w:val="right"/>
    </w:pPr>
    <w:r>
      <w:t>FCCC/PA/CMA/2023/</w:t>
    </w:r>
    <w:r w:rsidR="00DA6BD2">
      <w:t>16</w:t>
    </w:r>
    <w:r>
      <w:t>/Add.2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0DDF0" w14:textId="77777777" w:rsidR="003E45B1" w:rsidRPr="003B5708" w:rsidRDefault="003B5708" w:rsidP="003B5708">
    <w:pPr>
      <w:pStyle w:val="Header"/>
      <w:jc w:val="right"/>
    </w:pPr>
    <w:r>
      <w:t>FCCC/PA/CMA/2023/X/Add.2</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D7949" w14:textId="77777777" w:rsidR="00FC6B5F" w:rsidRDefault="00FC6B5F">
    <w:pPr>
      <w:pStyle w:val="Header"/>
      <w:pBdr>
        <w:bottom w:val="none" w:sz="0" w:space="0"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58D6" w14:textId="6727C8CB" w:rsidR="00FC6B5F" w:rsidRPr="005710C3" w:rsidRDefault="005710C3" w:rsidP="005710C3">
    <w:pPr>
      <w:pStyle w:val="Header"/>
    </w:pPr>
    <w:r>
      <w:t>FCCC/PA/CMA/2023/</w:t>
    </w:r>
    <w:r w:rsidR="00DA6BD2">
      <w:t>16</w:t>
    </w:r>
    <w:r>
      <w:t>/Add.2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AAA71" w14:textId="2AB013C2" w:rsidR="00FC6B5F" w:rsidRPr="005710C3" w:rsidRDefault="005710C3" w:rsidP="000603DA">
    <w:pPr>
      <w:pStyle w:val="Header"/>
      <w:jc w:val="right"/>
    </w:pPr>
    <w:r>
      <w:t>FCCC/PA/CMA/2023/</w:t>
    </w:r>
    <w:r w:rsidR="00DA6BD2">
      <w:t>16</w:t>
    </w:r>
    <w:r>
      <w:t>/Add.2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8E3AA" w14:textId="77777777" w:rsidR="00FC6B5F" w:rsidRDefault="00FC6B5F">
    <w:pPr>
      <w:pStyle w:val="Header"/>
      <w:pBdr>
        <w:bottom w:val="none" w:sz="0" w:space="0" w:color="auto"/>
      </w:pBd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F30B" w14:textId="6828F988" w:rsidR="005710C3" w:rsidRPr="005710C3" w:rsidRDefault="005710C3" w:rsidP="00311E47">
    <w:pPr>
      <w:pStyle w:val="Header"/>
    </w:pPr>
    <w:r>
      <w:t>FCCC/PA/CMA/2023/</w:t>
    </w:r>
    <w:r w:rsidR="00DA6BD2">
      <w:t>16</w:t>
    </w:r>
    <w:r>
      <w:t>/Add.2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8A78" w14:textId="6CD18157" w:rsidR="005710C3" w:rsidRPr="005710C3" w:rsidRDefault="005710C3" w:rsidP="005710C3">
    <w:pPr>
      <w:pStyle w:val="Header"/>
      <w:jc w:val="right"/>
    </w:pPr>
    <w:r>
      <w:t>FCCC/PA/CMA/2023/</w:t>
    </w:r>
    <w:r w:rsidR="00DA6BD2">
      <w:t>16</w:t>
    </w:r>
    <w:r>
      <w:t>/Add.2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4DC95" w14:textId="2E5B9076" w:rsidR="00FC6B5F" w:rsidRPr="00AF7A9E" w:rsidRDefault="00AF7A9E" w:rsidP="00311E47">
    <w:pPr>
      <w:pStyle w:val="Header"/>
    </w:pPr>
    <w:r>
      <w:t>FCCC/PA/CMA/2023/</w:t>
    </w:r>
    <w:r w:rsidR="00DA6BD2">
      <w:t>16</w:t>
    </w:r>
    <w:r>
      <w:t>/Add.2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F3B0" w14:textId="29FF3EDC" w:rsidR="00FC6B5F" w:rsidRPr="00AF7A9E" w:rsidRDefault="00AF7A9E" w:rsidP="00AF7A9E">
    <w:pPr>
      <w:pStyle w:val="Header"/>
      <w:jc w:val="right"/>
    </w:pPr>
    <w:r>
      <w:t>FCCC/PA/CMA/2023/</w:t>
    </w:r>
    <w:r w:rsidR="00DA6BD2">
      <w:t>16</w:t>
    </w:r>
    <w:r>
      <w:t>/Add.2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30E6" w14:textId="77777777" w:rsidR="00FC6B5F" w:rsidRPr="00AF7A9E" w:rsidRDefault="00AF7A9E" w:rsidP="00AF7A9E">
    <w:pPr>
      <w:pStyle w:val="Header"/>
    </w:pPr>
    <w:r>
      <w:t>FCCC/PA/CMA/2023/X/Add.2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B855" w14:textId="770BC440" w:rsidR="00FC6B5F" w:rsidRPr="005B4ED6" w:rsidRDefault="005B4ED6">
    <w:pPr>
      <w:pStyle w:val="Header"/>
      <w:jc w:val="right"/>
    </w:pPr>
    <w:r>
      <w:t>FCCC/PA/CMA/2023/</w:t>
    </w:r>
    <w:r w:rsidR="00DA6BD2">
      <w:t>16</w:t>
    </w:r>
    <w:r>
      <w:t>/Add.2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D6DB2" w14:textId="29337965" w:rsidR="00DC6FDF" w:rsidRPr="00676255" w:rsidRDefault="00676255" w:rsidP="00DA6BD2">
    <w:pPr>
      <w:pStyle w:val="Header"/>
    </w:pPr>
    <w:r>
      <w:t>FCCC/PA/CMA/2023/</w:t>
    </w:r>
    <w:r w:rsidR="00DA6BD2">
      <w:t>16</w:t>
    </w:r>
    <w:r>
      <w:t>/Add.2</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C7838" w14:textId="6DDE4DB0" w:rsidR="00FC6B5F" w:rsidRPr="00AF7A9E" w:rsidRDefault="00AF7A9E" w:rsidP="00AF7A9E">
    <w:pPr>
      <w:pStyle w:val="Header"/>
    </w:pPr>
    <w:r>
      <w:t>FCCC/PA/CMA/2023/X/Add.2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35859" w14:textId="60955CDD" w:rsidR="00FC6B5F" w:rsidRPr="005B4ED6" w:rsidRDefault="005B4ED6" w:rsidP="005B4ED6">
    <w:pPr>
      <w:pStyle w:val="Header"/>
      <w:jc w:val="right"/>
    </w:pPr>
    <w:r>
      <w:t>FCCC/PA/CMA/2023/X/Add.2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C8AC" w14:textId="77777777" w:rsidR="00AF7A36" w:rsidRDefault="00DA6BD2">
    <w:pPr>
      <w:pStyle w:val="Header"/>
    </w:pPr>
    <w:r>
      <w:t>FCCC/PA/CMA/2023/16/Add.2</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AC207" w14:textId="77777777" w:rsidR="00AF7A36" w:rsidRDefault="00DA6BD2">
    <w:pPr>
      <w:pStyle w:val="Header"/>
    </w:pPr>
    <w:r>
      <w:t>FCCC/PA/CMA/2023/16/Add.2</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932ED" w14:textId="77777777" w:rsidR="00AF7A36" w:rsidRDefault="00DA6BD2" w:rsidP="00DA6BD2">
    <w:pPr>
      <w:pStyle w:val="Header"/>
      <w:jc w:val="right"/>
    </w:pPr>
    <w:r>
      <w:t>FCCC/PA/CMA/2023/16/Add.2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A2DE2" w14:textId="6ADE446C" w:rsidR="00DC6FDF" w:rsidRPr="00D41327" w:rsidRDefault="00D41327" w:rsidP="00311E47">
    <w:pPr>
      <w:pStyle w:val="Header"/>
      <w:jc w:val="right"/>
    </w:pPr>
    <w:r>
      <w:t>FCCC/PA/CMA/2023/</w:t>
    </w:r>
    <w:r w:rsidR="00DA6BD2">
      <w:t>16</w:t>
    </w:r>
    <w:r>
      <w:t>/Add.2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D01A5" w14:textId="77777777" w:rsidR="00DC6FDF" w:rsidRDefault="00DC6FDF">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77E55" w14:textId="567FA712" w:rsidR="000819B0" w:rsidRDefault="00383528" w:rsidP="00DA6BD2">
    <w:pPr>
      <w:pStyle w:val="Header"/>
    </w:pPr>
    <w:r>
      <w:t>FCCC/PA/CMA/2023/</w:t>
    </w:r>
    <w:r w:rsidR="00DA6BD2">
      <w:t>16</w:t>
    </w:r>
    <w:r>
      <w:t>/Add.2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19F35" w14:textId="3603A233" w:rsidR="00AB6ACE" w:rsidRDefault="004062A6" w:rsidP="004062A6">
    <w:pPr>
      <w:pStyle w:val="Header"/>
      <w:jc w:val="right"/>
    </w:pPr>
    <w:r>
      <w:t>FCCC/PA/CMA/2023/</w:t>
    </w:r>
    <w:r w:rsidR="00DA6BD2">
      <w:t>16</w:t>
    </w:r>
    <w:r>
      <w:t>/Add.2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96C91" w14:textId="242AED08" w:rsidR="00FC6B5F" w:rsidRPr="00BB1DB4" w:rsidRDefault="00BB1DB4" w:rsidP="00DA6BD2">
    <w:pPr>
      <w:pStyle w:val="Header"/>
    </w:pPr>
    <w:r>
      <w:t>FCCC/PA/CMA/2023/</w:t>
    </w:r>
    <w:r w:rsidR="00DA6BD2">
      <w:t>16</w:t>
    </w:r>
    <w:r>
      <w:t>/Add.2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B47BE" w14:textId="52675EFE" w:rsidR="00FC6B5F" w:rsidRPr="00BB1DB4" w:rsidRDefault="00BB1DB4" w:rsidP="00C85E04">
    <w:pPr>
      <w:pStyle w:val="Header"/>
      <w:jc w:val="right"/>
    </w:pPr>
    <w:r>
      <w:t>FCCC/PA/CMA/2023/</w:t>
    </w:r>
    <w:r w:rsidR="00DA6BD2">
      <w:t>16</w:t>
    </w:r>
    <w:r>
      <w:t>/Add.2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D2E5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C885C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3C03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CAC2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3077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928A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CE64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5E3C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5867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A40E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52A22"/>
    <w:multiLevelType w:val="hybridMultilevel"/>
    <w:tmpl w:val="A18055FE"/>
    <w:lvl w:ilvl="0" w:tplc="FFFFFFFF">
      <w:start w:val="1"/>
      <w:numFmt w:val="decimal"/>
      <w:lvlText w:val="%1."/>
      <w:lvlJc w:val="left"/>
      <w:pPr>
        <w:ind w:left="1854" w:hanging="360"/>
      </w:pPr>
      <w:rPr>
        <w:i w:val="0"/>
        <w:iCs w:val="0"/>
      </w:rPr>
    </w:lvl>
    <w:lvl w:ilvl="1" w:tplc="FFFFFFFF">
      <w:start w:val="1"/>
      <w:numFmt w:val="lowerLetter"/>
      <w:lvlText w:val="%2)"/>
      <w:lvlJc w:val="left"/>
      <w:pPr>
        <w:ind w:left="2574" w:hanging="360"/>
      </w:pPr>
    </w:lvl>
    <w:lvl w:ilvl="2" w:tplc="FFFFFFFF">
      <w:start w:val="1"/>
      <w:numFmt w:val="lowerRoman"/>
      <w:lvlText w:val="%3."/>
      <w:lvlJc w:val="right"/>
      <w:pPr>
        <w:ind w:left="3294" w:hanging="180"/>
      </w:pPr>
    </w:lvl>
    <w:lvl w:ilvl="3" w:tplc="FFFFFFFF">
      <w:start w:val="1"/>
      <w:numFmt w:val="decimal"/>
      <w:lvlText w:val="%4."/>
      <w:lvlJc w:val="left"/>
      <w:pPr>
        <w:ind w:left="4014" w:hanging="360"/>
      </w:pPr>
    </w:lvl>
    <w:lvl w:ilvl="4" w:tplc="FFFFFFFF">
      <w:start w:val="1"/>
      <w:numFmt w:val="lowerLetter"/>
      <w:lvlText w:val="%5."/>
      <w:lvlJc w:val="left"/>
      <w:pPr>
        <w:ind w:left="4734" w:hanging="360"/>
      </w:pPr>
    </w:lvl>
    <w:lvl w:ilvl="5" w:tplc="FFFFFFFF">
      <w:start w:val="1"/>
      <w:numFmt w:val="lowerRoman"/>
      <w:lvlText w:val="%6."/>
      <w:lvlJc w:val="right"/>
      <w:pPr>
        <w:ind w:left="5454" w:hanging="180"/>
      </w:pPr>
    </w:lvl>
    <w:lvl w:ilvl="6" w:tplc="FFFFFFFF">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start w:val="1"/>
      <w:numFmt w:val="lowerRoman"/>
      <w:lvlText w:val="%9."/>
      <w:lvlJc w:val="right"/>
      <w:pPr>
        <w:ind w:left="7614" w:hanging="180"/>
      </w:pPr>
    </w:lvl>
  </w:abstractNum>
  <w:abstractNum w:abstractNumId="11"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5C86D57"/>
    <w:multiLevelType w:val="multilevel"/>
    <w:tmpl w:val="FAF646F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decimal"/>
      <w:lvlText w:val="%6."/>
      <w:lvlJc w:val="left"/>
      <w:pPr>
        <w:ind w:left="2062" w:hanging="360"/>
      </w:pPr>
    </w:lvl>
    <w:lvl w:ilvl="6">
      <w:start w:val="1"/>
      <w:numFmt w:val="lowerLetter"/>
      <w:lvlText w:val="(%7)"/>
      <w:lvlJc w:val="left"/>
      <w:pPr>
        <w:ind w:left="1892" w:hanging="360"/>
      </w:pPr>
      <w:rPr>
        <w:rFonts w:hint="default"/>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4"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9229A5"/>
    <w:multiLevelType w:val="hybridMultilevel"/>
    <w:tmpl w:val="A18055FE"/>
    <w:lvl w:ilvl="0" w:tplc="FFFFFFFF">
      <w:start w:val="1"/>
      <w:numFmt w:val="decimal"/>
      <w:lvlText w:val="%1."/>
      <w:lvlJc w:val="left"/>
      <w:pPr>
        <w:ind w:left="1854" w:hanging="360"/>
      </w:pPr>
      <w:rPr>
        <w:i w:val="0"/>
        <w:iCs w:val="0"/>
      </w:rPr>
    </w:lvl>
    <w:lvl w:ilvl="1" w:tplc="FFFFFFFF">
      <w:start w:val="1"/>
      <w:numFmt w:val="lowerLetter"/>
      <w:lvlText w:val="%2)"/>
      <w:lvlJc w:val="left"/>
      <w:pPr>
        <w:ind w:left="2574" w:hanging="360"/>
      </w:pPr>
    </w:lvl>
    <w:lvl w:ilvl="2" w:tplc="FFFFFFFF">
      <w:start w:val="1"/>
      <w:numFmt w:val="lowerRoman"/>
      <w:lvlText w:val="%3."/>
      <w:lvlJc w:val="right"/>
      <w:pPr>
        <w:ind w:left="3294" w:hanging="180"/>
      </w:pPr>
    </w:lvl>
    <w:lvl w:ilvl="3" w:tplc="FFFFFFFF">
      <w:start w:val="1"/>
      <w:numFmt w:val="decimal"/>
      <w:lvlText w:val="%4."/>
      <w:lvlJc w:val="left"/>
      <w:pPr>
        <w:ind w:left="4014" w:hanging="360"/>
      </w:pPr>
    </w:lvl>
    <w:lvl w:ilvl="4" w:tplc="FFFFFFFF">
      <w:start w:val="1"/>
      <w:numFmt w:val="lowerLetter"/>
      <w:lvlText w:val="%5."/>
      <w:lvlJc w:val="left"/>
      <w:pPr>
        <w:ind w:left="4734" w:hanging="360"/>
      </w:pPr>
    </w:lvl>
    <w:lvl w:ilvl="5" w:tplc="FFFFFFFF">
      <w:start w:val="1"/>
      <w:numFmt w:val="lowerRoman"/>
      <w:lvlText w:val="%6."/>
      <w:lvlJc w:val="right"/>
      <w:pPr>
        <w:ind w:left="5454" w:hanging="180"/>
      </w:pPr>
    </w:lvl>
    <w:lvl w:ilvl="6" w:tplc="FFFFFFFF">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start w:val="1"/>
      <w:numFmt w:val="lowerRoman"/>
      <w:lvlText w:val="%9."/>
      <w:lvlJc w:val="right"/>
      <w:pPr>
        <w:ind w:left="7614" w:hanging="180"/>
      </w:pPr>
    </w:lvl>
  </w:abstractNum>
  <w:abstractNum w:abstractNumId="16" w15:restartNumberingAfterBreak="0">
    <w:nsid w:val="07A57030"/>
    <w:multiLevelType w:val="hybridMultilevel"/>
    <w:tmpl w:val="59FA3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23354E"/>
    <w:multiLevelType w:val="multilevel"/>
    <w:tmpl w:val="F154B40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val="0"/>
        <w:bCs w:val="0"/>
        <w:i w:val="0"/>
        <w:iCs w:val="0"/>
        <w:sz w:val="20"/>
        <w:szCs w:val="20"/>
      </w:rPr>
    </w:lvl>
    <w:lvl w:ilvl="3">
      <w:start w:val="1"/>
      <w:numFmt w:val="decimal"/>
      <w:lvlText w:val="%4."/>
      <w:lvlJc w:val="right"/>
      <w:pPr>
        <w:tabs>
          <w:tab w:val="num" w:pos="1134"/>
        </w:tabs>
        <w:ind w:left="1135" w:hanging="284"/>
      </w:pPr>
      <w:rPr>
        <w:rFonts w:ascii="Times New Roman" w:eastAsia="SimSun" w:hAnsi="Times New Roman" w:cs="Times New Roman" w:hint="default"/>
        <w:b w:val="0"/>
        <w:bCs w:val="0"/>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Text w:val="%6."/>
      <w:lvlJc w:val="left"/>
      <w:pPr>
        <w:ind w:left="1494" w:hanging="360"/>
      </w:pPr>
      <w:rPr>
        <w:b w:val="0"/>
        <w:bCs w:val="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8" w15:restartNumberingAfterBreak="0">
    <w:nsid w:val="1B3D2624"/>
    <w:multiLevelType w:val="hybridMultilevel"/>
    <w:tmpl w:val="A18055FE"/>
    <w:lvl w:ilvl="0" w:tplc="FFFFFFFF">
      <w:start w:val="1"/>
      <w:numFmt w:val="decimal"/>
      <w:lvlText w:val="%1."/>
      <w:lvlJc w:val="left"/>
      <w:pPr>
        <w:ind w:left="1854" w:hanging="360"/>
      </w:pPr>
      <w:rPr>
        <w:i w:val="0"/>
        <w:iCs w:val="0"/>
      </w:rPr>
    </w:lvl>
    <w:lvl w:ilvl="1" w:tplc="FFFFFFFF">
      <w:start w:val="1"/>
      <w:numFmt w:val="lowerLetter"/>
      <w:lvlText w:val="%2)"/>
      <w:lvlJc w:val="left"/>
      <w:pPr>
        <w:ind w:left="2574" w:hanging="360"/>
      </w:pPr>
    </w:lvl>
    <w:lvl w:ilvl="2" w:tplc="FFFFFFFF">
      <w:start w:val="1"/>
      <w:numFmt w:val="lowerRoman"/>
      <w:lvlText w:val="%3."/>
      <w:lvlJc w:val="right"/>
      <w:pPr>
        <w:ind w:left="3294" w:hanging="180"/>
      </w:pPr>
    </w:lvl>
    <w:lvl w:ilvl="3" w:tplc="FFFFFFFF">
      <w:start w:val="1"/>
      <w:numFmt w:val="decimal"/>
      <w:lvlText w:val="%4."/>
      <w:lvlJc w:val="left"/>
      <w:pPr>
        <w:ind w:left="4014" w:hanging="360"/>
      </w:pPr>
    </w:lvl>
    <w:lvl w:ilvl="4" w:tplc="FFFFFFFF">
      <w:start w:val="1"/>
      <w:numFmt w:val="lowerLetter"/>
      <w:lvlText w:val="%5."/>
      <w:lvlJc w:val="left"/>
      <w:pPr>
        <w:ind w:left="4734" w:hanging="360"/>
      </w:pPr>
    </w:lvl>
    <w:lvl w:ilvl="5" w:tplc="FFFFFFFF">
      <w:start w:val="1"/>
      <w:numFmt w:val="lowerRoman"/>
      <w:lvlText w:val="%6."/>
      <w:lvlJc w:val="right"/>
      <w:pPr>
        <w:ind w:left="5454" w:hanging="180"/>
      </w:pPr>
    </w:lvl>
    <w:lvl w:ilvl="6" w:tplc="FFFFFFFF">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start w:val="1"/>
      <w:numFmt w:val="lowerRoman"/>
      <w:lvlText w:val="%9."/>
      <w:lvlJc w:val="right"/>
      <w:pPr>
        <w:ind w:left="7614" w:hanging="180"/>
      </w:pPr>
    </w:lvl>
  </w:abstractNum>
  <w:abstractNum w:abstractNumId="19" w15:restartNumberingAfterBreak="0">
    <w:nsid w:val="1BEC5A93"/>
    <w:multiLevelType w:val="multilevel"/>
    <w:tmpl w:val="1CC65AD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b w:val="0"/>
        <w:bCs/>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0" w15:restartNumberingAfterBreak="0">
    <w:nsid w:val="1D4056ED"/>
    <w:multiLevelType w:val="multilevel"/>
    <w:tmpl w:val="210E80EA"/>
    <w:lvl w:ilvl="0">
      <w:start w:val="1"/>
      <w:numFmt w:val="upperRoman"/>
      <w:lvlText w:val="%1."/>
      <w:lvlJc w:val="right"/>
      <w:pPr>
        <w:ind w:left="1135" w:hanging="284"/>
      </w:pPr>
      <w:rPr>
        <w:rFonts w:ascii="Times New Roman" w:eastAsia="Times New Roman" w:hAnsi="Times New Roman" w:cs="Times New Roman"/>
        <w:b/>
        <w:i w:val="0"/>
        <w:sz w:val="28"/>
        <w:szCs w:val="28"/>
      </w:rPr>
    </w:lvl>
    <w:lvl w:ilvl="1">
      <w:start w:val="1"/>
      <w:numFmt w:val="upperLetter"/>
      <w:lvlText w:val="%2."/>
      <w:lvlJc w:val="right"/>
      <w:pPr>
        <w:ind w:left="1135" w:hanging="284"/>
      </w:pPr>
      <w:rPr>
        <w:rFonts w:ascii="Times New Roman" w:eastAsia="Times New Roman" w:hAnsi="Times New Roman" w:cs="Times New Roman"/>
        <w:b/>
        <w:i w:val="0"/>
        <w:sz w:val="24"/>
        <w:szCs w:val="24"/>
      </w:rPr>
    </w:lvl>
    <w:lvl w:ilvl="2">
      <w:start w:val="1"/>
      <w:numFmt w:val="decimal"/>
      <w:lvlText w:val="%3."/>
      <w:lvlJc w:val="right"/>
      <w:pPr>
        <w:ind w:left="1135" w:hanging="284"/>
      </w:pPr>
      <w:rPr>
        <w:rFonts w:ascii="Times New Roman" w:eastAsia="Times New Roman" w:hAnsi="Times New Roman" w:cs="Times New Roman"/>
        <w:b/>
        <w:i w:val="0"/>
        <w:sz w:val="20"/>
        <w:szCs w:val="20"/>
      </w:rPr>
    </w:lvl>
    <w:lvl w:ilvl="3">
      <w:start w:val="1"/>
      <w:numFmt w:val="decimal"/>
      <w:lvlText w:val="%4."/>
      <w:lvlJc w:val="left"/>
      <w:pPr>
        <w:ind w:left="1135" w:firstLine="0"/>
      </w:pPr>
      <w:rPr>
        <w:rFonts w:ascii="Times New Roman" w:eastAsia="Times New Roman" w:hAnsi="Times New Roman" w:cs="Times New Roman"/>
        <w:sz w:val="20"/>
        <w:szCs w:val="20"/>
      </w:rPr>
    </w:lvl>
    <w:lvl w:ilvl="4">
      <w:start w:val="1"/>
      <w:numFmt w:val="lowerLetter"/>
      <w:lvlText w:val="(%5)"/>
      <w:lvlJc w:val="left"/>
      <w:pPr>
        <w:ind w:left="1135" w:firstLine="567"/>
      </w:pPr>
    </w:lvl>
    <w:lvl w:ilvl="5">
      <w:start w:val="1"/>
      <w:numFmt w:val="lowerRoman"/>
      <w:lvlText w:val="(%6)"/>
      <w:lvlJc w:val="left"/>
      <w:pPr>
        <w:ind w:left="1702" w:firstLine="0"/>
      </w:pPr>
    </w:lvl>
    <w:lvl w:ilvl="6">
      <w:start w:val="1"/>
      <w:numFmt w:val="bullet"/>
      <w:lvlText w:val="●"/>
      <w:lvlJc w:val="left"/>
      <w:pPr>
        <w:ind w:left="1702" w:hanging="170"/>
      </w:pPr>
      <w:rPr>
        <w:rFonts w:ascii="Noto Sans Symbols" w:eastAsia="Noto Sans Symbols" w:hAnsi="Noto Sans Symbols" w:cs="Noto Sans Symbols"/>
        <w:b w:val="0"/>
        <w:i w:val="0"/>
        <w:color w:val="000000"/>
        <w:sz w:val="20"/>
        <w:szCs w:val="20"/>
      </w:rPr>
    </w:lvl>
    <w:lvl w:ilvl="7">
      <w:start w:val="1"/>
      <w:numFmt w:val="decimal"/>
      <w:lvlText w:val="%8[%3."/>
      <w:lvlJc w:val="left"/>
      <w:pPr>
        <w:ind w:left="1135" w:firstLine="0"/>
      </w:pPr>
    </w:lvl>
    <w:lvl w:ilvl="8">
      <w:start w:val="1"/>
      <w:numFmt w:val="lowerRoman"/>
      <w:lvlText w:val="%9."/>
      <w:lvlJc w:val="left"/>
      <w:pPr>
        <w:ind w:left="4094" w:hanging="363"/>
      </w:pPr>
    </w:lvl>
  </w:abstractNum>
  <w:abstractNum w:abstractNumId="21"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03B2E8D"/>
    <w:multiLevelType w:val="hybridMultilevel"/>
    <w:tmpl w:val="A84009F8"/>
    <w:styleLink w:val="FCCCBoxfootnote"/>
    <w:lvl w:ilvl="0" w:tplc="E24C15DA">
      <w:start w:val="1"/>
      <w:numFmt w:val="bullet"/>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0BA379C"/>
    <w:multiLevelType w:val="hybridMultilevel"/>
    <w:tmpl w:val="9490DF3E"/>
    <w:lvl w:ilvl="0" w:tplc="41B4F862">
      <w:start w:val="1"/>
      <w:numFmt w:val="decimal"/>
      <w:lvlText w:val="%1."/>
      <w:lvlJc w:val="left"/>
      <w:pPr>
        <w:ind w:left="1494" w:hanging="360"/>
      </w:pPr>
      <w:rPr>
        <w:rFonts w:hint="default"/>
        <w:i w:val="0"/>
        <w:iCs w:val="0"/>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DA8E2382">
      <w:start w:val="1"/>
      <w:numFmt w:val="decimal"/>
      <w:lvlText w:val="%4."/>
      <w:lvlJc w:val="left"/>
      <w:pPr>
        <w:ind w:left="3654" w:hanging="360"/>
      </w:pPr>
      <w:rPr>
        <w:b w:val="0"/>
        <w:bCs/>
      </w:rPr>
    </w:lvl>
    <w:lvl w:ilvl="4" w:tplc="04090019" w:tentative="1">
      <w:start w:val="1"/>
      <w:numFmt w:val="lowerLetter"/>
      <w:lvlText w:val="%5."/>
      <w:lvlJc w:val="left"/>
      <w:pPr>
        <w:ind w:left="4374" w:hanging="360"/>
      </w:pPr>
    </w:lvl>
    <w:lvl w:ilvl="5" w:tplc="0409001B">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4"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C64F00"/>
    <w:multiLevelType w:val="multilevel"/>
    <w:tmpl w:val="97808E5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val="0"/>
        <w:bCs/>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6" w15:restartNumberingAfterBreak="0">
    <w:nsid w:val="235239F7"/>
    <w:multiLevelType w:val="hybridMultilevel"/>
    <w:tmpl w:val="B964DA54"/>
    <w:lvl w:ilvl="0" w:tplc="696603DE">
      <w:start w:val="1"/>
      <w:numFmt w:val="decimal"/>
      <w:lvlText w:val="%1."/>
      <w:lvlJc w:val="left"/>
      <w:pPr>
        <w:ind w:left="1494" w:hanging="360"/>
      </w:pPr>
      <w:rPr>
        <w:rFonts w:hint="default"/>
        <w:b w:val="0"/>
        <w:bCs w:val="0"/>
        <w:i w:val="0"/>
        <w:i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start w:val="1"/>
      <w:numFmt w:val="lowerRoman"/>
      <w:lvlText w:val="%6."/>
      <w:lvlJc w:val="right"/>
      <w:pPr>
        <w:ind w:left="5094" w:hanging="180"/>
      </w:pPr>
    </w:lvl>
    <w:lvl w:ilvl="6" w:tplc="FFFFFFFF">
      <w:start w:val="1"/>
      <w:numFmt w:val="lowerLetter"/>
      <w:lvlText w:val="(%7)"/>
      <w:lvlJc w:val="left"/>
      <w:pPr>
        <w:ind w:left="5814" w:hanging="360"/>
      </w:pPr>
      <w:rPr>
        <w:rFonts w:ascii="Times New Roman" w:eastAsia="SimSun" w:hAnsi="Times New Roman" w:cs="Times New Roman"/>
      </w:r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7" w15:restartNumberingAfterBreak="0">
    <w:nsid w:val="242132A6"/>
    <w:multiLevelType w:val="hybridMultilevel"/>
    <w:tmpl w:val="CCAA5500"/>
    <w:lvl w:ilvl="0" w:tplc="575E4A9E">
      <w:start w:val="1"/>
      <w:numFmt w:val="decimal"/>
      <w:lvlText w:val="%1."/>
      <w:lvlJc w:val="left"/>
      <w:pPr>
        <w:ind w:left="1494" w:hanging="360"/>
      </w:pPr>
      <w:rPr>
        <w:rFonts w:hint="default"/>
        <w:i w:val="0"/>
        <w:i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start w:val="1"/>
      <w:numFmt w:val="lowerRoman"/>
      <w:lvlText w:val="%6."/>
      <w:lvlJc w:val="right"/>
      <w:pPr>
        <w:ind w:left="5094" w:hanging="180"/>
      </w:pPr>
    </w:lvl>
    <w:lvl w:ilvl="6" w:tplc="77D238E4">
      <w:start w:val="1"/>
      <w:numFmt w:val="lowerLetter"/>
      <w:lvlText w:val="(%7)"/>
      <w:lvlJc w:val="left"/>
      <w:pPr>
        <w:ind w:left="5814" w:hanging="360"/>
      </w:pPr>
      <w:rPr>
        <w:rFonts w:ascii="Times New Roman" w:eastAsia="SimSun" w:hAnsi="Times New Roman" w:cs="Times New Roman"/>
      </w:r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15:restartNumberingAfterBreak="0">
    <w:nsid w:val="2A2915E1"/>
    <w:multiLevelType w:val="hybridMultilevel"/>
    <w:tmpl w:val="635661BA"/>
    <w:lvl w:ilvl="0" w:tplc="7356280E">
      <w:start w:val="1"/>
      <w:numFmt w:val="decimal"/>
      <w:lvlText w:val="%1."/>
      <w:lvlJc w:val="left"/>
      <w:pPr>
        <w:ind w:left="1494" w:hanging="360"/>
      </w:pPr>
      <w:rPr>
        <w:rFonts w:hint="default"/>
        <w:i w:val="0"/>
        <w:i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start w:val="1"/>
      <w:numFmt w:val="lowerRoman"/>
      <w:lvlText w:val="%6."/>
      <w:lvlJc w:val="right"/>
      <w:pPr>
        <w:ind w:left="5094" w:hanging="180"/>
      </w:pPr>
    </w:lvl>
    <w:lvl w:ilvl="6" w:tplc="F7086EA8">
      <w:start w:val="1"/>
      <w:numFmt w:val="lowerLetter"/>
      <w:lvlText w:val="(%7)"/>
      <w:lvlJc w:val="left"/>
      <w:pPr>
        <w:ind w:left="5814" w:hanging="360"/>
      </w:pPr>
      <w:rPr>
        <w:rFonts w:ascii="Times New Roman" w:eastAsia="SimSun" w:hAnsi="Times New Roman" w:cs="Times New Roman"/>
      </w:r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9" w15:restartNumberingAfterBreak="0">
    <w:nsid w:val="2D084992"/>
    <w:multiLevelType w:val="hybridMultilevel"/>
    <w:tmpl w:val="A18055FE"/>
    <w:lvl w:ilvl="0" w:tplc="7E96AC98">
      <w:start w:val="1"/>
      <w:numFmt w:val="decimal"/>
      <w:lvlText w:val="%1."/>
      <w:lvlJc w:val="left"/>
      <w:pPr>
        <w:ind w:left="1854" w:hanging="360"/>
      </w:pPr>
      <w:rPr>
        <w:i w:val="0"/>
        <w:iCs w:val="0"/>
      </w:rPr>
    </w:lvl>
    <w:lvl w:ilvl="1" w:tplc="FFFFFFFF">
      <w:start w:val="1"/>
      <w:numFmt w:val="lowerLetter"/>
      <w:lvlText w:val="%2)"/>
      <w:lvlJc w:val="left"/>
      <w:pPr>
        <w:ind w:left="2574" w:hanging="360"/>
      </w:pPr>
    </w:lvl>
    <w:lvl w:ilvl="2" w:tplc="FFFFFFFF">
      <w:start w:val="1"/>
      <w:numFmt w:val="lowerRoman"/>
      <w:lvlText w:val="%3."/>
      <w:lvlJc w:val="right"/>
      <w:pPr>
        <w:ind w:left="3294" w:hanging="180"/>
      </w:pPr>
    </w:lvl>
    <w:lvl w:ilvl="3" w:tplc="FFFFFFFF">
      <w:start w:val="1"/>
      <w:numFmt w:val="decimal"/>
      <w:lvlText w:val="%4."/>
      <w:lvlJc w:val="left"/>
      <w:pPr>
        <w:ind w:left="4014" w:hanging="360"/>
      </w:pPr>
    </w:lvl>
    <w:lvl w:ilvl="4" w:tplc="FFFFFFFF">
      <w:start w:val="1"/>
      <w:numFmt w:val="lowerLetter"/>
      <w:lvlText w:val="%5."/>
      <w:lvlJc w:val="left"/>
      <w:pPr>
        <w:ind w:left="4734" w:hanging="360"/>
      </w:pPr>
    </w:lvl>
    <w:lvl w:ilvl="5" w:tplc="FFFFFFFF">
      <w:start w:val="1"/>
      <w:numFmt w:val="lowerRoman"/>
      <w:lvlText w:val="%6."/>
      <w:lvlJc w:val="right"/>
      <w:pPr>
        <w:ind w:left="5454" w:hanging="180"/>
      </w:pPr>
    </w:lvl>
    <w:lvl w:ilvl="6" w:tplc="FFFFFFFF">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start w:val="1"/>
      <w:numFmt w:val="lowerRoman"/>
      <w:lvlText w:val="%9."/>
      <w:lvlJc w:val="right"/>
      <w:pPr>
        <w:ind w:left="7614" w:hanging="180"/>
      </w:pPr>
    </w:lvl>
  </w:abstractNum>
  <w:abstractNum w:abstractNumId="30" w15:restartNumberingAfterBreak="0">
    <w:nsid w:val="2E215943"/>
    <w:multiLevelType w:val="multilevel"/>
    <w:tmpl w:val="EF36802C"/>
    <w:styleLink w:val="FCCCTextboxfootnot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1"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495349"/>
    <w:multiLevelType w:val="multilevel"/>
    <w:tmpl w:val="210E80EA"/>
    <w:lvl w:ilvl="0">
      <w:start w:val="1"/>
      <w:numFmt w:val="upperRoman"/>
      <w:lvlText w:val="%1."/>
      <w:lvlJc w:val="right"/>
      <w:pPr>
        <w:ind w:left="1135" w:hanging="284"/>
      </w:pPr>
      <w:rPr>
        <w:rFonts w:ascii="Times New Roman" w:eastAsia="Times New Roman" w:hAnsi="Times New Roman" w:cs="Times New Roman"/>
        <w:b/>
        <w:i w:val="0"/>
        <w:sz w:val="28"/>
        <w:szCs w:val="28"/>
      </w:rPr>
    </w:lvl>
    <w:lvl w:ilvl="1">
      <w:start w:val="1"/>
      <w:numFmt w:val="upperLetter"/>
      <w:lvlText w:val="%2."/>
      <w:lvlJc w:val="right"/>
      <w:pPr>
        <w:ind w:left="1135" w:hanging="284"/>
      </w:pPr>
      <w:rPr>
        <w:rFonts w:ascii="Times New Roman" w:eastAsia="Times New Roman" w:hAnsi="Times New Roman" w:cs="Times New Roman"/>
        <w:b/>
        <w:i w:val="0"/>
        <w:sz w:val="24"/>
        <w:szCs w:val="24"/>
      </w:rPr>
    </w:lvl>
    <w:lvl w:ilvl="2">
      <w:start w:val="1"/>
      <w:numFmt w:val="decimal"/>
      <w:lvlText w:val="%3."/>
      <w:lvlJc w:val="right"/>
      <w:pPr>
        <w:ind w:left="1135" w:hanging="284"/>
      </w:pPr>
      <w:rPr>
        <w:rFonts w:ascii="Times New Roman" w:eastAsia="Times New Roman" w:hAnsi="Times New Roman" w:cs="Times New Roman"/>
        <w:b/>
        <w:i w:val="0"/>
        <w:sz w:val="20"/>
        <w:szCs w:val="20"/>
      </w:rPr>
    </w:lvl>
    <w:lvl w:ilvl="3">
      <w:start w:val="1"/>
      <w:numFmt w:val="decimal"/>
      <w:lvlText w:val="%4."/>
      <w:lvlJc w:val="left"/>
      <w:pPr>
        <w:ind w:left="1135" w:firstLine="0"/>
      </w:pPr>
      <w:rPr>
        <w:rFonts w:ascii="Times New Roman" w:eastAsia="Times New Roman" w:hAnsi="Times New Roman" w:cs="Times New Roman"/>
        <w:sz w:val="20"/>
        <w:szCs w:val="20"/>
      </w:rPr>
    </w:lvl>
    <w:lvl w:ilvl="4">
      <w:start w:val="1"/>
      <w:numFmt w:val="lowerLetter"/>
      <w:lvlText w:val="(%5)"/>
      <w:lvlJc w:val="left"/>
      <w:pPr>
        <w:ind w:left="1135" w:firstLine="567"/>
      </w:pPr>
    </w:lvl>
    <w:lvl w:ilvl="5">
      <w:start w:val="1"/>
      <w:numFmt w:val="lowerRoman"/>
      <w:lvlText w:val="(%6)"/>
      <w:lvlJc w:val="left"/>
      <w:pPr>
        <w:ind w:left="1702" w:firstLine="0"/>
      </w:pPr>
    </w:lvl>
    <w:lvl w:ilvl="6">
      <w:start w:val="1"/>
      <w:numFmt w:val="bullet"/>
      <w:lvlText w:val="●"/>
      <w:lvlJc w:val="left"/>
      <w:pPr>
        <w:ind w:left="1702" w:hanging="170"/>
      </w:pPr>
      <w:rPr>
        <w:rFonts w:ascii="Noto Sans Symbols" w:eastAsia="Noto Sans Symbols" w:hAnsi="Noto Sans Symbols" w:cs="Noto Sans Symbols"/>
        <w:b w:val="0"/>
        <w:i w:val="0"/>
        <w:color w:val="000000"/>
        <w:sz w:val="20"/>
        <w:szCs w:val="20"/>
      </w:rPr>
    </w:lvl>
    <w:lvl w:ilvl="7">
      <w:start w:val="1"/>
      <w:numFmt w:val="decimal"/>
      <w:lvlText w:val="%8[%3."/>
      <w:lvlJc w:val="left"/>
      <w:pPr>
        <w:ind w:left="1135" w:firstLine="0"/>
      </w:pPr>
    </w:lvl>
    <w:lvl w:ilvl="8">
      <w:start w:val="1"/>
      <w:numFmt w:val="lowerRoman"/>
      <w:lvlText w:val="%9."/>
      <w:lvlJc w:val="left"/>
      <w:pPr>
        <w:ind w:left="4094" w:hanging="363"/>
      </w:pPr>
    </w:lvl>
  </w:abstractNum>
  <w:abstractNum w:abstractNumId="34" w15:restartNumberingAfterBreak="0">
    <w:nsid w:val="42F155D1"/>
    <w:multiLevelType w:val="hybridMultilevel"/>
    <w:tmpl w:val="A18055FE"/>
    <w:lvl w:ilvl="0" w:tplc="FFFFFFFF">
      <w:start w:val="1"/>
      <w:numFmt w:val="decimal"/>
      <w:lvlText w:val="%1."/>
      <w:lvlJc w:val="left"/>
      <w:pPr>
        <w:ind w:left="1854" w:hanging="360"/>
      </w:pPr>
      <w:rPr>
        <w:i w:val="0"/>
        <w:iCs w:val="0"/>
      </w:rPr>
    </w:lvl>
    <w:lvl w:ilvl="1" w:tplc="FFFFFFFF">
      <w:start w:val="1"/>
      <w:numFmt w:val="lowerLetter"/>
      <w:lvlText w:val="%2)"/>
      <w:lvlJc w:val="left"/>
      <w:pPr>
        <w:ind w:left="2574" w:hanging="360"/>
      </w:pPr>
    </w:lvl>
    <w:lvl w:ilvl="2" w:tplc="FFFFFFFF">
      <w:start w:val="1"/>
      <w:numFmt w:val="lowerRoman"/>
      <w:lvlText w:val="%3."/>
      <w:lvlJc w:val="right"/>
      <w:pPr>
        <w:ind w:left="3294" w:hanging="180"/>
      </w:pPr>
    </w:lvl>
    <w:lvl w:ilvl="3" w:tplc="FFFFFFFF">
      <w:start w:val="1"/>
      <w:numFmt w:val="decimal"/>
      <w:lvlText w:val="%4."/>
      <w:lvlJc w:val="left"/>
      <w:pPr>
        <w:ind w:left="4014" w:hanging="360"/>
      </w:pPr>
    </w:lvl>
    <w:lvl w:ilvl="4" w:tplc="FFFFFFFF">
      <w:start w:val="1"/>
      <w:numFmt w:val="lowerLetter"/>
      <w:lvlText w:val="%5."/>
      <w:lvlJc w:val="left"/>
      <w:pPr>
        <w:ind w:left="4734" w:hanging="360"/>
      </w:pPr>
    </w:lvl>
    <w:lvl w:ilvl="5" w:tplc="FFFFFFFF">
      <w:start w:val="1"/>
      <w:numFmt w:val="lowerRoman"/>
      <w:lvlText w:val="%6."/>
      <w:lvlJc w:val="right"/>
      <w:pPr>
        <w:ind w:left="5454" w:hanging="180"/>
      </w:pPr>
    </w:lvl>
    <w:lvl w:ilvl="6" w:tplc="FFFFFFFF">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start w:val="1"/>
      <w:numFmt w:val="lowerRoman"/>
      <w:lvlText w:val="%9."/>
      <w:lvlJc w:val="right"/>
      <w:pPr>
        <w:ind w:left="7614" w:hanging="180"/>
      </w:pPr>
    </w:lvl>
  </w:abstractNum>
  <w:abstractNum w:abstractNumId="35" w15:restartNumberingAfterBreak="0">
    <w:nsid w:val="434B5F1D"/>
    <w:multiLevelType w:val="hybridMultilevel"/>
    <w:tmpl w:val="19B6BBBE"/>
    <w:lvl w:ilvl="0" w:tplc="FFFFFFFF">
      <w:start w:val="1"/>
      <w:numFmt w:val="lowerLetter"/>
      <w:lvlText w:val="(%1)"/>
      <w:lvlJc w:val="left"/>
      <w:pPr>
        <w:ind w:left="221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34C02AE"/>
    <w:multiLevelType w:val="hybridMultilevel"/>
    <w:tmpl w:val="FD66BF04"/>
    <w:lvl w:ilvl="0" w:tplc="3048A4B0">
      <w:start w:val="1"/>
      <w:numFmt w:val="decimal"/>
      <w:lvlText w:val="%1."/>
      <w:lvlJc w:val="left"/>
      <w:pPr>
        <w:ind w:left="1494"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2F064B"/>
    <w:multiLevelType w:val="hybridMultilevel"/>
    <w:tmpl w:val="19B6BBBE"/>
    <w:lvl w:ilvl="0" w:tplc="FFFFFFFF">
      <w:start w:val="1"/>
      <w:numFmt w:val="lowerLetter"/>
      <w:lvlText w:val="(%1)"/>
      <w:lvlJc w:val="left"/>
      <w:pPr>
        <w:ind w:left="221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691008"/>
    <w:multiLevelType w:val="hybridMultilevel"/>
    <w:tmpl w:val="A18055FE"/>
    <w:lvl w:ilvl="0" w:tplc="FFFFFFFF">
      <w:start w:val="1"/>
      <w:numFmt w:val="decimal"/>
      <w:lvlText w:val="%1."/>
      <w:lvlJc w:val="left"/>
      <w:pPr>
        <w:ind w:left="1854" w:hanging="360"/>
      </w:pPr>
      <w:rPr>
        <w:i w:val="0"/>
        <w:iCs w:val="0"/>
      </w:rPr>
    </w:lvl>
    <w:lvl w:ilvl="1" w:tplc="FFFFFFFF">
      <w:start w:val="1"/>
      <w:numFmt w:val="lowerLetter"/>
      <w:lvlText w:val="%2)"/>
      <w:lvlJc w:val="left"/>
      <w:pPr>
        <w:ind w:left="2574" w:hanging="360"/>
      </w:pPr>
    </w:lvl>
    <w:lvl w:ilvl="2" w:tplc="FFFFFFFF">
      <w:start w:val="1"/>
      <w:numFmt w:val="lowerRoman"/>
      <w:lvlText w:val="%3."/>
      <w:lvlJc w:val="right"/>
      <w:pPr>
        <w:ind w:left="3294" w:hanging="180"/>
      </w:pPr>
    </w:lvl>
    <w:lvl w:ilvl="3" w:tplc="FFFFFFFF">
      <w:start w:val="1"/>
      <w:numFmt w:val="decimal"/>
      <w:lvlText w:val="%4."/>
      <w:lvlJc w:val="left"/>
      <w:pPr>
        <w:ind w:left="4014" w:hanging="360"/>
      </w:pPr>
    </w:lvl>
    <w:lvl w:ilvl="4" w:tplc="FFFFFFFF">
      <w:start w:val="1"/>
      <w:numFmt w:val="lowerLetter"/>
      <w:lvlText w:val="%5."/>
      <w:lvlJc w:val="left"/>
      <w:pPr>
        <w:ind w:left="4734" w:hanging="360"/>
      </w:pPr>
    </w:lvl>
    <w:lvl w:ilvl="5" w:tplc="FFFFFFFF">
      <w:start w:val="1"/>
      <w:numFmt w:val="lowerRoman"/>
      <w:lvlText w:val="%6."/>
      <w:lvlJc w:val="right"/>
      <w:pPr>
        <w:ind w:left="5454" w:hanging="180"/>
      </w:pPr>
    </w:lvl>
    <w:lvl w:ilvl="6" w:tplc="FFFFFFFF">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start w:val="1"/>
      <w:numFmt w:val="lowerRoman"/>
      <w:lvlText w:val="%9."/>
      <w:lvlJc w:val="right"/>
      <w:pPr>
        <w:ind w:left="7614" w:hanging="180"/>
      </w:pPr>
    </w:lvl>
  </w:abstractNum>
  <w:abstractNum w:abstractNumId="40" w15:restartNumberingAfterBreak="0">
    <w:nsid w:val="4BBF22E2"/>
    <w:multiLevelType w:val="hybridMultilevel"/>
    <w:tmpl w:val="A18055FE"/>
    <w:lvl w:ilvl="0" w:tplc="FFFFFFFF">
      <w:start w:val="1"/>
      <w:numFmt w:val="decimal"/>
      <w:lvlText w:val="%1."/>
      <w:lvlJc w:val="left"/>
      <w:pPr>
        <w:ind w:left="1854" w:hanging="360"/>
      </w:pPr>
      <w:rPr>
        <w:i w:val="0"/>
        <w:iCs w:val="0"/>
      </w:rPr>
    </w:lvl>
    <w:lvl w:ilvl="1" w:tplc="FFFFFFFF">
      <w:start w:val="1"/>
      <w:numFmt w:val="lowerLetter"/>
      <w:lvlText w:val="%2)"/>
      <w:lvlJc w:val="left"/>
      <w:pPr>
        <w:ind w:left="2574" w:hanging="360"/>
      </w:pPr>
    </w:lvl>
    <w:lvl w:ilvl="2" w:tplc="FFFFFFFF">
      <w:start w:val="1"/>
      <w:numFmt w:val="lowerRoman"/>
      <w:lvlText w:val="%3."/>
      <w:lvlJc w:val="right"/>
      <w:pPr>
        <w:ind w:left="3294" w:hanging="180"/>
      </w:pPr>
    </w:lvl>
    <w:lvl w:ilvl="3" w:tplc="FFFFFFFF">
      <w:start w:val="1"/>
      <w:numFmt w:val="decimal"/>
      <w:lvlText w:val="%4."/>
      <w:lvlJc w:val="left"/>
      <w:pPr>
        <w:ind w:left="4014" w:hanging="360"/>
      </w:pPr>
    </w:lvl>
    <w:lvl w:ilvl="4" w:tplc="FFFFFFFF">
      <w:start w:val="1"/>
      <w:numFmt w:val="lowerLetter"/>
      <w:lvlText w:val="%5."/>
      <w:lvlJc w:val="left"/>
      <w:pPr>
        <w:ind w:left="4734" w:hanging="360"/>
      </w:pPr>
    </w:lvl>
    <w:lvl w:ilvl="5" w:tplc="FFFFFFFF">
      <w:start w:val="1"/>
      <w:numFmt w:val="lowerRoman"/>
      <w:lvlText w:val="%6."/>
      <w:lvlJc w:val="right"/>
      <w:pPr>
        <w:ind w:left="5454" w:hanging="180"/>
      </w:pPr>
    </w:lvl>
    <w:lvl w:ilvl="6" w:tplc="FFFFFFFF">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start w:val="1"/>
      <w:numFmt w:val="lowerRoman"/>
      <w:lvlText w:val="%9."/>
      <w:lvlJc w:val="right"/>
      <w:pPr>
        <w:ind w:left="7614" w:hanging="180"/>
      </w:pPr>
    </w:lvl>
  </w:abstractNum>
  <w:abstractNum w:abstractNumId="41" w15:restartNumberingAfterBreak="0">
    <w:nsid w:val="4EE27163"/>
    <w:multiLevelType w:val="hybridMultilevel"/>
    <w:tmpl w:val="BED0A7D4"/>
    <w:lvl w:ilvl="0" w:tplc="1AF0A9AC">
      <w:start w:val="1"/>
      <w:numFmt w:val="decimal"/>
      <w:lvlText w:val="%1."/>
      <w:lvlJc w:val="left"/>
      <w:pPr>
        <w:ind w:left="1494" w:hanging="360"/>
      </w:pPr>
      <w:rPr>
        <w:rFonts w:hint="default"/>
        <w:i w:val="0"/>
        <w:i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start w:val="1"/>
      <w:numFmt w:val="lowerRoman"/>
      <w:lvlText w:val="%6."/>
      <w:lvlJc w:val="right"/>
      <w:pPr>
        <w:ind w:left="5094" w:hanging="180"/>
      </w:pPr>
    </w:lvl>
    <w:lvl w:ilvl="6" w:tplc="71AAFAC8">
      <w:start w:val="1"/>
      <w:numFmt w:val="lowerLetter"/>
      <w:lvlText w:val="(%7)"/>
      <w:lvlJc w:val="left"/>
      <w:pPr>
        <w:ind w:left="5814" w:hanging="360"/>
      </w:pPr>
      <w:rPr>
        <w:rFonts w:ascii="Times New Roman" w:eastAsia="SimSun" w:hAnsi="Times New Roman" w:cs="Times New Roman"/>
      </w:r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2" w15:restartNumberingAfterBreak="0">
    <w:nsid w:val="512955E1"/>
    <w:multiLevelType w:val="hybridMultilevel"/>
    <w:tmpl w:val="482C332E"/>
    <w:lvl w:ilvl="0" w:tplc="0409000F">
      <w:start w:val="1"/>
      <w:numFmt w:val="decimal"/>
      <w:lvlText w:val="%1."/>
      <w:lvlJc w:val="left"/>
      <w:pPr>
        <w:ind w:left="720" w:hanging="360"/>
      </w:pPr>
    </w:lvl>
    <w:lvl w:ilvl="1" w:tplc="AC2C846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8B6C19"/>
    <w:multiLevelType w:val="hybridMultilevel"/>
    <w:tmpl w:val="89C842AE"/>
    <w:lvl w:ilvl="0" w:tplc="71AAFAC8">
      <w:start w:val="1"/>
      <w:numFmt w:val="lowerLetter"/>
      <w:lvlText w:val="(%1)"/>
      <w:lvlJc w:val="left"/>
      <w:pPr>
        <w:ind w:left="5814"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921FFD"/>
    <w:multiLevelType w:val="hybridMultilevel"/>
    <w:tmpl w:val="A18055FE"/>
    <w:lvl w:ilvl="0" w:tplc="FFFFFFFF">
      <w:start w:val="1"/>
      <w:numFmt w:val="decimal"/>
      <w:lvlText w:val="%1."/>
      <w:lvlJc w:val="left"/>
      <w:pPr>
        <w:ind w:left="1854" w:hanging="360"/>
      </w:pPr>
      <w:rPr>
        <w:i w:val="0"/>
        <w:iCs w:val="0"/>
      </w:rPr>
    </w:lvl>
    <w:lvl w:ilvl="1" w:tplc="FFFFFFFF">
      <w:start w:val="1"/>
      <w:numFmt w:val="lowerLetter"/>
      <w:lvlText w:val="%2)"/>
      <w:lvlJc w:val="left"/>
      <w:pPr>
        <w:ind w:left="2574" w:hanging="360"/>
      </w:pPr>
    </w:lvl>
    <w:lvl w:ilvl="2" w:tplc="FFFFFFFF">
      <w:start w:val="1"/>
      <w:numFmt w:val="lowerRoman"/>
      <w:lvlText w:val="%3."/>
      <w:lvlJc w:val="right"/>
      <w:pPr>
        <w:ind w:left="3294" w:hanging="180"/>
      </w:pPr>
    </w:lvl>
    <w:lvl w:ilvl="3" w:tplc="FFFFFFFF">
      <w:start w:val="1"/>
      <w:numFmt w:val="decimal"/>
      <w:lvlText w:val="%4."/>
      <w:lvlJc w:val="left"/>
      <w:pPr>
        <w:ind w:left="4014" w:hanging="360"/>
      </w:pPr>
    </w:lvl>
    <w:lvl w:ilvl="4" w:tplc="FFFFFFFF">
      <w:start w:val="1"/>
      <w:numFmt w:val="lowerLetter"/>
      <w:lvlText w:val="%5."/>
      <w:lvlJc w:val="left"/>
      <w:pPr>
        <w:ind w:left="4734" w:hanging="360"/>
      </w:pPr>
    </w:lvl>
    <w:lvl w:ilvl="5" w:tplc="FFFFFFFF">
      <w:start w:val="1"/>
      <w:numFmt w:val="lowerRoman"/>
      <w:lvlText w:val="%6."/>
      <w:lvlJc w:val="right"/>
      <w:pPr>
        <w:ind w:left="5454" w:hanging="180"/>
      </w:pPr>
    </w:lvl>
    <w:lvl w:ilvl="6" w:tplc="FFFFFFFF">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start w:val="1"/>
      <w:numFmt w:val="lowerRoman"/>
      <w:lvlText w:val="%9."/>
      <w:lvlJc w:val="right"/>
      <w:pPr>
        <w:ind w:left="7614" w:hanging="180"/>
      </w:pPr>
    </w:lvl>
  </w:abstractNum>
  <w:abstractNum w:abstractNumId="45" w15:restartNumberingAfterBreak="0">
    <w:nsid w:val="5AF00490"/>
    <w:multiLevelType w:val="hybridMultilevel"/>
    <w:tmpl w:val="A18055FE"/>
    <w:lvl w:ilvl="0" w:tplc="FFFFFFFF">
      <w:start w:val="1"/>
      <w:numFmt w:val="decimal"/>
      <w:lvlText w:val="%1."/>
      <w:lvlJc w:val="left"/>
      <w:pPr>
        <w:ind w:left="1854" w:hanging="360"/>
      </w:pPr>
      <w:rPr>
        <w:i w:val="0"/>
        <w:iCs w:val="0"/>
      </w:rPr>
    </w:lvl>
    <w:lvl w:ilvl="1" w:tplc="FFFFFFFF">
      <w:start w:val="1"/>
      <w:numFmt w:val="lowerLetter"/>
      <w:lvlText w:val="%2)"/>
      <w:lvlJc w:val="left"/>
      <w:pPr>
        <w:ind w:left="2574" w:hanging="360"/>
      </w:pPr>
    </w:lvl>
    <w:lvl w:ilvl="2" w:tplc="FFFFFFFF">
      <w:start w:val="1"/>
      <w:numFmt w:val="lowerRoman"/>
      <w:lvlText w:val="%3."/>
      <w:lvlJc w:val="right"/>
      <w:pPr>
        <w:ind w:left="3294" w:hanging="180"/>
      </w:pPr>
    </w:lvl>
    <w:lvl w:ilvl="3" w:tplc="FFFFFFFF">
      <w:start w:val="1"/>
      <w:numFmt w:val="decimal"/>
      <w:lvlText w:val="%4."/>
      <w:lvlJc w:val="left"/>
      <w:pPr>
        <w:ind w:left="4014" w:hanging="360"/>
      </w:pPr>
    </w:lvl>
    <w:lvl w:ilvl="4" w:tplc="FFFFFFFF">
      <w:start w:val="1"/>
      <w:numFmt w:val="lowerLetter"/>
      <w:lvlText w:val="%5."/>
      <w:lvlJc w:val="left"/>
      <w:pPr>
        <w:ind w:left="4734" w:hanging="360"/>
      </w:pPr>
    </w:lvl>
    <w:lvl w:ilvl="5" w:tplc="FFFFFFFF">
      <w:start w:val="1"/>
      <w:numFmt w:val="lowerRoman"/>
      <w:lvlText w:val="%6."/>
      <w:lvlJc w:val="right"/>
      <w:pPr>
        <w:ind w:left="5454" w:hanging="180"/>
      </w:pPr>
    </w:lvl>
    <w:lvl w:ilvl="6" w:tplc="FFFFFFFF">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start w:val="1"/>
      <w:numFmt w:val="lowerRoman"/>
      <w:lvlText w:val="%9."/>
      <w:lvlJc w:val="right"/>
      <w:pPr>
        <w:ind w:left="7614" w:hanging="180"/>
      </w:pPr>
    </w:lvl>
  </w:abstractNum>
  <w:abstractNum w:abstractNumId="46" w15:restartNumberingAfterBreak="0">
    <w:nsid w:val="5C8B7F90"/>
    <w:multiLevelType w:val="hybridMultilevel"/>
    <w:tmpl w:val="19B6BBBE"/>
    <w:lvl w:ilvl="0" w:tplc="FFFFFFFF">
      <w:start w:val="1"/>
      <w:numFmt w:val="lowerLetter"/>
      <w:lvlText w:val="(%1)"/>
      <w:lvlJc w:val="left"/>
      <w:pPr>
        <w:ind w:left="221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9B07BD"/>
    <w:multiLevelType w:val="hybridMultilevel"/>
    <w:tmpl w:val="6C6C0850"/>
    <w:lvl w:ilvl="0" w:tplc="56AEC50A">
      <w:start w:val="1"/>
      <w:numFmt w:val="decimal"/>
      <w:lvlText w:val="%1."/>
      <w:lvlJc w:val="left"/>
      <w:pPr>
        <w:ind w:left="1854" w:hanging="360"/>
      </w:pPr>
      <w:rPr>
        <w:i w:val="0"/>
        <w:iCs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8" w15:restartNumberingAfterBreak="0">
    <w:nsid w:val="5FFD3484"/>
    <w:multiLevelType w:val="hybridMultilevel"/>
    <w:tmpl w:val="A18055FE"/>
    <w:lvl w:ilvl="0" w:tplc="FFFFFFFF">
      <w:start w:val="1"/>
      <w:numFmt w:val="decimal"/>
      <w:lvlText w:val="%1."/>
      <w:lvlJc w:val="left"/>
      <w:pPr>
        <w:ind w:left="1854" w:hanging="360"/>
      </w:pPr>
      <w:rPr>
        <w:i w:val="0"/>
        <w:iCs w:val="0"/>
      </w:rPr>
    </w:lvl>
    <w:lvl w:ilvl="1" w:tplc="FFFFFFFF">
      <w:start w:val="1"/>
      <w:numFmt w:val="lowerLetter"/>
      <w:lvlText w:val="%2)"/>
      <w:lvlJc w:val="left"/>
      <w:pPr>
        <w:ind w:left="2574" w:hanging="360"/>
      </w:pPr>
    </w:lvl>
    <w:lvl w:ilvl="2" w:tplc="FFFFFFFF">
      <w:start w:val="1"/>
      <w:numFmt w:val="lowerRoman"/>
      <w:lvlText w:val="%3."/>
      <w:lvlJc w:val="right"/>
      <w:pPr>
        <w:ind w:left="3294" w:hanging="180"/>
      </w:pPr>
    </w:lvl>
    <w:lvl w:ilvl="3" w:tplc="FFFFFFFF">
      <w:start w:val="1"/>
      <w:numFmt w:val="decimal"/>
      <w:lvlText w:val="%4."/>
      <w:lvlJc w:val="left"/>
      <w:pPr>
        <w:ind w:left="4014" w:hanging="360"/>
      </w:pPr>
    </w:lvl>
    <w:lvl w:ilvl="4" w:tplc="FFFFFFFF">
      <w:start w:val="1"/>
      <w:numFmt w:val="lowerLetter"/>
      <w:lvlText w:val="%5."/>
      <w:lvlJc w:val="left"/>
      <w:pPr>
        <w:ind w:left="4734" w:hanging="360"/>
      </w:pPr>
    </w:lvl>
    <w:lvl w:ilvl="5" w:tplc="FFFFFFFF">
      <w:start w:val="1"/>
      <w:numFmt w:val="lowerRoman"/>
      <w:lvlText w:val="%6."/>
      <w:lvlJc w:val="right"/>
      <w:pPr>
        <w:ind w:left="5454" w:hanging="180"/>
      </w:pPr>
    </w:lvl>
    <w:lvl w:ilvl="6" w:tplc="FFFFFFFF">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start w:val="1"/>
      <w:numFmt w:val="lowerRoman"/>
      <w:lvlText w:val="%9."/>
      <w:lvlJc w:val="right"/>
      <w:pPr>
        <w:ind w:left="7614" w:hanging="180"/>
      </w:pPr>
    </w:lvl>
  </w:abstractNum>
  <w:abstractNum w:abstractNumId="49"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3DC37CE"/>
    <w:multiLevelType w:val="hybridMultilevel"/>
    <w:tmpl w:val="1F80F83C"/>
    <w:lvl w:ilvl="0" w:tplc="77D238E4">
      <w:start w:val="1"/>
      <w:numFmt w:val="lowerLetter"/>
      <w:lvlText w:val="(%1)"/>
      <w:lvlJc w:val="left"/>
      <w:pPr>
        <w:ind w:left="5814"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862366"/>
    <w:multiLevelType w:val="hybridMultilevel"/>
    <w:tmpl w:val="A84009F8"/>
    <w:lvl w:ilvl="0" w:tplc="E24C15DA">
      <w:start w:val="1"/>
      <w:numFmt w:val="bullet"/>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17B3E48"/>
    <w:multiLevelType w:val="hybridMultilevel"/>
    <w:tmpl w:val="A18055FE"/>
    <w:lvl w:ilvl="0" w:tplc="FFFFFFFF">
      <w:start w:val="1"/>
      <w:numFmt w:val="decimal"/>
      <w:lvlText w:val="%1."/>
      <w:lvlJc w:val="left"/>
      <w:pPr>
        <w:ind w:left="1854" w:hanging="360"/>
      </w:pPr>
      <w:rPr>
        <w:i w:val="0"/>
        <w:iCs w:val="0"/>
      </w:rPr>
    </w:lvl>
    <w:lvl w:ilvl="1" w:tplc="FFFFFFFF">
      <w:start w:val="1"/>
      <w:numFmt w:val="lowerLetter"/>
      <w:lvlText w:val="%2)"/>
      <w:lvlJc w:val="left"/>
      <w:pPr>
        <w:ind w:left="2574" w:hanging="360"/>
      </w:pPr>
    </w:lvl>
    <w:lvl w:ilvl="2" w:tplc="FFFFFFFF">
      <w:start w:val="1"/>
      <w:numFmt w:val="lowerRoman"/>
      <w:lvlText w:val="%3."/>
      <w:lvlJc w:val="right"/>
      <w:pPr>
        <w:ind w:left="3294" w:hanging="180"/>
      </w:pPr>
    </w:lvl>
    <w:lvl w:ilvl="3" w:tplc="FFFFFFFF">
      <w:start w:val="1"/>
      <w:numFmt w:val="decimal"/>
      <w:lvlText w:val="%4."/>
      <w:lvlJc w:val="left"/>
      <w:pPr>
        <w:ind w:left="4014" w:hanging="360"/>
      </w:pPr>
    </w:lvl>
    <w:lvl w:ilvl="4" w:tplc="FFFFFFFF">
      <w:start w:val="1"/>
      <w:numFmt w:val="lowerLetter"/>
      <w:lvlText w:val="%5."/>
      <w:lvlJc w:val="left"/>
      <w:pPr>
        <w:ind w:left="4734" w:hanging="360"/>
      </w:pPr>
    </w:lvl>
    <w:lvl w:ilvl="5" w:tplc="FFFFFFFF">
      <w:start w:val="1"/>
      <w:numFmt w:val="lowerRoman"/>
      <w:lvlText w:val="%6."/>
      <w:lvlJc w:val="right"/>
      <w:pPr>
        <w:ind w:left="5454" w:hanging="180"/>
      </w:pPr>
    </w:lvl>
    <w:lvl w:ilvl="6" w:tplc="FFFFFFFF">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start w:val="1"/>
      <w:numFmt w:val="lowerRoman"/>
      <w:lvlText w:val="%9."/>
      <w:lvlJc w:val="right"/>
      <w:pPr>
        <w:ind w:left="7614" w:hanging="180"/>
      </w:pPr>
    </w:lvl>
  </w:abstractNum>
  <w:abstractNum w:abstractNumId="53" w15:restartNumberingAfterBreak="0">
    <w:nsid w:val="71A1783F"/>
    <w:multiLevelType w:val="hybridMultilevel"/>
    <w:tmpl w:val="635661BA"/>
    <w:lvl w:ilvl="0" w:tplc="FFFFFFFF">
      <w:start w:val="1"/>
      <w:numFmt w:val="decimal"/>
      <w:lvlText w:val="%1."/>
      <w:lvlJc w:val="left"/>
      <w:pPr>
        <w:ind w:left="1494" w:hanging="360"/>
      </w:pPr>
      <w:rPr>
        <w:rFonts w:hint="default"/>
        <w:i w:val="0"/>
        <w:i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start w:val="1"/>
      <w:numFmt w:val="lowerRoman"/>
      <w:lvlText w:val="%6."/>
      <w:lvlJc w:val="right"/>
      <w:pPr>
        <w:ind w:left="5094" w:hanging="180"/>
      </w:pPr>
    </w:lvl>
    <w:lvl w:ilvl="6" w:tplc="FFFFFFFF">
      <w:start w:val="1"/>
      <w:numFmt w:val="lowerLetter"/>
      <w:lvlText w:val="(%7)"/>
      <w:lvlJc w:val="left"/>
      <w:pPr>
        <w:ind w:left="5814" w:hanging="360"/>
      </w:pPr>
      <w:rPr>
        <w:rFonts w:ascii="Times New Roman" w:eastAsia="SimSun" w:hAnsi="Times New Roman" w:cs="Times New Roman"/>
      </w:r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54" w15:restartNumberingAfterBreak="0">
    <w:nsid w:val="768E04C4"/>
    <w:multiLevelType w:val="hybridMultilevel"/>
    <w:tmpl w:val="A18055FE"/>
    <w:lvl w:ilvl="0" w:tplc="FFFFFFFF">
      <w:start w:val="1"/>
      <w:numFmt w:val="decimal"/>
      <w:lvlText w:val="%1."/>
      <w:lvlJc w:val="left"/>
      <w:pPr>
        <w:ind w:left="1854" w:hanging="360"/>
      </w:pPr>
      <w:rPr>
        <w:i w:val="0"/>
        <w:iCs w:val="0"/>
      </w:rPr>
    </w:lvl>
    <w:lvl w:ilvl="1" w:tplc="FFFFFFFF">
      <w:start w:val="1"/>
      <w:numFmt w:val="lowerLetter"/>
      <w:lvlText w:val="%2)"/>
      <w:lvlJc w:val="left"/>
      <w:pPr>
        <w:ind w:left="2574" w:hanging="360"/>
      </w:pPr>
    </w:lvl>
    <w:lvl w:ilvl="2" w:tplc="FFFFFFFF">
      <w:start w:val="1"/>
      <w:numFmt w:val="lowerRoman"/>
      <w:lvlText w:val="%3."/>
      <w:lvlJc w:val="right"/>
      <w:pPr>
        <w:ind w:left="3294" w:hanging="180"/>
      </w:pPr>
    </w:lvl>
    <w:lvl w:ilvl="3" w:tplc="FFFFFFFF">
      <w:start w:val="1"/>
      <w:numFmt w:val="decimal"/>
      <w:lvlText w:val="%4."/>
      <w:lvlJc w:val="left"/>
      <w:pPr>
        <w:ind w:left="4014" w:hanging="360"/>
      </w:pPr>
    </w:lvl>
    <w:lvl w:ilvl="4" w:tplc="FFFFFFFF">
      <w:start w:val="1"/>
      <w:numFmt w:val="lowerLetter"/>
      <w:lvlText w:val="%5."/>
      <w:lvlJc w:val="left"/>
      <w:pPr>
        <w:ind w:left="4734" w:hanging="360"/>
      </w:pPr>
    </w:lvl>
    <w:lvl w:ilvl="5" w:tplc="FFFFFFFF">
      <w:start w:val="1"/>
      <w:numFmt w:val="lowerRoman"/>
      <w:lvlText w:val="%6."/>
      <w:lvlJc w:val="right"/>
      <w:pPr>
        <w:ind w:left="5454" w:hanging="180"/>
      </w:pPr>
    </w:lvl>
    <w:lvl w:ilvl="6" w:tplc="FFFFFFFF">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start w:val="1"/>
      <w:numFmt w:val="lowerRoman"/>
      <w:lvlText w:val="%9."/>
      <w:lvlJc w:val="right"/>
      <w:pPr>
        <w:ind w:left="7614" w:hanging="180"/>
      </w:pPr>
    </w:lvl>
  </w:abstractNum>
  <w:abstractNum w:abstractNumId="55" w15:restartNumberingAfterBreak="0">
    <w:nsid w:val="7ECF14E0"/>
    <w:multiLevelType w:val="hybridMultilevel"/>
    <w:tmpl w:val="DC14AE32"/>
    <w:lvl w:ilvl="0" w:tplc="21341B36">
      <w:start w:val="1"/>
      <w:numFmt w:val="decimal"/>
      <w:lvlText w:val="%1."/>
      <w:lvlJc w:val="left"/>
      <w:pPr>
        <w:ind w:left="2274" w:hanging="1140"/>
      </w:pPr>
      <w:rPr>
        <w:rFonts w:hint="default"/>
        <w:i w:val="0"/>
        <w:iCs w:val="0"/>
      </w:rPr>
    </w:lvl>
    <w:lvl w:ilvl="1" w:tplc="FFFFFFFF">
      <w:start w:val="1"/>
      <w:numFmt w:val="lowerLetter"/>
      <w:lvlText w:val="(%2)"/>
      <w:lvlJc w:val="left"/>
      <w:pPr>
        <w:ind w:left="2214" w:hanging="360"/>
      </w:pPr>
      <w:rPr>
        <w:rFonts w:hint="default"/>
      </w:r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1391726929">
    <w:abstractNumId w:val="17"/>
  </w:num>
  <w:num w:numId="2" w16cid:durableId="799999686">
    <w:abstractNumId w:val="25"/>
  </w:num>
  <w:num w:numId="3" w16cid:durableId="835388747">
    <w:abstractNumId w:val="22"/>
  </w:num>
  <w:num w:numId="4" w16cid:durableId="940919025">
    <w:abstractNumId w:val="30"/>
  </w:num>
  <w:num w:numId="5" w16cid:durableId="162017952">
    <w:abstractNumId w:val="12"/>
  </w:num>
  <w:num w:numId="6" w16cid:durableId="159125342">
    <w:abstractNumId w:val="11"/>
  </w:num>
  <w:num w:numId="7" w16cid:durableId="343172971">
    <w:abstractNumId w:val="51"/>
  </w:num>
  <w:num w:numId="8" w16cid:durableId="2143889366">
    <w:abstractNumId w:val="25"/>
  </w:num>
  <w:num w:numId="9" w16cid:durableId="20145253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8932749">
    <w:abstractNumId w:val="55"/>
  </w:num>
  <w:num w:numId="11" w16cid:durableId="1844196408">
    <w:abstractNumId w:val="46"/>
  </w:num>
  <w:num w:numId="12" w16cid:durableId="1987470730">
    <w:abstractNumId w:val="37"/>
  </w:num>
  <w:num w:numId="13" w16cid:durableId="711535638">
    <w:abstractNumId w:val="35"/>
  </w:num>
  <w:num w:numId="14" w16cid:durableId="5965273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0059960">
    <w:abstractNumId w:val="29"/>
  </w:num>
  <w:num w:numId="16" w16cid:durableId="1593705064">
    <w:abstractNumId w:val="20"/>
  </w:num>
  <w:num w:numId="17" w16cid:durableId="18428196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50231079">
    <w:abstractNumId w:val="36"/>
  </w:num>
  <w:num w:numId="19" w16cid:durableId="1567376781">
    <w:abstractNumId w:val="19"/>
  </w:num>
  <w:num w:numId="20" w16cid:durableId="232012466">
    <w:abstractNumId w:val="13"/>
  </w:num>
  <w:num w:numId="21" w16cid:durableId="588347858">
    <w:abstractNumId w:val="17"/>
  </w:num>
  <w:num w:numId="22" w16cid:durableId="538964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27976953">
    <w:abstractNumId w:val="28"/>
  </w:num>
  <w:num w:numId="24" w16cid:durableId="264312872">
    <w:abstractNumId w:val="27"/>
  </w:num>
  <w:num w:numId="25" w16cid:durableId="195580115">
    <w:abstractNumId w:val="41"/>
  </w:num>
  <w:num w:numId="26" w16cid:durableId="1519587426">
    <w:abstractNumId w:val="23"/>
  </w:num>
  <w:num w:numId="27" w16cid:durableId="7005927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81540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108798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24548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60523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037119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5652883">
    <w:abstractNumId w:val="53"/>
  </w:num>
  <w:num w:numId="34" w16cid:durableId="104234842">
    <w:abstractNumId w:val="50"/>
  </w:num>
  <w:num w:numId="35" w16cid:durableId="92212267">
    <w:abstractNumId w:val="26"/>
  </w:num>
  <w:num w:numId="36" w16cid:durableId="1815100138">
    <w:abstractNumId w:val="43"/>
  </w:num>
  <w:num w:numId="37" w16cid:durableId="1684361738">
    <w:abstractNumId w:val="14"/>
  </w:num>
  <w:num w:numId="38" w16cid:durableId="327632533">
    <w:abstractNumId w:val="33"/>
  </w:num>
  <w:num w:numId="39" w16cid:durableId="5072516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908430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598864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52953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854103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455237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701541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2815418">
    <w:abstractNumId w:val="9"/>
  </w:num>
  <w:num w:numId="47" w16cid:durableId="674957758">
    <w:abstractNumId w:val="7"/>
  </w:num>
  <w:num w:numId="48" w16cid:durableId="1831483325">
    <w:abstractNumId w:val="6"/>
  </w:num>
  <w:num w:numId="49" w16cid:durableId="513496727">
    <w:abstractNumId w:val="5"/>
  </w:num>
  <w:num w:numId="50" w16cid:durableId="914709260">
    <w:abstractNumId w:val="4"/>
  </w:num>
  <w:num w:numId="51" w16cid:durableId="816191838">
    <w:abstractNumId w:val="8"/>
  </w:num>
  <w:num w:numId="52" w16cid:durableId="1775247566">
    <w:abstractNumId w:val="3"/>
  </w:num>
  <w:num w:numId="53" w16cid:durableId="640501335">
    <w:abstractNumId w:val="2"/>
  </w:num>
  <w:num w:numId="54" w16cid:durableId="949775737">
    <w:abstractNumId w:val="1"/>
  </w:num>
  <w:num w:numId="55" w16cid:durableId="57292896">
    <w:abstractNumId w:val="0"/>
  </w:num>
  <w:num w:numId="56" w16cid:durableId="1560096781">
    <w:abstractNumId w:val="10"/>
  </w:num>
  <w:num w:numId="57" w16cid:durableId="653875582">
    <w:abstractNumId w:val="52"/>
  </w:num>
  <w:num w:numId="58" w16cid:durableId="1063022544">
    <w:abstractNumId w:val="47"/>
  </w:num>
  <w:num w:numId="59" w16cid:durableId="21083047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244328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5825944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6670552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160142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45918220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4049749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8517941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8625506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3393068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4114643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0797136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7124207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733484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6974656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0713410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6681684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1583028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6479349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20894226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8654801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3960087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4754889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8915788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0949357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5177734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27038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1551449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3214711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021166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7024859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7833791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2274918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9505498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8890737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5014367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2002000811">
    <w:abstractNumId w:val="17"/>
  </w:num>
  <w:num w:numId="96" w16cid:durableId="17909322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53720277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2500407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877938679">
    <w:abstractNumId w:val="17"/>
  </w:num>
  <w:num w:numId="100" w16cid:durableId="437331143">
    <w:abstractNumId w:val="17"/>
  </w:num>
  <w:num w:numId="101" w16cid:durableId="880365591">
    <w:abstractNumId w:val="17"/>
  </w:num>
  <w:num w:numId="102" w16cid:durableId="911814054">
    <w:abstractNumId w:val="17"/>
    <w:lvlOverride w:ilvl="0">
      <w:startOverride w:val="3"/>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023476888">
    <w:abstractNumId w:val="17"/>
  </w:num>
  <w:num w:numId="104" w16cid:durableId="2007200992">
    <w:abstractNumId w:val="17"/>
  </w:num>
  <w:num w:numId="105" w16cid:durableId="718557346">
    <w:abstractNumId w:val="17"/>
  </w:num>
  <w:num w:numId="106" w16cid:durableId="509030561">
    <w:abstractNumId w:val="17"/>
  </w:num>
  <w:num w:numId="107" w16cid:durableId="244153172">
    <w:abstractNumId w:val="17"/>
  </w:num>
  <w:num w:numId="108" w16cid:durableId="1350909106">
    <w:abstractNumId w:val="17"/>
  </w:num>
  <w:num w:numId="109" w16cid:durableId="689990059">
    <w:abstractNumId w:val="17"/>
  </w:num>
  <w:num w:numId="110" w16cid:durableId="1594128127">
    <w:abstractNumId w:val="17"/>
  </w:num>
  <w:num w:numId="111" w16cid:durableId="1644430919">
    <w:abstractNumId w:val="17"/>
  </w:num>
  <w:num w:numId="112" w16cid:durableId="1989701962">
    <w:abstractNumId w:val="17"/>
  </w:num>
  <w:num w:numId="113" w16cid:durableId="1521091197">
    <w:abstractNumId w:val="17"/>
  </w:num>
  <w:num w:numId="114" w16cid:durableId="250703902">
    <w:abstractNumId w:val="16"/>
  </w:num>
  <w:num w:numId="115" w16cid:durableId="2071727393">
    <w:abstractNumId w:val="17"/>
  </w:num>
  <w:num w:numId="116" w16cid:durableId="1805006709">
    <w:abstractNumId w:val="34"/>
  </w:num>
  <w:num w:numId="117" w16cid:durableId="923029064">
    <w:abstractNumId w:val="48"/>
  </w:num>
  <w:num w:numId="118" w16cid:durableId="1505170943">
    <w:abstractNumId w:val="40"/>
  </w:num>
  <w:num w:numId="119" w16cid:durableId="101000620">
    <w:abstractNumId w:val="18"/>
  </w:num>
  <w:num w:numId="120" w16cid:durableId="1781140527">
    <w:abstractNumId w:val="44"/>
  </w:num>
  <w:num w:numId="121" w16cid:durableId="327252481">
    <w:abstractNumId w:val="45"/>
  </w:num>
  <w:num w:numId="122" w16cid:durableId="1503932961">
    <w:abstractNumId w:val="54"/>
  </w:num>
  <w:num w:numId="123" w16cid:durableId="1616599005">
    <w:abstractNumId w:val="42"/>
  </w:num>
  <w:num w:numId="124" w16cid:durableId="1921327108">
    <w:abstractNumId w:val="39"/>
  </w:num>
  <w:num w:numId="125" w16cid:durableId="51008495">
    <w:abstractNumId w:val="15"/>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xNDIxNDe0MLA0NjVR0lEKTi0uzszPAykwrAUA4eai2SwAAAA="/>
  </w:docVars>
  <w:rsids>
    <w:rsidRoot w:val="003E45B1"/>
    <w:rsid w:val="00000402"/>
    <w:rsid w:val="0000065E"/>
    <w:rsid w:val="00000791"/>
    <w:rsid w:val="00000D51"/>
    <w:rsid w:val="00001607"/>
    <w:rsid w:val="00002472"/>
    <w:rsid w:val="00002558"/>
    <w:rsid w:val="000026F0"/>
    <w:rsid w:val="000031E5"/>
    <w:rsid w:val="00003374"/>
    <w:rsid w:val="0000338D"/>
    <w:rsid w:val="000039E9"/>
    <w:rsid w:val="00003FCC"/>
    <w:rsid w:val="000046EA"/>
    <w:rsid w:val="00004715"/>
    <w:rsid w:val="00004A30"/>
    <w:rsid w:val="00004B31"/>
    <w:rsid w:val="000051A2"/>
    <w:rsid w:val="000068C3"/>
    <w:rsid w:val="00006911"/>
    <w:rsid w:val="00006E2A"/>
    <w:rsid w:val="00007089"/>
    <w:rsid w:val="000072BF"/>
    <w:rsid w:val="0000762F"/>
    <w:rsid w:val="00007990"/>
    <w:rsid w:val="00011294"/>
    <w:rsid w:val="000118CB"/>
    <w:rsid w:val="00011959"/>
    <w:rsid w:val="000119DB"/>
    <w:rsid w:val="00011A31"/>
    <w:rsid w:val="00013B7D"/>
    <w:rsid w:val="00014115"/>
    <w:rsid w:val="0001418C"/>
    <w:rsid w:val="000143CA"/>
    <w:rsid w:val="00015C44"/>
    <w:rsid w:val="00016230"/>
    <w:rsid w:val="00016878"/>
    <w:rsid w:val="00017A60"/>
    <w:rsid w:val="00017C1C"/>
    <w:rsid w:val="00020710"/>
    <w:rsid w:val="00021550"/>
    <w:rsid w:val="0002181A"/>
    <w:rsid w:val="000219EF"/>
    <w:rsid w:val="00021BB6"/>
    <w:rsid w:val="00021C53"/>
    <w:rsid w:val="00022D29"/>
    <w:rsid w:val="0002333E"/>
    <w:rsid w:val="0002382B"/>
    <w:rsid w:val="00023CD0"/>
    <w:rsid w:val="000246FB"/>
    <w:rsid w:val="00024ABB"/>
    <w:rsid w:val="00025908"/>
    <w:rsid w:val="00025A89"/>
    <w:rsid w:val="00025CB7"/>
    <w:rsid w:val="00026F66"/>
    <w:rsid w:val="00027F7F"/>
    <w:rsid w:val="0003036B"/>
    <w:rsid w:val="000308E0"/>
    <w:rsid w:val="00030DC1"/>
    <w:rsid w:val="00030F9C"/>
    <w:rsid w:val="00031A86"/>
    <w:rsid w:val="00032117"/>
    <w:rsid w:val="0003275F"/>
    <w:rsid w:val="00032D77"/>
    <w:rsid w:val="00032DDE"/>
    <w:rsid w:val="00033206"/>
    <w:rsid w:val="00033845"/>
    <w:rsid w:val="00034317"/>
    <w:rsid w:val="000346AB"/>
    <w:rsid w:val="00035060"/>
    <w:rsid w:val="0003507D"/>
    <w:rsid w:val="00035968"/>
    <w:rsid w:val="00035BDA"/>
    <w:rsid w:val="00036F85"/>
    <w:rsid w:val="00037650"/>
    <w:rsid w:val="0003776D"/>
    <w:rsid w:val="00037CA4"/>
    <w:rsid w:val="000402F8"/>
    <w:rsid w:val="00040922"/>
    <w:rsid w:val="00040BDA"/>
    <w:rsid w:val="00041307"/>
    <w:rsid w:val="00041C7B"/>
    <w:rsid w:val="000423A6"/>
    <w:rsid w:val="00042745"/>
    <w:rsid w:val="0004302C"/>
    <w:rsid w:val="00043117"/>
    <w:rsid w:val="00043148"/>
    <w:rsid w:val="0004345B"/>
    <w:rsid w:val="00043E96"/>
    <w:rsid w:val="00043FF4"/>
    <w:rsid w:val="000442A3"/>
    <w:rsid w:val="0004491B"/>
    <w:rsid w:val="0004520F"/>
    <w:rsid w:val="000454FE"/>
    <w:rsid w:val="00045633"/>
    <w:rsid w:val="00045C1F"/>
    <w:rsid w:val="00045C6B"/>
    <w:rsid w:val="00045EB0"/>
    <w:rsid w:val="000465FF"/>
    <w:rsid w:val="00047647"/>
    <w:rsid w:val="0004773A"/>
    <w:rsid w:val="000508EE"/>
    <w:rsid w:val="00052463"/>
    <w:rsid w:val="000532E0"/>
    <w:rsid w:val="000536A8"/>
    <w:rsid w:val="00053FB1"/>
    <w:rsid w:val="000545D2"/>
    <w:rsid w:val="00054CCE"/>
    <w:rsid w:val="00054F83"/>
    <w:rsid w:val="000555B3"/>
    <w:rsid w:val="000558FB"/>
    <w:rsid w:val="0005592D"/>
    <w:rsid w:val="0005611D"/>
    <w:rsid w:val="000561BD"/>
    <w:rsid w:val="00056FE2"/>
    <w:rsid w:val="0005732A"/>
    <w:rsid w:val="0005796D"/>
    <w:rsid w:val="00060086"/>
    <w:rsid w:val="000603DA"/>
    <w:rsid w:val="000609C6"/>
    <w:rsid w:val="00060C09"/>
    <w:rsid w:val="00060C6F"/>
    <w:rsid w:val="00060FE6"/>
    <w:rsid w:val="000610B7"/>
    <w:rsid w:val="00061558"/>
    <w:rsid w:val="000620EE"/>
    <w:rsid w:val="000621C1"/>
    <w:rsid w:val="00062324"/>
    <w:rsid w:val="00062505"/>
    <w:rsid w:val="00062B7E"/>
    <w:rsid w:val="00062D01"/>
    <w:rsid w:val="00064536"/>
    <w:rsid w:val="0006514A"/>
    <w:rsid w:val="000652AF"/>
    <w:rsid w:val="000659CC"/>
    <w:rsid w:val="00065B04"/>
    <w:rsid w:val="000673DA"/>
    <w:rsid w:val="00067980"/>
    <w:rsid w:val="00067CDE"/>
    <w:rsid w:val="000710B8"/>
    <w:rsid w:val="000718AA"/>
    <w:rsid w:val="00071D26"/>
    <w:rsid w:val="0007225C"/>
    <w:rsid w:val="00072DD0"/>
    <w:rsid w:val="00073D69"/>
    <w:rsid w:val="00073F49"/>
    <w:rsid w:val="00073F8E"/>
    <w:rsid w:val="00074468"/>
    <w:rsid w:val="000746B9"/>
    <w:rsid w:val="00074855"/>
    <w:rsid w:val="00074EC5"/>
    <w:rsid w:val="00074FC8"/>
    <w:rsid w:val="00075CCE"/>
    <w:rsid w:val="00076113"/>
    <w:rsid w:val="000765EA"/>
    <w:rsid w:val="00076613"/>
    <w:rsid w:val="000773C8"/>
    <w:rsid w:val="000777F4"/>
    <w:rsid w:val="00077A35"/>
    <w:rsid w:val="00077B9B"/>
    <w:rsid w:val="00077FC2"/>
    <w:rsid w:val="00080476"/>
    <w:rsid w:val="000807A8"/>
    <w:rsid w:val="00080866"/>
    <w:rsid w:val="000819B0"/>
    <w:rsid w:val="00081C44"/>
    <w:rsid w:val="000821F3"/>
    <w:rsid w:val="00083212"/>
    <w:rsid w:val="00083647"/>
    <w:rsid w:val="00083D1A"/>
    <w:rsid w:val="00083EEE"/>
    <w:rsid w:val="00083F32"/>
    <w:rsid w:val="000845A0"/>
    <w:rsid w:val="000846E0"/>
    <w:rsid w:val="0008512C"/>
    <w:rsid w:val="000852EA"/>
    <w:rsid w:val="00085458"/>
    <w:rsid w:val="000857AF"/>
    <w:rsid w:val="0008582B"/>
    <w:rsid w:val="00085AB3"/>
    <w:rsid w:val="00085FF2"/>
    <w:rsid w:val="0008672A"/>
    <w:rsid w:val="00086EE1"/>
    <w:rsid w:val="000871EB"/>
    <w:rsid w:val="0008756E"/>
    <w:rsid w:val="00087AA0"/>
    <w:rsid w:val="00087BE9"/>
    <w:rsid w:val="00087F1E"/>
    <w:rsid w:val="00090016"/>
    <w:rsid w:val="00090077"/>
    <w:rsid w:val="0009040A"/>
    <w:rsid w:val="00090476"/>
    <w:rsid w:val="0009067C"/>
    <w:rsid w:val="0009094E"/>
    <w:rsid w:val="00090A78"/>
    <w:rsid w:val="000913E6"/>
    <w:rsid w:val="000915FB"/>
    <w:rsid w:val="000916F8"/>
    <w:rsid w:val="00091737"/>
    <w:rsid w:val="00091CB4"/>
    <w:rsid w:val="00091EAC"/>
    <w:rsid w:val="00091EC9"/>
    <w:rsid w:val="000920BA"/>
    <w:rsid w:val="00092E29"/>
    <w:rsid w:val="00093044"/>
    <w:rsid w:val="00094700"/>
    <w:rsid w:val="00094CC5"/>
    <w:rsid w:val="0009592D"/>
    <w:rsid w:val="00095A4B"/>
    <w:rsid w:val="00095E78"/>
    <w:rsid w:val="00095FD5"/>
    <w:rsid w:val="0009631B"/>
    <w:rsid w:val="00096D5B"/>
    <w:rsid w:val="0009749A"/>
    <w:rsid w:val="00097E69"/>
    <w:rsid w:val="000A07FE"/>
    <w:rsid w:val="000A0935"/>
    <w:rsid w:val="000A1A5B"/>
    <w:rsid w:val="000A28FE"/>
    <w:rsid w:val="000A2D79"/>
    <w:rsid w:val="000A3569"/>
    <w:rsid w:val="000A399F"/>
    <w:rsid w:val="000A45DA"/>
    <w:rsid w:val="000A46C2"/>
    <w:rsid w:val="000A4C61"/>
    <w:rsid w:val="000A4C99"/>
    <w:rsid w:val="000A50EF"/>
    <w:rsid w:val="000A566F"/>
    <w:rsid w:val="000A569A"/>
    <w:rsid w:val="000A59A5"/>
    <w:rsid w:val="000A5A92"/>
    <w:rsid w:val="000A63B3"/>
    <w:rsid w:val="000A6A8B"/>
    <w:rsid w:val="000A7C2B"/>
    <w:rsid w:val="000A7E8E"/>
    <w:rsid w:val="000B03F5"/>
    <w:rsid w:val="000B0683"/>
    <w:rsid w:val="000B09A1"/>
    <w:rsid w:val="000B11E8"/>
    <w:rsid w:val="000B18F0"/>
    <w:rsid w:val="000B1E1F"/>
    <w:rsid w:val="000B1FD0"/>
    <w:rsid w:val="000B2904"/>
    <w:rsid w:val="000B4535"/>
    <w:rsid w:val="000B47D0"/>
    <w:rsid w:val="000B4B57"/>
    <w:rsid w:val="000B4CD1"/>
    <w:rsid w:val="000B4D9E"/>
    <w:rsid w:val="000B50C5"/>
    <w:rsid w:val="000B59C0"/>
    <w:rsid w:val="000B5C78"/>
    <w:rsid w:val="000B5DCB"/>
    <w:rsid w:val="000B5EA7"/>
    <w:rsid w:val="000B5EBE"/>
    <w:rsid w:val="000B5FB5"/>
    <w:rsid w:val="000B60E7"/>
    <w:rsid w:val="000B6ACB"/>
    <w:rsid w:val="000B76B5"/>
    <w:rsid w:val="000B7C62"/>
    <w:rsid w:val="000C0AAE"/>
    <w:rsid w:val="000C0AC2"/>
    <w:rsid w:val="000C0E05"/>
    <w:rsid w:val="000C142F"/>
    <w:rsid w:val="000C1A14"/>
    <w:rsid w:val="000C1EBD"/>
    <w:rsid w:val="000C1F7E"/>
    <w:rsid w:val="000C24E3"/>
    <w:rsid w:val="000C2683"/>
    <w:rsid w:val="000C3DBA"/>
    <w:rsid w:val="000C3E0F"/>
    <w:rsid w:val="000C4172"/>
    <w:rsid w:val="000C4617"/>
    <w:rsid w:val="000C47AB"/>
    <w:rsid w:val="000C4A35"/>
    <w:rsid w:val="000C5173"/>
    <w:rsid w:val="000C5778"/>
    <w:rsid w:val="000C699F"/>
    <w:rsid w:val="000C7FAF"/>
    <w:rsid w:val="000D011E"/>
    <w:rsid w:val="000D08BC"/>
    <w:rsid w:val="000D1AF5"/>
    <w:rsid w:val="000D2DDA"/>
    <w:rsid w:val="000D3359"/>
    <w:rsid w:val="000D3387"/>
    <w:rsid w:val="000D4084"/>
    <w:rsid w:val="000D4248"/>
    <w:rsid w:val="000D428F"/>
    <w:rsid w:val="000D49D4"/>
    <w:rsid w:val="000D55DA"/>
    <w:rsid w:val="000D5D06"/>
    <w:rsid w:val="000D5DED"/>
    <w:rsid w:val="000D656D"/>
    <w:rsid w:val="000D6922"/>
    <w:rsid w:val="000D6D4A"/>
    <w:rsid w:val="000D7CD0"/>
    <w:rsid w:val="000E078A"/>
    <w:rsid w:val="000E12F2"/>
    <w:rsid w:val="000E1BB5"/>
    <w:rsid w:val="000E278F"/>
    <w:rsid w:val="000E343D"/>
    <w:rsid w:val="000E3BD4"/>
    <w:rsid w:val="000E3BD5"/>
    <w:rsid w:val="000E407E"/>
    <w:rsid w:val="000E4242"/>
    <w:rsid w:val="000E44A7"/>
    <w:rsid w:val="000E47A7"/>
    <w:rsid w:val="000E4B1B"/>
    <w:rsid w:val="000E5640"/>
    <w:rsid w:val="000E5A58"/>
    <w:rsid w:val="000E6E68"/>
    <w:rsid w:val="000E7D06"/>
    <w:rsid w:val="000F05E1"/>
    <w:rsid w:val="000F13AC"/>
    <w:rsid w:val="000F18E9"/>
    <w:rsid w:val="000F201A"/>
    <w:rsid w:val="000F2245"/>
    <w:rsid w:val="000F231C"/>
    <w:rsid w:val="000F28AF"/>
    <w:rsid w:val="000F309B"/>
    <w:rsid w:val="000F379C"/>
    <w:rsid w:val="000F3D39"/>
    <w:rsid w:val="000F4528"/>
    <w:rsid w:val="000F45A0"/>
    <w:rsid w:val="000F5020"/>
    <w:rsid w:val="000F514D"/>
    <w:rsid w:val="000F5813"/>
    <w:rsid w:val="000F58F0"/>
    <w:rsid w:val="000F600C"/>
    <w:rsid w:val="000F6026"/>
    <w:rsid w:val="000F61C6"/>
    <w:rsid w:val="000F6DA2"/>
    <w:rsid w:val="000F7597"/>
    <w:rsid w:val="000F7BE6"/>
    <w:rsid w:val="001006D9"/>
    <w:rsid w:val="00100762"/>
    <w:rsid w:val="00100763"/>
    <w:rsid w:val="001007C9"/>
    <w:rsid w:val="0010104C"/>
    <w:rsid w:val="00101647"/>
    <w:rsid w:val="00101B2A"/>
    <w:rsid w:val="00101D78"/>
    <w:rsid w:val="001033D3"/>
    <w:rsid w:val="00103786"/>
    <w:rsid w:val="0010428F"/>
    <w:rsid w:val="0010491C"/>
    <w:rsid w:val="00105C16"/>
    <w:rsid w:val="00106384"/>
    <w:rsid w:val="001065AE"/>
    <w:rsid w:val="001066B8"/>
    <w:rsid w:val="00106B3C"/>
    <w:rsid w:val="001071EA"/>
    <w:rsid w:val="00107363"/>
    <w:rsid w:val="00107529"/>
    <w:rsid w:val="00107536"/>
    <w:rsid w:val="00107B0E"/>
    <w:rsid w:val="00110563"/>
    <w:rsid w:val="001107C8"/>
    <w:rsid w:val="0011157B"/>
    <w:rsid w:val="00112DB2"/>
    <w:rsid w:val="00113410"/>
    <w:rsid w:val="00114669"/>
    <w:rsid w:val="00114AC1"/>
    <w:rsid w:val="00114FD1"/>
    <w:rsid w:val="00115A48"/>
    <w:rsid w:val="00115BA3"/>
    <w:rsid w:val="001161E5"/>
    <w:rsid w:val="001173EE"/>
    <w:rsid w:val="00117747"/>
    <w:rsid w:val="0011781E"/>
    <w:rsid w:val="00117C75"/>
    <w:rsid w:val="001203BA"/>
    <w:rsid w:val="00120826"/>
    <w:rsid w:val="001208B9"/>
    <w:rsid w:val="00120901"/>
    <w:rsid w:val="001209A8"/>
    <w:rsid w:val="00120E84"/>
    <w:rsid w:val="0012297B"/>
    <w:rsid w:val="00122DC3"/>
    <w:rsid w:val="001235B6"/>
    <w:rsid w:val="001236B5"/>
    <w:rsid w:val="00123955"/>
    <w:rsid w:val="001239C0"/>
    <w:rsid w:val="00123A66"/>
    <w:rsid w:val="00123A78"/>
    <w:rsid w:val="00123C52"/>
    <w:rsid w:val="00123DC2"/>
    <w:rsid w:val="00124496"/>
    <w:rsid w:val="0012537F"/>
    <w:rsid w:val="00125E09"/>
    <w:rsid w:val="00125E75"/>
    <w:rsid w:val="001267A1"/>
    <w:rsid w:val="00126C18"/>
    <w:rsid w:val="00127311"/>
    <w:rsid w:val="00127D9F"/>
    <w:rsid w:val="00127F53"/>
    <w:rsid w:val="0013087E"/>
    <w:rsid w:val="00130F51"/>
    <w:rsid w:val="001314FB"/>
    <w:rsid w:val="001321E1"/>
    <w:rsid w:val="001328F9"/>
    <w:rsid w:val="00133F19"/>
    <w:rsid w:val="00134078"/>
    <w:rsid w:val="001347E9"/>
    <w:rsid w:val="001348E5"/>
    <w:rsid w:val="001349EC"/>
    <w:rsid w:val="00134F15"/>
    <w:rsid w:val="001350CD"/>
    <w:rsid w:val="00135979"/>
    <w:rsid w:val="00135AC7"/>
    <w:rsid w:val="001365CE"/>
    <w:rsid w:val="00136D61"/>
    <w:rsid w:val="001373F4"/>
    <w:rsid w:val="00137C39"/>
    <w:rsid w:val="00137D44"/>
    <w:rsid w:val="00137DCC"/>
    <w:rsid w:val="001404D7"/>
    <w:rsid w:val="00140E48"/>
    <w:rsid w:val="001410F2"/>
    <w:rsid w:val="001416BA"/>
    <w:rsid w:val="00141710"/>
    <w:rsid w:val="00141A63"/>
    <w:rsid w:val="00141CAE"/>
    <w:rsid w:val="00142027"/>
    <w:rsid w:val="0014241C"/>
    <w:rsid w:val="00142535"/>
    <w:rsid w:val="0014277E"/>
    <w:rsid w:val="001429DF"/>
    <w:rsid w:val="00142A35"/>
    <w:rsid w:val="0014396B"/>
    <w:rsid w:val="00143ABD"/>
    <w:rsid w:val="00144FEF"/>
    <w:rsid w:val="001451B3"/>
    <w:rsid w:val="0014551B"/>
    <w:rsid w:val="00145948"/>
    <w:rsid w:val="00145DCE"/>
    <w:rsid w:val="00146049"/>
    <w:rsid w:val="001463FB"/>
    <w:rsid w:val="00146C40"/>
    <w:rsid w:val="00146E7F"/>
    <w:rsid w:val="001502F2"/>
    <w:rsid w:val="001507A0"/>
    <w:rsid w:val="00150A41"/>
    <w:rsid w:val="001512FC"/>
    <w:rsid w:val="001514DC"/>
    <w:rsid w:val="00151618"/>
    <w:rsid w:val="00151806"/>
    <w:rsid w:val="001523E9"/>
    <w:rsid w:val="00152520"/>
    <w:rsid w:val="00152A6E"/>
    <w:rsid w:val="001530EC"/>
    <w:rsid w:val="0015343B"/>
    <w:rsid w:val="00153563"/>
    <w:rsid w:val="00153C3A"/>
    <w:rsid w:val="00153DA4"/>
    <w:rsid w:val="00154284"/>
    <w:rsid w:val="001544E5"/>
    <w:rsid w:val="001548A4"/>
    <w:rsid w:val="001549B7"/>
    <w:rsid w:val="00155B7E"/>
    <w:rsid w:val="00155DCF"/>
    <w:rsid w:val="00156E1C"/>
    <w:rsid w:val="00156EAC"/>
    <w:rsid w:val="001575C2"/>
    <w:rsid w:val="001600D9"/>
    <w:rsid w:val="00160650"/>
    <w:rsid w:val="001606A1"/>
    <w:rsid w:val="00160A1A"/>
    <w:rsid w:val="00162334"/>
    <w:rsid w:val="0016252C"/>
    <w:rsid w:val="001629BF"/>
    <w:rsid w:val="001632A6"/>
    <w:rsid w:val="00163437"/>
    <w:rsid w:val="001635D5"/>
    <w:rsid w:val="001637D2"/>
    <w:rsid w:val="00163C47"/>
    <w:rsid w:val="00164314"/>
    <w:rsid w:val="00164317"/>
    <w:rsid w:val="0016494C"/>
    <w:rsid w:val="001650C4"/>
    <w:rsid w:val="001659F1"/>
    <w:rsid w:val="0016610E"/>
    <w:rsid w:val="00166AA4"/>
    <w:rsid w:val="00166CDD"/>
    <w:rsid w:val="00167A0A"/>
    <w:rsid w:val="00167C22"/>
    <w:rsid w:val="001703BA"/>
    <w:rsid w:val="00170499"/>
    <w:rsid w:val="00171429"/>
    <w:rsid w:val="0017157E"/>
    <w:rsid w:val="001717E0"/>
    <w:rsid w:val="00172CF0"/>
    <w:rsid w:val="00172D2F"/>
    <w:rsid w:val="001738F1"/>
    <w:rsid w:val="00174428"/>
    <w:rsid w:val="00174A05"/>
    <w:rsid w:val="00174AA7"/>
    <w:rsid w:val="0017547A"/>
    <w:rsid w:val="00175F05"/>
    <w:rsid w:val="00176C6C"/>
    <w:rsid w:val="00176D0C"/>
    <w:rsid w:val="00176D28"/>
    <w:rsid w:val="00177074"/>
    <w:rsid w:val="00177819"/>
    <w:rsid w:val="001809BB"/>
    <w:rsid w:val="00180DC8"/>
    <w:rsid w:val="00180DE6"/>
    <w:rsid w:val="00180FD6"/>
    <w:rsid w:val="001812EE"/>
    <w:rsid w:val="00181351"/>
    <w:rsid w:val="00181664"/>
    <w:rsid w:val="00181E74"/>
    <w:rsid w:val="00181EB4"/>
    <w:rsid w:val="00181F44"/>
    <w:rsid w:val="001824A4"/>
    <w:rsid w:val="00183004"/>
    <w:rsid w:val="00183136"/>
    <w:rsid w:val="0018387F"/>
    <w:rsid w:val="00183CDF"/>
    <w:rsid w:val="00184189"/>
    <w:rsid w:val="00184C03"/>
    <w:rsid w:val="00185217"/>
    <w:rsid w:val="00185219"/>
    <w:rsid w:val="001854B1"/>
    <w:rsid w:val="001854C5"/>
    <w:rsid w:val="001862AE"/>
    <w:rsid w:val="00186912"/>
    <w:rsid w:val="00186A4F"/>
    <w:rsid w:val="001876F2"/>
    <w:rsid w:val="0019054C"/>
    <w:rsid w:val="00190617"/>
    <w:rsid w:val="001906D0"/>
    <w:rsid w:val="00190ADC"/>
    <w:rsid w:val="00190B92"/>
    <w:rsid w:val="001915EF"/>
    <w:rsid w:val="0019190E"/>
    <w:rsid w:val="00191945"/>
    <w:rsid w:val="00191A9F"/>
    <w:rsid w:val="0019204E"/>
    <w:rsid w:val="0019208D"/>
    <w:rsid w:val="00192585"/>
    <w:rsid w:val="001937CC"/>
    <w:rsid w:val="00193B9C"/>
    <w:rsid w:val="00194163"/>
    <w:rsid w:val="0019430F"/>
    <w:rsid w:val="001945C7"/>
    <w:rsid w:val="00194ABE"/>
    <w:rsid w:val="00194AFB"/>
    <w:rsid w:val="00194BFA"/>
    <w:rsid w:val="00194CB3"/>
    <w:rsid w:val="00194E11"/>
    <w:rsid w:val="00195018"/>
    <w:rsid w:val="0019572A"/>
    <w:rsid w:val="00195DDC"/>
    <w:rsid w:val="00195FF4"/>
    <w:rsid w:val="00196C6F"/>
    <w:rsid w:val="00196E77"/>
    <w:rsid w:val="00197066"/>
    <w:rsid w:val="001977C6"/>
    <w:rsid w:val="001978D7"/>
    <w:rsid w:val="00197941"/>
    <w:rsid w:val="00197AFA"/>
    <w:rsid w:val="00197B3F"/>
    <w:rsid w:val="00197B94"/>
    <w:rsid w:val="001A0162"/>
    <w:rsid w:val="001A0389"/>
    <w:rsid w:val="001A03F9"/>
    <w:rsid w:val="001A0549"/>
    <w:rsid w:val="001A0A3A"/>
    <w:rsid w:val="001A1FC1"/>
    <w:rsid w:val="001A338D"/>
    <w:rsid w:val="001A348E"/>
    <w:rsid w:val="001A3981"/>
    <w:rsid w:val="001A3E9A"/>
    <w:rsid w:val="001A4098"/>
    <w:rsid w:val="001A4351"/>
    <w:rsid w:val="001A4512"/>
    <w:rsid w:val="001A455F"/>
    <w:rsid w:val="001A4D87"/>
    <w:rsid w:val="001A594B"/>
    <w:rsid w:val="001A5C72"/>
    <w:rsid w:val="001A5FE8"/>
    <w:rsid w:val="001A6305"/>
    <w:rsid w:val="001A67C2"/>
    <w:rsid w:val="001A69F9"/>
    <w:rsid w:val="001A6CAD"/>
    <w:rsid w:val="001A6F3E"/>
    <w:rsid w:val="001A70E2"/>
    <w:rsid w:val="001A74EE"/>
    <w:rsid w:val="001A770E"/>
    <w:rsid w:val="001A7BB3"/>
    <w:rsid w:val="001B085A"/>
    <w:rsid w:val="001B0B26"/>
    <w:rsid w:val="001B1322"/>
    <w:rsid w:val="001B1483"/>
    <w:rsid w:val="001B1882"/>
    <w:rsid w:val="001B1B32"/>
    <w:rsid w:val="001B2E9A"/>
    <w:rsid w:val="001B3308"/>
    <w:rsid w:val="001B3B53"/>
    <w:rsid w:val="001B3DAA"/>
    <w:rsid w:val="001B4088"/>
    <w:rsid w:val="001B4341"/>
    <w:rsid w:val="001B46C0"/>
    <w:rsid w:val="001B4A38"/>
    <w:rsid w:val="001B4EF2"/>
    <w:rsid w:val="001B58A0"/>
    <w:rsid w:val="001B5AA6"/>
    <w:rsid w:val="001B5C24"/>
    <w:rsid w:val="001B5C41"/>
    <w:rsid w:val="001B697C"/>
    <w:rsid w:val="001B7119"/>
    <w:rsid w:val="001B77E1"/>
    <w:rsid w:val="001C0127"/>
    <w:rsid w:val="001C0436"/>
    <w:rsid w:val="001C16E2"/>
    <w:rsid w:val="001C18E0"/>
    <w:rsid w:val="001C2517"/>
    <w:rsid w:val="001C2739"/>
    <w:rsid w:val="001C28C0"/>
    <w:rsid w:val="001C2B9F"/>
    <w:rsid w:val="001C2C79"/>
    <w:rsid w:val="001C381F"/>
    <w:rsid w:val="001C3CCF"/>
    <w:rsid w:val="001C3DE7"/>
    <w:rsid w:val="001C3E04"/>
    <w:rsid w:val="001C3F2F"/>
    <w:rsid w:val="001C40F0"/>
    <w:rsid w:val="001C4688"/>
    <w:rsid w:val="001C4FB5"/>
    <w:rsid w:val="001C5193"/>
    <w:rsid w:val="001C536A"/>
    <w:rsid w:val="001C59C7"/>
    <w:rsid w:val="001C5F42"/>
    <w:rsid w:val="001C6706"/>
    <w:rsid w:val="001C6B83"/>
    <w:rsid w:val="001C71BC"/>
    <w:rsid w:val="001C78BD"/>
    <w:rsid w:val="001C7A44"/>
    <w:rsid w:val="001C7B87"/>
    <w:rsid w:val="001C7EE8"/>
    <w:rsid w:val="001C7F1A"/>
    <w:rsid w:val="001D012A"/>
    <w:rsid w:val="001D0540"/>
    <w:rsid w:val="001D076F"/>
    <w:rsid w:val="001D07DE"/>
    <w:rsid w:val="001D086E"/>
    <w:rsid w:val="001D0A12"/>
    <w:rsid w:val="001D0C5F"/>
    <w:rsid w:val="001D0F0F"/>
    <w:rsid w:val="001D10B2"/>
    <w:rsid w:val="001D15A0"/>
    <w:rsid w:val="001D1853"/>
    <w:rsid w:val="001D1903"/>
    <w:rsid w:val="001D1B93"/>
    <w:rsid w:val="001D2C62"/>
    <w:rsid w:val="001D2FD8"/>
    <w:rsid w:val="001D3B28"/>
    <w:rsid w:val="001D44F6"/>
    <w:rsid w:val="001D4C55"/>
    <w:rsid w:val="001D4F4F"/>
    <w:rsid w:val="001D59DE"/>
    <w:rsid w:val="001D5C84"/>
    <w:rsid w:val="001D5D23"/>
    <w:rsid w:val="001D5F6A"/>
    <w:rsid w:val="001D651F"/>
    <w:rsid w:val="001D65DC"/>
    <w:rsid w:val="001D6E0E"/>
    <w:rsid w:val="001D6FD9"/>
    <w:rsid w:val="001D706B"/>
    <w:rsid w:val="001D7525"/>
    <w:rsid w:val="001E0600"/>
    <w:rsid w:val="001E0994"/>
    <w:rsid w:val="001E109F"/>
    <w:rsid w:val="001E1107"/>
    <w:rsid w:val="001E11A3"/>
    <w:rsid w:val="001E1EFC"/>
    <w:rsid w:val="001E27E7"/>
    <w:rsid w:val="001E2AF1"/>
    <w:rsid w:val="001E2C45"/>
    <w:rsid w:val="001E30B5"/>
    <w:rsid w:val="001E35EE"/>
    <w:rsid w:val="001E38E4"/>
    <w:rsid w:val="001E3FAE"/>
    <w:rsid w:val="001E4829"/>
    <w:rsid w:val="001E54BD"/>
    <w:rsid w:val="001E5735"/>
    <w:rsid w:val="001E5871"/>
    <w:rsid w:val="001E5C72"/>
    <w:rsid w:val="001E5F85"/>
    <w:rsid w:val="001E609F"/>
    <w:rsid w:val="001E684A"/>
    <w:rsid w:val="001E6A86"/>
    <w:rsid w:val="001E711F"/>
    <w:rsid w:val="001E7127"/>
    <w:rsid w:val="001E730E"/>
    <w:rsid w:val="001E761A"/>
    <w:rsid w:val="001E7BB2"/>
    <w:rsid w:val="001E7D13"/>
    <w:rsid w:val="001E7EA9"/>
    <w:rsid w:val="001F0AC4"/>
    <w:rsid w:val="001F0C87"/>
    <w:rsid w:val="001F0F24"/>
    <w:rsid w:val="001F12B8"/>
    <w:rsid w:val="001F1AF4"/>
    <w:rsid w:val="001F1C7E"/>
    <w:rsid w:val="001F2338"/>
    <w:rsid w:val="001F2BBF"/>
    <w:rsid w:val="001F2BCE"/>
    <w:rsid w:val="001F3395"/>
    <w:rsid w:val="001F3728"/>
    <w:rsid w:val="001F3BBD"/>
    <w:rsid w:val="001F3D4E"/>
    <w:rsid w:val="001F4EC7"/>
    <w:rsid w:val="001F517E"/>
    <w:rsid w:val="001F53C8"/>
    <w:rsid w:val="001F5CBC"/>
    <w:rsid w:val="001F6C80"/>
    <w:rsid w:val="001F6FA7"/>
    <w:rsid w:val="001F7448"/>
    <w:rsid w:val="001F7579"/>
    <w:rsid w:val="001F7BFF"/>
    <w:rsid w:val="0020001D"/>
    <w:rsid w:val="002008AA"/>
    <w:rsid w:val="00200AE4"/>
    <w:rsid w:val="00200EC1"/>
    <w:rsid w:val="002019D8"/>
    <w:rsid w:val="002019EC"/>
    <w:rsid w:val="00201AB9"/>
    <w:rsid w:val="00201B92"/>
    <w:rsid w:val="002022B3"/>
    <w:rsid w:val="002025E1"/>
    <w:rsid w:val="0020263A"/>
    <w:rsid w:val="00202877"/>
    <w:rsid w:val="00202C1D"/>
    <w:rsid w:val="00203F43"/>
    <w:rsid w:val="00204137"/>
    <w:rsid w:val="00204A7D"/>
    <w:rsid w:val="002051C6"/>
    <w:rsid w:val="002054D0"/>
    <w:rsid w:val="002061B9"/>
    <w:rsid w:val="00207452"/>
    <w:rsid w:val="00207D07"/>
    <w:rsid w:val="002104BE"/>
    <w:rsid w:val="002107AF"/>
    <w:rsid w:val="00210E9E"/>
    <w:rsid w:val="00212562"/>
    <w:rsid w:val="002125DC"/>
    <w:rsid w:val="0021277F"/>
    <w:rsid w:val="00213899"/>
    <w:rsid w:val="0021446A"/>
    <w:rsid w:val="0021500A"/>
    <w:rsid w:val="00215543"/>
    <w:rsid w:val="00215585"/>
    <w:rsid w:val="00215A6F"/>
    <w:rsid w:val="00215D7D"/>
    <w:rsid w:val="00215DF0"/>
    <w:rsid w:val="00216589"/>
    <w:rsid w:val="00216C8D"/>
    <w:rsid w:val="00216E6F"/>
    <w:rsid w:val="00216F3E"/>
    <w:rsid w:val="002173A0"/>
    <w:rsid w:val="0021763B"/>
    <w:rsid w:val="00217FB2"/>
    <w:rsid w:val="00220566"/>
    <w:rsid w:val="002215C9"/>
    <w:rsid w:val="00222605"/>
    <w:rsid w:val="00222E23"/>
    <w:rsid w:val="00222FB0"/>
    <w:rsid w:val="00223453"/>
    <w:rsid w:val="00224111"/>
    <w:rsid w:val="00225536"/>
    <w:rsid w:val="00225560"/>
    <w:rsid w:val="00225DEF"/>
    <w:rsid w:val="0022608F"/>
    <w:rsid w:val="002263B3"/>
    <w:rsid w:val="002264AC"/>
    <w:rsid w:val="002267F9"/>
    <w:rsid w:val="00226845"/>
    <w:rsid w:val="00226BD4"/>
    <w:rsid w:val="00226C04"/>
    <w:rsid w:val="002272E0"/>
    <w:rsid w:val="002276AB"/>
    <w:rsid w:val="002278E7"/>
    <w:rsid w:val="002279A8"/>
    <w:rsid w:val="00230810"/>
    <w:rsid w:val="00230D0F"/>
    <w:rsid w:val="00231384"/>
    <w:rsid w:val="0023192E"/>
    <w:rsid w:val="00231CE0"/>
    <w:rsid w:val="00231FB5"/>
    <w:rsid w:val="0023204C"/>
    <w:rsid w:val="002322A9"/>
    <w:rsid w:val="00232479"/>
    <w:rsid w:val="00232A87"/>
    <w:rsid w:val="00232EAA"/>
    <w:rsid w:val="00233E08"/>
    <w:rsid w:val="00233E9E"/>
    <w:rsid w:val="002347EE"/>
    <w:rsid w:val="00234CDD"/>
    <w:rsid w:val="00235384"/>
    <w:rsid w:val="00235D71"/>
    <w:rsid w:val="00236494"/>
    <w:rsid w:val="00236A0B"/>
    <w:rsid w:val="0023716C"/>
    <w:rsid w:val="00241872"/>
    <w:rsid w:val="00241B92"/>
    <w:rsid w:val="00241C0D"/>
    <w:rsid w:val="002421E3"/>
    <w:rsid w:val="002428EC"/>
    <w:rsid w:val="002434D8"/>
    <w:rsid w:val="00243932"/>
    <w:rsid w:val="00243B92"/>
    <w:rsid w:val="0024447B"/>
    <w:rsid w:val="00245383"/>
    <w:rsid w:val="0024598B"/>
    <w:rsid w:val="00245EF2"/>
    <w:rsid w:val="00245FAA"/>
    <w:rsid w:val="002465E5"/>
    <w:rsid w:val="00246888"/>
    <w:rsid w:val="00246FC6"/>
    <w:rsid w:val="0024705A"/>
    <w:rsid w:val="00247722"/>
    <w:rsid w:val="00247BF6"/>
    <w:rsid w:val="00250037"/>
    <w:rsid w:val="00250963"/>
    <w:rsid w:val="00250FE0"/>
    <w:rsid w:val="00251FF9"/>
    <w:rsid w:val="002522D5"/>
    <w:rsid w:val="00252D5E"/>
    <w:rsid w:val="00253538"/>
    <w:rsid w:val="002535B3"/>
    <w:rsid w:val="00253D0C"/>
    <w:rsid w:val="00253D17"/>
    <w:rsid w:val="00253DC6"/>
    <w:rsid w:val="0025465F"/>
    <w:rsid w:val="00254FE3"/>
    <w:rsid w:val="002551C1"/>
    <w:rsid w:val="00255411"/>
    <w:rsid w:val="00255509"/>
    <w:rsid w:val="00255C3E"/>
    <w:rsid w:val="00256AD0"/>
    <w:rsid w:val="00256CFB"/>
    <w:rsid w:val="00256D3A"/>
    <w:rsid w:val="00257092"/>
    <w:rsid w:val="00257672"/>
    <w:rsid w:val="00257AA3"/>
    <w:rsid w:val="00257B7E"/>
    <w:rsid w:val="00257BCE"/>
    <w:rsid w:val="00257E8C"/>
    <w:rsid w:val="00260709"/>
    <w:rsid w:val="00260814"/>
    <w:rsid w:val="00260BFA"/>
    <w:rsid w:val="00260D3B"/>
    <w:rsid w:val="00261078"/>
    <w:rsid w:val="002615FB"/>
    <w:rsid w:val="00262027"/>
    <w:rsid w:val="002623E7"/>
    <w:rsid w:val="0026298B"/>
    <w:rsid w:val="00262BD4"/>
    <w:rsid w:val="00263241"/>
    <w:rsid w:val="00263E88"/>
    <w:rsid w:val="002642BC"/>
    <w:rsid w:val="002646C5"/>
    <w:rsid w:val="0026494A"/>
    <w:rsid w:val="00264F17"/>
    <w:rsid w:val="0026671A"/>
    <w:rsid w:val="002667DB"/>
    <w:rsid w:val="00266A15"/>
    <w:rsid w:val="00266ACF"/>
    <w:rsid w:val="00266D68"/>
    <w:rsid w:val="0026756C"/>
    <w:rsid w:val="002679DD"/>
    <w:rsid w:val="00267B98"/>
    <w:rsid w:val="002708BB"/>
    <w:rsid w:val="002708C9"/>
    <w:rsid w:val="0027145A"/>
    <w:rsid w:val="00272170"/>
    <w:rsid w:val="0027235A"/>
    <w:rsid w:val="0027236E"/>
    <w:rsid w:val="00273298"/>
    <w:rsid w:val="00273685"/>
    <w:rsid w:val="00273C03"/>
    <w:rsid w:val="00273E8E"/>
    <w:rsid w:val="0027419E"/>
    <w:rsid w:val="00274915"/>
    <w:rsid w:val="00275065"/>
    <w:rsid w:val="00275534"/>
    <w:rsid w:val="002761B6"/>
    <w:rsid w:val="00276A17"/>
    <w:rsid w:val="00276CE5"/>
    <w:rsid w:val="00276D3F"/>
    <w:rsid w:val="00276D78"/>
    <w:rsid w:val="00276ED4"/>
    <w:rsid w:val="0027701F"/>
    <w:rsid w:val="002772C0"/>
    <w:rsid w:val="0027738E"/>
    <w:rsid w:val="002775AB"/>
    <w:rsid w:val="002776B4"/>
    <w:rsid w:val="002779EB"/>
    <w:rsid w:val="00277E40"/>
    <w:rsid w:val="00280155"/>
    <w:rsid w:val="00280602"/>
    <w:rsid w:val="002808AD"/>
    <w:rsid w:val="00280C71"/>
    <w:rsid w:val="00280F63"/>
    <w:rsid w:val="0028187B"/>
    <w:rsid w:val="00281F49"/>
    <w:rsid w:val="00282117"/>
    <w:rsid w:val="0028237C"/>
    <w:rsid w:val="002823A1"/>
    <w:rsid w:val="00282C51"/>
    <w:rsid w:val="00282FED"/>
    <w:rsid w:val="00283275"/>
    <w:rsid w:val="002836A7"/>
    <w:rsid w:val="00284447"/>
    <w:rsid w:val="002847D0"/>
    <w:rsid w:val="00284862"/>
    <w:rsid w:val="002852E3"/>
    <w:rsid w:val="00285597"/>
    <w:rsid w:val="002859C9"/>
    <w:rsid w:val="00285C68"/>
    <w:rsid w:val="00285E13"/>
    <w:rsid w:val="00285FD9"/>
    <w:rsid w:val="00286442"/>
    <w:rsid w:val="00286639"/>
    <w:rsid w:val="00286688"/>
    <w:rsid w:val="002878AC"/>
    <w:rsid w:val="00287977"/>
    <w:rsid w:val="00287DAC"/>
    <w:rsid w:val="0029007C"/>
    <w:rsid w:val="00290409"/>
    <w:rsid w:val="002908C2"/>
    <w:rsid w:val="002908CF"/>
    <w:rsid w:val="00290E2D"/>
    <w:rsid w:val="0029195D"/>
    <w:rsid w:val="00291C53"/>
    <w:rsid w:val="00292334"/>
    <w:rsid w:val="0029291E"/>
    <w:rsid w:val="00292DC3"/>
    <w:rsid w:val="002933A4"/>
    <w:rsid w:val="00293B2A"/>
    <w:rsid w:val="0029464B"/>
    <w:rsid w:val="00294EF6"/>
    <w:rsid w:val="00294F2F"/>
    <w:rsid w:val="0029500F"/>
    <w:rsid w:val="002950CB"/>
    <w:rsid w:val="002954CD"/>
    <w:rsid w:val="00295866"/>
    <w:rsid w:val="00295E26"/>
    <w:rsid w:val="002961A9"/>
    <w:rsid w:val="00296417"/>
    <w:rsid w:val="00296D8A"/>
    <w:rsid w:val="002971B9"/>
    <w:rsid w:val="0029733B"/>
    <w:rsid w:val="002973A6"/>
    <w:rsid w:val="00297717"/>
    <w:rsid w:val="00297731"/>
    <w:rsid w:val="00297C1E"/>
    <w:rsid w:val="002A0089"/>
    <w:rsid w:val="002A095C"/>
    <w:rsid w:val="002A0ADB"/>
    <w:rsid w:val="002A0B67"/>
    <w:rsid w:val="002A0D4F"/>
    <w:rsid w:val="002A18C6"/>
    <w:rsid w:val="002A1F7E"/>
    <w:rsid w:val="002A26A9"/>
    <w:rsid w:val="002A2817"/>
    <w:rsid w:val="002A30AD"/>
    <w:rsid w:val="002A3319"/>
    <w:rsid w:val="002A4979"/>
    <w:rsid w:val="002A5787"/>
    <w:rsid w:val="002A6042"/>
    <w:rsid w:val="002A667A"/>
    <w:rsid w:val="002A6A75"/>
    <w:rsid w:val="002A7B52"/>
    <w:rsid w:val="002A7BCC"/>
    <w:rsid w:val="002B00DA"/>
    <w:rsid w:val="002B0283"/>
    <w:rsid w:val="002B0B18"/>
    <w:rsid w:val="002B1063"/>
    <w:rsid w:val="002B11B2"/>
    <w:rsid w:val="002B15E9"/>
    <w:rsid w:val="002B1684"/>
    <w:rsid w:val="002B181E"/>
    <w:rsid w:val="002B1CCB"/>
    <w:rsid w:val="002B2378"/>
    <w:rsid w:val="002B2424"/>
    <w:rsid w:val="002B26D2"/>
    <w:rsid w:val="002B2BBF"/>
    <w:rsid w:val="002B2DC3"/>
    <w:rsid w:val="002B371C"/>
    <w:rsid w:val="002B3984"/>
    <w:rsid w:val="002B3A66"/>
    <w:rsid w:val="002B4117"/>
    <w:rsid w:val="002B446B"/>
    <w:rsid w:val="002B4CCE"/>
    <w:rsid w:val="002B4F16"/>
    <w:rsid w:val="002B4F21"/>
    <w:rsid w:val="002B5335"/>
    <w:rsid w:val="002B5625"/>
    <w:rsid w:val="002B57B4"/>
    <w:rsid w:val="002B5B1B"/>
    <w:rsid w:val="002B5C87"/>
    <w:rsid w:val="002B5D39"/>
    <w:rsid w:val="002B5F1F"/>
    <w:rsid w:val="002B67D3"/>
    <w:rsid w:val="002B6FCB"/>
    <w:rsid w:val="002B70CA"/>
    <w:rsid w:val="002B71EA"/>
    <w:rsid w:val="002B72CE"/>
    <w:rsid w:val="002B7532"/>
    <w:rsid w:val="002B78F6"/>
    <w:rsid w:val="002B7CCF"/>
    <w:rsid w:val="002C0075"/>
    <w:rsid w:val="002C0400"/>
    <w:rsid w:val="002C051E"/>
    <w:rsid w:val="002C0E65"/>
    <w:rsid w:val="002C11F7"/>
    <w:rsid w:val="002C1262"/>
    <w:rsid w:val="002C2865"/>
    <w:rsid w:val="002C3336"/>
    <w:rsid w:val="002C3548"/>
    <w:rsid w:val="002C4407"/>
    <w:rsid w:val="002C51C0"/>
    <w:rsid w:val="002C52A6"/>
    <w:rsid w:val="002C52D3"/>
    <w:rsid w:val="002C5632"/>
    <w:rsid w:val="002C5B69"/>
    <w:rsid w:val="002C66EF"/>
    <w:rsid w:val="002C6BFB"/>
    <w:rsid w:val="002C78B1"/>
    <w:rsid w:val="002C7D8F"/>
    <w:rsid w:val="002C7E23"/>
    <w:rsid w:val="002D0578"/>
    <w:rsid w:val="002D0B60"/>
    <w:rsid w:val="002D1209"/>
    <w:rsid w:val="002D154A"/>
    <w:rsid w:val="002D1A61"/>
    <w:rsid w:val="002D1EF5"/>
    <w:rsid w:val="002D1F6E"/>
    <w:rsid w:val="002D2BA8"/>
    <w:rsid w:val="002D3036"/>
    <w:rsid w:val="002D32BA"/>
    <w:rsid w:val="002D457F"/>
    <w:rsid w:val="002D50C5"/>
    <w:rsid w:val="002D52A4"/>
    <w:rsid w:val="002D54D6"/>
    <w:rsid w:val="002D57C6"/>
    <w:rsid w:val="002D66A2"/>
    <w:rsid w:val="002D6E2B"/>
    <w:rsid w:val="002D737B"/>
    <w:rsid w:val="002D7804"/>
    <w:rsid w:val="002D7CA6"/>
    <w:rsid w:val="002D7E95"/>
    <w:rsid w:val="002D7F95"/>
    <w:rsid w:val="002E0E93"/>
    <w:rsid w:val="002E1F20"/>
    <w:rsid w:val="002E23F6"/>
    <w:rsid w:val="002E3273"/>
    <w:rsid w:val="002E3ED8"/>
    <w:rsid w:val="002E41F5"/>
    <w:rsid w:val="002E4305"/>
    <w:rsid w:val="002E4B5C"/>
    <w:rsid w:val="002E50AB"/>
    <w:rsid w:val="002E5BAC"/>
    <w:rsid w:val="002E60E0"/>
    <w:rsid w:val="002E6176"/>
    <w:rsid w:val="002E6A07"/>
    <w:rsid w:val="002E6A84"/>
    <w:rsid w:val="002E78B3"/>
    <w:rsid w:val="002E7967"/>
    <w:rsid w:val="002F0249"/>
    <w:rsid w:val="002F039B"/>
    <w:rsid w:val="002F0791"/>
    <w:rsid w:val="002F1389"/>
    <w:rsid w:val="002F13B2"/>
    <w:rsid w:val="002F1F79"/>
    <w:rsid w:val="002F219C"/>
    <w:rsid w:val="002F2321"/>
    <w:rsid w:val="002F253F"/>
    <w:rsid w:val="002F2A34"/>
    <w:rsid w:val="002F2A7F"/>
    <w:rsid w:val="002F2AE0"/>
    <w:rsid w:val="002F304A"/>
    <w:rsid w:val="002F3120"/>
    <w:rsid w:val="002F320A"/>
    <w:rsid w:val="002F32EF"/>
    <w:rsid w:val="002F3835"/>
    <w:rsid w:val="002F482C"/>
    <w:rsid w:val="002F4D54"/>
    <w:rsid w:val="002F60E8"/>
    <w:rsid w:val="002F6360"/>
    <w:rsid w:val="002F6470"/>
    <w:rsid w:val="002F64A2"/>
    <w:rsid w:val="002F6635"/>
    <w:rsid w:val="002F7680"/>
    <w:rsid w:val="002F7B01"/>
    <w:rsid w:val="002F7EC8"/>
    <w:rsid w:val="00300016"/>
    <w:rsid w:val="00300433"/>
    <w:rsid w:val="00300BD6"/>
    <w:rsid w:val="00300E7C"/>
    <w:rsid w:val="003012AF"/>
    <w:rsid w:val="0030267C"/>
    <w:rsid w:val="003029A6"/>
    <w:rsid w:val="00302B3B"/>
    <w:rsid w:val="0030479C"/>
    <w:rsid w:val="003048F3"/>
    <w:rsid w:val="00304BA1"/>
    <w:rsid w:val="00304C7C"/>
    <w:rsid w:val="00305050"/>
    <w:rsid w:val="00305204"/>
    <w:rsid w:val="00305BAD"/>
    <w:rsid w:val="00306423"/>
    <w:rsid w:val="00306B74"/>
    <w:rsid w:val="00306EDA"/>
    <w:rsid w:val="00307574"/>
    <w:rsid w:val="00307984"/>
    <w:rsid w:val="00307B76"/>
    <w:rsid w:val="00310BB2"/>
    <w:rsid w:val="00311266"/>
    <w:rsid w:val="0031149B"/>
    <w:rsid w:val="00311E16"/>
    <w:rsid w:val="00311E47"/>
    <w:rsid w:val="0031265E"/>
    <w:rsid w:val="00312884"/>
    <w:rsid w:val="00312C8A"/>
    <w:rsid w:val="003132EA"/>
    <w:rsid w:val="003132EC"/>
    <w:rsid w:val="00313E9D"/>
    <w:rsid w:val="00313F09"/>
    <w:rsid w:val="003146AF"/>
    <w:rsid w:val="003147E4"/>
    <w:rsid w:val="00314BB7"/>
    <w:rsid w:val="003152EB"/>
    <w:rsid w:val="00315804"/>
    <w:rsid w:val="00315B66"/>
    <w:rsid w:val="00316027"/>
    <w:rsid w:val="0031794D"/>
    <w:rsid w:val="00317B8C"/>
    <w:rsid w:val="003201FF"/>
    <w:rsid w:val="0032090E"/>
    <w:rsid w:val="00320973"/>
    <w:rsid w:val="003213C9"/>
    <w:rsid w:val="00321A14"/>
    <w:rsid w:val="00322288"/>
    <w:rsid w:val="003223A9"/>
    <w:rsid w:val="00322F03"/>
    <w:rsid w:val="0032339B"/>
    <w:rsid w:val="003235A9"/>
    <w:rsid w:val="0032420B"/>
    <w:rsid w:val="0032492B"/>
    <w:rsid w:val="003250E7"/>
    <w:rsid w:val="00325796"/>
    <w:rsid w:val="00325843"/>
    <w:rsid w:val="003259D3"/>
    <w:rsid w:val="00325C0F"/>
    <w:rsid w:val="00325C5D"/>
    <w:rsid w:val="0032604F"/>
    <w:rsid w:val="00326309"/>
    <w:rsid w:val="00326C83"/>
    <w:rsid w:val="00326F0C"/>
    <w:rsid w:val="00327487"/>
    <w:rsid w:val="00327575"/>
    <w:rsid w:val="00327B89"/>
    <w:rsid w:val="0033025E"/>
    <w:rsid w:val="0033108C"/>
    <w:rsid w:val="003312F4"/>
    <w:rsid w:val="003312FF"/>
    <w:rsid w:val="003314B3"/>
    <w:rsid w:val="00332101"/>
    <w:rsid w:val="00332592"/>
    <w:rsid w:val="003332FA"/>
    <w:rsid w:val="00333757"/>
    <w:rsid w:val="00334E71"/>
    <w:rsid w:val="00335246"/>
    <w:rsid w:val="003354A0"/>
    <w:rsid w:val="00335EA0"/>
    <w:rsid w:val="00336DC3"/>
    <w:rsid w:val="00336FE3"/>
    <w:rsid w:val="00337334"/>
    <w:rsid w:val="00337703"/>
    <w:rsid w:val="0034005C"/>
    <w:rsid w:val="00340554"/>
    <w:rsid w:val="003407B8"/>
    <w:rsid w:val="0034089E"/>
    <w:rsid w:val="00340C05"/>
    <w:rsid w:val="00340F74"/>
    <w:rsid w:val="00341289"/>
    <w:rsid w:val="003415A2"/>
    <w:rsid w:val="00341706"/>
    <w:rsid w:val="003419E6"/>
    <w:rsid w:val="00342009"/>
    <w:rsid w:val="00342A93"/>
    <w:rsid w:val="00342AE0"/>
    <w:rsid w:val="00342DAF"/>
    <w:rsid w:val="00343F58"/>
    <w:rsid w:val="003441BB"/>
    <w:rsid w:val="003447BD"/>
    <w:rsid w:val="00344AD3"/>
    <w:rsid w:val="00346D16"/>
    <w:rsid w:val="00347304"/>
    <w:rsid w:val="003474B2"/>
    <w:rsid w:val="0034768B"/>
    <w:rsid w:val="003478AA"/>
    <w:rsid w:val="00347B4D"/>
    <w:rsid w:val="00347F0E"/>
    <w:rsid w:val="00350111"/>
    <w:rsid w:val="00350710"/>
    <w:rsid w:val="003508DE"/>
    <w:rsid w:val="003514B2"/>
    <w:rsid w:val="00351F3C"/>
    <w:rsid w:val="003523DC"/>
    <w:rsid w:val="003524DE"/>
    <w:rsid w:val="00352AAB"/>
    <w:rsid w:val="0035304C"/>
    <w:rsid w:val="003530B1"/>
    <w:rsid w:val="00353383"/>
    <w:rsid w:val="0035356E"/>
    <w:rsid w:val="003535CA"/>
    <w:rsid w:val="00353FE7"/>
    <w:rsid w:val="00354E33"/>
    <w:rsid w:val="0035597C"/>
    <w:rsid w:val="00355B23"/>
    <w:rsid w:val="00356470"/>
    <w:rsid w:val="00357684"/>
    <w:rsid w:val="00360716"/>
    <w:rsid w:val="00360A52"/>
    <w:rsid w:val="00360CD9"/>
    <w:rsid w:val="003615C5"/>
    <w:rsid w:val="00361821"/>
    <w:rsid w:val="00361A9D"/>
    <w:rsid w:val="00362271"/>
    <w:rsid w:val="00362997"/>
    <w:rsid w:val="0036367B"/>
    <w:rsid w:val="0036384F"/>
    <w:rsid w:val="00363D7E"/>
    <w:rsid w:val="003643C9"/>
    <w:rsid w:val="00364B85"/>
    <w:rsid w:val="00364EE5"/>
    <w:rsid w:val="00365CC4"/>
    <w:rsid w:val="00366C21"/>
    <w:rsid w:val="00366D31"/>
    <w:rsid w:val="00366F96"/>
    <w:rsid w:val="00367230"/>
    <w:rsid w:val="0037051D"/>
    <w:rsid w:val="00370ED8"/>
    <w:rsid w:val="00371AAE"/>
    <w:rsid w:val="00371E9F"/>
    <w:rsid w:val="003721C2"/>
    <w:rsid w:val="0037265C"/>
    <w:rsid w:val="00372E63"/>
    <w:rsid w:val="00373610"/>
    <w:rsid w:val="00373836"/>
    <w:rsid w:val="003738FF"/>
    <w:rsid w:val="00373CF8"/>
    <w:rsid w:val="00374059"/>
    <w:rsid w:val="0037463A"/>
    <w:rsid w:val="003748FB"/>
    <w:rsid w:val="00374D3B"/>
    <w:rsid w:val="003754FD"/>
    <w:rsid w:val="00375F53"/>
    <w:rsid w:val="003762C2"/>
    <w:rsid w:val="003762D0"/>
    <w:rsid w:val="003767F0"/>
    <w:rsid w:val="00377036"/>
    <w:rsid w:val="0037708A"/>
    <w:rsid w:val="00377162"/>
    <w:rsid w:val="0038039E"/>
    <w:rsid w:val="0038042F"/>
    <w:rsid w:val="003806A2"/>
    <w:rsid w:val="00381632"/>
    <w:rsid w:val="00381C2B"/>
    <w:rsid w:val="00381ED0"/>
    <w:rsid w:val="003827E8"/>
    <w:rsid w:val="00383494"/>
    <w:rsid w:val="00383528"/>
    <w:rsid w:val="00383DFA"/>
    <w:rsid w:val="003847B9"/>
    <w:rsid w:val="00385E56"/>
    <w:rsid w:val="00386161"/>
    <w:rsid w:val="00386CD6"/>
    <w:rsid w:val="0038740D"/>
    <w:rsid w:val="00390A46"/>
    <w:rsid w:val="00390C49"/>
    <w:rsid w:val="00390EF1"/>
    <w:rsid w:val="003912DC"/>
    <w:rsid w:val="00392164"/>
    <w:rsid w:val="00392BCC"/>
    <w:rsid w:val="0039326B"/>
    <w:rsid w:val="003932A6"/>
    <w:rsid w:val="00393C52"/>
    <w:rsid w:val="00394122"/>
    <w:rsid w:val="00395496"/>
    <w:rsid w:val="00396B06"/>
    <w:rsid w:val="00396FC5"/>
    <w:rsid w:val="003A0152"/>
    <w:rsid w:val="003A0470"/>
    <w:rsid w:val="003A04B4"/>
    <w:rsid w:val="003A0C4A"/>
    <w:rsid w:val="003A0D2F"/>
    <w:rsid w:val="003A112C"/>
    <w:rsid w:val="003A14EA"/>
    <w:rsid w:val="003A17CD"/>
    <w:rsid w:val="003A1AC3"/>
    <w:rsid w:val="003A22D0"/>
    <w:rsid w:val="003A29C6"/>
    <w:rsid w:val="003A2A06"/>
    <w:rsid w:val="003A2DC1"/>
    <w:rsid w:val="003A2E6C"/>
    <w:rsid w:val="003A2F5F"/>
    <w:rsid w:val="003A3302"/>
    <w:rsid w:val="003A339F"/>
    <w:rsid w:val="003A37F5"/>
    <w:rsid w:val="003A4936"/>
    <w:rsid w:val="003A5582"/>
    <w:rsid w:val="003A55EF"/>
    <w:rsid w:val="003A5846"/>
    <w:rsid w:val="003A5CEC"/>
    <w:rsid w:val="003A5DDE"/>
    <w:rsid w:val="003A63B0"/>
    <w:rsid w:val="003A63CE"/>
    <w:rsid w:val="003A65F7"/>
    <w:rsid w:val="003A6733"/>
    <w:rsid w:val="003A6A5A"/>
    <w:rsid w:val="003A7191"/>
    <w:rsid w:val="003A71FE"/>
    <w:rsid w:val="003A73C7"/>
    <w:rsid w:val="003A73CF"/>
    <w:rsid w:val="003A76DF"/>
    <w:rsid w:val="003A78BC"/>
    <w:rsid w:val="003A78F1"/>
    <w:rsid w:val="003A7B08"/>
    <w:rsid w:val="003B0554"/>
    <w:rsid w:val="003B055D"/>
    <w:rsid w:val="003B0EB6"/>
    <w:rsid w:val="003B105C"/>
    <w:rsid w:val="003B1229"/>
    <w:rsid w:val="003B1242"/>
    <w:rsid w:val="003B1738"/>
    <w:rsid w:val="003B1CEC"/>
    <w:rsid w:val="003B2598"/>
    <w:rsid w:val="003B279C"/>
    <w:rsid w:val="003B287A"/>
    <w:rsid w:val="003B28CF"/>
    <w:rsid w:val="003B2A18"/>
    <w:rsid w:val="003B2C11"/>
    <w:rsid w:val="003B2F22"/>
    <w:rsid w:val="003B37D3"/>
    <w:rsid w:val="003B3B44"/>
    <w:rsid w:val="003B3B48"/>
    <w:rsid w:val="003B3C25"/>
    <w:rsid w:val="003B4013"/>
    <w:rsid w:val="003B444A"/>
    <w:rsid w:val="003B4C6A"/>
    <w:rsid w:val="003B4D23"/>
    <w:rsid w:val="003B525A"/>
    <w:rsid w:val="003B55BD"/>
    <w:rsid w:val="003B5708"/>
    <w:rsid w:val="003B6613"/>
    <w:rsid w:val="003B714F"/>
    <w:rsid w:val="003B7612"/>
    <w:rsid w:val="003B7F51"/>
    <w:rsid w:val="003C0140"/>
    <w:rsid w:val="003C01D1"/>
    <w:rsid w:val="003C041D"/>
    <w:rsid w:val="003C04BF"/>
    <w:rsid w:val="003C10C3"/>
    <w:rsid w:val="003C11FE"/>
    <w:rsid w:val="003C127A"/>
    <w:rsid w:val="003C1B41"/>
    <w:rsid w:val="003C1BBD"/>
    <w:rsid w:val="003C1CE9"/>
    <w:rsid w:val="003C1F0D"/>
    <w:rsid w:val="003C2714"/>
    <w:rsid w:val="003C2D47"/>
    <w:rsid w:val="003C32E2"/>
    <w:rsid w:val="003C3854"/>
    <w:rsid w:val="003C3B44"/>
    <w:rsid w:val="003C4ABA"/>
    <w:rsid w:val="003C4B9B"/>
    <w:rsid w:val="003C4BDA"/>
    <w:rsid w:val="003C4FA4"/>
    <w:rsid w:val="003C6872"/>
    <w:rsid w:val="003C6A34"/>
    <w:rsid w:val="003C73BF"/>
    <w:rsid w:val="003C75B9"/>
    <w:rsid w:val="003C7645"/>
    <w:rsid w:val="003D1A53"/>
    <w:rsid w:val="003D22C2"/>
    <w:rsid w:val="003D251D"/>
    <w:rsid w:val="003D2AC1"/>
    <w:rsid w:val="003D2DB4"/>
    <w:rsid w:val="003D36AD"/>
    <w:rsid w:val="003D3C61"/>
    <w:rsid w:val="003D45E9"/>
    <w:rsid w:val="003D4768"/>
    <w:rsid w:val="003D4AF2"/>
    <w:rsid w:val="003D5FAA"/>
    <w:rsid w:val="003D6B47"/>
    <w:rsid w:val="003D6EC0"/>
    <w:rsid w:val="003D7D76"/>
    <w:rsid w:val="003D7F2F"/>
    <w:rsid w:val="003E009E"/>
    <w:rsid w:val="003E05CD"/>
    <w:rsid w:val="003E0ABA"/>
    <w:rsid w:val="003E123E"/>
    <w:rsid w:val="003E2262"/>
    <w:rsid w:val="003E26AC"/>
    <w:rsid w:val="003E29BF"/>
    <w:rsid w:val="003E3070"/>
    <w:rsid w:val="003E30D7"/>
    <w:rsid w:val="003E3112"/>
    <w:rsid w:val="003E3377"/>
    <w:rsid w:val="003E3446"/>
    <w:rsid w:val="003E3A52"/>
    <w:rsid w:val="003E3D62"/>
    <w:rsid w:val="003E3F40"/>
    <w:rsid w:val="003E3F76"/>
    <w:rsid w:val="003E45B1"/>
    <w:rsid w:val="003E45F5"/>
    <w:rsid w:val="003E47EB"/>
    <w:rsid w:val="003E48D6"/>
    <w:rsid w:val="003E4B07"/>
    <w:rsid w:val="003E552E"/>
    <w:rsid w:val="003E6CFA"/>
    <w:rsid w:val="003E7CA8"/>
    <w:rsid w:val="003F0A58"/>
    <w:rsid w:val="003F0BC6"/>
    <w:rsid w:val="003F0F06"/>
    <w:rsid w:val="003F0FF7"/>
    <w:rsid w:val="003F1225"/>
    <w:rsid w:val="003F17D6"/>
    <w:rsid w:val="003F1E27"/>
    <w:rsid w:val="003F20C4"/>
    <w:rsid w:val="003F27A9"/>
    <w:rsid w:val="003F2DEF"/>
    <w:rsid w:val="003F2E06"/>
    <w:rsid w:val="003F3102"/>
    <w:rsid w:val="003F3175"/>
    <w:rsid w:val="003F3389"/>
    <w:rsid w:val="003F3BCD"/>
    <w:rsid w:val="003F40B4"/>
    <w:rsid w:val="003F4C42"/>
    <w:rsid w:val="003F5504"/>
    <w:rsid w:val="003F555E"/>
    <w:rsid w:val="003F5FEE"/>
    <w:rsid w:val="003F639D"/>
    <w:rsid w:val="003F6685"/>
    <w:rsid w:val="003F6CBC"/>
    <w:rsid w:val="003F7301"/>
    <w:rsid w:val="003F7A2C"/>
    <w:rsid w:val="00400100"/>
    <w:rsid w:val="00400751"/>
    <w:rsid w:val="004008A8"/>
    <w:rsid w:val="00400B35"/>
    <w:rsid w:val="004012C5"/>
    <w:rsid w:val="00403426"/>
    <w:rsid w:val="00403E2E"/>
    <w:rsid w:val="00405060"/>
    <w:rsid w:val="004052EA"/>
    <w:rsid w:val="00405B40"/>
    <w:rsid w:val="004061BF"/>
    <w:rsid w:val="004062A6"/>
    <w:rsid w:val="00406A0D"/>
    <w:rsid w:val="0040720F"/>
    <w:rsid w:val="004076DE"/>
    <w:rsid w:val="004102C2"/>
    <w:rsid w:val="00410508"/>
    <w:rsid w:val="0041088E"/>
    <w:rsid w:val="004127BC"/>
    <w:rsid w:val="00412B2D"/>
    <w:rsid w:val="00412C0A"/>
    <w:rsid w:val="00412CE2"/>
    <w:rsid w:val="00414966"/>
    <w:rsid w:val="004149A8"/>
    <w:rsid w:val="00414F8D"/>
    <w:rsid w:val="00415EFB"/>
    <w:rsid w:val="0041622F"/>
    <w:rsid w:val="00416B95"/>
    <w:rsid w:val="0041713B"/>
    <w:rsid w:val="00417292"/>
    <w:rsid w:val="004174C5"/>
    <w:rsid w:val="0042034A"/>
    <w:rsid w:val="00420681"/>
    <w:rsid w:val="00420FB6"/>
    <w:rsid w:val="004215DD"/>
    <w:rsid w:val="00422766"/>
    <w:rsid w:val="00422A48"/>
    <w:rsid w:val="00422A55"/>
    <w:rsid w:val="00422AF6"/>
    <w:rsid w:val="00424555"/>
    <w:rsid w:val="00424B52"/>
    <w:rsid w:val="00425578"/>
    <w:rsid w:val="00425CE3"/>
    <w:rsid w:val="004261BD"/>
    <w:rsid w:val="00426417"/>
    <w:rsid w:val="00426D0F"/>
    <w:rsid w:val="00426E70"/>
    <w:rsid w:val="00427DA2"/>
    <w:rsid w:val="00430169"/>
    <w:rsid w:val="00431122"/>
    <w:rsid w:val="00431212"/>
    <w:rsid w:val="004313A5"/>
    <w:rsid w:val="00431A36"/>
    <w:rsid w:val="00431ACB"/>
    <w:rsid w:val="00431F96"/>
    <w:rsid w:val="0043241E"/>
    <w:rsid w:val="004326F8"/>
    <w:rsid w:val="00432820"/>
    <w:rsid w:val="00432AE7"/>
    <w:rsid w:val="004333F3"/>
    <w:rsid w:val="00433521"/>
    <w:rsid w:val="00434489"/>
    <w:rsid w:val="00435971"/>
    <w:rsid w:val="00435BB8"/>
    <w:rsid w:val="0043618A"/>
    <w:rsid w:val="00436B72"/>
    <w:rsid w:val="0043729E"/>
    <w:rsid w:val="00437435"/>
    <w:rsid w:val="004379B3"/>
    <w:rsid w:val="00437B2C"/>
    <w:rsid w:val="00440621"/>
    <w:rsid w:val="0044080C"/>
    <w:rsid w:val="00440E43"/>
    <w:rsid w:val="004420B5"/>
    <w:rsid w:val="00442485"/>
    <w:rsid w:val="00442AFD"/>
    <w:rsid w:val="00442BD0"/>
    <w:rsid w:val="00443047"/>
    <w:rsid w:val="00443496"/>
    <w:rsid w:val="004441C0"/>
    <w:rsid w:val="0044499A"/>
    <w:rsid w:val="00444B8A"/>
    <w:rsid w:val="00445302"/>
    <w:rsid w:val="004455B6"/>
    <w:rsid w:val="00445627"/>
    <w:rsid w:val="00446870"/>
    <w:rsid w:val="0044745A"/>
    <w:rsid w:val="004477C6"/>
    <w:rsid w:val="004477E8"/>
    <w:rsid w:val="00450DDF"/>
    <w:rsid w:val="004515FB"/>
    <w:rsid w:val="00451E0D"/>
    <w:rsid w:val="00451F94"/>
    <w:rsid w:val="004521A4"/>
    <w:rsid w:val="0045299F"/>
    <w:rsid w:val="004537C3"/>
    <w:rsid w:val="0045399D"/>
    <w:rsid w:val="004548BE"/>
    <w:rsid w:val="004551D9"/>
    <w:rsid w:val="00455747"/>
    <w:rsid w:val="00455A88"/>
    <w:rsid w:val="00455C83"/>
    <w:rsid w:val="00455CA0"/>
    <w:rsid w:val="00456080"/>
    <w:rsid w:val="004565A1"/>
    <w:rsid w:val="00457215"/>
    <w:rsid w:val="00457232"/>
    <w:rsid w:val="004576D2"/>
    <w:rsid w:val="004578AD"/>
    <w:rsid w:val="00457F25"/>
    <w:rsid w:val="0046027D"/>
    <w:rsid w:val="004607C7"/>
    <w:rsid w:val="00460B0A"/>
    <w:rsid w:val="0046206E"/>
    <w:rsid w:val="00462250"/>
    <w:rsid w:val="00462343"/>
    <w:rsid w:val="00463350"/>
    <w:rsid w:val="004635F4"/>
    <w:rsid w:val="00463C59"/>
    <w:rsid w:val="004641A9"/>
    <w:rsid w:val="0046468C"/>
    <w:rsid w:val="00464BE9"/>
    <w:rsid w:val="00464C53"/>
    <w:rsid w:val="00464E71"/>
    <w:rsid w:val="00465EDC"/>
    <w:rsid w:val="00466290"/>
    <w:rsid w:val="0046708E"/>
    <w:rsid w:val="00467793"/>
    <w:rsid w:val="00467DF0"/>
    <w:rsid w:val="004709C5"/>
    <w:rsid w:val="00470D86"/>
    <w:rsid w:val="00471141"/>
    <w:rsid w:val="00471A43"/>
    <w:rsid w:val="00472493"/>
    <w:rsid w:val="00472E03"/>
    <w:rsid w:val="004730A3"/>
    <w:rsid w:val="00473185"/>
    <w:rsid w:val="004732FC"/>
    <w:rsid w:val="004733FC"/>
    <w:rsid w:val="004740C6"/>
    <w:rsid w:val="00474908"/>
    <w:rsid w:val="00474939"/>
    <w:rsid w:val="00474F91"/>
    <w:rsid w:val="004752A2"/>
    <w:rsid w:val="00475482"/>
    <w:rsid w:val="00475545"/>
    <w:rsid w:val="004763D4"/>
    <w:rsid w:val="00476C9C"/>
    <w:rsid w:val="00477328"/>
    <w:rsid w:val="004778B5"/>
    <w:rsid w:val="00477AA8"/>
    <w:rsid w:val="0048016A"/>
    <w:rsid w:val="0048047F"/>
    <w:rsid w:val="004808F0"/>
    <w:rsid w:val="00480CAB"/>
    <w:rsid w:val="00480EDD"/>
    <w:rsid w:val="004812E6"/>
    <w:rsid w:val="00481467"/>
    <w:rsid w:val="004815E4"/>
    <w:rsid w:val="0048196D"/>
    <w:rsid w:val="00481E19"/>
    <w:rsid w:val="00482189"/>
    <w:rsid w:val="00482DCE"/>
    <w:rsid w:val="00484AED"/>
    <w:rsid w:val="00484B74"/>
    <w:rsid w:val="0048523B"/>
    <w:rsid w:val="00485322"/>
    <w:rsid w:val="00485971"/>
    <w:rsid w:val="00485A14"/>
    <w:rsid w:val="0048721A"/>
    <w:rsid w:val="00487338"/>
    <w:rsid w:val="00487AE4"/>
    <w:rsid w:val="00487DED"/>
    <w:rsid w:val="004903C5"/>
    <w:rsid w:val="00490900"/>
    <w:rsid w:val="00490B93"/>
    <w:rsid w:val="0049125F"/>
    <w:rsid w:val="00491559"/>
    <w:rsid w:val="004917AE"/>
    <w:rsid w:val="00492416"/>
    <w:rsid w:val="00493310"/>
    <w:rsid w:val="0049364A"/>
    <w:rsid w:val="00493D4E"/>
    <w:rsid w:val="00493DE7"/>
    <w:rsid w:val="00494C0A"/>
    <w:rsid w:val="0049557B"/>
    <w:rsid w:val="00495640"/>
    <w:rsid w:val="00495D84"/>
    <w:rsid w:val="00496280"/>
    <w:rsid w:val="004963E8"/>
    <w:rsid w:val="00496671"/>
    <w:rsid w:val="00496AC0"/>
    <w:rsid w:val="00496E2E"/>
    <w:rsid w:val="004977C3"/>
    <w:rsid w:val="004A0971"/>
    <w:rsid w:val="004A0CBF"/>
    <w:rsid w:val="004A131D"/>
    <w:rsid w:val="004A1779"/>
    <w:rsid w:val="004A1BA6"/>
    <w:rsid w:val="004A1CDD"/>
    <w:rsid w:val="004A1E36"/>
    <w:rsid w:val="004A2385"/>
    <w:rsid w:val="004A27A1"/>
    <w:rsid w:val="004A2862"/>
    <w:rsid w:val="004A287D"/>
    <w:rsid w:val="004A2D0C"/>
    <w:rsid w:val="004A35CC"/>
    <w:rsid w:val="004A36EC"/>
    <w:rsid w:val="004A506A"/>
    <w:rsid w:val="004A5248"/>
    <w:rsid w:val="004A5D72"/>
    <w:rsid w:val="004A6373"/>
    <w:rsid w:val="004A67DD"/>
    <w:rsid w:val="004A7147"/>
    <w:rsid w:val="004A780E"/>
    <w:rsid w:val="004A7ABE"/>
    <w:rsid w:val="004B02E4"/>
    <w:rsid w:val="004B2074"/>
    <w:rsid w:val="004B2317"/>
    <w:rsid w:val="004B2869"/>
    <w:rsid w:val="004B3568"/>
    <w:rsid w:val="004B3800"/>
    <w:rsid w:val="004B4045"/>
    <w:rsid w:val="004B427B"/>
    <w:rsid w:val="004B43E3"/>
    <w:rsid w:val="004B4C82"/>
    <w:rsid w:val="004B501A"/>
    <w:rsid w:val="004B50E1"/>
    <w:rsid w:val="004B51DB"/>
    <w:rsid w:val="004B6138"/>
    <w:rsid w:val="004B69EF"/>
    <w:rsid w:val="004B6DE3"/>
    <w:rsid w:val="004B6E5A"/>
    <w:rsid w:val="004B7C2C"/>
    <w:rsid w:val="004B7D47"/>
    <w:rsid w:val="004B7EC7"/>
    <w:rsid w:val="004C0059"/>
    <w:rsid w:val="004C022A"/>
    <w:rsid w:val="004C056E"/>
    <w:rsid w:val="004C0823"/>
    <w:rsid w:val="004C0910"/>
    <w:rsid w:val="004C1052"/>
    <w:rsid w:val="004C1711"/>
    <w:rsid w:val="004C214B"/>
    <w:rsid w:val="004C21A8"/>
    <w:rsid w:val="004C29E6"/>
    <w:rsid w:val="004C2B3B"/>
    <w:rsid w:val="004C2D1E"/>
    <w:rsid w:val="004C3421"/>
    <w:rsid w:val="004C3873"/>
    <w:rsid w:val="004C4234"/>
    <w:rsid w:val="004C4C56"/>
    <w:rsid w:val="004C4C58"/>
    <w:rsid w:val="004C4D71"/>
    <w:rsid w:val="004C5208"/>
    <w:rsid w:val="004C633B"/>
    <w:rsid w:val="004C6A0C"/>
    <w:rsid w:val="004C6DA3"/>
    <w:rsid w:val="004C7B15"/>
    <w:rsid w:val="004D12BE"/>
    <w:rsid w:val="004D166E"/>
    <w:rsid w:val="004D1BD9"/>
    <w:rsid w:val="004D2018"/>
    <w:rsid w:val="004D227E"/>
    <w:rsid w:val="004D26DD"/>
    <w:rsid w:val="004D2BB3"/>
    <w:rsid w:val="004D2FFF"/>
    <w:rsid w:val="004D394F"/>
    <w:rsid w:val="004D4431"/>
    <w:rsid w:val="004D4FA6"/>
    <w:rsid w:val="004D50BE"/>
    <w:rsid w:val="004D5B19"/>
    <w:rsid w:val="004D5C01"/>
    <w:rsid w:val="004D64CB"/>
    <w:rsid w:val="004D6AEA"/>
    <w:rsid w:val="004D6B60"/>
    <w:rsid w:val="004D6ECA"/>
    <w:rsid w:val="004D72AF"/>
    <w:rsid w:val="004D736A"/>
    <w:rsid w:val="004D75BE"/>
    <w:rsid w:val="004D7E7F"/>
    <w:rsid w:val="004E0950"/>
    <w:rsid w:val="004E2287"/>
    <w:rsid w:val="004E2835"/>
    <w:rsid w:val="004E3961"/>
    <w:rsid w:val="004E3C83"/>
    <w:rsid w:val="004E4172"/>
    <w:rsid w:val="004E47F1"/>
    <w:rsid w:val="004E48BE"/>
    <w:rsid w:val="004E4B8F"/>
    <w:rsid w:val="004E5094"/>
    <w:rsid w:val="004E53B1"/>
    <w:rsid w:val="004E542C"/>
    <w:rsid w:val="004E54AA"/>
    <w:rsid w:val="004E5A04"/>
    <w:rsid w:val="004E5EEE"/>
    <w:rsid w:val="004E5EFB"/>
    <w:rsid w:val="004E6035"/>
    <w:rsid w:val="004E6F67"/>
    <w:rsid w:val="004E707E"/>
    <w:rsid w:val="004E722D"/>
    <w:rsid w:val="004E73C2"/>
    <w:rsid w:val="004E7417"/>
    <w:rsid w:val="004E7437"/>
    <w:rsid w:val="004E786A"/>
    <w:rsid w:val="004E7E7D"/>
    <w:rsid w:val="004F01A8"/>
    <w:rsid w:val="004F0D45"/>
    <w:rsid w:val="004F0E57"/>
    <w:rsid w:val="004F19EA"/>
    <w:rsid w:val="004F2419"/>
    <w:rsid w:val="004F2DDF"/>
    <w:rsid w:val="004F4A54"/>
    <w:rsid w:val="004F4B03"/>
    <w:rsid w:val="004F54BC"/>
    <w:rsid w:val="004F58EB"/>
    <w:rsid w:val="004F5ABE"/>
    <w:rsid w:val="004F5E44"/>
    <w:rsid w:val="004F615A"/>
    <w:rsid w:val="004F6CE4"/>
    <w:rsid w:val="004F769D"/>
    <w:rsid w:val="004F7FC6"/>
    <w:rsid w:val="005002C6"/>
    <w:rsid w:val="00500350"/>
    <w:rsid w:val="00500F62"/>
    <w:rsid w:val="005030B1"/>
    <w:rsid w:val="00503373"/>
    <w:rsid w:val="00503377"/>
    <w:rsid w:val="005036D8"/>
    <w:rsid w:val="00504386"/>
    <w:rsid w:val="00504A5D"/>
    <w:rsid w:val="005056BE"/>
    <w:rsid w:val="005066EB"/>
    <w:rsid w:val="00506D89"/>
    <w:rsid w:val="00506F75"/>
    <w:rsid w:val="00507369"/>
    <w:rsid w:val="00510720"/>
    <w:rsid w:val="005120CF"/>
    <w:rsid w:val="00512B4F"/>
    <w:rsid w:val="00513593"/>
    <w:rsid w:val="005138CA"/>
    <w:rsid w:val="00513A78"/>
    <w:rsid w:val="005140B1"/>
    <w:rsid w:val="0051452E"/>
    <w:rsid w:val="00514B3A"/>
    <w:rsid w:val="00514DF0"/>
    <w:rsid w:val="00515109"/>
    <w:rsid w:val="00515194"/>
    <w:rsid w:val="00515865"/>
    <w:rsid w:val="00515898"/>
    <w:rsid w:val="00515B6D"/>
    <w:rsid w:val="00516610"/>
    <w:rsid w:val="005166F8"/>
    <w:rsid w:val="0051693B"/>
    <w:rsid w:val="0051708D"/>
    <w:rsid w:val="0051749F"/>
    <w:rsid w:val="0052023A"/>
    <w:rsid w:val="005205C9"/>
    <w:rsid w:val="00520673"/>
    <w:rsid w:val="00520776"/>
    <w:rsid w:val="0052130D"/>
    <w:rsid w:val="00521929"/>
    <w:rsid w:val="00521BF7"/>
    <w:rsid w:val="00523D5B"/>
    <w:rsid w:val="00524222"/>
    <w:rsid w:val="00524421"/>
    <w:rsid w:val="005255F0"/>
    <w:rsid w:val="00525DB7"/>
    <w:rsid w:val="00525EEA"/>
    <w:rsid w:val="00525F3C"/>
    <w:rsid w:val="00525FD1"/>
    <w:rsid w:val="00527573"/>
    <w:rsid w:val="005279BE"/>
    <w:rsid w:val="00530023"/>
    <w:rsid w:val="0053006A"/>
    <w:rsid w:val="0053054C"/>
    <w:rsid w:val="00530814"/>
    <w:rsid w:val="00530D53"/>
    <w:rsid w:val="00530D6A"/>
    <w:rsid w:val="00530DC7"/>
    <w:rsid w:val="00530ED7"/>
    <w:rsid w:val="0053185F"/>
    <w:rsid w:val="005318F8"/>
    <w:rsid w:val="005324FA"/>
    <w:rsid w:val="005327D8"/>
    <w:rsid w:val="0053331A"/>
    <w:rsid w:val="00533AB8"/>
    <w:rsid w:val="00534058"/>
    <w:rsid w:val="005341E9"/>
    <w:rsid w:val="00534455"/>
    <w:rsid w:val="00534597"/>
    <w:rsid w:val="00534988"/>
    <w:rsid w:val="00534B02"/>
    <w:rsid w:val="00534DB2"/>
    <w:rsid w:val="00535A0D"/>
    <w:rsid w:val="00535FD9"/>
    <w:rsid w:val="0053622A"/>
    <w:rsid w:val="00536986"/>
    <w:rsid w:val="00536B32"/>
    <w:rsid w:val="00536CF7"/>
    <w:rsid w:val="00536D29"/>
    <w:rsid w:val="00537C58"/>
    <w:rsid w:val="00540125"/>
    <w:rsid w:val="00540FA3"/>
    <w:rsid w:val="005412FF"/>
    <w:rsid w:val="00541502"/>
    <w:rsid w:val="0054163E"/>
    <w:rsid w:val="005416D2"/>
    <w:rsid w:val="00541754"/>
    <w:rsid w:val="005417FA"/>
    <w:rsid w:val="00541A3A"/>
    <w:rsid w:val="00541EE5"/>
    <w:rsid w:val="005430E3"/>
    <w:rsid w:val="00543499"/>
    <w:rsid w:val="00543F52"/>
    <w:rsid w:val="00544301"/>
    <w:rsid w:val="00544E2D"/>
    <w:rsid w:val="00545616"/>
    <w:rsid w:val="00545FF1"/>
    <w:rsid w:val="0054648A"/>
    <w:rsid w:val="005464AA"/>
    <w:rsid w:val="00546735"/>
    <w:rsid w:val="00546F1A"/>
    <w:rsid w:val="005474C8"/>
    <w:rsid w:val="00547A34"/>
    <w:rsid w:val="0055021A"/>
    <w:rsid w:val="0055057F"/>
    <w:rsid w:val="00550892"/>
    <w:rsid w:val="00550CE7"/>
    <w:rsid w:val="00550EB7"/>
    <w:rsid w:val="00550F71"/>
    <w:rsid w:val="005512FA"/>
    <w:rsid w:val="00551498"/>
    <w:rsid w:val="00552B50"/>
    <w:rsid w:val="00553333"/>
    <w:rsid w:val="005535DF"/>
    <w:rsid w:val="00553F19"/>
    <w:rsid w:val="005549B8"/>
    <w:rsid w:val="005553BB"/>
    <w:rsid w:val="00555787"/>
    <w:rsid w:val="0055590D"/>
    <w:rsid w:val="00556333"/>
    <w:rsid w:val="0055640D"/>
    <w:rsid w:val="005569FE"/>
    <w:rsid w:val="0055700C"/>
    <w:rsid w:val="005574BB"/>
    <w:rsid w:val="005576D4"/>
    <w:rsid w:val="005607A9"/>
    <w:rsid w:val="00560B95"/>
    <w:rsid w:val="00560ED8"/>
    <w:rsid w:val="00561C19"/>
    <w:rsid w:val="0056212D"/>
    <w:rsid w:val="0056250B"/>
    <w:rsid w:val="0056254E"/>
    <w:rsid w:val="00562586"/>
    <w:rsid w:val="005625D4"/>
    <w:rsid w:val="005627AB"/>
    <w:rsid w:val="00563282"/>
    <w:rsid w:val="0056368A"/>
    <w:rsid w:val="00564666"/>
    <w:rsid w:val="00564B21"/>
    <w:rsid w:val="005650B7"/>
    <w:rsid w:val="005653A9"/>
    <w:rsid w:val="00565662"/>
    <w:rsid w:val="00565AD9"/>
    <w:rsid w:val="00565AF2"/>
    <w:rsid w:val="00565B57"/>
    <w:rsid w:val="00565C48"/>
    <w:rsid w:val="0056758F"/>
    <w:rsid w:val="005675FE"/>
    <w:rsid w:val="00567B01"/>
    <w:rsid w:val="00567FAD"/>
    <w:rsid w:val="0057038E"/>
    <w:rsid w:val="00570944"/>
    <w:rsid w:val="00570AAD"/>
    <w:rsid w:val="00570F55"/>
    <w:rsid w:val="005710C3"/>
    <w:rsid w:val="0057165B"/>
    <w:rsid w:val="00571C7F"/>
    <w:rsid w:val="0057229F"/>
    <w:rsid w:val="00573130"/>
    <w:rsid w:val="00573A50"/>
    <w:rsid w:val="00573F6F"/>
    <w:rsid w:val="00575977"/>
    <w:rsid w:val="00575B58"/>
    <w:rsid w:val="00575E35"/>
    <w:rsid w:val="00576132"/>
    <w:rsid w:val="00576E44"/>
    <w:rsid w:val="00576F19"/>
    <w:rsid w:val="0057719D"/>
    <w:rsid w:val="00577949"/>
    <w:rsid w:val="00577D81"/>
    <w:rsid w:val="00580B72"/>
    <w:rsid w:val="00580C99"/>
    <w:rsid w:val="0058102D"/>
    <w:rsid w:val="00581696"/>
    <w:rsid w:val="00581862"/>
    <w:rsid w:val="00581BA4"/>
    <w:rsid w:val="00581C66"/>
    <w:rsid w:val="00581DA6"/>
    <w:rsid w:val="005822E1"/>
    <w:rsid w:val="005831F4"/>
    <w:rsid w:val="0058341F"/>
    <w:rsid w:val="00583460"/>
    <w:rsid w:val="00583B6F"/>
    <w:rsid w:val="005850E3"/>
    <w:rsid w:val="005853D4"/>
    <w:rsid w:val="00585546"/>
    <w:rsid w:val="005857A1"/>
    <w:rsid w:val="0058599D"/>
    <w:rsid w:val="005864D8"/>
    <w:rsid w:val="00586B9F"/>
    <w:rsid w:val="00586EA0"/>
    <w:rsid w:val="00586EE9"/>
    <w:rsid w:val="00587441"/>
    <w:rsid w:val="00587F60"/>
    <w:rsid w:val="00590C6E"/>
    <w:rsid w:val="0059115D"/>
    <w:rsid w:val="005911C1"/>
    <w:rsid w:val="005917B8"/>
    <w:rsid w:val="005918A1"/>
    <w:rsid w:val="0059193B"/>
    <w:rsid w:val="00592405"/>
    <w:rsid w:val="005925F8"/>
    <w:rsid w:val="00592611"/>
    <w:rsid w:val="00593C10"/>
    <w:rsid w:val="0059400A"/>
    <w:rsid w:val="005951EB"/>
    <w:rsid w:val="00595235"/>
    <w:rsid w:val="005958D7"/>
    <w:rsid w:val="00595BFF"/>
    <w:rsid w:val="00595C06"/>
    <w:rsid w:val="005966B4"/>
    <w:rsid w:val="00596CA5"/>
    <w:rsid w:val="00597581"/>
    <w:rsid w:val="00597855"/>
    <w:rsid w:val="00597F27"/>
    <w:rsid w:val="005A0171"/>
    <w:rsid w:val="005A0366"/>
    <w:rsid w:val="005A06B2"/>
    <w:rsid w:val="005A11B6"/>
    <w:rsid w:val="005A157F"/>
    <w:rsid w:val="005A1844"/>
    <w:rsid w:val="005A19D9"/>
    <w:rsid w:val="005A21ED"/>
    <w:rsid w:val="005A2A98"/>
    <w:rsid w:val="005A2BF4"/>
    <w:rsid w:val="005A2D88"/>
    <w:rsid w:val="005A30EA"/>
    <w:rsid w:val="005A3206"/>
    <w:rsid w:val="005A3292"/>
    <w:rsid w:val="005A32A6"/>
    <w:rsid w:val="005A3B76"/>
    <w:rsid w:val="005A3DC2"/>
    <w:rsid w:val="005A4F65"/>
    <w:rsid w:val="005A51CC"/>
    <w:rsid w:val="005A5371"/>
    <w:rsid w:val="005A59CE"/>
    <w:rsid w:val="005A5C67"/>
    <w:rsid w:val="005A784A"/>
    <w:rsid w:val="005A7DBE"/>
    <w:rsid w:val="005B0F8B"/>
    <w:rsid w:val="005B15F4"/>
    <w:rsid w:val="005B1D36"/>
    <w:rsid w:val="005B1F86"/>
    <w:rsid w:val="005B3314"/>
    <w:rsid w:val="005B34E3"/>
    <w:rsid w:val="005B4171"/>
    <w:rsid w:val="005B462A"/>
    <w:rsid w:val="005B47F8"/>
    <w:rsid w:val="005B4D89"/>
    <w:rsid w:val="005B4ED6"/>
    <w:rsid w:val="005B519F"/>
    <w:rsid w:val="005B52B5"/>
    <w:rsid w:val="005B6869"/>
    <w:rsid w:val="005B6ACF"/>
    <w:rsid w:val="005B7AE3"/>
    <w:rsid w:val="005B7D56"/>
    <w:rsid w:val="005C08EC"/>
    <w:rsid w:val="005C0C15"/>
    <w:rsid w:val="005C104E"/>
    <w:rsid w:val="005C144C"/>
    <w:rsid w:val="005C2931"/>
    <w:rsid w:val="005C2A88"/>
    <w:rsid w:val="005C3CDF"/>
    <w:rsid w:val="005C4504"/>
    <w:rsid w:val="005C4538"/>
    <w:rsid w:val="005C4697"/>
    <w:rsid w:val="005C631C"/>
    <w:rsid w:val="005C6825"/>
    <w:rsid w:val="005C683F"/>
    <w:rsid w:val="005C6895"/>
    <w:rsid w:val="005C72C8"/>
    <w:rsid w:val="005C78BF"/>
    <w:rsid w:val="005C7EA9"/>
    <w:rsid w:val="005D0F3D"/>
    <w:rsid w:val="005D2282"/>
    <w:rsid w:val="005D2C70"/>
    <w:rsid w:val="005D3077"/>
    <w:rsid w:val="005D3CA1"/>
    <w:rsid w:val="005D5F0E"/>
    <w:rsid w:val="005D6023"/>
    <w:rsid w:val="005D6827"/>
    <w:rsid w:val="005D6C7A"/>
    <w:rsid w:val="005D6EE3"/>
    <w:rsid w:val="005D7009"/>
    <w:rsid w:val="005D712E"/>
    <w:rsid w:val="005D792C"/>
    <w:rsid w:val="005D7945"/>
    <w:rsid w:val="005D7B8C"/>
    <w:rsid w:val="005D7F76"/>
    <w:rsid w:val="005E100A"/>
    <w:rsid w:val="005E1088"/>
    <w:rsid w:val="005E170D"/>
    <w:rsid w:val="005E191E"/>
    <w:rsid w:val="005E1DBC"/>
    <w:rsid w:val="005E22A2"/>
    <w:rsid w:val="005E2531"/>
    <w:rsid w:val="005E2EEE"/>
    <w:rsid w:val="005E3013"/>
    <w:rsid w:val="005E336A"/>
    <w:rsid w:val="005E432D"/>
    <w:rsid w:val="005E45ED"/>
    <w:rsid w:val="005E505B"/>
    <w:rsid w:val="005E51E0"/>
    <w:rsid w:val="005E5B8F"/>
    <w:rsid w:val="005E5F0D"/>
    <w:rsid w:val="005E61F9"/>
    <w:rsid w:val="005E6485"/>
    <w:rsid w:val="005E7D97"/>
    <w:rsid w:val="005E7E39"/>
    <w:rsid w:val="005F0131"/>
    <w:rsid w:val="005F032E"/>
    <w:rsid w:val="005F16C2"/>
    <w:rsid w:val="005F2903"/>
    <w:rsid w:val="005F2C83"/>
    <w:rsid w:val="005F35CB"/>
    <w:rsid w:val="005F3C18"/>
    <w:rsid w:val="005F3EC9"/>
    <w:rsid w:val="005F402A"/>
    <w:rsid w:val="005F4B1B"/>
    <w:rsid w:val="005F5064"/>
    <w:rsid w:val="005F5249"/>
    <w:rsid w:val="005F691F"/>
    <w:rsid w:val="005F7584"/>
    <w:rsid w:val="005F777F"/>
    <w:rsid w:val="005F78E1"/>
    <w:rsid w:val="005F7994"/>
    <w:rsid w:val="005F7C5E"/>
    <w:rsid w:val="005F7C70"/>
    <w:rsid w:val="006002E5"/>
    <w:rsid w:val="00600BD0"/>
    <w:rsid w:val="00600CB0"/>
    <w:rsid w:val="00600CB5"/>
    <w:rsid w:val="0060101C"/>
    <w:rsid w:val="00601526"/>
    <w:rsid w:val="006024EB"/>
    <w:rsid w:val="00602E48"/>
    <w:rsid w:val="00602F58"/>
    <w:rsid w:val="0060326C"/>
    <w:rsid w:val="00603D73"/>
    <w:rsid w:val="00604274"/>
    <w:rsid w:val="0060436D"/>
    <w:rsid w:val="00604C37"/>
    <w:rsid w:val="00604F91"/>
    <w:rsid w:val="00605519"/>
    <w:rsid w:val="00605A2E"/>
    <w:rsid w:val="00605CF6"/>
    <w:rsid w:val="00605D09"/>
    <w:rsid w:val="00606803"/>
    <w:rsid w:val="0060684E"/>
    <w:rsid w:val="00606858"/>
    <w:rsid w:val="00606E89"/>
    <w:rsid w:val="0060769E"/>
    <w:rsid w:val="00607935"/>
    <w:rsid w:val="00610051"/>
    <w:rsid w:val="006103F6"/>
    <w:rsid w:val="00610F98"/>
    <w:rsid w:val="00610FE1"/>
    <w:rsid w:val="0061173F"/>
    <w:rsid w:val="00611E89"/>
    <w:rsid w:val="0061315C"/>
    <w:rsid w:val="0061318A"/>
    <w:rsid w:val="00613D97"/>
    <w:rsid w:val="00613D9A"/>
    <w:rsid w:val="00614018"/>
    <w:rsid w:val="006150E2"/>
    <w:rsid w:val="00615567"/>
    <w:rsid w:val="006155C9"/>
    <w:rsid w:val="00615BAD"/>
    <w:rsid w:val="006163F6"/>
    <w:rsid w:val="00616497"/>
    <w:rsid w:val="00616812"/>
    <w:rsid w:val="006172A8"/>
    <w:rsid w:val="00617B57"/>
    <w:rsid w:val="00617D72"/>
    <w:rsid w:val="0062006A"/>
    <w:rsid w:val="006205CF"/>
    <w:rsid w:val="00620E51"/>
    <w:rsid w:val="00621AFA"/>
    <w:rsid w:val="00621CBC"/>
    <w:rsid w:val="00621F81"/>
    <w:rsid w:val="00622484"/>
    <w:rsid w:val="0062251C"/>
    <w:rsid w:val="00622643"/>
    <w:rsid w:val="00622A54"/>
    <w:rsid w:val="00622B9F"/>
    <w:rsid w:val="00622D04"/>
    <w:rsid w:val="00622F3C"/>
    <w:rsid w:val="0062440D"/>
    <w:rsid w:val="0062463A"/>
    <w:rsid w:val="00624D03"/>
    <w:rsid w:val="00625905"/>
    <w:rsid w:val="00626BF0"/>
    <w:rsid w:val="00627F24"/>
    <w:rsid w:val="006303EB"/>
    <w:rsid w:val="0063167E"/>
    <w:rsid w:val="00631EE2"/>
    <w:rsid w:val="006322C6"/>
    <w:rsid w:val="006327FB"/>
    <w:rsid w:val="00633398"/>
    <w:rsid w:val="00633BF3"/>
    <w:rsid w:val="006343FE"/>
    <w:rsid w:val="0063492B"/>
    <w:rsid w:val="00634C24"/>
    <w:rsid w:val="00634DA0"/>
    <w:rsid w:val="00634DBB"/>
    <w:rsid w:val="00635067"/>
    <w:rsid w:val="00635836"/>
    <w:rsid w:val="006358B9"/>
    <w:rsid w:val="0063652F"/>
    <w:rsid w:val="0063667C"/>
    <w:rsid w:val="006379C7"/>
    <w:rsid w:val="006379E1"/>
    <w:rsid w:val="00637C60"/>
    <w:rsid w:val="00637FF6"/>
    <w:rsid w:val="006406F9"/>
    <w:rsid w:val="006407FA"/>
    <w:rsid w:val="00640E20"/>
    <w:rsid w:val="00641F29"/>
    <w:rsid w:val="00641F48"/>
    <w:rsid w:val="00642047"/>
    <w:rsid w:val="00642079"/>
    <w:rsid w:val="00642526"/>
    <w:rsid w:val="0064299C"/>
    <w:rsid w:val="0064303B"/>
    <w:rsid w:val="00643B7A"/>
    <w:rsid w:val="0064413A"/>
    <w:rsid w:val="006445DE"/>
    <w:rsid w:val="0064483E"/>
    <w:rsid w:val="0064579B"/>
    <w:rsid w:val="006461F3"/>
    <w:rsid w:val="006469DF"/>
    <w:rsid w:val="00646F92"/>
    <w:rsid w:val="00647077"/>
    <w:rsid w:val="00647CA6"/>
    <w:rsid w:val="00650EF0"/>
    <w:rsid w:val="00651BDB"/>
    <w:rsid w:val="0065217F"/>
    <w:rsid w:val="00652466"/>
    <w:rsid w:val="0065385F"/>
    <w:rsid w:val="00653E1F"/>
    <w:rsid w:val="0065403C"/>
    <w:rsid w:val="006543DE"/>
    <w:rsid w:val="0065442D"/>
    <w:rsid w:val="00655F79"/>
    <w:rsid w:val="00656011"/>
    <w:rsid w:val="006568F4"/>
    <w:rsid w:val="00656D2A"/>
    <w:rsid w:val="00657CFF"/>
    <w:rsid w:val="00660119"/>
    <w:rsid w:val="00660C50"/>
    <w:rsid w:val="00660F04"/>
    <w:rsid w:val="00661396"/>
    <w:rsid w:val="0066159F"/>
    <w:rsid w:val="00661BDD"/>
    <w:rsid w:val="00663365"/>
    <w:rsid w:val="006633DF"/>
    <w:rsid w:val="00664183"/>
    <w:rsid w:val="00664554"/>
    <w:rsid w:val="00664734"/>
    <w:rsid w:val="00664A37"/>
    <w:rsid w:val="00664ABD"/>
    <w:rsid w:val="00664AF5"/>
    <w:rsid w:val="00664CD2"/>
    <w:rsid w:val="00664E65"/>
    <w:rsid w:val="006653D1"/>
    <w:rsid w:val="00666636"/>
    <w:rsid w:val="00666CCB"/>
    <w:rsid w:val="00667315"/>
    <w:rsid w:val="0066734C"/>
    <w:rsid w:val="0066779B"/>
    <w:rsid w:val="00667FF4"/>
    <w:rsid w:val="0067038F"/>
    <w:rsid w:val="006703E7"/>
    <w:rsid w:val="006708BE"/>
    <w:rsid w:val="00670E77"/>
    <w:rsid w:val="0067147F"/>
    <w:rsid w:val="006715D7"/>
    <w:rsid w:val="00671981"/>
    <w:rsid w:val="00671EA0"/>
    <w:rsid w:val="00672C84"/>
    <w:rsid w:val="00672E4D"/>
    <w:rsid w:val="006732AA"/>
    <w:rsid w:val="00673367"/>
    <w:rsid w:val="00674373"/>
    <w:rsid w:val="006745D5"/>
    <w:rsid w:val="00674766"/>
    <w:rsid w:val="006748E2"/>
    <w:rsid w:val="006751C5"/>
    <w:rsid w:val="00675F99"/>
    <w:rsid w:val="00676255"/>
    <w:rsid w:val="0067642D"/>
    <w:rsid w:val="00676A34"/>
    <w:rsid w:val="006771A4"/>
    <w:rsid w:val="00677B7A"/>
    <w:rsid w:val="00677C56"/>
    <w:rsid w:val="00677D0D"/>
    <w:rsid w:val="006810D8"/>
    <w:rsid w:val="00681567"/>
    <w:rsid w:val="00681A30"/>
    <w:rsid w:val="00681A37"/>
    <w:rsid w:val="00682D04"/>
    <w:rsid w:val="00682DFB"/>
    <w:rsid w:val="0068308F"/>
    <w:rsid w:val="0068339C"/>
    <w:rsid w:val="0068442E"/>
    <w:rsid w:val="00684A6C"/>
    <w:rsid w:val="00684A9E"/>
    <w:rsid w:val="0068552D"/>
    <w:rsid w:val="00685F65"/>
    <w:rsid w:val="00686DCB"/>
    <w:rsid w:val="00687740"/>
    <w:rsid w:val="006908D8"/>
    <w:rsid w:val="00690FAE"/>
    <w:rsid w:val="00690FE7"/>
    <w:rsid w:val="00692145"/>
    <w:rsid w:val="006921A3"/>
    <w:rsid w:val="00692B54"/>
    <w:rsid w:val="006936CF"/>
    <w:rsid w:val="00693901"/>
    <w:rsid w:val="00693925"/>
    <w:rsid w:val="00693F91"/>
    <w:rsid w:val="006960B6"/>
    <w:rsid w:val="0069632B"/>
    <w:rsid w:val="0069661B"/>
    <w:rsid w:val="00697099"/>
    <w:rsid w:val="006973FA"/>
    <w:rsid w:val="00697551"/>
    <w:rsid w:val="006A123C"/>
    <w:rsid w:val="006A1DA3"/>
    <w:rsid w:val="006A27A8"/>
    <w:rsid w:val="006A2B15"/>
    <w:rsid w:val="006A3385"/>
    <w:rsid w:val="006A3569"/>
    <w:rsid w:val="006A3741"/>
    <w:rsid w:val="006A4C61"/>
    <w:rsid w:val="006A50DE"/>
    <w:rsid w:val="006A56FD"/>
    <w:rsid w:val="006A5970"/>
    <w:rsid w:val="006A63F7"/>
    <w:rsid w:val="006A6516"/>
    <w:rsid w:val="006A6913"/>
    <w:rsid w:val="006A6BCD"/>
    <w:rsid w:val="006A6DF7"/>
    <w:rsid w:val="006A73AF"/>
    <w:rsid w:val="006B06DB"/>
    <w:rsid w:val="006B096B"/>
    <w:rsid w:val="006B1002"/>
    <w:rsid w:val="006B1028"/>
    <w:rsid w:val="006B13CC"/>
    <w:rsid w:val="006B2AD4"/>
    <w:rsid w:val="006B2FFC"/>
    <w:rsid w:val="006B35B8"/>
    <w:rsid w:val="006B36CD"/>
    <w:rsid w:val="006B4741"/>
    <w:rsid w:val="006B49F6"/>
    <w:rsid w:val="006B5CA0"/>
    <w:rsid w:val="006B5E7B"/>
    <w:rsid w:val="006B62F2"/>
    <w:rsid w:val="006B6D3A"/>
    <w:rsid w:val="006B7821"/>
    <w:rsid w:val="006C0BFD"/>
    <w:rsid w:val="006C149F"/>
    <w:rsid w:val="006C179A"/>
    <w:rsid w:val="006C182B"/>
    <w:rsid w:val="006C1DE6"/>
    <w:rsid w:val="006C2534"/>
    <w:rsid w:val="006C256C"/>
    <w:rsid w:val="006C273F"/>
    <w:rsid w:val="006C37C7"/>
    <w:rsid w:val="006C43F8"/>
    <w:rsid w:val="006C4566"/>
    <w:rsid w:val="006C51DC"/>
    <w:rsid w:val="006C53DE"/>
    <w:rsid w:val="006C5722"/>
    <w:rsid w:val="006C590B"/>
    <w:rsid w:val="006C5AC4"/>
    <w:rsid w:val="006C6896"/>
    <w:rsid w:val="006C72D2"/>
    <w:rsid w:val="006C7992"/>
    <w:rsid w:val="006C7C6D"/>
    <w:rsid w:val="006D048A"/>
    <w:rsid w:val="006D0BDC"/>
    <w:rsid w:val="006D0FB9"/>
    <w:rsid w:val="006D1B23"/>
    <w:rsid w:val="006D359C"/>
    <w:rsid w:val="006D4298"/>
    <w:rsid w:val="006D44F9"/>
    <w:rsid w:val="006D4A4B"/>
    <w:rsid w:val="006D4DBE"/>
    <w:rsid w:val="006D4EBF"/>
    <w:rsid w:val="006D59B8"/>
    <w:rsid w:val="006D5F6B"/>
    <w:rsid w:val="006D6C6E"/>
    <w:rsid w:val="006D7A3F"/>
    <w:rsid w:val="006D7EE2"/>
    <w:rsid w:val="006E03CE"/>
    <w:rsid w:val="006E0BAF"/>
    <w:rsid w:val="006E2336"/>
    <w:rsid w:val="006E2891"/>
    <w:rsid w:val="006E3567"/>
    <w:rsid w:val="006E4A51"/>
    <w:rsid w:val="006E510D"/>
    <w:rsid w:val="006E556E"/>
    <w:rsid w:val="006E56FB"/>
    <w:rsid w:val="006E62D7"/>
    <w:rsid w:val="006E6735"/>
    <w:rsid w:val="006E6852"/>
    <w:rsid w:val="006E68D5"/>
    <w:rsid w:val="006E73A9"/>
    <w:rsid w:val="006E7A62"/>
    <w:rsid w:val="006E7ECD"/>
    <w:rsid w:val="006F0524"/>
    <w:rsid w:val="006F07BE"/>
    <w:rsid w:val="006F0F88"/>
    <w:rsid w:val="006F0FBF"/>
    <w:rsid w:val="006F1ACF"/>
    <w:rsid w:val="006F1BD0"/>
    <w:rsid w:val="006F1BFA"/>
    <w:rsid w:val="006F2373"/>
    <w:rsid w:val="006F256B"/>
    <w:rsid w:val="006F2697"/>
    <w:rsid w:val="006F26A3"/>
    <w:rsid w:val="006F2E97"/>
    <w:rsid w:val="006F2F9F"/>
    <w:rsid w:val="006F3126"/>
    <w:rsid w:val="006F38E3"/>
    <w:rsid w:val="006F3C48"/>
    <w:rsid w:val="006F3FF9"/>
    <w:rsid w:val="006F44CB"/>
    <w:rsid w:val="006F4A87"/>
    <w:rsid w:val="006F5037"/>
    <w:rsid w:val="006F5228"/>
    <w:rsid w:val="006F6AD7"/>
    <w:rsid w:val="006F6AF6"/>
    <w:rsid w:val="006F7863"/>
    <w:rsid w:val="006F7CE0"/>
    <w:rsid w:val="00700EEF"/>
    <w:rsid w:val="00701970"/>
    <w:rsid w:val="00701E7B"/>
    <w:rsid w:val="00701F1D"/>
    <w:rsid w:val="00702631"/>
    <w:rsid w:val="00702EAD"/>
    <w:rsid w:val="00704C54"/>
    <w:rsid w:val="00704CCE"/>
    <w:rsid w:val="00705E6D"/>
    <w:rsid w:val="00706034"/>
    <w:rsid w:val="00706695"/>
    <w:rsid w:val="00706ACC"/>
    <w:rsid w:val="00707452"/>
    <w:rsid w:val="00710967"/>
    <w:rsid w:val="00710DFD"/>
    <w:rsid w:val="00710E60"/>
    <w:rsid w:val="007112BE"/>
    <w:rsid w:val="0071138F"/>
    <w:rsid w:val="00711E45"/>
    <w:rsid w:val="00713D2C"/>
    <w:rsid w:val="0071428F"/>
    <w:rsid w:val="00714655"/>
    <w:rsid w:val="00716FE4"/>
    <w:rsid w:val="00717BC5"/>
    <w:rsid w:val="00717C24"/>
    <w:rsid w:val="007201F0"/>
    <w:rsid w:val="00720BE9"/>
    <w:rsid w:val="00721092"/>
    <w:rsid w:val="00721BF8"/>
    <w:rsid w:val="00721F29"/>
    <w:rsid w:val="00721FF8"/>
    <w:rsid w:val="0072279C"/>
    <w:rsid w:val="00722AC5"/>
    <w:rsid w:val="00722DFE"/>
    <w:rsid w:val="00723229"/>
    <w:rsid w:val="00724938"/>
    <w:rsid w:val="00724A65"/>
    <w:rsid w:val="00725014"/>
    <w:rsid w:val="00725BDE"/>
    <w:rsid w:val="00726562"/>
    <w:rsid w:val="0072682C"/>
    <w:rsid w:val="007277BC"/>
    <w:rsid w:val="00727899"/>
    <w:rsid w:val="00730228"/>
    <w:rsid w:val="00730372"/>
    <w:rsid w:val="00730785"/>
    <w:rsid w:val="007308E0"/>
    <w:rsid w:val="00731509"/>
    <w:rsid w:val="00731C30"/>
    <w:rsid w:val="00731D04"/>
    <w:rsid w:val="0073289F"/>
    <w:rsid w:val="00732D48"/>
    <w:rsid w:val="007334B2"/>
    <w:rsid w:val="007334C8"/>
    <w:rsid w:val="00733560"/>
    <w:rsid w:val="00733628"/>
    <w:rsid w:val="007342B8"/>
    <w:rsid w:val="007343C1"/>
    <w:rsid w:val="0073470C"/>
    <w:rsid w:val="00734BE0"/>
    <w:rsid w:val="0073554C"/>
    <w:rsid w:val="007367AC"/>
    <w:rsid w:val="00736B9E"/>
    <w:rsid w:val="00736BFE"/>
    <w:rsid w:val="00736FC0"/>
    <w:rsid w:val="00737071"/>
    <w:rsid w:val="0073758B"/>
    <w:rsid w:val="007375E6"/>
    <w:rsid w:val="00740168"/>
    <w:rsid w:val="007405B6"/>
    <w:rsid w:val="0074082A"/>
    <w:rsid w:val="00740949"/>
    <w:rsid w:val="00740984"/>
    <w:rsid w:val="00741682"/>
    <w:rsid w:val="00741B1D"/>
    <w:rsid w:val="00741FEC"/>
    <w:rsid w:val="00742BD3"/>
    <w:rsid w:val="00742F78"/>
    <w:rsid w:val="00743E9F"/>
    <w:rsid w:val="00744D22"/>
    <w:rsid w:val="007450B3"/>
    <w:rsid w:val="00745A4D"/>
    <w:rsid w:val="00746018"/>
    <w:rsid w:val="007464C4"/>
    <w:rsid w:val="007466D9"/>
    <w:rsid w:val="00747F7C"/>
    <w:rsid w:val="00750029"/>
    <w:rsid w:val="00750623"/>
    <w:rsid w:val="00750892"/>
    <w:rsid w:val="00750AE3"/>
    <w:rsid w:val="00750CCE"/>
    <w:rsid w:val="00751321"/>
    <w:rsid w:val="0075154A"/>
    <w:rsid w:val="00751581"/>
    <w:rsid w:val="00751C70"/>
    <w:rsid w:val="00751F2D"/>
    <w:rsid w:val="00751FD7"/>
    <w:rsid w:val="00752275"/>
    <w:rsid w:val="00752DE9"/>
    <w:rsid w:val="00752FBB"/>
    <w:rsid w:val="00752FEF"/>
    <w:rsid w:val="007531B9"/>
    <w:rsid w:val="0075356E"/>
    <w:rsid w:val="00753CF2"/>
    <w:rsid w:val="00754145"/>
    <w:rsid w:val="007543AE"/>
    <w:rsid w:val="00754799"/>
    <w:rsid w:val="007554B3"/>
    <w:rsid w:val="00755809"/>
    <w:rsid w:val="00755C3D"/>
    <w:rsid w:val="00756BC7"/>
    <w:rsid w:val="00756CAC"/>
    <w:rsid w:val="007603B4"/>
    <w:rsid w:val="00760EF4"/>
    <w:rsid w:val="00761006"/>
    <w:rsid w:val="00761D19"/>
    <w:rsid w:val="00761FEE"/>
    <w:rsid w:val="007620D5"/>
    <w:rsid w:val="00762438"/>
    <w:rsid w:val="007626E6"/>
    <w:rsid w:val="007629D0"/>
    <w:rsid w:val="00762ADE"/>
    <w:rsid w:val="00762CF5"/>
    <w:rsid w:val="00763129"/>
    <w:rsid w:val="007633FB"/>
    <w:rsid w:val="007634EE"/>
    <w:rsid w:val="00763940"/>
    <w:rsid w:val="00764056"/>
    <w:rsid w:val="0076441B"/>
    <w:rsid w:val="00764CB2"/>
    <w:rsid w:val="00764D65"/>
    <w:rsid w:val="00764ED1"/>
    <w:rsid w:val="0076540F"/>
    <w:rsid w:val="007658FD"/>
    <w:rsid w:val="00765C53"/>
    <w:rsid w:val="00765F5C"/>
    <w:rsid w:val="007662FB"/>
    <w:rsid w:val="0076684E"/>
    <w:rsid w:val="00766DD2"/>
    <w:rsid w:val="00766DF7"/>
    <w:rsid w:val="007670F1"/>
    <w:rsid w:val="00767541"/>
    <w:rsid w:val="00770D8D"/>
    <w:rsid w:val="007712B0"/>
    <w:rsid w:val="0077173C"/>
    <w:rsid w:val="007719B7"/>
    <w:rsid w:val="00771EA1"/>
    <w:rsid w:val="00772D32"/>
    <w:rsid w:val="0077345B"/>
    <w:rsid w:val="00773BB5"/>
    <w:rsid w:val="00773C83"/>
    <w:rsid w:val="0077412B"/>
    <w:rsid w:val="0077447B"/>
    <w:rsid w:val="0077462F"/>
    <w:rsid w:val="007747CB"/>
    <w:rsid w:val="00774D1B"/>
    <w:rsid w:val="007750DB"/>
    <w:rsid w:val="00775EF1"/>
    <w:rsid w:val="007760E2"/>
    <w:rsid w:val="00776565"/>
    <w:rsid w:val="00777A6B"/>
    <w:rsid w:val="00777D0A"/>
    <w:rsid w:val="007805CE"/>
    <w:rsid w:val="00780AEB"/>
    <w:rsid w:val="00780D91"/>
    <w:rsid w:val="0078176B"/>
    <w:rsid w:val="00781E4E"/>
    <w:rsid w:val="007821DA"/>
    <w:rsid w:val="00782EB9"/>
    <w:rsid w:val="00783375"/>
    <w:rsid w:val="00783616"/>
    <w:rsid w:val="00783BD4"/>
    <w:rsid w:val="00784B0A"/>
    <w:rsid w:val="00784E15"/>
    <w:rsid w:val="00784E64"/>
    <w:rsid w:val="007850B5"/>
    <w:rsid w:val="007852FB"/>
    <w:rsid w:val="0078549A"/>
    <w:rsid w:val="00785F1C"/>
    <w:rsid w:val="0078606B"/>
    <w:rsid w:val="007860B2"/>
    <w:rsid w:val="007866E7"/>
    <w:rsid w:val="00786B7E"/>
    <w:rsid w:val="00787D80"/>
    <w:rsid w:val="00787F01"/>
    <w:rsid w:val="00790317"/>
    <w:rsid w:val="007907E1"/>
    <w:rsid w:val="0079158F"/>
    <w:rsid w:val="00791B0F"/>
    <w:rsid w:val="00791EFF"/>
    <w:rsid w:val="00792010"/>
    <w:rsid w:val="007924D3"/>
    <w:rsid w:val="00792DD5"/>
    <w:rsid w:val="0079431E"/>
    <w:rsid w:val="00794511"/>
    <w:rsid w:val="00794663"/>
    <w:rsid w:val="00795498"/>
    <w:rsid w:val="0079574E"/>
    <w:rsid w:val="00795910"/>
    <w:rsid w:val="007965C4"/>
    <w:rsid w:val="00796658"/>
    <w:rsid w:val="0079694F"/>
    <w:rsid w:val="00796FA6"/>
    <w:rsid w:val="00797406"/>
    <w:rsid w:val="0079740F"/>
    <w:rsid w:val="00797E3A"/>
    <w:rsid w:val="007A00D3"/>
    <w:rsid w:val="007A17DE"/>
    <w:rsid w:val="007A1D35"/>
    <w:rsid w:val="007A2000"/>
    <w:rsid w:val="007A2D12"/>
    <w:rsid w:val="007A3799"/>
    <w:rsid w:val="007A3B0E"/>
    <w:rsid w:val="007A3DCF"/>
    <w:rsid w:val="007A4014"/>
    <w:rsid w:val="007A4519"/>
    <w:rsid w:val="007A45CE"/>
    <w:rsid w:val="007A495F"/>
    <w:rsid w:val="007A60F6"/>
    <w:rsid w:val="007A71C4"/>
    <w:rsid w:val="007A7F70"/>
    <w:rsid w:val="007B0018"/>
    <w:rsid w:val="007B0234"/>
    <w:rsid w:val="007B07E9"/>
    <w:rsid w:val="007B0983"/>
    <w:rsid w:val="007B0DFC"/>
    <w:rsid w:val="007B159B"/>
    <w:rsid w:val="007B1A56"/>
    <w:rsid w:val="007B282F"/>
    <w:rsid w:val="007B2CE5"/>
    <w:rsid w:val="007B4A42"/>
    <w:rsid w:val="007B4D34"/>
    <w:rsid w:val="007B5DF6"/>
    <w:rsid w:val="007B5F09"/>
    <w:rsid w:val="007B62FD"/>
    <w:rsid w:val="007B63AE"/>
    <w:rsid w:val="007B6571"/>
    <w:rsid w:val="007B6607"/>
    <w:rsid w:val="007B66BE"/>
    <w:rsid w:val="007B7B95"/>
    <w:rsid w:val="007C00A0"/>
    <w:rsid w:val="007C04C2"/>
    <w:rsid w:val="007C04C4"/>
    <w:rsid w:val="007C0CA2"/>
    <w:rsid w:val="007C14BC"/>
    <w:rsid w:val="007C169C"/>
    <w:rsid w:val="007C186F"/>
    <w:rsid w:val="007C1D1F"/>
    <w:rsid w:val="007C23B8"/>
    <w:rsid w:val="007C35FC"/>
    <w:rsid w:val="007C3F33"/>
    <w:rsid w:val="007C4046"/>
    <w:rsid w:val="007C4282"/>
    <w:rsid w:val="007C43B0"/>
    <w:rsid w:val="007C4A8B"/>
    <w:rsid w:val="007C5263"/>
    <w:rsid w:val="007C56D3"/>
    <w:rsid w:val="007C5A0D"/>
    <w:rsid w:val="007C6021"/>
    <w:rsid w:val="007C60C3"/>
    <w:rsid w:val="007C60C6"/>
    <w:rsid w:val="007C70DA"/>
    <w:rsid w:val="007C7534"/>
    <w:rsid w:val="007C7CBD"/>
    <w:rsid w:val="007C7FFB"/>
    <w:rsid w:val="007D034E"/>
    <w:rsid w:val="007D0708"/>
    <w:rsid w:val="007D084F"/>
    <w:rsid w:val="007D0DEF"/>
    <w:rsid w:val="007D0E26"/>
    <w:rsid w:val="007D1297"/>
    <w:rsid w:val="007D272C"/>
    <w:rsid w:val="007D2961"/>
    <w:rsid w:val="007D2EE5"/>
    <w:rsid w:val="007D3A77"/>
    <w:rsid w:val="007D3F24"/>
    <w:rsid w:val="007D4376"/>
    <w:rsid w:val="007D46D9"/>
    <w:rsid w:val="007D49DA"/>
    <w:rsid w:val="007D4DCD"/>
    <w:rsid w:val="007D5097"/>
    <w:rsid w:val="007D5330"/>
    <w:rsid w:val="007D5A61"/>
    <w:rsid w:val="007D5BB0"/>
    <w:rsid w:val="007D5D0E"/>
    <w:rsid w:val="007D6C2B"/>
    <w:rsid w:val="007D6D16"/>
    <w:rsid w:val="007D7161"/>
    <w:rsid w:val="007D783E"/>
    <w:rsid w:val="007E0D85"/>
    <w:rsid w:val="007E13A4"/>
    <w:rsid w:val="007E141E"/>
    <w:rsid w:val="007E20BF"/>
    <w:rsid w:val="007E25B8"/>
    <w:rsid w:val="007E26B8"/>
    <w:rsid w:val="007E2A04"/>
    <w:rsid w:val="007E3484"/>
    <w:rsid w:val="007E3BAC"/>
    <w:rsid w:val="007E4210"/>
    <w:rsid w:val="007E4DBA"/>
    <w:rsid w:val="007E539C"/>
    <w:rsid w:val="007E5785"/>
    <w:rsid w:val="007E59E8"/>
    <w:rsid w:val="007E5A0D"/>
    <w:rsid w:val="007E5C76"/>
    <w:rsid w:val="007E7669"/>
    <w:rsid w:val="007E77EE"/>
    <w:rsid w:val="007E7FD8"/>
    <w:rsid w:val="007F0949"/>
    <w:rsid w:val="007F0C6B"/>
    <w:rsid w:val="007F11A7"/>
    <w:rsid w:val="007F1211"/>
    <w:rsid w:val="007F1592"/>
    <w:rsid w:val="007F1727"/>
    <w:rsid w:val="007F1C18"/>
    <w:rsid w:val="007F20C0"/>
    <w:rsid w:val="007F2C81"/>
    <w:rsid w:val="007F2CB8"/>
    <w:rsid w:val="007F31C5"/>
    <w:rsid w:val="007F35F3"/>
    <w:rsid w:val="007F3705"/>
    <w:rsid w:val="007F3AE8"/>
    <w:rsid w:val="007F4334"/>
    <w:rsid w:val="007F4581"/>
    <w:rsid w:val="007F4751"/>
    <w:rsid w:val="007F5855"/>
    <w:rsid w:val="007F63D1"/>
    <w:rsid w:val="007F663D"/>
    <w:rsid w:val="007F6C8A"/>
    <w:rsid w:val="007F6F6A"/>
    <w:rsid w:val="007F70EF"/>
    <w:rsid w:val="007F7740"/>
    <w:rsid w:val="00800558"/>
    <w:rsid w:val="008007C5"/>
    <w:rsid w:val="008008E7"/>
    <w:rsid w:val="00801116"/>
    <w:rsid w:val="00801C48"/>
    <w:rsid w:val="00801E3D"/>
    <w:rsid w:val="00801F4F"/>
    <w:rsid w:val="00802646"/>
    <w:rsid w:val="00802CCD"/>
    <w:rsid w:val="008032E1"/>
    <w:rsid w:val="00803CEF"/>
    <w:rsid w:val="00803D05"/>
    <w:rsid w:val="00803FC6"/>
    <w:rsid w:val="008041ED"/>
    <w:rsid w:val="0080457B"/>
    <w:rsid w:val="00804AA5"/>
    <w:rsid w:val="0080508C"/>
    <w:rsid w:val="00805529"/>
    <w:rsid w:val="00805F47"/>
    <w:rsid w:val="0080611F"/>
    <w:rsid w:val="00806135"/>
    <w:rsid w:val="00806673"/>
    <w:rsid w:val="008071D5"/>
    <w:rsid w:val="00807247"/>
    <w:rsid w:val="0080754C"/>
    <w:rsid w:val="008077BC"/>
    <w:rsid w:val="00810545"/>
    <w:rsid w:val="00810726"/>
    <w:rsid w:val="0081240B"/>
    <w:rsid w:val="00813556"/>
    <w:rsid w:val="008146D7"/>
    <w:rsid w:val="0081474B"/>
    <w:rsid w:val="00814AD1"/>
    <w:rsid w:val="00815670"/>
    <w:rsid w:val="00815DCA"/>
    <w:rsid w:val="00816880"/>
    <w:rsid w:val="00816A0E"/>
    <w:rsid w:val="0081743A"/>
    <w:rsid w:val="008174FB"/>
    <w:rsid w:val="00817603"/>
    <w:rsid w:val="00817642"/>
    <w:rsid w:val="008176E6"/>
    <w:rsid w:val="00817992"/>
    <w:rsid w:val="00817D5B"/>
    <w:rsid w:val="00817E0E"/>
    <w:rsid w:val="0082015F"/>
    <w:rsid w:val="008202F9"/>
    <w:rsid w:val="008205D4"/>
    <w:rsid w:val="00820954"/>
    <w:rsid w:val="00821643"/>
    <w:rsid w:val="00821927"/>
    <w:rsid w:val="00821A20"/>
    <w:rsid w:val="00821AAF"/>
    <w:rsid w:val="00822004"/>
    <w:rsid w:val="00822406"/>
    <w:rsid w:val="008238B2"/>
    <w:rsid w:val="00823AEF"/>
    <w:rsid w:val="00824785"/>
    <w:rsid w:val="00824872"/>
    <w:rsid w:val="00824D92"/>
    <w:rsid w:val="00825059"/>
    <w:rsid w:val="008253AE"/>
    <w:rsid w:val="0082551B"/>
    <w:rsid w:val="00825560"/>
    <w:rsid w:val="008261F2"/>
    <w:rsid w:val="008263F2"/>
    <w:rsid w:val="008267BA"/>
    <w:rsid w:val="008267D5"/>
    <w:rsid w:val="00826893"/>
    <w:rsid w:val="00826AB7"/>
    <w:rsid w:val="00827816"/>
    <w:rsid w:val="008306B7"/>
    <w:rsid w:val="00830891"/>
    <w:rsid w:val="00830CD5"/>
    <w:rsid w:val="0083172F"/>
    <w:rsid w:val="008326AE"/>
    <w:rsid w:val="008326DB"/>
    <w:rsid w:val="00832A65"/>
    <w:rsid w:val="00833580"/>
    <w:rsid w:val="00833599"/>
    <w:rsid w:val="00833B07"/>
    <w:rsid w:val="00833B16"/>
    <w:rsid w:val="00833CAC"/>
    <w:rsid w:val="00833CF0"/>
    <w:rsid w:val="00833D1B"/>
    <w:rsid w:val="00833D5A"/>
    <w:rsid w:val="00834203"/>
    <w:rsid w:val="00834A5C"/>
    <w:rsid w:val="00834E1D"/>
    <w:rsid w:val="00834E6B"/>
    <w:rsid w:val="008354B4"/>
    <w:rsid w:val="008355D2"/>
    <w:rsid w:val="00835BC8"/>
    <w:rsid w:val="00836195"/>
    <w:rsid w:val="00836232"/>
    <w:rsid w:val="008362C4"/>
    <w:rsid w:val="0083661C"/>
    <w:rsid w:val="00836690"/>
    <w:rsid w:val="00836F68"/>
    <w:rsid w:val="008370E0"/>
    <w:rsid w:val="00837559"/>
    <w:rsid w:val="0084026C"/>
    <w:rsid w:val="00840611"/>
    <w:rsid w:val="00840B77"/>
    <w:rsid w:val="008413D5"/>
    <w:rsid w:val="008419FD"/>
    <w:rsid w:val="00841F6A"/>
    <w:rsid w:val="008421F3"/>
    <w:rsid w:val="00842245"/>
    <w:rsid w:val="00842527"/>
    <w:rsid w:val="00842DFB"/>
    <w:rsid w:val="00842F2F"/>
    <w:rsid w:val="0084341D"/>
    <w:rsid w:val="008435FD"/>
    <w:rsid w:val="00843C53"/>
    <w:rsid w:val="00845317"/>
    <w:rsid w:val="00845E41"/>
    <w:rsid w:val="008461B0"/>
    <w:rsid w:val="0084726C"/>
    <w:rsid w:val="00847A56"/>
    <w:rsid w:val="008509FB"/>
    <w:rsid w:val="00850BA0"/>
    <w:rsid w:val="00850C9A"/>
    <w:rsid w:val="00850F57"/>
    <w:rsid w:val="008523C1"/>
    <w:rsid w:val="00852B1A"/>
    <w:rsid w:val="008536D4"/>
    <w:rsid w:val="008546CA"/>
    <w:rsid w:val="00854822"/>
    <w:rsid w:val="00854F81"/>
    <w:rsid w:val="008555FA"/>
    <w:rsid w:val="0085562A"/>
    <w:rsid w:val="00855D3C"/>
    <w:rsid w:val="0085613E"/>
    <w:rsid w:val="008565C4"/>
    <w:rsid w:val="00856B7F"/>
    <w:rsid w:val="00856FCF"/>
    <w:rsid w:val="008571EC"/>
    <w:rsid w:val="0085794C"/>
    <w:rsid w:val="00857A55"/>
    <w:rsid w:val="0086015C"/>
    <w:rsid w:val="0086025A"/>
    <w:rsid w:val="00860BF2"/>
    <w:rsid w:val="008621EB"/>
    <w:rsid w:val="00862225"/>
    <w:rsid w:val="00862A7F"/>
    <w:rsid w:val="00862DAF"/>
    <w:rsid w:val="008636D6"/>
    <w:rsid w:val="00863758"/>
    <w:rsid w:val="00863A8F"/>
    <w:rsid w:val="00863B98"/>
    <w:rsid w:val="00863EC9"/>
    <w:rsid w:val="00864298"/>
    <w:rsid w:val="00864A41"/>
    <w:rsid w:val="00864C04"/>
    <w:rsid w:val="008650A5"/>
    <w:rsid w:val="00865189"/>
    <w:rsid w:val="008654A2"/>
    <w:rsid w:val="00865AFE"/>
    <w:rsid w:val="0086657B"/>
    <w:rsid w:val="00866BE6"/>
    <w:rsid w:val="0086737C"/>
    <w:rsid w:val="00867579"/>
    <w:rsid w:val="008678D9"/>
    <w:rsid w:val="0087013A"/>
    <w:rsid w:val="008703F4"/>
    <w:rsid w:val="008706AF"/>
    <w:rsid w:val="008711A9"/>
    <w:rsid w:val="0087165A"/>
    <w:rsid w:val="008719BD"/>
    <w:rsid w:val="00871A55"/>
    <w:rsid w:val="00871E36"/>
    <w:rsid w:val="00872898"/>
    <w:rsid w:val="0087373F"/>
    <w:rsid w:val="00873864"/>
    <w:rsid w:val="00873FF2"/>
    <w:rsid w:val="0087478E"/>
    <w:rsid w:val="008753C8"/>
    <w:rsid w:val="00876623"/>
    <w:rsid w:val="00876FDD"/>
    <w:rsid w:val="00877791"/>
    <w:rsid w:val="00877C1B"/>
    <w:rsid w:val="00877EFB"/>
    <w:rsid w:val="00880116"/>
    <w:rsid w:val="0088148C"/>
    <w:rsid w:val="00881683"/>
    <w:rsid w:val="0088171B"/>
    <w:rsid w:val="008821CA"/>
    <w:rsid w:val="0088249A"/>
    <w:rsid w:val="0088267F"/>
    <w:rsid w:val="00882A20"/>
    <w:rsid w:val="008831EA"/>
    <w:rsid w:val="00883381"/>
    <w:rsid w:val="00883CAD"/>
    <w:rsid w:val="008840D8"/>
    <w:rsid w:val="008853AB"/>
    <w:rsid w:val="00885405"/>
    <w:rsid w:val="00885CB1"/>
    <w:rsid w:val="00885EE0"/>
    <w:rsid w:val="00886573"/>
    <w:rsid w:val="0088690B"/>
    <w:rsid w:val="00886A09"/>
    <w:rsid w:val="00886C5C"/>
    <w:rsid w:val="00886C88"/>
    <w:rsid w:val="00886CFB"/>
    <w:rsid w:val="00887263"/>
    <w:rsid w:val="0089030F"/>
    <w:rsid w:val="00891631"/>
    <w:rsid w:val="008921F8"/>
    <w:rsid w:val="00892684"/>
    <w:rsid w:val="00892B90"/>
    <w:rsid w:val="00894620"/>
    <w:rsid w:val="008947F8"/>
    <w:rsid w:val="00894E74"/>
    <w:rsid w:val="00895687"/>
    <w:rsid w:val="0089577A"/>
    <w:rsid w:val="00895CFA"/>
    <w:rsid w:val="00895DEF"/>
    <w:rsid w:val="008960C6"/>
    <w:rsid w:val="008961E4"/>
    <w:rsid w:val="00896475"/>
    <w:rsid w:val="00896A96"/>
    <w:rsid w:val="00896FB9"/>
    <w:rsid w:val="008974E1"/>
    <w:rsid w:val="00897570"/>
    <w:rsid w:val="00897F58"/>
    <w:rsid w:val="008A0828"/>
    <w:rsid w:val="008A0B1B"/>
    <w:rsid w:val="008A0BF5"/>
    <w:rsid w:val="008A0C99"/>
    <w:rsid w:val="008A0F58"/>
    <w:rsid w:val="008A11C6"/>
    <w:rsid w:val="008A1494"/>
    <w:rsid w:val="008A197A"/>
    <w:rsid w:val="008A19F3"/>
    <w:rsid w:val="008A2F6E"/>
    <w:rsid w:val="008A330B"/>
    <w:rsid w:val="008A3638"/>
    <w:rsid w:val="008A446D"/>
    <w:rsid w:val="008A4F9D"/>
    <w:rsid w:val="008A7864"/>
    <w:rsid w:val="008A7A18"/>
    <w:rsid w:val="008B0BDE"/>
    <w:rsid w:val="008B0CBD"/>
    <w:rsid w:val="008B12A8"/>
    <w:rsid w:val="008B15A4"/>
    <w:rsid w:val="008B17FB"/>
    <w:rsid w:val="008B1891"/>
    <w:rsid w:val="008B18C3"/>
    <w:rsid w:val="008B2230"/>
    <w:rsid w:val="008B4372"/>
    <w:rsid w:val="008B4670"/>
    <w:rsid w:val="008B4D40"/>
    <w:rsid w:val="008B5514"/>
    <w:rsid w:val="008B56C3"/>
    <w:rsid w:val="008B646A"/>
    <w:rsid w:val="008B6470"/>
    <w:rsid w:val="008B68BC"/>
    <w:rsid w:val="008B6D55"/>
    <w:rsid w:val="008B709C"/>
    <w:rsid w:val="008B7641"/>
    <w:rsid w:val="008B76D8"/>
    <w:rsid w:val="008B77E2"/>
    <w:rsid w:val="008C05BD"/>
    <w:rsid w:val="008C0658"/>
    <w:rsid w:val="008C08C7"/>
    <w:rsid w:val="008C0995"/>
    <w:rsid w:val="008C0BE5"/>
    <w:rsid w:val="008C1311"/>
    <w:rsid w:val="008C16C0"/>
    <w:rsid w:val="008C1F56"/>
    <w:rsid w:val="008C223D"/>
    <w:rsid w:val="008C280C"/>
    <w:rsid w:val="008C3312"/>
    <w:rsid w:val="008C363B"/>
    <w:rsid w:val="008C3B9F"/>
    <w:rsid w:val="008C42B4"/>
    <w:rsid w:val="008C4705"/>
    <w:rsid w:val="008C485C"/>
    <w:rsid w:val="008C4978"/>
    <w:rsid w:val="008C4DEF"/>
    <w:rsid w:val="008C510A"/>
    <w:rsid w:val="008C5A7A"/>
    <w:rsid w:val="008C5ABC"/>
    <w:rsid w:val="008C60F2"/>
    <w:rsid w:val="008C613A"/>
    <w:rsid w:val="008C61E7"/>
    <w:rsid w:val="008C6C6A"/>
    <w:rsid w:val="008C7664"/>
    <w:rsid w:val="008C7DBC"/>
    <w:rsid w:val="008D01C2"/>
    <w:rsid w:val="008D03C9"/>
    <w:rsid w:val="008D057F"/>
    <w:rsid w:val="008D05D7"/>
    <w:rsid w:val="008D0941"/>
    <w:rsid w:val="008D1D78"/>
    <w:rsid w:val="008D27DA"/>
    <w:rsid w:val="008D28AD"/>
    <w:rsid w:val="008D2969"/>
    <w:rsid w:val="008D2C3A"/>
    <w:rsid w:val="008D345C"/>
    <w:rsid w:val="008D3EE8"/>
    <w:rsid w:val="008D4009"/>
    <w:rsid w:val="008D49EA"/>
    <w:rsid w:val="008D517D"/>
    <w:rsid w:val="008D667D"/>
    <w:rsid w:val="008D6C5C"/>
    <w:rsid w:val="008D6E5F"/>
    <w:rsid w:val="008D6F5A"/>
    <w:rsid w:val="008D7067"/>
    <w:rsid w:val="008D7406"/>
    <w:rsid w:val="008D7CC1"/>
    <w:rsid w:val="008E078E"/>
    <w:rsid w:val="008E13C3"/>
    <w:rsid w:val="008E1ADA"/>
    <w:rsid w:val="008E2135"/>
    <w:rsid w:val="008E28D1"/>
    <w:rsid w:val="008E291F"/>
    <w:rsid w:val="008E2B17"/>
    <w:rsid w:val="008E2E8D"/>
    <w:rsid w:val="008E4531"/>
    <w:rsid w:val="008E4889"/>
    <w:rsid w:val="008E4AAA"/>
    <w:rsid w:val="008E5048"/>
    <w:rsid w:val="008E5128"/>
    <w:rsid w:val="008E54C6"/>
    <w:rsid w:val="008E5E80"/>
    <w:rsid w:val="008E64F0"/>
    <w:rsid w:val="008E6644"/>
    <w:rsid w:val="008E6BFB"/>
    <w:rsid w:val="008E74A9"/>
    <w:rsid w:val="008E7975"/>
    <w:rsid w:val="008E7EB5"/>
    <w:rsid w:val="008F00F0"/>
    <w:rsid w:val="008F0553"/>
    <w:rsid w:val="008F0950"/>
    <w:rsid w:val="008F0DA9"/>
    <w:rsid w:val="008F17AF"/>
    <w:rsid w:val="008F2081"/>
    <w:rsid w:val="008F33B6"/>
    <w:rsid w:val="008F3547"/>
    <w:rsid w:val="008F35C3"/>
    <w:rsid w:val="008F3CA5"/>
    <w:rsid w:val="008F41B9"/>
    <w:rsid w:val="008F46C6"/>
    <w:rsid w:val="008F4C57"/>
    <w:rsid w:val="008F4CAF"/>
    <w:rsid w:val="008F4FAE"/>
    <w:rsid w:val="008F552F"/>
    <w:rsid w:val="008F5AE2"/>
    <w:rsid w:val="008F6651"/>
    <w:rsid w:val="008F6BC9"/>
    <w:rsid w:val="008F6FA7"/>
    <w:rsid w:val="008F6FFF"/>
    <w:rsid w:val="008F705E"/>
    <w:rsid w:val="008F70D0"/>
    <w:rsid w:val="008F7B36"/>
    <w:rsid w:val="00900062"/>
    <w:rsid w:val="009007E4"/>
    <w:rsid w:val="00900FB1"/>
    <w:rsid w:val="00901021"/>
    <w:rsid w:val="009016DB"/>
    <w:rsid w:val="00901E86"/>
    <w:rsid w:val="00901F4C"/>
    <w:rsid w:val="00902C76"/>
    <w:rsid w:val="009032FE"/>
    <w:rsid w:val="0090340B"/>
    <w:rsid w:val="00903499"/>
    <w:rsid w:val="009034BB"/>
    <w:rsid w:val="00903C50"/>
    <w:rsid w:val="00903FF0"/>
    <w:rsid w:val="00904054"/>
    <w:rsid w:val="00905E1E"/>
    <w:rsid w:val="00905EAA"/>
    <w:rsid w:val="0090663B"/>
    <w:rsid w:val="00906948"/>
    <w:rsid w:val="00907240"/>
    <w:rsid w:val="009077F4"/>
    <w:rsid w:val="009105E9"/>
    <w:rsid w:val="00910B3D"/>
    <w:rsid w:val="0091113E"/>
    <w:rsid w:val="0091119B"/>
    <w:rsid w:val="00911491"/>
    <w:rsid w:val="00911A85"/>
    <w:rsid w:val="00912673"/>
    <w:rsid w:val="00912F44"/>
    <w:rsid w:val="00913293"/>
    <w:rsid w:val="009134E6"/>
    <w:rsid w:val="009137D2"/>
    <w:rsid w:val="00914BD3"/>
    <w:rsid w:val="00914D35"/>
    <w:rsid w:val="00915071"/>
    <w:rsid w:val="00915D2D"/>
    <w:rsid w:val="009168C5"/>
    <w:rsid w:val="00917177"/>
    <w:rsid w:val="00917213"/>
    <w:rsid w:val="0091727A"/>
    <w:rsid w:val="009172B6"/>
    <w:rsid w:val="009176A4"/>
    <w:rsid w:val="009179D6"/>
    <w:rsid w:val="00920EE9"/>
    <w:rsid w:val="009212EE"/>
    <w:rsid w:val="0092170A"/>
    <w:rsid w:val="00921D38"/>
    <w:rsid w:val="00921DB5"/>
    <w:rsid w:val="009220BA"/>
    <w:rsid w:val="00922171"/>
    <w:rsid w:val="0092248A"/>
    <w:rsid w:val="0092263E"/>
    <w:rsid w:val="009230A8"/>
    <w:rsid w:val="00923974"/>
    <w:rsid w:val="00923D1E"/>
    <w:rsid w:val="00923E11"/>
    <w:rsid w:val="00924549"/>
    <w:rsid w:val="009245F3"/>
    <w:rsid w:val="00924824"/>
    <w:rsid w:val="00924A72"/>
    <w:rsid w:val="00924B1D"/>
    <w:rsid w:val="00925084"/>
    <w:rsid w:val="009252FD"/>
    <w:rsid w:val="00925D40"/>
    <w:rsid w:val="009263BD"/>
    <w:rsid w:val="00926871"/>
    <w:rsid w:val="009276B7"/>
    <w:rsid w:val="00927B94"/>
    <w:rsid w:val="00930B88"/>
    <w:rsid w:val="00930CA8"/>
    <w:rsid w:val="00930D7E"/>
    <w:rsid w:val="00931440"/>
    <w:rsid w:val="00931A81"/>
    <w:rsid w:val="00931E88"/>
    <w:rsid w:val="00931EA2"/>
    <w:rsid w:val="00931FDA"/>
    <w:rsid w:val="009327F2"/>
    <w:rsid w:val="00933228"/>
    <w:rsid w:val="00933692"/>
    <w:rsid w:val="0093374E"/>
    <w:rsid w:val="00934B95"/>
    <w:rsid w:val="00935121"/>
    <w:rsid w:val="0093535D"/>
    <w:rsid w:val="00935CD2"/>
    <w:rsid w:val="0093723F"/>
    <w:rsid w:val="009372C3"/>
    <w:rsid w:val="00940FB9"/>
    <w:rsid w:val="009413AB"/>
    <w:rsid w:val="00943120"/>
    <w:rsid w:val="0094334C"/>
    <w:rsid w:val="00943DF2"/>
    <w:rsid w:val="009444E5"/>
    <w:rsid w:val="00944881"/>
    <w:rsid w:val="00944E8C"/>
    <w:rsid w:val="0094606A"/>
    <w:rsid w:val="0094607A"/>
    <w:rsid w:val="00946286"/>
    <w:rsid w:val="00946619"/>
    <w:rsid w:val="0094674B"/>
    <w:rsid w:val="00946AD4"/>
    <w:rsid w:val="00946D85"/>
    <w:rsid w:val="00946FDF"/>
    <w:rsid w:val="009476D3"/>
    <w:rsid w:val="00947BE0"/>
    <w:rsid w:val="00950E74"/>
    <w:rsid w:val="009510D6"/>
    <w:rsid w:val="009510E1"/>
    <w:rsid w:val="00951A23"/>
    <w:rsid w:val="00951B2D"/>
    <w:rsid w:val="00952005"/>
    <w:rsid w:val="009539A9"/>
    <w:rsid w:val="00953A3D"/>
    <w:rsid w:val="00953F2E"/>
    <w:rsid w:val="0095560C"/>
    <w:rsid w:val="00955743"/>
    <w:rsid w:val="009558E4"/>
    <w:rsid w:val="00955DB5"/>
    <w:rsid w:val="0095744D"/>
    <w:rsid w:val="00957A10"/>
    <w:rsid w:val="00957CAE"/>
    <w:rsid w:val="00960298"/>
    <w:rsid w:val="0096085B"/>
    <w:rsid w:val="009613F6"/>
    <w:rsid w:val="009615C7"/>
    <w:rsid w:val="009617EB"/>
    <w:rsid w:val="0096187A"/>
    <w:rsid w:val="0096244A"/>
    <w:rsid w:val="0096262A"/>
    <w:rsid w:val="009628E1"/>
    <w:rsid w:val="00963287"/>
    <w:rsid w:val="009635D8"/>
    <w:rsid w:val="00963690"/>
    <w:rsid w:val="009638F0"/>
    <w:rsid w:val="00963B4D"/>
    <w:rsid w:val="00963E1B"/>
    <w:rsid w:val="00964A3D"/>
    <w:rsid w:val="00965737"/>
    <w:rsid w:val="0096662C"/>
    <w:rsid w:val="00966DCB"/>
    <w:rsid w:val="00967036"/>
    <w:rsid w:val="0096715D"/>
    <w:rsid w:val="00967A7F"/>
    <w:rsid w:val="0097031C"/>
    <w:rsid w:val="0097064E"/>
    <w:rsid w:val="00970F53"/>
    <w:rsid w:val="0097179D"/>
    <w:rsid w:val="00971B44"/>
    <w:rsid w:val="009735A3"/>
    <w:rsid w:val="009735F1"/>
    <w:rsid w:val="00973948"/>
    <w:rsid w:val="00974047"/>
    <w:rsid w:val="009741D8"/>
    <w:rsid w:val="0097453C"/>
    <w:rsid w:val="009746E0"/>
    <w:rsid w:val="009747C5"/>
    <w:rsid w:val="0097490A"/>
    <w:rsid w:val="00974AC3"/>
    <w:rsid w:val="00974DFD"/>
    <w:rsid w:val="00975242"/>
    <w:rsid w:val="00975620"/>
    <w:rsid w:val="0097577A"/>
    <w:rsid w:val="00976070"/>
    <w:rsid w:val="009764D9"/>
    <w:rsid w:val="00976DFD"/>
    <w:rsid w:val="009771D3"/>
    <w:rsid w:val="0098006D"/>
    <w:rsid w:val="00980C71"/>
    <w:rsid w:val="00980E44"/>
    <w:rsid w:val="0098155E"/>
    <w:rsid w:val="0098237D"/>
    <w:rsid w:val="009824A8"/>
    <w:rsid w:val="009824AA"/>
    <w:rsid w:val="0098280B"/>
    <w:rsid w:val="00982D98"/>
    <w:rsid w:val="009833C5"/>
    <w:rsid w:val="0098460B"/>
    <w:rsid w:val="00984741"/>
    <w:rsid w:val="00984AD7"/>
    <w:rsid w:val="0098560D"/>
    <w:rsid w:val="00986517"/>
    <w:rsid w:val="00986666"/>
    <w:rsid w:val="009866A3"/>
    <w:rsid w:val="00986AC6"/>
    <w:rsid w:val="00986FEB"/>
    <w:rsid w:val="00987354"/>
    <w:rsid w:val="00987A67"/>
    <w:rsid w:val="00987CBC"/>
    <w:rsid w:val="00990307"/>
    <w:rsid w:val="00990E46"/>
    <w:rsid w:val="00990F8C"/>
    <w:rsid w:val="0099180D"/>
    <w:rsid w:val="00992243"/>
    <w:rsid w:val="0099293B"/>
    <w:rsid w:val="009929D4"/>
    <w:rsid w:val="00994592"/>
    <w:rsid w:val="0099520E"/>
    <w:rsid w:val="009952A0"/>
    <w:rsid w:val="00996312"/>
    <w:rsid w:val="00996DA9"/>
    <w:rsid w:val="009978F4"/>
    <w:rsid w:val="009979A7"/>
    <w:rsid w:val="009A10BA"/>
    <w:rsid w:val="009A1138"/>
    <w:rsid w:val="009A180C"/>
    <w:rsid w:val="009A1972"/>
    <w:rsid w:val="009A1D14"/>
    <w:rsid w:val="009A1EFD"/>
    <w:rsid w:val="009A208D"/>
    <w:rsid w:val="009A2540"/>
    <w:rsid w:val="009A2813"/>
    <w:rsid w:val="009A2F44"/>
    <w:rsid w:val="009A3192"/>
    <w:rsid w:val="009A33F7"/>
    <w:rsid w:val="009A38FD"/>
    <w:rsid w:val="009A5C38"/>
    <w:rsid w:val="009A635B"/>
    <w:rsid w:val="009A67CB"/>
    <w:rsid w:val="009A6B35"/>
    <w:rsid w:val="009A70D8"/>
    <w:rsid w:val="009A71AA"/>
    <w:rsid w:val="009A7357"/>
    <w:rsid w:val="009A74B5"/>
    <w:rsid w:val="009A781E"/>
    <w:rsid w:val="009A78D7"/>
    <w:rsid w:val="009B04B4"/>
    <w:rsid w:val="009B064C"/>
    <w:rsid w:val="009B0B35"/>
    <w:rsid w:val="009B0DA1"/>
    <w:rsid w:val="009B1932"/>
    <w:rsid w:val="009B1BFB"/>
    <w:rsid w:val="009B1CB9"/>
    <w:rsid w:val="009B1FBD"/>
    <w:rsid w:val="009B2846"/>
    <w:rsid w:val="009B2A19"/>
    <w:rsid w:val="009B3033"/>
    <w:rsid w:val="009B36AE"/>
    <w:rsid w:val="009B3A0B"/>
    <w:rsid w:val="009B42B0"/>
    <w:rsid w:val="009B4C56"/>
    <w:rsid w:val="009B5564"/>
    <w:rsid w:val="009B59B7"/>
    <w:rsid w:val="009B5D4E"/>
    <w:rsid w:val="009B6667"/>
    <w:rsid w:val="009B6877"/>
    <w:rsid w:val="009B6AE2"/>
    <w:rsid w:val="009B6BCD"/>
    <w:rsid w:val="009B719E"/>
    <w:rsid w:val="009B791B"/>
    <w:rsid w:val="009C0AF7"/>
    <w:rsid w:val="009C0C24"/>
    <w:rsid w:val="009C12CC"/>
    <w:rsid w:val="009C15C9"/>
    <w:rsid w:val="009C16B7"/>
    <w:rsid w:val="009C18A4"/>
    <w:rsid w:val="009C27CF"/>
    <w:rsid w:val="009C28B4"/>
    <w:rsid w:val="009C299B"/>
    <w:rsid w:val="009C2C59"/>
    <w:rsid w:val="009C3917"/>
    <w:rsid w:val="009C3A19"/>
    <w:rsid w:val="009C3F99"/>
    <w:rsid w:val="009C4413"/>
    <w:rsid w:val="009C52BD"/>
    <w:rsid w:val="009C63F6"/>
    <w:rsid w:val="009C6CCD"/>
    <w:rsid w:val="009C6FB6"/>
    <w:rsid w:val="009C7250"/>
    <w:rsid w:val="009C7440"/>
    <w:rsid w:val="009C7D32"/>
    <w:rsid w:val="009C7FD9"/>
    <w:rsid w:val="009D0447"/>
    <w:rsid w:val="009D0AB4"/>
    <w:rsid w:val="009D186B"/>
    <w:rsid w:val="009D19BB"/>
    <w:rsid w:val="009D23A2"/>
    <w:rsid w:val="009D2728"/>
    <w:rsid w:val="009D2AAA"/>
    <w:rsid w:val="009D2DFC"/>
    <w:rsid w:val="009D2F3A"/>
    <w:rsid w:val="009D32E6"/>
    <w:rsid w:val="009D375A"/>
    <w:rsid w:val="009D3CDD"/>
    <w:rsid w:val="009D4530"/>
    <w:rsid w:val="009D4B34"/>
    <w:rsid w:val="009D54B8"/>
    <w:rsid w:val="009D567A"/>
    <w:rsid w:val="009D6453"/>
    <w:rsid w:val="009D6A03"/>
    <w:rsid w:val="009D72FD"/>
    <w:rsid w:val="009D7644"/>
    <w:rsid w:val="009D7985"/>
    <w:rsid w:val="009D7D3C"/>
    <w:rsid w:val="009E05B5"/>
    <w:rsid w:val="009E107E"/>
    <w:rsid w:val="009E1C38"/>
    <w:rsid w:val="009E240D"/>
    <w:rsid w:val="009E2C8C"/>
    <w:rsid w:val="009E2E8C"/>
    <w:rsid w:val="009E3F82"/>
    <w:rsid w:val="009E4031"/>
    <w:rsid w:val="009E5683"/>
    <w:rsid w:val="009E57B7"/>
    <w:rsid w:val="009E5923"/>
    <w:rsid w:val="009E5ADF"/>
    <w:rsid w:val="009E6BD2"/>
    <w:rsid w:val="009E6C43"/>
    <w:rsid w:val="009E7663"/>
    <w:rsid w:val="009E7C12"/>
    <w:rsid w:val="009E7DFD"/>
    <w:rsid w:val="009F08D9"/>
    <w:rsid w:val="009F0CFE"/>
    <w:rsid w:val="009F1DFB"/>
    <w:rsid w:val="009F210E"/>
    <w:rsid w:val="009F29D4"/>
    <w:rsid w:val="009F32D5"/>
    <w:rsid w:val="009F3514"/>
    <w:rsid w:val="009F39E7"/>
    <w:rsid w:val="009F3A00"/>
    <w:rsid w:val="009F3C35"/>
    <w:rsid w:val="009F3D30"/>
    <w:rsid w:val="009F40BA"/>
    <w:rsid w:val="009F4285"/>
    <w:rsid w:val="009F428F"/>
    <w:rsid w:val="009F4358"/>
    <w:rsid w:val="009F4969"/>
    <w:rsid w:val="009F5F47"/>
    <w:rsid w:val="009F65C0"/>
    <w:rsid w:val="009F744E"/>
    <w:rsid w:val="009F7619"/>
    <w:rsid w:val="009F7719"/>
    <w:rsid w:val="009F7990"/>
    <w:rsid w:val="009F7A41"/>
    <w:rsid w:val="00A0011F"/>
    <w:rsid w:val="00A00DE4"/>
    <w:rsid w:val="00A015B3"/>
    <w:rsid w:val="00A01AC8"/>
    <w:rsid w:val="00A01D90"/>
    <w:rsid w:val="00A02022"/>
    <w:rsid w:val="00A021A3"/>
    <w:rsid w:val="00A02312"/>
    <w:rsid w:val="00A0278B"/>
    <w:rsid w:val="00A028F8"/>
    <w:rsid w:val="00A029A2"/>
    <w:rsid w:val="00A029EC"/>
    <w:rsid w:val="00A02E12"/>
    <w:rsid w:val="00A0452D"/>
    <w:rsid w:val="00A04983"/>
    <w:rsid w:val="00A05938"/>
    <w:rsid w:val="00A05C5E"/>
    <w:rsid w:val="00A060B4"/>
    <w:rsid w:val="00A065F6"/>
    <w:rsid w:val="00A072CD"/>
    <w:rsid w:val="00A0753F"/>
    <w:rsid w:val="00A077CE"/>
    <w:rsid w:val="00A078E1"/>
    <w:rsid w:val="00A10064"/>
    <w:rsid w:val="00A102DC"/>
    <w:rsid w:val="00A10A4C"/>
    <w:rsid w:val="00A10FFD"/>
    <w:rsid w:val="00A111B3"/>
    <w:rsid w:val="00A112D7"/>
    <w:rsid w:val="00A11347"/>
    <w:rsid w:val="00A114F5"/>
    <w:rsid w:val="00A11818"/>
    <w:rsid w:val="00A11918"/>
    <w:rsid w:val="00A11A18"/>
    <w:rsid w:val="00A11A72"/>
    <w:rsid w:val="00A1290D"/>
    <w:rsid w:val="00A13417"/>
    <w:rsid w:val="00A14282"/>
    <w:rsid w:val="00A145C2"/>
    <w:rsid w:val="00A15983"/>
    <w:rsid w:val="00A159EA"/>
    <w:rsid w:val="00A15D90"/>
    <w:rsid w:val="00A160D9"/>
    <w:rsid w:val="00A16B8D"/>
    <w:rsid w:val="00A16D59"/>
    <w:rsid w:val="00A174A5"/>
    <w:rsid w:val="00A17721"/>
    <w:rsid w:val="00A20709"/>
    <w:rsid w:val="00A21318"/>
    <w:rsid w:val="00A21596"/>
    <w:rsid w:val="00A218D6"/>
    <w:rsid w:val="00A21D8E"/>
    <w:rsid w:val="00A2231B"/>
    <w:rsid w:val="00A22564"/>
    <w:rsid w:val="00A22B98"/>
    <w:rsid w:val="00A24105"/>
    <w:rsid w:val="00A25407"/>
    <w:rsid w:val="00A25641"/>
    <w:rsid w:val="00A261FF"/>
    <w:rsid w:val="00A262B4"/>
    <w:rsid w:val="00A262FA"/>
    <w:rsid w:val="00A26301"/>
    <w:rsid w:val="00A2634B"/>
    <w:rsid w:val="00A30DE3"/>
    <w:rsid w:val="00A31219"/>
    <w:rsid w:val="00A31BE5"/>
    <w:rsid w:val="00A31DAA"/>
    <w:rsid w:val="00A31E0F"/>
    <w:rsid w:val="00A321E4"/>
    <w:rsid w:val="00A32408"/>
    <w:rsid w:val="00A324D8"/>
    <w:rsid w:val="00A327BC"/>
    <w:rsid w:val="00A32D98"/>
    <w:rsid w:val="00A333B8"/>
    <w:rsid w:val="00A334C9"/>
    <w:rsid w:val="00A352C9"/>
    <w:rsid w:val="00A35747"/>
    <w:rsid w:val="00A35AE2"/>
    <w:rsid w:val="00A35DA3"/>
    <w:rsid w:val="00A36271"/>
    <w:rsid w:val="00A36547"/>
    <w:rsid w:val="00A36552"/>
    <w:rsid w:val="00A36AE4"/>
    <w:rsid w:val="00A37012"/>
    <w:rsid w:val="00A37163"/>
    <w:rsid w:val="00A41B7D"/>
    <w:rsid w:val="00A41DEF"/>
    <w:rsid w:val="00A42055"/>
    <w:rsid w:val="00A420D2"/>
    <w:rsid w:val="00A4228B"/>
    <w:rsid w:val="00A426FE"/>
    <w:rsid w:val="00A4372C"/>
    <w:rsid w:val="00A444C5"/>
    <w:rsid w:val="00A444E7"/>
    <w:rsid w:val="00A45390"/>
    <w:rsid w:val="00A45F64"/>
    <w:rsid w:val="00A46476"/>
    <w:rsid w:val="00A4657F"/>
    <w:rsid w:val="00A468AA"/>
    <w:rsid w:val="00A47AB3"/>
    <w:rsid w:val="00A47DA0"/>
    <w:rsid w:val="00A501B3"/>
    <w:rsid w:val="00A5092F"/>
    <w:rsid w:val="00A51473"/>
    <w:rsid w:val="00A51559"/>
    <w:rsid w:val="00A51949"/>
    <w:rsid w:val="00A51E48"/>
    <w:rsid w:val="00A52C0B"/>
    <w:rsid w:val="00A5327F"/>
    <w:rsid w:val="00A53383"/>
    <w:rsid w:val="00A5430B"/>
    <w:rsid w:val="00A557DE"/>
    <w:rsid w:val="00A5595D"/>
    <w:rsid w:val="00A55AAA"/>
    <w:rsid w:val="00A55CAA"/>
    <w:rsid w:val="00A55DC8"/>
    <w:rsid w:val="00A566B4"/>
    <w:rsid w:val="00A578C5"/>
    <w:rsid w:val="00A57EC8"/>
    <w:rsid w:val="00A60427"/>
    <w:rsid w:val="00A608EB"/>
    <w:rsid w:val="00A60B3F"/>
    <w:rsid w:val="00A613A0"/>
    <w:rsid w:val="00A617E3"/>
    <w:rsid w:val="00A6379F"/>
    <w:rsid w:val="00A63C00"/>
    <w:rsid w:val="00A640EA"/>
    <w:rsid w:val="00A646E4"/>
    <w:rsid w:val="00A6472E"/>
    <w:rsid w:val="00A6486B"/>
    <w:rsid w:val="00A64947"/>
    <w:rsid w:val="00A64A8B"/>
    <w:rsid w:val="00A64D4E"/>
    <w:rsid w:val="00A656AF"/>
    <w:rsid w:val="00A65A54"/>
    <w:rsid w:val="00A65EEE"/>
    <w:rsid w:val="00A66451"/>
    <w:rsid w:val="00A66603"/>
    <w:rsid w:val="00A6689E"/>
    <w:rsid w:val="00A66C61"/>
    <w:rsid w:val="00A673D8"/>
    <w:rsid w:val="00A674FE"/>
    <w:rsid w:val="00A67B33"/>
    <w:rsid w:val="00A67B99"/>
    <w:rsid w:val="00A70383"/>
    <w:rsid w:val="00A70E17"/>
    <w:rsid w:val="00A70E39"/>
    <w:rsid w:val="00A714EF"/>
    <w:rsid w:val="00A716C2"/>
    <w:rsid w:val="00A71961"/>
    <w:rsid w:val="00A71AF4"/>
    <w:rsid w:val="00A71DE5"/>
    <w:rsid w:val="00A720A7"/>
    <w:rsid w:val="00A72AC2"/>
    <w:rsid w:val="00A72AC5"/>
    <w:rsid w:val="00A72B5C"/>
    <w:rsid w:val="00A730BB"/>
    <w:rsid w:val="00A7341E"/>
    <w:rsid w:val="00A73BA9"/>
    <w:rsid w:val="00A74B4C"/>
    <w:rsid w:val="00A7577C"/>
    <w:rsid w:val="00A75E28"/>
    <w:rsid w:val="00A76608"/>
    <w:rsid w:val="00A76791"/>
    <w:rsid w:val="00A76E09"/>
    <w:rsid w:val="00A77684"/>
    <w:rsid w:val="00A7768C"/>
    <w:rsid w:val="00A77972"/>
    <w:rsid w:val="00A77BFF"/>
    <w:rsid w:val="00A812A9"/>
    <w:rsid w:val="00A8146B"/>
    <w:rsid w:val="00A81C50"/>
    <w:rsid w:val="00A8280B"/>
    <w:rsid w:val="00A8296C"/>
    <w:rsid w:val="00A82B35"/>
    <w:rsid w:val="00A837DE"/>
    <w:rsid w:val="00A845B3"/>
    <w:rsid w:val="00A84A62"/>
    <w:rsid w:val="00A84FC8"/>
    <w:rsid w:val="00A85038"/>
    <w:rsid w:val="00A85C1D"/>
    <w:rsid w:val="00A863F4"/>
    <w:rsid w:val="00A866D7"/>
    <w:rsid w:val="00A86746"/>
    <w:rsid w:val="00A86B87"/>
    <w:rsid w:val="00A86EF7"/>
    <w:rsid w:val="00A872EA"/>
    <w:rsid w:val="00A87ACB"/>
    <w:rsid w:val="00A87BD1"/>
    <w:rsid w:val="00A87C0C"/>
    <w:rsid w:val="00A87F0A"/>
    <w:rsid w:val="00A9001C"/>
    <w:rsid w:val="00A9001E"/>
    <w:rsid w:val="00A900F6"/>
    <w:rsid w:val="00A901B9"/>
    <w:rsid w:val="00A902EE"/>
    <w:rsid w:val="00A9036D"/>
    <w:rsid w:val="00A9080C"/>
    <w:rsid w:val="00A90B79"/>
    <w:rsid w:val="00A90FEA"/>
    <w:rsid w:val="00A9115C"/>
    <w:rsid w:val="00A91191"/>
    <w:rsid w:val="00A91901"/>
    <w:rsid w:val="00A91D88"/>
    <w:rsid w:val="00A91FE0"/>
    <w:rsid w:val="00A91FEB"/>
    <w:rsid w:val="00A920A5"/>
    <w:rsid w:val="00A92C1D"/>
    <w:rsid w:val="00A92C7B"/>
    <w:rsid w:val="00A93375"/>
    <w:rsid w:val="00A93A23"/>
    <w:rsid w:val="00A93F0F"/>
    <w:rsid w:val="00A9402E"/>
    <w:rsid w:val="00A944CA"/>
    <w:rsid w:val="00A946B8"/>
    <w:rsid w:val="00A94D9E"/>
    <w:rsid w:val="00A95319"/>
    <w:rsid w:val="00A956E6"/>
    <w:rsid w:val="00A958E8"/>
    <w:rsid w:val="00A96522"/>
    <w:rsid w:val="00A979BD"/>
    <w:rsid w:val="00AA05D6"/>
    <w:rsid w:val="00AA16B5"/>
    <w:rsid w:val="00AA17C4"/>
    <w:rsid w:val="00AA1952"/>
    <w:rsid w:val="00AA2009"/>
    <w:rsid w:val="00AA24FD"/>
    <w:rsid w:val="00AA26E3"/>
    <w:rsid w:val="00AA2E18"/>
    <w:rsid w:val="00AA2F87"/>
    <w:rsid w:val="00AA317A"/>
    <w:rsid w:val="00AA3486"/>
    <w:rsid w:val="00AA3718"/>
    <w:rsid w:val="00AA37EA"/>
    <w:rsid w:val="00AA3B92"/>
    <w:rsid w:val="00AA3CAD"/>
    <w:rsid w:val="00AA3DE0"/>
    <w:rsid w:val="00AA417B"/>
    <w:rsid w:val="00AA4210"/>
    <w:rsid w:val="00AA49F0"/>
    <w:rsid w:val="00AA4CFA"/>
    <w:rsid w:val="00AA4DC8"/>
    <w:rsid w:val="00AA4E2D"/>
    <w:rsid w:val="00AA58C2"/>
    <w:rsid w:val="00AA6233"/>
    <w:rsid w:val="00AA6B37"/>
    <w:rsid w:val="00AA6D2C"/>
    <w:rsid w:val="00AA7487"/>
    <w:rsid w:val="00AA79D8"/>
    <w:rsid w:val="00AB0343"/>
    <w:rsid w:val="00AB05C0"/>
    <w:rsid w:val="00AB075E"/>
    <w:rsid w:val="00AB0A16"/>
    <w:rsid w:val="00AB12AE"/>
    <w:rsid w:val="00AB1658"/>
    <w:rsid w:val="00AB1F3F"/>
    <w:rsid w:val="00AB299C"/>
    <w:rsid w:val="00AB2C1D"/>
    <w:rsid w:val="00AB2E3D"/>
    <w:rsid w:val="00AB31E4"/>
    <w:rsid w:val="00AB3721"/>
    <w:rsid w:val="00AB3854"/>
    <w:rsid w:val="00AB39F9"/>
    <w:rsid w:val="00AB3D2A"/>
    <w:rsid w:val="00AB4116"/>
    <w:rsid w:val="00AB5189"/>
    <w:rsid w:val="00AB5477"/>
    <w:rsid w:val="00AB5BFA"/>
    <w:rsid w:val="00AB64EC"/>
    <w:rsid w:val="00AB6ACE"/>
    <w:rsid w:val="00AB7E40"/>
    <w:rsid w:val="00AC05D2"/>
    <w:rsid w:val="00AC09B7"/>
    <w:rsid w:val="00AC19AA"/>
    <w:rsid w:val="00AC1A90"/>
    <w:rsid w:val="00AC1EC5"/>
    <w:rsid w:val="00AC1F08"/>
    <w:rsid w:val="00AC24D0"/>
    <w:rsid w:val="00AC3883"/>
    <w:rsid w:val="00AC41F1"/>
    <w:rsid w:val="00AC46C7"/>
    <w:rsid w:val="00AC5274"/>
    <w:rsid w:val="00AC5B8F"/>
    <w:rsid w:val="00AC6366"/>
    <w:rsid w:val="00AC6B47"/>
    <w:rsid w:val="00AD0628"/>
    <w:rsid w:val="00AD06EA"/>
    <w:rsid w:val="00AD0DE8"/>
    <w:rsid w:val="00AD1200"/>
    <w:rsid w:val="00AD1360"/>
    <w:rsid w:val="00AD1686"/>
    <w:rsid w:val="00AD1E4A"/>
    <w:rsid w:val="00AD21B2"/>
    <w:rsid w:val="00AD22B0"/>
    <w:rsid w:val="00AD27CE"/>
    <w:rsid w:val="00AD2E97"/>
    <w:rsid w:val="00AD363E"/>
    <w:rsid w:val="00AD3777"/>
    <w:rsid w:val="00AD40C4"/>
    <w:rsid w:val="00AD41C1"/>
    <w:rsid w:val="00AD4403"/>
    <w:rsid w:val="00AD44B8"/>
    <w:rsid w:val="00AD4900"/>
    <w:rsid w:val="00AD4B5C"/>
    <w:rsid w:val="00AD4D69"/>
    <w:rsid w:val="00AD4F60"/>
    <w:rsid w:val="00AD6CF8"/>
    <w:rsid w:val="00AD6E5D"/>
    <w:rsid w:val="00AD7AFB"/>
    <w:rsid w:val="00AE02C0"/>
    <w:rsid w:val="00AE0387"/>
    <w:rsid w:val="00AE03E0"/>
    <w:rsid w:val="00AE06F9"/>
    <w:rsid w:val="00AE0E5F"/>
    <w:rsid w:val="00AE0FCA"/>
    <w:rsid w:val="00AE1A0C"/>
    <w:rsid w:val="00AE1B18"/>
    <w:rsid w:val="00AE2044"/>
    <w:rsid w:val="00AE2384"/>
    <w:rsid w:val="00AE2397"/>
    <w:rsid w:val="00AE2403"/>
    <w:rsid w:val="00AE367D"/>
    <w:rsid w:val="00AE3910"/>
    <w:rsid w:val="00AE3B92"/>
    <w:rsid w:val="00AE3DBC"/>
    <w:rsid w:val="00AE550C"/>
    <w:rsid w:val="00AE558F"/>
    <w:rsid w:val="00AE5689"/>
    <w:rsid w:val="00AE5C32"/>
    <w:rsid w:val="00AE60F5"/>
    <w:rsid w:val="00AE6835"/>
    <w:rsid w:val="00AE6B84"/>
    <w:rsid w:val="00AE73B8"/>
    <w:rsid w:val="00AE7822"/>
    <w:rsid w:val="00AE7BB6"/>
    <w:rsid w:val="00AF068F"/>
    <w:rsid w:val="00AF1733"/>
    <w:rsid w:val="00AF1CC2"/>
    <w:rsid w:val="00AF20F6"/>
    <w:rsid w:val="00AF2519"/>
    <w:rsid w:val="00AF272F"/>
    <w:rsid w:val="00AF2815"/>
    <w:rsid w:val="00AF2A1C"/>
    <w:rsid w:val="00AF41A6"/>
    <w:rsid w:val="00AF4384"/>
    <w:rsid w:val="00AF449E"/>
    <w:rsid w:val="00AF45B0"/>
    <w:rsid w:val="00AF4A23"/>
    <w:rsid w:val="00AF5452"/>
    <w:rsid w:val="00AF6AA1"/>
    <w:rsid w:val="00AF6B47"/>
    <w:rsid w:val="00AF735D"/>
    <w:rsid w:val="00AF7527"/>
    <w:rsid w:val="00AF761F"/>
    <w:rsid w:val="00AF78CE"/>
    <w:rsid w:val="00AF7A36"/>
    <w:rsid w:val="00AF7A9E"/>
    <w:rsid w:val="00AF7B65"/>
    <w:rsid w:val="00B00286"/>
    <w:rsid w:val="00B00600"/>
    <w:rsid w:val="00B009DC"/>
    <w:rsid w:val="00B00A3F"/>
    <w:rsid w:val="00B010C9"/>
    <w:rsid w:val="00B02481"/>
    <w:rsid w:val="00B03030"/>
    <w:rsid w:val="00B03244"/>
    <w:rsid w:val="00B03823"/>
    <w:rsid w:val="00B0492C"/>
    <w:rsid w:val="00B04AC6"/>
    <w:rsid w:val="00B04BB9"/>
    <w:rsid w:val="00B04E3C"/>
    <w:rsid w:val="00B05325"/>
    <w:rsid w:val="00B05398"/>
    <w:rsid w:val="00B06284"/>
    <w:rsid w:val="00B065B2"/>
    <w:rsid w:val="00B074CA"/>
    <w:rsid w:val="00B076CD"/>
    <w:rsid w:val="00B07D9B"/>
    <w:rsid w:val="00B10EF5"/>
    <w:rsid w:val="00B11D0C"/>
    <w:rsid w:val="00B11EA8"/>
    <w:rsid w:val="00B12291"/>
    <w:rsid w:val="00B12BEC"/>
    <w:rsid w:val="00B12C15"/>
    <w:rsid w:val="00B12EE7"/>
    <w:rsid w:val="00B13218"/>
    <w:rsid w:val="00B142B8"/>
    <w:rsid w:val="00B14BBE"/>
    <w:rsid w:val="00B158D7"/>
    <w:rsid w:val="00B1596A"/>
    <w:rsid w:val="00B15AB0"/>
    <w:rsid w:val="00B15EA0"/>
    <w:rsid w:val="00B17106"/>
    <w:rsid w:val="00B176A4"/>
    <w:rsid w:val="00B17A30"/>
    <w:rsid w:val="00B20289"/>
    <w:rsid w:val="00B204C1"/>
    <w:rsid w:val="00B210F0"/>
    <w:rsid w:val="00B217B4"/>
    <w:rsid w:val="00B218DA"/>
    <w:rsid w:val="00B22139"/>
    <w:rsid w:val="00B226B7"/>
    <w:rsid w:val="00B22C1F"/>
    <w:rsid w:val="00B2330E"/>
    <w:rsid w:val="00B235DA"/>
    <w:rsid w:val="00B23713"/>
    <w:rsid w:val="00B23D67"/>
    <w:rsid w:val="00B24532"/>
    <w:rsid w:val="00B24666"/>
    <w:rsid w:val="00B24D98"/>
    <w:rsid w:val="00B2543E"/>
    <w:rsid w:val="00B2553A"/>
    <w:rsid w:val="00B25602"/>
    <w:rsid w:val="00B2560F"/>
    <w:rsid w:val="00B2582D"/>
    <w:rsid w:val="00B260C4"/>
    <w:rsid w:val="00B2617C"/>
    <w:rsid w:val="00B26A8B"/>
    <w:rsid w:val="00B26D9C"/>
    <w:rsid w:val="00B2710D"/>
    <w:rsid w:val="00B27736"/>
    <w:rsid w:val="00B27F33"/>
    <w:rsid w:val="00B30815"/>
    <w:rsid w:val="00B314CC"/>
    <w:rsid w:val="00B31AA9"/>
    <w:rsid w:val="00B31B0B"/>
    <w:rsid w:val="00B31BF3"/>
    <w:rsid w:val="00B323AA"/>
    <w:rsid w:val="00B32AEE"/>
    <w:rsid w:val="00B32BA0"/>
    <w:rsid w:val="00B32DC7"/>
    <w:rsid w:val="00B32E17"/>
    <w:rsid w:val="00B33DA4"/>
    <w:rsid w:val="00B33E91"/>
    <w:rsid w:val="00B3411F"/>
    <w:rsid w:val="00B346BB"/>
    <w:rsid w:val="00B34BE4"/>
    <w:rsid w:val="00B34CF1"/>
    <w:rsid w:val="00B35BBF"/>
    <w:rsid w:val="00B35E23"/>
    <w:rsid w:val="00B368A0"/>
    <w:rsid w:val="00B36BD1"/>
    <w:rsid w:val="00B36CB3"/>
    <w:rsid w:val="00B36D00"/>
    <w:rsid w:val="00B37449"/>
    <w:rsid w:val="00B37C98"/>
    <w:rsid w:val="00B37FFC"/>
    <w:rsid w:val="00B40093"/>
    <w:rsid w:val="00B40251"/>
    <w:rsid w:val="00B406E1"/>
    <w:rsid w:val="00B40AE7"/>
    <w:rsid w:val="00B40F37"/>
    <w:rsid w:val="00B40FB6"/>
    <w:rsid w:val="00B416BE"/>
    <w:rsid w:val="00B41ED4"/>
    <w:rsid w:val="00B42028"/>
    <w:rsid w:val="00B42719"/>
    <w:rsid w:val="00B42E65"/>
    <w:rsid w:val="00B42E97"/>
    <w:rsid w:val="00B42EB7"/>
    <w:rsid w:val="00B43921"/>
    <w:rsid w:val="00B43CCA"/>
    <w:rsid w:val="00B43D56"/>
    <w:rsid w:val="00B44597"/>
    <w:rsid w:val="00B44665"/>
    <w:rsid w:val="00B456E7"/>
    <w:rsid w:val="00B46023"/>
    <w:rsid w:val="00B465AB"/>
    <w:rsid w:val="00B47612"/>
    <w:rsid w:val="00B500EF"/>
    <w:rsid w:val="00B504F7"/>
    <w:rsid w:val="00B50802"/>
    <w:rsid w:val="00B509F0"/>
    <w:rsid w:val="00B5125C"/>
    <w:rsid w:val="00B51B38"/>
    <w:rsid w:val="00B51F9E"/>
    <w:rsid w:val="00B521DE"/>
    <w:rsid w:val="00B52E86"/>
    <w:rsid w:val="00B54A50"/>
    <w:rsid w:val="00B54E49"/>
    <w:rsid w:val="00B552CA"/>
    <w:rsid w:val="00B5535C"/>
    <w:rsid w:val="00B555D6"/>
    <w:rsid w:val="00B56E4B"/>
    <w:rsid w:val="00B57580"/>
    <w:rsid w:val="00B57A03"/>
    <w:rsid w:val="00B57AA9"/>
    <w:rsid w:val="00B60BF9"/>
    <w:rsid w:val="00B6116A"/>
    <w:rsid w:val="00B6180A"/>
    <w:rsid w:val="00B6213A"/>
    <w:rsid w:val="00B62640"/>
    <w:rsid w:val="00B62A21"/>
    <w:rsid w:val="00B62CB3"/>
    <w:rsid w:val="00B63846"/>
    <w:rsid w:val="00B63F9E"/>
    <w:rsid w:val="00B64210"/>
    <w:rsid w:val="00B64660"/>
    <w:rsid w:val="00B64FBF"/>
    <w:rsid w:val="00B6540D"/>
    <w:rsid w:val="00B6542D"/>
    <w:rsid w:val="00B65C8F"/>
    <w:rsid w:val="00B65E7A"/>
    <w:rsid w:val="00B66A10"/>
    <w:rsid w:val="00B67031"/>
    <w:rsid w:val="00B67417"/>
    <w:rsid w:val="00B676B3"/>
    <w:rsid w:val="00B6784F"/>
    <w:rsid w:val="00B67A8B"/>
    <w:rsid w:val="00B709F0"/>
    <w:rsid w:val="00B716D1"/>
    <w:rsid w:val="00B7185B"/>
    <w:rsid w:val="00B71C76"/>
    <w:rsid w:val="00B71D4F"/>
    <w:rsid w:val="00B728AE"/>
    <w:rsid w:val="00B729D9"/>
    <w:rsid w:val="00B72E73"/>
    <w:rsid w:val="00B72ECD"/>
    <w:rsid w:val="00B7328C"/>
    <w:rsid w:val="00B73ACE"/>
    <w:rsid w:val="00B73B7A"/>
    <w:rsid w:val="00B74095"/>
    <w:rsid w:val="00B745B0"/>
    <w:rsid w:val="00B74794"/>
    <w:rsid w:val="00B749F0"/>
    <w:rsid w:val="00B74A5F"/>
    <w:rsid w:val="00B750AD"/>
    <w:rsid w:val="00B75EAA"/>
    <w:rsid w:val="00B76B4F"/>
    <w:rsid w:val="00B76C34"/>
    <w:rsid w:val="00B771ED"/>
    <w:rsid w:val="00B774E4"/>
    <w:rsid w:val="00B77F58"/>
    <w:rsid w:val="00B80282"/>
    <w:rsid w:val="00B804D0"/>
    <w:rsid w:val="00B80734"/>
    <w:rsid w:val="00B8094A"/>
    <w:rsid w:val="00B81A0F"/>
    <w:rsid w:val="00B81EA2"/>
    <w:rsid w:val="00B82BB6"/>
    <w:rsid w:val="00B82F22"/>
    <w:rsid w:val="00B830FC"/>
    <w:rsid w:val="00B83747"/>
    <w:rsid w:val="00B83A2B"/>
    <w:rsid w:val="00B845C9"/>
    <w:rsid w:val="00B845CA"/>
    <w:rsid w:val="00B853B4"/>
    <w:rsid w:val="00B85DAF"/>
    <w:rsid w:val="00B86969"/>
    <w:rsid w:val="00B86CC1"/>
    <w:rsid w:val="00B87C7B"/>
    <w:rsid w:val="00B87CC3"/>
    <w:rsid w:val="00B90BC9"/>
    <w:rsid w:val="00B90D5D"/>
    <w:rsid w:val="00B90EE1"/>
    <w:rsid w:val="00B91B0C"/>
    <w:rsid w:val="00B91CC2"/>
    <w:rsid w:val="00B91EF9"/>
    <w:rsid w:val="00B92058"/>
    <w:rsid w:val="00B92A7E"/>
    <w:rsid w:val="00B93A63"/>
    <w:rsid w:val="00B9417E"/>
    <w:rsid w:val="00B9419C"/>
    <w:rsid w:val="00B944FB"/>
    <w:rsid w:val="00B946F3"/>
    <w:rsid w:val="00B953CE"/>
    <w:rsid w:val="00B95585"/>
    <w:rsid w:val="00B955EC"/>
    <w:rsid w:val="00B955F4"/>
    <w:rsid w:val="00B959F0"/>
    <w:rsid w:val="00B95AD7"/>
    <w:rsid w:val="00B95C41"/>
    <w:rsid w:val="00B95F84"/>
    <w:rsid w:val="00B961E8"/>
    <w:rsid w:val="00B967AC"/>
    <w:rsid w:val="00B96B6D"/>
    <w:rsid w:val="00B97139"/>
    <w:rsid w:val="00B973F2"/>
    <w:rsid w:val="00BA0582"/>
    <w:rsid w:val="00BA0BF9"/>
    <w:rsid w:val="00BA14FB"/>
    <w:rsid w:val="00BA151F"/>
    <w:rsid w:val="00BA1671"/>
    <w:rsid w:val="00BA1765"/>
    <w:rsid w:val="00BA18B4"/>
    <w:rsid w:val="00BA1DED"/>
    <w:rsid w:val="00BA24FF"/>
    <w:rsid w:val="00BA27E7"/>
    <w:rsid w:val="00BA2C0C"/>
    <w:rsid w:val="00BA4367"/>
    <w:rsid w:val="00BA482C"/>
    <w:rsid w:val="00BA5950"/>
    <w:rsid w:val="00BA5F8A"/>
    <w:rsid w:val="00BA6AA3"/>
    <w:rsid w:val="00BA6B6D"/>
    <w:rsid w:val="00BA707B"/>
    <w:rsid w:val="00BA7377"/>
    <w:rsid w:val="00BA7A77"/>
    <w:rsid w:val="00BA7C8F"/>
    <w:rsid w:val="00BA7DD7"/>
    <w:rsid w:val="00BB0029"/>
    <w:rsid w:val="00BB04B8"/>
    <w:rsid w:val="00BB0695"/>
    <w:rsid w:val="00BB0700"/>
    <w:rsid w:val="00BB08D7"/>
    <w:rsid w:val="00BB1DB4"/>
    <w:rsid w:val="00BB2011"/>
    <w:rsid w:val="00BB2DCF"/>
    <w:rsid w:val="00BB3DF2"/>
    <w:rsid w:val="00BB425F"/>
    <w:rsid w:val="00BB4988"/>
    <w:rsid w:val="00BB5571"/>
    <w:rsid w:val="00BB61F9"/>
    <w:rsid w:val="00BB691B"/>
    <w:rsid w:val="00BB6E9F"/>
    <w:rsid w:val="00BB7CEE"/>
    <w:rsid w:val="00BC09A7"/>
    <w:rsid w:val="00BC0D0E"/>
    <w:rsid w:val="00BC1129"/>
    <w:rsid w:val="00BC275F"/>
    <w:rsid w:val="00BC295B"/>
    <w:rsid w:val="00BC2A73"/>
    <w:rsid w:val="00BC2ABD"/>
    <w:rsid w:val="00BC36B3"/>
    <w:rsid w:val="00BC43C0"/>
    <w:rsid w:val="00BC443E"/>
    <w:rsid w:val="00BC4CEE"/>
    <w:rsid w:val="00BC4F14"/>
    <w:rsid w:val="00BC5A44"/>
    <w:rsid w:val="00BC7BFD"/>
    <w:rsid w:val="00BC7D32"/>
    <w:rsid w:val="00BC7D9B"/>
    <w:rsid w:val="00BD0F0E"/>
    <w:rsid w:val="00BD1C90"/>
    <w:rsid w:val="00BD1CFE"/>
    <w:rsid w:val="00BD1D08"/>
    <w:rsid w:val="00BD22B4"/>
    <w:rsid w:val="00BD2E30"/>
    <w:rsid w:val="00BD34DB"/>
    <w:rsid w:val="00BD3B6B"/>
    <w:rsid w:val="00BD3C4D"/>
    <w:rsid w:val="00BD4436"/>
    <w:rsid w:val="00BD455E"/>
    <w:rsid w:val="00BD4CFA"/>
    <w:rsid w:val="00BD5131"/>
    <w:rsid w:val="00BD5151"/>
    <w:rsid w:val="00BD522B"/>
    <w:rsid w:val="00BD528A"/>
    <w:rsid w:val="00BD564D"/>
    <w:rsid w:val="00BD5920"/>
    <w:rsid w:val="00BD5FEA"/>
    <w:rsid w:val="00BD6586"/>
    <w:rsid w:val="00BD664B"/>
    <w:rsid w:val="00BD676E"/>
    <w:rsid w:val="00BD7715"/>
    <w:rsid w:val="00BD7F67"/>
    <w:rsid w:val="00BE09E7"/>
    <w:rsid w:val="00BE0B73"/>
    <w:rsid w:val="00BE0EAC"/>
    <w:rsid w:val="00BE0ECF"/>
    <w:rsid w:val="00BE1058"/>
    <w:rsid w:val="00BE110C"/>
    <w:rsid w:val="00BE14C2"/>
    <w:rsid w:val="00BE1807"/>
    <w:rsid w:val="00BE1B9D"/>
    <w:rsid w:val="00BE2004"/>
    <w:rsid w:val="00BE26DE"/>
    <w:rsid w:val="00BE28F1"/>
    <w:rsid w:val="00BE2DE5"/>
    <w:rsid w:val="00BE2E69"/>
    <w:rsid w:val="00BE3265"/>
    <w:rsid w:val="00BE40E5"/>
    <w:rsid w:val="00BE41DD"/>
    <w:rsid w:val="00BE44AC"/>
    <w:rsid w:val="00BE44F3"/>
    <w:rsid w:val="00BE4C68"/>
    <w:rsid w:val="00BE5D8F"/>
    <w:rsid w:val="00BE622E"/>
    <w:rsid w:val="00BE6757"/>
    <w:rsid w:val="00BE6C76"/>
    <w:rsid w:val="00BE6C94"/>
    <w:rsid w:val="00BE72BA"/>
    <w:rsid w:val="00BE72E3"/>
    <w:rsid w:val="00BE7D34"/>
    <w:rsid w:val="00BE7F52"/>
    <w:rsid w:val="00BF01E8"/>
    <w:rsid w:val="00BF075A"/>
    <w:rsid w:val="00BF0EE6"/>
    <w:rsid w:val="00BF19E1"/>
    <w:rsid w:val="00BF1AEA"/>
    <w:rsid w:val="00BF20DC"/>
    <w:rsid w:val="00BF2380"/>
    <w:rsid w:val="00BF2BA5"/>
    <w:rsid w:val="00BF31F3"/>
    <w:rsid w:val="00BF3D1A"/>
    <w:rsid w:val="00BF4B9C"/>
    <w:rsid w:val="00BF4C17"/>
    <w:rsid w:val="00BF60A9"/>
    <w:rsid w:val="00BF6F64"/>
    <w:rsid w:val="00BF7108"/>
    <w:rsid w:val="00BF7D34"/>
    <w:rsid w:val="00BF7FE6"/>
    <w:rsid w:val="00C00D64"/>
    <w:rsid w:val="00C01014"/>
    <w:rsid w:val="00C0105B"/>
    <w:rsid w:val="00C012C3"/>
    <w:rsid w:val="00C01DC7"/>
    <w:rsid w:val="00C01F8A"/>
    <w:rsid w:val="00C0291A"/>
    <w:rsid w:val="00C02EC6"/>
    <w:rsid w:val="00C035D9"/>
    <w:rsid w:val="00C039DF"/>
    <w:rsid w:val="00C03A5A"/>
    <w:rsid w:val="00C03B73"/>
    <w:rsid w:val="00C03E1F"/>
    <w:rsid w:val="00C0433E"/>
    <w:rsid w:val="00C0479E"/>
    <w:rsid w:val="00C04ECE"/>
    <w:rsid w:val="00C05301"/>
    <w:rsid w:val="00C0533F"/>
    <w:rsid w:val="00C0554B"/>
    <w:rsid w:val="00C0644E"/>
    <w:rsid w:val="00C0661D"/>
    <w:rsid w:val="00C06BE7"/>
    <w:rsid w:val="00C06CAB"/>
    <w:rsid w:val="00C071DC"/>
    <w:rsid w:val="00C073F7"/>
    <w:rsid w:val="00C07DDD"/>
    <w:rsid w:val="00C10113"/>
    <w:rsid w:val="00C1011F"/>
    <w:rsid w:val="00C11A45"/>
    <w:rsid w:val="00C11E24"/>
    <w:rsid w:val="00C1200F"/>
    <w:rsid w:val="00C120C7"/>
    <w:rsid w:val="00C12273"/>
    <w:rsid w:val="00C12661"/>
    <w:rsid w:val="00C12D57"/>
    <w:rsid w:val="00C13248"/>
    <w:rsid w:val="00C135F6"/>
    <w:rsid w:val="00C137B3"/>
    <w:rsid w:val="00C13CAA"/>
    <w:rsid w:val="00C13F80"/>
    <w:rsid w:val="00C14994"/>
    <w:rsid w:val="00C149EE"/>
    <w:rsid w:val="00C14D2C"/>
    <w:rsid w:val="00C14F0A"/>
    <w:rsid w:val="00C15432"/>
    <w:rsid w:val="00C160E5"/>
    <w:rsid w:val="00C16295"/>
    <w:rsid w:val="00C169D9"/>
    <w:rsid w:val="00C16ED5"/>
    <w:rsid w:val="00C171E8"/>
    <w:rsid w:val="00C173E4"/>
    <w:rsid w:val="00C176EB"/>
    <w:rsid w:val="00C17CDF"/>
    <w:rsid w:val="00C17F8D"/>
    <w:rsid w:val="00C200A6"/>
    <w:rsid w:val="00C20DA0"/>
    <w:rsid w:val="00C211A7"/>
    <w:rsid w:val="00C21DA9"/>
    <w:rsid w:val="00C2375E"/>
    <w:rsid w:val="00C23801"/>
    <w:rsid w:val="00C2381E"/>
    <w:rsid w:val="00C238D6"/>
    <w:rsid w:val="00C24427"/>
    <w:rsid w:val="00C248D8"/>
    <w:rsid w:val="00C251F3"/>
    <w:rsid w:val="00C26275"/>
    <w:rsid w:val="00C262D9"/>
    <w:rsid w:val="00C27047"/>
    <w:rsid w:val="00C27B1F"/>
    <w:rsid w:val="00C27DD4"/>
    <w:rsid w:val="00C30104"/>
    <w:rsid w:val="00C301A7"/>
    <w:rsid w:val="00C3075C"/>
    <w:rsid w:val="00C30D0E"/>
    <w:rsid w:val="00C30DD7"/>
    <w:rsid w:val="00C32167"/>
    <w:rsid w:val="00C32290"/>
    <w:rsid w:val="00C325B6"/>
    <w:rsid w:val="00C32891"/>
    <w:rsid w:val="00C32F6E"/>
    <w:rsid w:val="00C339E0"/>
    <w:rsid w:val="00C33E27"/>
    <w:rsid w:val="00C33E96"/>
    <w:rsid w:val="00C34623"/>
    <w:rsid w:val="00C346E4"/>
    <w:rsid w:val="00C347E2"/>
    <w:rsid w:val="00C34D9C"/>
    <w:rsid w:val="00C352DB"/>
    <w:rsid w:val="00C35C1B"/>
    <w:rsid w:val="00C35C8C"/>
    <w:rsid w:val="00C36138"/>
    <w:rsid w:val="00C3697F"/>
    <w:rsid w:val="00C36D74"/>
    <w:rsid w:val="00C36D7A"/>
    <w:rsid w:val="00C36FAA"/>
    <w:rsid w:val="00C3798D"/>
    <w:rsid w:val="00C401D4"/>
    <w:rsid w:val="00C40E4B"/>
    <w:rsid w:val="00C41307"/>
    <w:rsid w:val="00C42458"/>
    <w:rsid w:val="00C42D54"/>
    <w:rsid w:val="00C43213"/>
    <w:rsid w:val="00C43993"/>
    <w:rsid w:val="00C4478B"/>
    <w:rsid w:val="00C45173"/>
    <w:rsid w:val="00C4593D"/>
    <w:rsid w:val="00C45DE8"/>
    <w:rsid w:val="00C460ED"/>
    <w:rsid w:val="00C46D38"/>
    <w:rsid w:val="00C473C9"/>
    <w:rsid w:val="00C5105A"/>
    <w:rsid w:val="00C511F5"/>
    <w:rsid w:val="00C5212A"/>
    <w:rsid w:val="00C5293E"/>
    <w:rsid w:val="00C531B7"/>
    <w:rsid w:val="00C53A08"/>
    <w:rsid w:val="00C53C8F"/>
    <w:rsid w:val="00C53CE4"/>
    <w:rsid w:val="00C54200"/>
    <w:rsid w:val="00C54D6E"/>
    <w:rsid w:val="00C5557D"/>
    <w:rsid w:val="00C55F8D"/>
    <w:rsid w:val="00C56070"/>
    <w:rsid w:val="00C56A14"/>
    <w:rsid w:val="00C56F4C"/>
    <w:rsid w:val="00C57562"/>
    <w:rsid w:val="00C57965"/>
    <w:rsid w:val="00C57D6D"/>
    <w:rsid w:val="00C60726"/>
    <w:rsid w:val="00C60794"/>
    <w:rsid w:val="00C60E91"/>
    <w:rsid w:val="00C6176F"/>
    <w:rsid w:val="00C61973"/>
    <w:rsid w:val="00C631AC"/>
    <w:rsid w:val="00C64827"/>
    <w:rsid w:val="00C64B71"/>
    <w:rsid w:val="00C64EF1"/>
    <w:rsid w:val="00C65428"/>
    <w:rsid w:val="00C6567C"/>
    <w:rsid w:val="00C659F9"/>
    <w:rsid w:val="00C65DC7"/>
    <w:rsid w:val="00C66C10"/>
    <w:rsid w:val="00C67050"/>
    <w:rsid w:val="00C6711C"/>
    <w:rsid w:val="00C67330"/>
    <w:rsid w:val="00C676A2"/>
    <w:rsid w:val="00C677DE"/>
    <w:rsid w:val="00C72683"/>
    <w:rsid w:val="00C7276E"/>
    <w:rsid w:val="00C72C22"/>
    <w:rsid w:val="00C72FF4"/>
    <w:rsid w:val="00C737CA"/>
    <w:rsid w:val="00C7399E"/>
    <w:rsid w:val="00C74944"/>
    <w:rsid w:val="00C74B1F"/>
    <w:rsid w:val="00C75850"/>
    <w:rsid w:val="00C76E6F"/>
    <w:rsid w:val="00C775B6"/>
    <w:rsid w:val="00C77A2E"/>
    <w:rsid w:val="00C80384"/>
    <w:rsid w:val="00C80E9D"/>
    <w:rsid w:val="00C8152E"/>
    <w:rsid w:val="00C81778"/>
    <w:rsid w:val="00C817A7"/>
    <w:rsid w:val="00C817BD"/>
    <w:rsid w:val="00C81E6B"/>
    <w:rsid w:val="00C82FB1"/>
    <w:rsid w:val="00C83010"/>
    <w:rsid w:val="00C83244"/>
    <w:rsid w:val="00C8363D"/>
    <w:rsid w:val="00C83DFC"/>
    <w:rsid w:val="00C83F2A"/>
    <w:rsid w:val="00C8404F"/>
    <w:rsid w:val="00C8458D"/>
    <w:rsid w:val="00C84871"/>
    <w:rsid w:val="00C855AD"/>
    <w:rsid w:val="00C8599E"/>
    <w:rsid w:val="00C85C0B"/>
    <w:rsid w:val="00C85E04"/>
    <w:rsid w:val="00C8618E"/>
    <w:rsid w:val="00C8634D"/>
    <w:rsid w:val="00C87526"/>
    <w:rsid w:val="00C87683"/>
    <w:rsid w:val="00C87B43"/>
    <w:rsid w:val="00C901CC"/>
    <w:rsid w:val="00C904B4"/>
    <w:rsid w:val="00C90AE6"/>
    <w:rsid w:val="00C9113F"/>
    <w:rsid w:val="00C91927"/>
    <w:rsid w:val="00C9193F"/>
    <w:rsid w:val="00C91F60"/>
    <w:rsid w:val="00C91F69"/>
    <w:rsid w:val="00C91F93"/>
    <w:rsid w:val="00C9202D"/>
    <w:rsid w:val="00C92592"/>
    <w:rsid w:val="00C93579"/>
    <w:rsid w:val="00C95C72"/>
    <w:rsid w:val="00C96104"/>
    <w:rsid w:val="00C96487"/>
    <w:rsid w:val="00C967C7"/>
    <w:rsid w:val="00C96CCE"/>
    <w:rsid w:val="00C970D7"/>
    <w:rsid w:val="00C973B5"/>
    <w:rsid w:val="00C9755E"/>
    <w:rsid w:val="00CA00FD"/>
    <w:rsid w:val="00CA01A8"/>
    <w:rsid w:val="00CA07F3"/>
    <w:rsid w:val="00CA099A"/>
    <w:rsid w:val="00CA0D7E"/>
    <w:rsid w:val="00CA12ED"/>
    <w:rsid w:val="00CA1656"/>
    <w:rsid w:val="00CA1FC1"/>
    <w:rsid w:val="00CA22E2"/>
    <w:rsid w:val="00CA22EC"/>
    <w:rsid w:val="00CA2CD3"/>
    <w:rsid w:val="00CA2EEF"/>
    <w:rsid w:val="00CA3077"/>
    <w:rsid w:val="00CA32FF"/>
    <w:rsid w:val="00CA3C5D"/>
    <w:rsid w:val="00CA46BE"/>
    <w:rsid w:val="00CA4CFD"/>
    <w:rsid w:val="00CA4DDA"/>
    <w:rsid w:val="00CA523D"/>
    <w:rsid w:val="00CA5444"/>
    <w:rsid w:val="00CA5558"/>
    <w:rsid w:val="00CA5602"/>
    <w:rsid w:val="00CA610F"/>
    <w:rsid w:val="00CA64BF"/>
    <w:rsid w:val="00CA6BB8"/>
    <w:rsid w:val="00CA7918"/>
    <w:rsid w:val="00CA7AE4"/>
    <w:rsid w:val="00CA7E68"/>
    <w:rsid w:val="00CA7E96"/>
    <w:rsid w:val="00CB04C2"/>
    <w:rsid w:val="00CB0F58"/>
    <w:rsid w:val="00CB0F75"/>
    <w:rsid w:val="00CB172C"/>
    <w:rsid w:val="00CB190B"/>
    <w:rsid w:val="00CB1BDC"/>
    <w:rsid w:val="00CB1E4B"/>
    <w:rsid w:val="00CB2DFD"/>
    <w:rsid w:val="00CB3D97"/>
    <w:rsid w:val="00CB3E02"/>
    <w:rsid w:val="00CB3FFE"/>
    <w:rsid w:val="00CB4325"/>
    <w:rsid w:val="00CB50A8"/>
    <w:rsid w:val="00CB5222"/>
    <w:rsid w:val="00CB5B67"/>
    <w:rsid w:val="00CB5ECE"/>
    <w:rsid w:val="00CB62E2"/>
    <w:rsid w:val="00CB6462"/>
    <w:rsid w:val="00CB67E0"/>
    <w:rsid w:val="00CB6A6E"/>
    <w:rsid w:val="00CB7D7A"/>
    <w:rsid w:val="00CB7ED6"/>
    <w:rsid w:val="00CC0729"/>
    <w:rsid w:val="00CC109A"/>
    <w:rsid w:val="00CC1371"/>
    <w:rsid w:val="00CC137A"/>
    <w:rsid w:val="00CC26F9"/>
    <w:rsid w:val="00CC34BA"/>
    <w:rsid w:val="00CC4606"/>
    <w:rsid w:val="00CC4783"/>
    <w:rsid w:val="00CC48C9"/>
    <w:rsid w:val="00CC4967"/>
    <w:rsid w:val="00CC4C55"/>
    <w:rsid w:val="00CC5226"/>
    <w:rsid w:val="00CC549E"/>
    <w:rsid w:val="00CC59D7"/>
    <w:rsid w:val="00CC63C6"/>
    <w:rsid w:val="00CC6795"/>
    <w:rsid w:val="00CC6C74"/>
    <w:rsid w:val="00CC6E31"/>
    <w:rsid w:val="00CC6EE9"/>
    <w:rsid w:val="00CC6F23"/>
    <w:rsid w:val="00CC73FD"/>
    <w:rsid w:val="00CC7923"/>
    <w:rsid w:val="00CD0557"/>
    <w:rsid w:val="00CD0D38"/>
    <w:rsid w:val="00CD2310"/>
    <w:rsid w:val="00CD2376"/>
    <w:rsid w:val="00CD23FD"/>
    <w:rsid w:val="00CD283A"/>
    <w:rsid w:val="00CD2A33"/>
    <w:rsid w:val="00CD2DB6"/>
    <w:rsid w:val="00CD306D"/>
    <w:rsid w:val="00CD310E"/>
    <w:rsid w:val="00CD3D66"/>
    <w:rsid w:val="00CD41F3"/>
    <w:rsid w:val="00CD434E"/>
    <w:rsid w:val="00CD4C30"/>
    <w:rsid w:val="00CD4FD2"/>
    <w:rsid w:val="00CD503C"/>
    <w:rsid w:val="00CD52BA"/>
    <w:rsid w:val="00CD53F3"/>
    <w:rsid w:val="00CD5538"/>
    <w:rsid w:val="00CD65F7"/>
    <w:rsid w:val="00CD6BAB"/>
    <w:rsid w:val="00CD6C4F"/>
    <w:rsid w:val="00CD71B7"/>
    <w:rsid w:val="00CD72DD"/>
    <w:rsid w:val="00CD7520"/>
    <w:rsid w:val="00CD7578"/>
    <w:rsid w:val="00CD7792"/>
    <w:rsid w:val="00CD77ED"/>
    <w:rsid w:val="00CE0727"/>
    <w:rsid w:val="00CE11BE"/>
    <w:rsid w:val="00CE15E9"/>
    <w:rsid w:val="00CE2ECB"/>
    <w:rsid w:val="00CE3DDA"/>
    <w:rsid w:val="00CE3E5B"/>
    <w:rsid w:val="00CE422A"/>
    <w:rsid w:val="00CE42DD"/>
    <w:rsid w:val="00CE43DE"/>
    <w:rsid w:val="00CE448F"/>
    <w:rsid w:val="00CE4FBD"/>
    <w:rsid w:val="00CE535A"/>
    <w:rsid w:val="00CE576A"/>
    <w:rsid w:val="00CE67F9"/>
    <w:rsid w:val="00CE6B88"/>
    <w:rsid w:val="00CE6B8C"/>
    <w:rsid w:val="00CE6BDC"/>
    <w:rsid w:val="00CE76C6"/>
    <w:rsid w:val="00CE776C"/>
    <w:rsid w:val="00CE78B1"/>
    <w:rsid w:val="00CE7967"/>
    <w:rsid w:val="00CF02C2"/>
    <w:rsid w:val="00CF044C"/>
    <w:rsid w:val="00CF0725"/>
    <w:rsid w:val="00CF075C"/>
    <w:rsid w:val="00CF07DD"/>
    <w:rsid w:val="00CF0A1D"/>
    <w:rsid w:val="00CF0A2D"/>
    <w:rsid w:val="00CF145B"/>
    <w:rsid w:val="00CF170E"/>
    <w:rsid w:val="00CF1E0D"/>
    <w:rsid w:val="00CF23F7"/>
    <w:rsid w:val="00CF2ADD"/>
    <w:rsid w:val="00CF2D02"/>
    <w:rsid w:val="00CF2DEF"/>
    <w:rsid w:val="00CF2E4C"/>
    <w:rsid w:val="00CF31BB"/>
    <w:rsid w:val="00CF3297"/>
    <w:rsid w:val="00CF3676"/>
    <w:rsid w:val="00CF3733"/>
    <w:rsid w:val="00CF382F"/>
    <w:rsid w:val="00CF3BEC"/>
    <w:rsid w:val="00CF403D"/>
    <w:rsid w:val="00CF46A2"/>
    <w:rsid w:val="00CF4758"/>
    <w:rsid w:val="00CF4ED1"/>
    <w:rsid w:val="00CF4FE8"/>
    <w:rsid w:val="00CF5155"/>
    <w:rsid w:val="00CF5E23"/>
    <w:rsid w:val="00CF681B"/>
    <w:rsid w:val="00CF68A5"/>
    <w:rsid w:val="00CF6DBB"/>
    <w:rsid w:val="00CF753B"/>
    <w:rsid w:val="00CF7975"/>
    <w:rsid w:val="00D00110"/>
    <w:rsid w:val="00D0134F"/>
    <w:rsid w:val="00D01385"/>
    <w:rsid w:val="00D0144B"/>
    <w:rsid w:val="00D01B49"/>
    <w:rsid w:val="00D01EC6"/>
    <w:rsid w:val="00D01FF8"/>
    <w:rsid w:val="00D027CC"/>
    <w:rsid w:val="00D02E98"/>
    <w:rsid w:val="00D03729"/>
    <w:rsid w:val="00D04547"/>
    <w:rsid w:val="00D0500B"/>
    <w:rsid w:val="00D058FA"/>
    <w:rsid w:val="00D05FDD"/>
    <w:rsid w:val="00D061F4"/>
    <w:rsid w:val="00D06AEA"/>
    <w:rsid w:val="00D0715E"/>
    <w:rsid w:val="00D0741E"/>
    <w:rsid w:val="00D07E3E"/>
    <w:rsid w:val="00D10569"/>
    <w:rsid w:val="00D11925"/>
    <w:rsid w:val="00D1198E"/>
    <w:rsid w:val="00D11AB9"/>
    <w:rsid w:val="00D11B42"/>
    <w:rsid w:val="00D11D6B"/>
    <w:rsid w:val="00D11DB9"/>
    <w:rsid w:val="00D11FDC"/>
    <w:rsid w:val="00D1291B"/>
    <w:rsid w:val="00D12ABF"/>
    <w:rsid w:val="00D12C42"/>
    <w:rsid w:val="00D136DA"/>
    <w:rsid w:val="00D13EE4"/>
    <w:rsid w:val="00D1446B"/>
    <w:rsid w:val="00D14C72"/>
    <w:rsid w:val="00D15C6F"/>
    <w:rsid w:val="00D15CF2"/>
    <w:rsid w:val="00D166CF"/>
    <w:rsid w:val="00D16F59"/>
    <w:rsid w:val="00D17509"/>
    <w:rsid w:val="00D177BE"/>
    <w:rsid w:val="00D201CF"/>
    <w:rsid w:val="00D20669"/>
    <w:rsid w:val="00D218A6"/>
    <w:rsid w:val="00D21910"/>
    <w:rsid w:val="00D22C13"/>
    <w:rsid w:val="00D23401"/>
    <w:rsid w:val="00D23560"/>
    <w:rsid w:val="00D23C15"/>
    <w:rsid w:val="00D24BB6"/>
    <w:rsid w:val="00D24D43"/>
    <w:rsid w:val="00D25211"/>
    <w:rsid w:val="00D2593A"/>
    <w:rsid w:val="00D25950"/>
    <w:rsid w:val="00D2614E"/>
    <w:rsid w:val="00D262E5"/>
    <w:rsid w:val="00D2638A"/>
    <w:rsid w:val="00D26EE4"/>
    <w:rsid w:val="00D27773"/>
    <w:rsid w:val="00D278E3"/>
    <w:rsid w:val="00D27BE7"/>
    <w:rsid w:val="00D30427"/>
    <w:rsid w:val="00D31100"/>
    <w:rsid w:val="00D3166D"/>
    <w:rsid w:val="00D321A8"/>
    <w:rsid w:val="00D33395"/>
    <w:rsid w:val="00D33CCC"/>
    <w:rsid w:val="00D34042"/>
    <w:rsid w:val="00D34264"/>
    <w:rsid w:val="00D3426A"/>
    <w:rsid w:val="00D3440C"/>
    <w:rsid w:val="00D345B7"/>
    <w:rsid w:val="00D34A66"/>
    <w:rsid w:val="00D351E8"/>
    <w:rsid w:val="00D35384"/>
    <w:rsid w:val="00D35407"/>
    <w:rsid w:val="00D3577E"/>
    <w:rsid w:val="00D357EF"/>
    <w:rsid w:val="00D35BE5"/>
    <w:rsid w:val="00D35C07"/>
    <w:rsid w:val="00D3647D"/>
    <w:rsid w:val="00D36C13"/>
    <w:rsid w:val="00D36E02"/>
    <w:rsid w:val="00D37943"/>
    <w:rsid w:val="00D37AA0"/>
    <w:rsid w:val="00D40693"/>
    <w:rsid w:val="00D4094C"/>
    <w:rsid w:val="00D41327"/>
    <w:rsid w:val="00D41489"/>
    <w:rsid w:val="00D4255B"/>
    <w:rsid w:val="00D43188"/>
    <w:rsid w:val="00D431B2"/>
    <w:rsid w:val="00D432D6"/>
    <w:rsid w:val="00D44A37"/>
    <w:rsid w:val="00D45BDC"/>
    <w:rsid w:val="00D45FB7"/>
    <w:rsid w:val="00D463CF"/>
    <w:rsid w:val="00D473F4"/>
    <w:rsid w:val="00D4789B"/>
    <w:rsid w:val="00D47AB9"/>
    <w:rsid w:val="00D47B68"/>
    <w:rsid w:val="00D47E93"/>
    <w:rsid w:val="00D50E2F"/>
    <w:rsid w:val="00D518F0"/>
    <w:rsid w:val="00D5198A"/>
    <w:rsid w:val="00D52734"/>
    <w:rsid w:val="00D528CB"/>
    <w:rsid w:val="00D52A35"/>
    <w:rsid w:val="00D52A9B"/>
    <w:rsid w:val="00D52B56"/>
    <w:rsid w:val="00D52D07"/>
    <w:rsid w:val="00D53362"/>
    <w:rsid w:val="00D535ED"/>
    <w:rsid w:val="00D53D99"/>
    <w:rsid w:val="00D54318"/>
    <w:rsid w:val="00D54D60"/>
    <w:rsid w:val="00D54F6E"/>
    <w:rsid w:val="00D54FBC"/>
    <w:rsid w:val="00D555DD"/>
    <w:rsid w:val="00D56153"/>
    <w:rsid w:val="00D56246"/>
    <w:rsid w:val="00D56EE2"/>
    <w:rsid w:val="00D574F2"/>
    <w:rsid w:val="00D577C7"/>
    <w:rsid w:val="00D57AE8"/>
    <w:rsid w:val="00D57AEB"/>
    <w:rsid w:val="00D57E03"/>
    <w:rsid w:val="00D60D73"/>
    <w:rsid w:val="00D61765"/>
    <w:rsid w:val="00D62FA7"/>
    <w:rsid w:val="00D63426"/>
    <w:rsid w:val="00D634AF"/>
    <w:rsid w:val="00D634B7"/>
    <w:rsid w:val="00D63E4C"/>
    <w:rsid w:val="00D6462F"/>
    <w:rsid w:val="00D64B72"/>
    <w:rsid w:val="00D65921"/>
    <w:rsid w:val="00D666B7"/>
    <w:rsid w:val="00D66B88"/>
    <w:rsid w:val="00D676ED"/>
    <w:rsid w:val="00D67A3E"/>
    <w:rsid w:val="00D710A2"/>
    <w:rsid w:val="00D712C7"/>
    <w:rsid w:val="00D72090"/>
    <w:rsid w:val="00D730D9"/>
    <w:rsid w:val="00D73105"/>
    <w:rsid w:val="00D73A5F"/>
    <w:rsid w:val="00D73D98"/>
    <w:rsid w:val="00D73E33"/>
    <w:rsid w:val="00D740AB"/>
    <w:rsid w:val="00D74206"/>
    <w:rsid w:val="00D742FB"/>
    <w:rsid w:val="00D74477"/>
    <w:rsid w:val="00D744D1"/>
    <w:rsid w:val="00D75442"/>
    <w:rsid w:val="00D756F9"/>
    <w:rsid w:val="00D7598E"/>
    <w:rsid w:val="00D75E73"/>
    <w:rsid w:val="00D75E7C"/>
    <w:rsid w:val="00D76521"/>
    <w:rsid w:val="00D765A5"/>
    <w:rsid w:val="00D76EC6"/>
    <w:rsid w:val="00D77B40"/>
    <w:rsid w:val="00D801B0"/>
    <w:rsid w:val="00D803EA"/>
    <w:rsid w:val="00D80790"/>
    <w:rsid w:val="00D809C6"/>
    <w:rsid w:val="00D81A2B"/>
    <w:rsid w:val="00D82CDD"/>
    <w:rsid w:val="00D82F68"/>
    <w:rsid w:val="00D832A3"/>
    <w:rsid w:val="00D83588"/>
    <w:rsid w:val="00D84CFB"/>
    <w:rsid w:val="00D84EEF"/>
    <w:rsid w:val="00D8541B"/>
    <w:rsid w:val="00D85625"/>
    <w:rsid w:val="00D858F0"/>
    <w:rsid w:val="00D85EA8"/>
    <w:rsid w:val="00D8655E"/>
    <w:rsid w:val="00D86D85"/>
    <w:rsid w:val="00D86DB5"/>
    <w:rsid w:val="00D86EF0"/>
    <w:rsid w:val="00D87221"/>
    <w:rsid w:val="00D876DC"/>
    <w:rsid w:val="00D876E7"/>
    <w:rsid w:val="00D87844"/>
    <w:rsid w:val="00D87849"/>
    <w:rsid w:val="00D87901"/>
    <w:rsid w:val="00D87C8B"/>
    <w:rsid w:val="00D90634"/>
    <w:rsid w:val="00D90842"/>
    <w:rsid w:val="00D90D69"/>
    <w:rsid w:val="00D916EE"/>
    <w:rsid w:val="00D92352"/>
    <w:rsid w:val="00D924C3"/>
    <w:rsid w:val="00D925B7"/>
    <w:rsid w:val="00D9268D"/>
    <w:rsid w:val="00D92801"/>
    <w:rsid w:val="00D929C5"/>
    <w:rsid w:val="00D93B8A"/>
    <w:rsid w:val="00D94CD8"/>
    <w:rsid w:val="00D94EB7"/>
    <w:rsid w:val="00D94FDF"/>
    <w:rsid w:val="00D95CC1"/>
    <w:rsid w:val="00D95D48"/>
    <w:rsid w:val="00D963CF"/>
    <w:rsid w:val="00D96472"/>
    <w:rsid w:val="00D96802"/>
    <w:rsid w:val="00D9700C"/>
    <w:rsid w:val="00D97146"/>
    <w:rsid w:val="00D9740A"/>
    <w:rsid w:val="00D97699"/>
    <w:rsid w:val="00D9791E"/>
    <w:rsid w:val="00D97990"/>
    <w:rsid w:val="00D97FBC"/>
    <w:rsid w:val="00DA013D"/>
    <w:rsid w:val="00DA0633"/>
    <w:rsid w:val="00DA0EAD"/>
    <w:rsid w:val="00DA1C33"/>
    <w:rsid w:val="00DA2296"/>
    <w:rsid w:val="00DA234B"/>
    <w:rsid w:val="00DA24AC"/>
    <w:rsid w:val="00DA2643"/>
    <w:rsid w:val="00DA29C4"/>
    <w:rsid w:val="00DA2B08"/>
    <w:rsid w:val="00DA31E9"/>
    <w:rsid w:val="00DA3980"/>
    <w:rsid w:val="00DA4296"/>
    <w:rsid w:val="00DA4CEA"/>
    <w:rsid w:val="00DA5A57"/>
    <w:rsid w:val="00DA5A75"/>
    <w:rsid w:val="00DA68D8"/>
    <w:rsid w:val="00DA6A25"/>
    <w:rsid w:val="00DA6BD2"/>
    <w:rsid w:val="00DA6E9A"/>
    <w:rsid w:val="00DA7325"/>
    <w:rsid w:val="00DB0C7B"/>
    <w:rsid w:val="00DB1E10"/>
    <w:rsid w:val="00DB1FD9"/>
    <w:rsid w:val="00DB2054"/>
    <w:rsid w:val="00DB211C"/>
    <w:rsid w:val="00DB27EE"/>
    <w:rsid w:val="00DB3143"/>
    <w:rsid w:val="00DB41D1"/>
    <w:rsid w:val="00DB4A68"/>
    <w:rsid w:val="00DB514D"/>
    <w:rsid w:val="00DB51BD"/>
    <w:rsid w:val="00DB53A4"/>
    <w:rsid w:val="00DB6211"/>
    <w:rsid w:val="00DB673E"/>
    <w:rsid w:val="00DB6AF2"/>
    <w:rsid w:val="00DB6B56"/>
    <w:rsid w:val="00DB6DC2"/>
    <w:rsid w:val="00DB757A"/>
    <w:rsid w:val="00DB7EA6"/>
    <w:rsid w:val="00DC1933"/>
    <w:rsid w:val="00DC216A"/>
    <w:rsid w:val="00DC24D0"/>
    <w:rsid w:val="00DC313D"/>
    <w:rsid w:val="00DC32D8"/>
    <w:rsid w:val="00DC35E6"/>
    <w:rsid w:val="00DC3BD9"/>
    <w:rsid w:val="00DC58F9"/>
    <w:rsid w:val="00DC6592"/>
    <w:rsid w:val="00DC6613"/>
    <w:rsid w:val="00DC6FDF"/>
    <w:rsid w:val="00DC7424"/>
    <w:rsid w:val="00DC7E4D"/>
    <w:rsid w:val="00DD0461"/>
    <w:rsid w:val="00DD0E16"/>
    <w:rsid w:val="00DD25B2"/>
    <w:rsid w:val="00DD2AAD"/>
    <w:rsid w:val="00DD2B78"/>
    <w:rsid w:val="00DD2F40"/>
    <w:rsid w:val="00DD2F5A"/>
    <w:rsid w:val="00DD3512"/>
    <w:rsid w:val="00DD4AC9"/>
    <w:rsid w:val="00DD4ED5"/>
    <w:rsid w:val="00DD5190"/>
    <w:rsid w:val="00DD5621"/>
    <w:rsid w:val="00DD5F8A"/>
    <w:rsid w:val="00DD60DA"/>
    <w:rsid w:val="00DD676F"/>
    <w:rsid w:val="00DD75FC"/>
    <w:rsid w:val="00DE008D"/>
    <w:rsid w:val="00DE0212"/>
    <w:rsid w:val="00DE0274"/>
    <w:rsid w:val="00DE0F91"/>
    <w:rsid w:val="00DE1189"/>
    <w:rsid w:val="00DE1355"/>
    <w:rsid w:val="00DE2552"/>
    <w:rsid w:val="00DE2A3D"/>
    <w:rsid w:val="00DE2BF4"/>
    <w:rsid w:val="00DE2F96"/>
    <w:rsid w:val="00DE47A2"/>
    <w:rsid w:val="00DE52B3"/>
    <w:rsid w:val="00DE6779"/>
    <w:rsid w:val="00DE734F"/>
    <w:rsid w:val="00DE73E7"/>
    <w:rsid w:val="00DE7517"/>
    <w:rsid w:val="00DE7837"/>
    <w:rsid w:val="00DE7B4B"/>
    <w:rsid w:val="00DE7C95"/>
    <w:rsid w:val="00DF0627"/>
    <w:rsid w:val="00DF1B4F"/>
    <w:rsid w:val="00DF325F"/>
    <w:rsid w:val="00DF432F"/>
    <w:rsid w:val="00DF475F"/>
    <w:rsid w:val="00DF47AB"/>
    <w:rsid w:val="00DF50FA"/>
    <w:rsid w:val="00DF5B4A"/>
    <w:rsid w:val="00DF6C58"/>
    <w:rsid w:val="00DF76F4"/>
    <w:rsid w:val="00DF78CC"/>
    <w:rsid w:val="00E0023D"/>
    <w:rsid w:val="00E007E5"/>
    <w:rsid w:val="00E014BC"/>
    <w:rsid w:val="00E01F37"/>
    <w:rsid w:val="00E0240A"/>
    <w:rsid w:val="00E02C76"/>
    <w:rsid w:val="00E03424"/>
    <w:rsid w:val="00E0361B"/>
    <w:rsid w:val="00E03825"/>
    <w:rsid w:val="00E03ED0"/>
    <w:rsid w:val="00E050EF"/>
    <w:rsid w:val="00E051DC"/>
    <w:rsid w:val="00E054CC"/>
    <w:rsid w:val="00E06037"/>
    <w:rsid w:val="00E06145"/>
    <w:rsid w:val="00E0648A"/>
    <w:rsid w:val="00E064F6"/>
    <w:rsid w:val="00E06539"/>
    <w:rsid w:val="00E06674"/>
    <w:rsid w:val="00E07089"/>
    <w:rsid w:val="00E070A1"/>
    <w:rsid w:val="00E07791"/>
    <w:rsid w:val="00E07A50"/>
    <w:rsid w:val="00E07B2C"/>
    <w:rsid w:val="00E10985"/>
    <w:rsid w:val="00E10A1A"/>
    <w:rsid w:val="00E11DC0"/>
    <w:rsid w:val="00E12106"/>
    <w:rsid w:val="00E1218D"/>
    <w:rsid w:val="00E121A0"/>
    <w:rsid w:val="00E122BE"/>
    <w:rsid w:val="00E12734"/>
    <w:rsid w:val="00E12CF2"/>
    <w:rsid w:val="00E130CA"/>
    <w:rsid w:val="00E131C4"/>
    <w:rsid w:val="00E136F0"/>
    <w:rsid w:val="00E153C9"/>
    <w:rsid w:val="00E155A2"/>
    <w:rsid w:val="00E15AD9"/>
    <w:rsid w:val="00E15B37"/>
    <w:rsid w:val="00E163AA"/>
    <w:rsid w:val="00E17044"/>
    <w:rsid w:val="00E17176"/>
    <w:rsid w:val="00E17497"/>
    <w:rsid w:val="00E17542"/>
    <w:rsid w:val="00E177DE"/>
    <w:rsid w:val="00E17BB7"/>
    <w:rsid w:val="00E20576"/>
    <w:rsid w:val="00E2096C"/>
    <w:rsid w:val="00E20AB3"/>
    <w:rsid w:val="00E20E0A"/>
    <w:rsid w:val="00E215AD"/>
    <w:rsid w:val="00E21A8F"/>
    <w:rsid w:val="00E21DBF"/>
    <w:rsid w:val="00E22608"/>
    <w:rsid w:val="00E2347D"/>
    <w:rsid w:val="00E26503"/>
    <w:rsid w:val="00E26A6F"/>
    <w:rsid w:val="00E26BE6"/>
    <w:rsid w:val="00E26C5F"/>
    <w:rsid w:val="00E27A65"/>
    <w:rsid w:val="00E27ED8"/>
    <w:rsid w:val="00E30A69"/>
    <w:rsid w:val="00E30F65"/>
    <w:rsid w:val="00E31673"/>
    <w:rsid w:val="00E3181D"/>
    <w:rsid w:val="00E31866"/>
    <w:rsid w:val="00E31A3C"/>
    <w:rsid w:val="00E32550"/>
    <w:rsid w:val="00E32B17"/>
    <w:rsid w:val="00E32BE1"/>
    <w:rsid w:val="00E32D66"/>
    <w:rsid w:val="00E33BDC"/>
    <w:rsid w:val="00E342ED"/>
    <w:rsid w:val="00E3438B"/>
    <w:rsid w:val="00E34EE4"/>
    <w:rsid w:val="00E34F09"/>
    <w:rsid w:val="00E34F36"/>
    <w:rsid w:val="00E35507"/>
    <w:rsid w:val="00E35EB6"/>
    <w:rsid w:val="00E362F1"/>
    <w:rsid w:val="00E363F9"/>
    <w:rsid w:val="00E366A5"/>
    <w:rsid w:val="00E36F82"/>
    <w:rsid w:val="00E3716C"/>
    <w:rsid w:val="00E3753A"/>
    <w:rsid w:val="00E37CB8"/>
    <w:rsid w:val="00E37D46"/>
    <w:rsid w:val="00E37FA0"/>
    <w:rsid w:val="00E40217"/>
    <w:rsid w:val="00E4082B"/>
    <w:rsid w:val="00E40F68"/>
    <w:rsid w:val="00E41090"/>
    <w:rsid w:val="00E4120D"/>
    <w:rsid w:val="00E415F2"/>
    <w:rsid w:val="00E4169F"/>
    <w:rsid w:val="00E42000"/>
    <w:rsid w:val="00E4210F"/>
    <w:rsid w:val="00E42EA9"/>
    <w:rsid w:val="00E42F3D"/>
    <w:rsid w:val="00E43076"/>
    <w:rsid w:val="00E43A15"/>
    <w:rsid w:val="00E43C0C"/>
    <w:rsid w:val="00E44289"/>
    <w:rsid w:val="00E443BE"/>
    <w:rsid w:val="00E4447C"/>
    <w:rsid w:val="00E45618"/>
    <w:rsid w:val="00E45AEB"/>
    <w:rsid w:val="00E466BB"/>
    <w:rsid w:val="00E46B4D"/>
    <w:rsid w:val="00E473BD"/>
    <w:rsid w:val="00E47492"/>
    <w:rsid w:val="00E50104"/>
    <w:rsid w:val="00E50AEE"/>
    <w:rsid w:val="00E50EE7"/>
    <w:rsid w:val="00E516F3"/>
    <w:rsid w:val="00E51D19"/>
    <w:rsid w:val="00E5238E"/>
    <w:rsid w:val="00E52CE5"/>
    <w:rsid w:val="00E52EC9"/>
    <w:rsid w:val="00E53257"/>
    <w:rsid w:val="00E5334E"/>
    <w:rsid w:val="00E535B6"/>
    <w:rsid w:val="00E53D2A"/>
    <w:rsid w:val="00E54462"/>
    <w:rsid w:val="00E5455A"/>
    <w:rsid w:val="00E546C6"/>
    <w:rsid w:val="00E54B81"/>
    <w:rsid w:val="00E54D2D"/>
    <w:rsid w:val="00E54F80"/>
    <w:rsid w:val="00E555DA"/>
    <w:rsid w:val="00E56101"/>
    <w:rsid w:val="00E56513"/>
    <w:rsid w:val="00E569BC"/>
    <w:rsid w:val="00E5732A"/>
    <w:rsid w:val="00E57B62"/>
    <w:rsid w:val="00E603BE"/>
    <w:rsid w:val="00E6068C"/>
    <w:rsid w:val="00E60AFC"/>
    <w:rsid w:val="00E624EB"/>
    <w:rsid w:val="00E62690"/>
    <w:rsid w:val="00E62963"/>
    <w:rsid w:val="00E62E7B"/>
    <w:rsid w:val="00E6392A"/>
    <w:rsid w:val="00E6492E"/>
    <w:rsid w:val="00E64952"/>
    <w:rsid w:val="00E64B10"/>
    <w:rsid w:val="00E6528D"/>
    <w:rsid w:val="00E65319"/>
    <w:rsid w:val="00E6539F"/>
    <w:rsid w:val="00E655F5"/>
    <w:rsid w:val="00E66045"/>
    <w:rsid w:val="00E6649A"/>
    <w:rsid w:val="00E6745D"/>
    <w:rsid w:val="00E6769E"/>
    <w:rsid w:val="00E67914"/>
    <w:rsid w:val="00E67B57"/>
    <w:rsid w:val="00E7000B"/>
    <w:rsid w:val="00E700BB"/>
    <w:rsid w:val="00E702C1"/>
    <w:rsid w:val="00E70EDA"/>
    <w:rsid w:val="00E72491"/>
    <w:rsid w:val="00E72809"/>
    <w:rsid w:val="00E731A7"/>
    <w:rsid w:val="00E731FE"/>
    <w:rsid w:val="00E740BC"/>
    <w:rsid w:val="00E74733"/>
    <w:rsid w:val="00E748F0"/>
    <w:rsid w:val="00E74EA0"/>
    <w:rsid w:val="00E7525B"/>
    <w:rsid w:val="00E7546C"/>
    <w:rsid w:val="00E75A2E"/>
    <w:rsid w:val="00E75D67"/>
    <w:rsid w:val="00E76DDB"/>
    <w:rsid w:val="00E7703A"/>
    <w:rsid w:val="00E77766"/>
    <w:rsid w:val="00E77AFC"/>
    <w:rsid w:val="00E77EA3"/>
    <w:rsid w:val="00E8128A"/>
    <w:rsid w:val="00E832CC"/>
    <w:rsid w:val="00E836C7"/>
    <w:rsid w:val="00E83B21"/>
    <w:rsid w:val="00E83BD5"/>
    <w:rsid w:val="00E83CE1"/>
    <w:rsid w:val="00E83D67"/>
    <w:rsid w:val="00E8410C"/>
    <w:rsid w:val="00E8460A"/>
    <w:rsid w:val="00E847EA"/>
    <w:rsid w:val="00E85D4E"/>
    <w:rsid w:val="00E85E8D"/>
    <w:rsid w:val="00E86700"/>
    <w:rsid w:val="00E86A93"/>
    <w:rsid w:val="00E86C47"/>
    <w:rsid w:val="00E87FC3"/>
    <w:rsid w:val="00E90ED3"/>
    <w:rsid w:val="00E9124B"/>
    <w:rsid w:val="00E915FF"/>
    <w:rsid w:val="00E91D48"/>
    <w:rsid w:val="00E92074"/>
    <w:rsid w:val="00E920F0"/>
    <w:rsid w:val="00E92924"/>
    <w:rsid w:val="00E931F0"/>
    <w:rsid w:val="00E931F1"/>
    <w:rsid w:val="00E9325B"/>
    <w:rsid w:val="00E933ED"/>
    <w:rsid w:val="00E9528C"/>
    <w:rsid w:val="00E95FCE"/>
    <w:rsid w:val="00E967CB"/>
    <w:rsid w:val="00E968AF"/>
    <w:rsid w:val="00E96D98"/>
    <w:rsid w:val="00E972F7"/>
    <w:rsid w:val="00E97373"/>
    <w:rsid w:val="00E97C10"/>
    <w:rsid w:val="00EA1029"/>
    <w:rsid w:val="00EA1337"/>
    <w:rsid w:val="00EA1699"/>
    <w:rsid w:val="00EA186B"/>
    <w:rsid w:val="00EA2634"/>
    <w:rsid w:val="00EA27AF"/>
    <w:rsid w:val="00EA3111"/>
    <w:rsid w:val="00EA31F4"/>
    <w:rsid w:val="00EA342B"/>
    <w:rsid w:val="00EA37B1"/>
    <w:rsid w:val="00EA38F3"/>
    <w:rsid w:val="00EA3D09"/>
    <w:rsid w:val="00EA4559"/>
    <w:rsid w:val="00EA45B9"/>
    <w:rsid w:val="00EA4F49"/>
    <w:rsid w:val="00EA50B0"/>
    <w:rsid w:val="00EA50B1"/>
    <w:rsid w:val="00EA50D1"/>
    <w:rsid w:val="00EA5112"/>
    <w:rsid w:val="00EA5135"/>
    <w:rsid w:val="00EA5796"/>
    <w:rsid w:val="00EA5BE3"/>
    <w:rsid w:val="00EA5EDE"/>
    <w:rsid w:val="00EA5F63"/>
    <w:rsid w:val="00EA6060"/>
    <w:rsid w:val="00EA6A0B"/>
    <w:rsid w:val="00EA6E96"/>
    <w:rsid w:val="00EA744B"/>
    <w:rsid w:val="00EB0442"/>
    <w:rsid w:val="00EB0F08"/>
    <w:rsid w:val="00EB1254"/>
    <w:rsid w:val="00EB2877"/>
    <w:rsid w:val="00EB2EFF"/>
    <w:rsid w:val="00EB365F"/>
    <w:rsid w:val="00EB366F"/>
    <w:rsid w:val="00EB38A1"/>
    <w:rsid w:val="00EB4493"/>
    <w:rsid w:val="00EB4AA9"/>
    <w:rsid w:val="00EB5449"/>
    <w:rsid w:val="00EB5BB3"/>
    <w:rsid w:val="00EB658A"/>
    <w:rsid w:val="00EB763B"/>
    <w:rsid w:val="00EB7DBA"/>
    <w:rsid w:val="00EC0C6E"/>
    <w:rsid w:val="00EC0F58"/>
    <w:rsid w:val="00EC0F7F"/>
    <w:rsid w:val="00EC0FD5"/>
    <w:rsid w:val="00EC1316"/>
    <w:rsid w:val="00EC1CDE"/>
    <w:rsid w:val="00EC1E2B"/>
    <w:rsid w:val="00EC2827"/>
    <w:rsid w:val="00EC2B79"/>
    <w:rsid w:val="00EC3635"/>
    <w:rsid w:val="00EC3A3D"/>
    <w:rsid w:val="00EC3BBD"/>
    <w:rsid w:val="00EC41F9"/>
    <w:rsid w:val="00EC4418"/>
    <w:rsid w:val="00EC468B"/>
    <w:rsid w:val="00EC491E"/>
    <w:rsid w:val="00EC4AC6"/>
    <w:rsid w:val="00EC5139"/>
    <w:rsid w:val="00EC51CC"/>
    <w:rsid w:val="00EC5ADB"/>
    <w:rsid w:val="00EC5B01"/>
    <w:rsid w:val="00EC5EF9"/>
    <w:rsid w:val="00EC6840"/>
    <w:rsid w:val="00EC6C93"/>
    <w:rsid w:val="00EC78BA"/>
    <w:rsid w:val="00EC79E4"/>
    <w:rsid w:val="00ED0A18"/>
    <w:rsid w:val="00ED0E77"/>
    <w:rsid w:val="00ED0EF1"/>
    <w:rsid w:val="00ED109B"/>
    <w:rsid w:val="00ED1846"/>
    <w:rsid w:val="00ED197C"/>
    <w:rsid w:val="00ED1DF9"/>
    <w:rsid w:val="00ED1EA4"/>
    <w:rsid w:val="00ED2101"/>
    <w:rsid w:val="00ED2368"/>
    <w:rsid w:val="00ED261A"/>
    <w:rsid w:val="00ED2C27"/>
    <w:rsid w:val="00ED2F8E"/>
    <w:rsid w:val="00ED2FFE"/>
    <w:rsid w:val="00ED3B6A"/>
    <w:rsid w:val="00ED41B4"/>
    <w:rsid w:val="00ED4467"/>
    <w:rsid w:val="00ED4A1D"/>
    <w:rsid w:val="00ED5D0A"/>
    <w:rsid w:val="00ED6B27"/>
    <w:rsid w:val="00ED7D4B"/>
    <w:rsid w:val="00ED7DD8"/>
    <w:rsid w:val="00ED7E36"/>
    <w:rsid w:val="00EE0A8B"/>
    <w:rsid w:val="00EE1133"/>
    <w:rsid w:val="00EE1649"/>
    <w:rsid w:val="00EE174A"/>
    <w:rsid w:val="00EE1DB8"/>
    <w:rsid w:val="00EE2120"/>
    <w:rsid w:val="00EE25C4"/>
    <w:rsid w:val="00EE2926"/>
    <w:rsid w:val="00EE2C8A"/>
    <w:rsid w:val="00EE2DC5"/>
    <w:rsid w:val="00EE379D"/>
    <w:rsid w:val="00EE3A85"/>
    <w:rsid w:val="00EE43B3"/>
    <w:rsid w:val="00EE44C5"/>
    <w:rsid w:val="00EE472F"/>
    <w:rsid w:val="00EE4C98"/>
    <w:rsid w:val="00EE5B73"/>
    <w:rsid w:val="00EE6BCF"/>
    <w:rsid w:val="00EE7651"/>
    <w:rsid w:val="00EE7958"/>
    <w:rsid w:val="00EF04F9"/>
    <w:rsid w:val="00EF15F9"/>
    <w:rsid w:val="00EF2785"/>
    <w:rsid w:val="00EF28C1"/>
    <w:rsid w:val="00EF3A3E"/>
    <w:rsid w:val="00EF3D5F"/>
    <w:rsid w:val="00EF4682"/>
    <w:rsid w:val="00EF62BC"/>
    <w:rsid w:val="00EF6ACE"/>
    <w:rsid w:val="00EF6F93"/>
    <w:rsid w:val="00EF72A7"/>
    <w:rsid w:val="00F00074"/>
    <w:rsid w:val="00F005BA"/>
    <w:rsid w:val="00F00DC2"/>
    <w:rsid w:val="00F0156B"/>
    <w:rsid w:val="00F01F9C"/>
    <w:rsid w:val="00F022CB"/>
    <w:rsid w:val="00F027E5"/>
    <w:rsid w:val="00F03088"/>
    <w:rsid w:val="00F03595"/>
    <w:rsid w:val="00F04548"/>
    <w:rsid w:val="00F05DAB"/>
    <w:rsid w:val="00F05EE8"/>
    <w:rsid w:val="00F06733"/>
    <w:rsid w:val="00F06821"/>
    <w:rsid w:val="00F06840"/>
    <w:rsid w:val="00F068E6"/>
    <w:rsid w:val="00F06EC1"/>
    <w:rsid w:val="00F0707A"/>
    <w:rsid w:val="00F07902"/>
    <w:rsid w:val="00F079BA"/>
    <w:rsid w:val="00F07DC9"/>
    <w:rsid w:val="00F106C2"/>
    <w:rsid w:val="00F10A75"/>
    <w:rsid w:val="00F112B3"/>
    <w:rsid w:val="00F128C7"/>
    <w:rsid w:val="00F12C06"/>
    <w:rsid w:val="00F12D8F"/>
    <w:rsid w:val="00F1380E"/>
    <w:rsid w:val="00F1390B"/>
    <w:rsid w:val="00F13C61"/>
    <w:rsid w:val="00F1434A"/>
    <w:rsid w:val="00F14885"/>
    <w:rsid w:val="00F14E6E"/>
    <w:rsid w:val="00F15AE8"/>
    <w:rsid w:val="00F15D33"/>
    <w:rsid w:val="00F15D45"/>
    <w:rsid w:val="00F162DF"/>
    <w:rsid w:val="00F16590"/>
    <w:rsid w:val="00F167E1"/>
    <w:rsid w:val="00F16B3E"/>
    <w:rsid w:val="00F16EC9"/>
    <w:rsid w:val="00F1720D"/>
    <w:rsid w:val="00F204B3"/>
    <w:rsid w:val="00F20803"/>
    <w:rsid w:val="00F218F1"/>
    <w:rsid w:val="00F21DA3"/>
    <w:rsid w:val="00F21F1B"/>
    <w:rsid w:val="00F220F0"/>
    <w:rsid w:val="00F2272D"/>
    <w:rsid w:val="00F24327"/>
    <w:rsid w:val="00F2468F"/>
    <w:rsid w:val="00F25B16"/>
    <w:rsid w:val="00F25D81"/>
    <w:rsid w:val="00F25DE0"/>
    <w:rsid w:val="00F2602E"/>
    <w:rsid w:val="00F26630"/>
    <w:rsid w:val="00F273BF"/>
    <w:rsid w:val="00F27898"/>
    <w:rsid w:val="00F27A12"/>
    <w:rsid w:val="00F27BFF"/>
    <w:rsid w:val="00F27E73"/>
    <w:rsid w:val="00F30386"/>
    <w:rsid w:val="00F30E2B"/>
    <w:rsid w:val="00F3124B"/>
    <w:rsid w:val="00F319D5"/>
    <w:rsid w:val="00F3213D"/>
    <w:rsid w:val="00F3393A"/>
    <w:rsid w:val="00F33BA2"/>
    <w:rsid w:val="00F3480A"/>
    <w:rsid w:val="00F3490C"/>
    <w:rsid w:val="00F34D21"/>
    <w:rsid w:val="00F34E8C"/>
    <w:rsid w:val="00F350E1"/>
    <w:rsid w:val="00F3536C"/>
    <w:rsid w:val="00F35481"/>
    <w:rsid w:val="00F36846"/>
    <w:rsid w:val="00F36962"/>
    <w:rsid w:val="00F37397"/>
    <w:rsid w:val="00F374DE"/>
    <w:rsid w:val="00F37A75"/>
    <w:rsid w:val="00F402DC"/>
    <w:rsid w:val="00F403CF"/>
    <w:rsid w:val="00F40DE6"/>
    <w:rsid w:val="00F415B0"/>
    <w:rsid w:val="00F41DB0"/>
    <w:rsid w:val="00F4240D"/>
    <w:rsid w:val="00F43434"/>
    <w:rsid w:val="00F43662"/>
    <w:rsid w:val="00F436FC"/>
    <w:rsid w:val="00F43F23"/>
    <w:rsid w:val="00F44A6E"/>
    <w:rsid w:val="00F44C6A"/>
    <w:rsid w:val="00F44EB0"/>
    <w:rsid w:val="00F460F9"/>
    <w:rsid w:val="00F4613E"/>
    <w:rsid w:val="00F474C6"/>
    <w:rsid w:val="00F4765F"/>
    <w:rsid w:val="00F47A58"/>
    <w:rsid w:val="00F47EF0"/>
    <w:rsid w:val="00F50104"/>
    <w:rsid w:val="00F5142F"/>
    <w:rsid w:val="00F516A8"/>
    <w:rsid w:val="00F516F0"/>
    <w:rsid w:val="00F51990"/>
    <w:rsid w:val="00F51A49"/>
    <w:rsid w:val="00F522C5"/>
    <w:rsid w:val="00F5283E"/>
    <w:rsid w:val="00F530B7"/>
    <w:rsid w:val="00F53B2E"/>
    <w:rsid w:val="00F543B0"/>
    <w:rsid w:val="00F54973"/>
    <w:rsid w:val="00F557E7"/>
    <w:rsid w:val="00F5595C"/>
    <w:rsid w:val="00F55BA0"/>
    <w:rsid w:val="00F561BA"/>
    <w:rsid w:val="00F576A9"/>
    <w:rsid w:val="00F601AD"/>
    <w:rsid w:val="00F60E42"/>
    <w:rsid w:val="00F61B5C"/>
    <w:rsid w:val="00F61BB9"/>
    <w:rsid w:val="00F62299"/>
    <w:rsid w:val="00F62419"/>
    <w:rsid w:val="00F63409"/>
    <w:rsid w:val="00F635EB"/>
    <w:rsid w:val="00F639B6"/>
    <w:rsid w:val="00F63DBF"/>
    <w:rsid w:val="00F64D2C"/>
    <w:rsid w:val="00F650DD"/>
    <w:rsid w:val="00F65171"/>
    <w:rsid w:val="00F6546F"/>
    <w:rsid w:val="00F659A2"/>
    <w:rsid w:val="00F66099"/>
    <w:rsid w:val="00F665C7"/>
    <w:rsid w:val="00F66E31"/>
    <w:rsid w:val="00F67100"/>
    <w:rsid w:val="00F67639"/>
    <w:rsid w:val="00F67808"/>
    <w:rsid w:val="00F6794A"/>
    <w:rsid w:val="00F7072A"/>
    <w:rsid w:val="00F71266"/>
    <w:rsid w:val="00F71D7E"/>
    <w:rsid w:val="00F71FB8"/>
    <w:rsid w:val="00F72B73"/>
    <w:rsid w:val="00F72E52"/>
    <w:rsid w:val="00F73749"/>
    <w:rsid w:val="00F73ABA"/>
    <w:rsid w:val="00F73B1E"/>
    <w:rsid w:val="00F73B50"/>
    <w:rsid w:val="00F73C17"/>
    <w:rsid w:val="00F7467E"/>
    <w:rsid w:val="00F7478C"/>
    <w:rsid w:val="00F74E04"/>
    <w:rsid w:val="00F75B40"/>
    <w:rsid w:val="00F75C71"/>
    <w:rsid w:val="00F7665B"/>
    <w:rsid w:val="00F76685"/>
    <w:rsid w:val="00F76F6C"/>
    <w:rsid w:val="00F77F5E"/>
    <w:rsid w:val="00F805CB"/>
    <w:rsid w:val="00F807D3"/>
    <w:rsid w:val="00F80BB9"/>
    <w:rsid w:val="00F80E14"/>
    <w:rsid w:val="00F81923"/>
    <w:rsid w:val="00F819FA"/>
    <w:rsid w:val="00F81AB8"/>
    <w:rsid w:val="00F8200A"/>
    <w:rsid w:val="00F820F9"/>
    <w:rsid w:val="00F82445"/>
    <w:rsid w:val="00F82E2E"/>
    <w:rsid w:val="00F83895"/>
    <w:rsid w:val="00F84157"/>
    <w:rsid w:val="00F85342"/>
    <w:rsid w:val="00F85B17"/>
    <w:rsid w:val="00F86309"/>
    <w:rsid w:val="00F86A8C"/>
    <w:rsid w:val="00F86C9E"/>
    <w:rsid w:val="00F87228"/>
    <w:rsid w:val="00F87691"/>
    <w:rsid w:val="00F87B82"/>
    <w:rsid w:val="00F87B84"/>
    <w:rsid w:val="00F87E6B"/>
    <w:rsid w:val="00F87EC0"/>
    <w:rsid w:val="00F902C9"/>
    <w:rsid w:val="00F90A15"/>
    <w:rsid w:val="00F90AEA"/>
    <w:rsid w:val="00F91511"/>
    <w:rsid w:val="00F917D5"/>
    <w:rsid w:val="00F92292"/>
    <w:rsid w:val="00F92688"/>
    <w:rsid w:val="00F92B97"/>
    <w:rsid w:val="00F9385A"/>
    <w:rsid w:val="00F939D4"/>
    <w:rsid w:val="00F93E30"/>
    <w:rsid w:val="00F944F0"/>
    <w:rsid w:val="00F949AA"/>
    <w:rsid w:val="00F954FE"/>
    <w:rsid w:val="00F95686"/>
    <w:rsid w:val="00F95EE9"/>
    <w:rsid w:val="00F960D1"/>
    <w:rsid w:val="00F9629C"/>
    <w:rsid w:val="00F96F36"/>
    <w:rsid w:val="00F97733"/>
    <w:rsid w:val="00F97FFE"/>
    <w:rsid w:val="00FA0ADF"/>
    <w:rsid w:val="00FA1A46"/>
    <w:rsid w:val="00FA1A4A"/>
    <w:rsid w:val="00FA1E1C"/>
    <w:rsid w:val="00FA27D2"/>
    <w:rsid w:val="00FA2907"/>
    <w:rsid w:val="00FA2D1C"/>
    <w:rsid w:val="00FA314E"/>
    <w:rsid w:val="00FA34B0"/>
    <w:rsid w:val="00FA3CE0"/>
    <w:rsid w:val="00FA4306"/>
    <w:rsid w:val="00FA492C"/>
    <w:rsid w:val="00FA56AF"/>
    <w:rsid w:val="00FA6010"/>
    <w:rsid w:val="00FA692D"/>
    <w:rsid w:val="00FA6CD8"/>
    <w:rsid w:val="00FA6EC2"/>
    <w:rsid w:val="00FA772C"/>
    <w:rsid w:val="00FA787A"/>
    <w:rsid w:val="00FB0013"/>
    <w:rsid w:val="00FB0BF6"/>
    <w:rsid w:val="00FB0C91"/>
    <w:rsid w:val="00FB106A"/>
    <w:rsid w:val="00FB11BC"/>
    <w:rsid w:val="00FB12A9"/>
    <w:rsid w:val="00FB1B6E"/>
    <w:rsid w:val="00FB256E"/>
    <w:rsid w:val="00FB26C0"/>
    <w:rsid w:val="00FB27A7"/>
    <w:rsid w:val="00FB27CB"/>
    <w:rsid w:val="00FB2E31"/>
    <w:rsid w:val="00FB35C4"/>
    <w:rsid w:val="00FB3781"/>
    <w:rsid w:val="00FB3C04"/>
    <w:rsid w:val="00FB3FA3"/>
    <w:rsid w:val="00FB4259"/>
    <w:rsid w:val="00FB446C"/>
    <w:rsid w:val="00FB496E"/>
    <w:rsid w:val="00FB4C50"/>
    <w:rsid w:val="00FB4FDD"/>
    <w:rsid w:val="00FB55EC"/>
    <w:rsid w:val="00FB599F"/>
    <w:rsid w:val="00FB5B44"/>
    <w:rsid w:val="00FB65AF"/>
    <w:rsid w:val="00FB6B3A"/>
    <w:rsid w:val="00FB6E26"/>
    <w:rsid w:val="00FB7464"/>
    <w:rsid w:val="00FB76F2"/>
    <w:rsid w:val="00FB7A31"/>
    <w:rsid w:val="00FB7AC0"/>
    <w:rsid w:val="00FC024D"/>
    <w:rsid w:val="00FC0706"/>
    <w:rsid w:val="00FC1618"/>
    <w:rsid w:val="00FC16C0"/>
    <w:rsid w:val="00FC1D10"/>
    <w:rsid w:val="00FC2BDF"/>
    <w:rsid w:val="00FC3749"/>
    <w:rsid w:val="00FC386E"/>
    <w:rsid w:val="00FC3E05"/>
    <w:rsid w:val="00FC43A6"/>
    <w:rsid w:val="00FC451A"/>
    <w:rsid w:val="00FC4AF9"/>
    <w:rsid w:val="00FC4F18"/>
    <w:rsid w:val="00FC54F5"/>
    <w:rsid w:val="00FC59F1"/>
    <w:rsid w:val="00FC5DA9"/>
    <w:rsid w:val="00FC5FA3"/>
    <w:rsid w:val="00FC5FDD"/>
    <w:rsid w:val="00FC62A0"/>
    <w:rsid w:val="00FC6B5F"/>
    <w:rsid w:val="00FC7796"/>
    <w:rsid w:val="00FC7B0B"/>
    <w:rsid w:val="00FC7BBF"/>
    <w:rsid w:val="00FD02FA"/>
    <w:rsid w:val="00FD0D01"/>
    <w:rsid w:val="00FD18E4"/>
    <w:rsid w:val="00FD1D7B"/>
    <w:rsid w:val="00FD2A5F"/>
    <w:rsid w:val="00FD2A74"/>
    <w:rsid w:val="00FD2B53"/>
    <w:rsid w:val="00FD3608"/>
    <w:rsid w:val="00FD37B0"/>
    <w:rsid w:val="00FD3ADC"/>
    <w:rsid w:val="00FD3B5A"/>
    <w:rsid w:val="00FD4BA4"/>
    <w:rsid w:val="00FD56F8"/>
    <w:rsid w:val="00FD5A89"/>
    <w:rsid w:val="00FD5E85"/>
    <w:rsid w:val="00FD793B"/>
    <w:rsid w:val="00FD7A32"/>
    <w:rsid w:val="00FE0155"/>
    <w:rsid w:val="00FE01D9"/>
    <w:rsid w:val="00FE11D1"/>
    <w:rsid w:val="00FE12BB"/>
    <w:rsid w:val="00FE1B59"/>
    <w:rsid w:val="00FE1B7C"/>
    <w:rsid w:val="00FE20FC"/>
    <w:rsid w:val="00FE228D"/>
    <w:rsid w:val="00FE242B"/>
    <w:rsid w:val="00FE2A24"/>
    <w:rsid w:val="00FE2A44"/>
    <w:rsid w:val="00FE2C8F"/>
    <w:rsid w:val="00FE2CFE"/>
    <w:rsid w:val="00FE348D"/>
    <w:rsid w:val="00FE34B7"/>
    <w:rsid w:val="00FE3AB3"/>
    <w:rsid w:val="00FE3C08"/>
    <w:rsid w:val="00FE447E"/>
    <w:rsid w:val="00FE44B0"/>
    <w:rsid w:val="00FE49CC"/>
    <w:rsid w:val="00FE55EB"/>
    <w:rsid w:val="00FE59A0"/>
    <w:rsid w:val="00FE5A5C"/>
    <w:rsid w:val="00FE622D"/>
    <w:rsid w:val="00FE63B7"/>
    <w:rsid w:val="00FE6B59"/>
    <w:rsid w:val="00FE7456"/>
    <w:rsid w:val="00FE746E"/>
    <w:rsid w:val="00FE7A41"/>
    <w:rsid w:val="00FF0098"/>
    <w:rsid w:val="00FF0174"/>
    <w:rsid w:val="00FF04B5"/>
    <w:rsid w:val="00FF0695"/>
    <w:rsid w:val="00FF0E7E"/>
    <w:rsid w:val="00FF194A"/>
    <w:rsid w:val="00FF1C95"/>
    <w:rsid w:val="00FF1CD1"/>
    <w:rsid w:val="00FF2139"/>
    <w:rsid w:val="00FF21B8"/>
    <w:rsid w:val="00FF2D2B"/>
    <w:rsid w:val="00FF2FE9"/>
    <w:rsid w:val="00FF338D"/>
    <w:rsid w:val="00FF38C0"/>
    <w:rsid w:val="00FF3A08"/>
    <w:rsid w:val="00FF3FA7"/>
    <w:rsid w:val="00FF4C54"/>
    <w:rsid w:val="00FF55E8"/>
    <w:rsid w:val="00FF5CF1"/>
    <w:rsid w:val="00FF5D33"/>
    <w:rsid w:val="00FF64B6"/>
    <w:rsid w:val="00FF6A8A"/>
    <w:rsid w:val="00FF6FCA"/>
    <w:rsid w:val="00FF70AE"/>
    <w:rsid w:val="00FF74E6"/>
    <w:rsid w:val="00FF775F"/>
    <w:rsid w:val="00FF7E61"/>
    <w:rsid w:val="026F6D4C"/>
    <w:rsid w:val="080EA826"/>
    <w:rsid w:val="10EEA419"/>
    <w:rsid w:val="1125C6B6"/>
    <w:rsid w:val="1146EECF"/>
    <w:rsid w:val="13936002"/>
    <w:rsid w:val="1C071C2F"/>
    <w:rsid w:val="2027005F"/>
    <w:rsid w:val="28CB1C03"/>
    <w:rsid w:val="28E58D81"/>
    <w:rsid w:val="2C7CCD6B"/>
    <w:rsid w:val="2E2FDAC3"/>
    <w:rsid w:val="38110889"/>
    <w:rsid w:val="475BDDDD"/>
    <w:rsid w:val="50BBFB94"/>
    <w:rsid w:val="52B83486"/>
    <w:rsid w:val="5C8F51C4"/>
    <w:rsid w:val="688E0E40"/>
    <w:rsid w:val="6BD5CF63"/>
    <w:rsid w:val="7835E47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6E038A"/>
  <w15:docId w15:val="{DE4DAB84-DB59-43BA-997A-174B906A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447C"/>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6"/>
      </w:numPr>
      <w:spacing w:after="120"/>
      <w:ind w:right="1134"/>
      <w:jc w:val="both"/>
    </w:pPr>
  </w:style>
  <w:style w:type="paragraph" w:customStyle="1" w:styleId="Bullet2G">
    <w:name w:val="_Bullet 2_G"/>
    <w:basedOn w:val="Normal"/>
    <w:rsid w:val="00FA1A46"/>
    <w:pPr>
      <w:tabs>
        <w:tab w:val="num" w:pos="2268"/>
      </w:tabs>
      <w:spacing w:after="120"/>
      <w:ind w:left="2268" w:right="1134" w:hanging="170"/>
      <w:jc w:val="both"/>
    </w:pPr>
  </w:style>
  <w:style w:type="paragraph" w:customStyle="1" w:styleId="AnnoHCHG">
    <w:name w:val="Anno _ H_CH_G"/>
    <w:basedOn w:val="Normal"/>
    <w:next w:val="AnnoH1G"/>
    <w:rsid w:val="00FA1A46"/>
    <w:pPr>
      <w:keepNext/>
      <w:keepLines/>
      <w:tabs>
        <w:tab w:val="num" w:pos="1135"/>
      </w:tabs>
      <w:spacing w:before="360" w:after="240" w:line="300" w:lineRule="exact"/>
      <w:ind w:left="1135" w:right="1134" w:hanging="284"/>
    </w:pPr>
    <w:rPr>
      <w:b/>
      <w:sz w:val="28"/>
    </w:rPr>
  </w:style>
  <w:style w:type="paragraph" w:customStyle="1" w:styleId="AnnoH1G">
    <w:name w:val="Anno_ H_1_G"/>
    <w:basedOn w:val="Normal"/>
    <w:next w:val="AnnoH23G"/>
    <w:autoRedefine/>
    <w:rsid w:val="00CA00FD"/>
    <w:pPr>
      <w:keepNext/>
      <w:keepLines/>
      <w:spacing w:before="360" w:after="240" w:line="270" w:lineRule="exact"/>
      <w:ind w:right="1134" w:firstLine="1134"/>
      <w:jc w:val="both"/>
    </w:pPr>
    <w:rPr>
      <w:b/>
      <w:sz w:val="28"/>
      <w:szCs w:val="28"/>
    </w:rPr>
  </w:style>
  <w:style w:type="paragraph" w:customStyle="1" w:styleId="AnnoH23G">
    <w:name w:val="Anno_ H_2/3_G"/>
    <w:basedOn w:val="Normal"/>
    <w:next w:val="AnnoSingleTxtG"/>
    <w:autoRedefine/>
    <w:rsid w:val="00FA1A46"/>
    <w:pPr>
      <w:keepNext/>
      <w:keepLines/>
      <w:tabs>
        <w:tab w:val="num" w:pos="1135"/>
      </w:tabs>
      <w:spacing w:before="240" w:after="120" w:line="240" w:lineRule="exact"/>
      <w:ind w:left="1135" w:right="1134" w:hanging="284"/>
    </w:pPr>
    <w:rPr>
      <w:u w:val="single"/>
    </w:rPr>
  </w:style>
  <w:style w:type="paragraph" w:customStyle="1" w:styleId="AnnoSingleTxtG">
    <w:name w:val="Anno_ Single Txt_G"/>
    <w:basedOn w:val="Normal"/>
    <w:rsid w:val="00FA1A46"/>
    <w:pPr>
      <w:tabs>
        <w:tab w:val="num" w:pos="1702"/>
      </w:tabs>
      <w:spacing w:after="120"/>
      <w:ind w:left="1702" w:right="1134" w:hanging="567"/>
      <w:jc w:val="both"/>
    </w:pPr>
  </w:style>
  <w:style w:type="character" w:styleId="FootnoteReference">
    <w:name w:val="footnote reference"/>
    <w:aliases w:val="4_G,16 Point,Superscript 6 Point,Ref,de nota al pie,number,Footnote text,Footnote reference number,Footnote symbol,note TESI,-E Fußnotenzeichen,SUPERS,stylish,ftref,Footnote Text1,Footnote Text Char2 Char,Footnote Text Char1 Char Char"/>
    <w:link w:val="BVIfnrChar"/>
    <w:qFormat/>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link w:val="EndnoteTextChar"/>
    <w:rsid w:val="00A6472E"/>
    <w:rPr>
      <w:i/>
    </w:rPr>
  </w:style>
  <w:style w:type="paragraph" w:styleId="FootnoteText">
    <w:name w:val="footnote text"/>
    <w:aliases w:val="5_G,Geneva 9,Font: Geneva 9,Boston 10,f,fn,footnote text,Footnotes,Footnote ak,Char,-E Fußnotentext,Fußnotentext Ursprung,-E Fußnotentext1,-E Fußnotentext2,-E Fußnotentext3,Char Char Char Char,Default Paragraph Font Char Char,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uiPriority w:val="99"/>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
    <w:rsid w:val="00FA1A46"/>
    <w:pPr>
      <w:keepNext/>
      <w:keepLines/>
      <w:spacing w:before="360" w:after="240" w:line="300" w:lineRule="exact"/>
      <w:ind w:right="1134"/>
    </w:pPr>
    <w:rPr>
      <w:b/>
      <w:sz w:val="28"/>
    </w:rPr>
  </w:style>
  <w:style w:type="paragraph" w:customStyle="1" w:styleId="RegH1G">
    <w:name w:val="Reg_H_1_G"/>
    <w:basedOn w:val="Normal"/>
    <w:next w:val="RegH23G"/>
    <w:rsid w:val="00FA1A46"/>
    <w:pPr>
      <w:keepNext/>
      <w:keepLines/>
      <w:spacing w:before="360" w:after="240" w:line="270" w:lineRule="exact"/>
      <w:ind w:right="1134"/>
    </w:pPr>
    <w:rPr>
      <w:b/>
      <w:sz w:val="24"/>
    </w:rPr>
  </w:style>
  <w:style w:type="paragraph" w:customStyle="1" w:styleId="RegH23G">
    <w:name w:val="Reg_H_2/3_G"/>
    <w:basedOn w:val="Normal"/>
    <w:next w:val="RegH4G"/>
    <w:rsid w:val="00FA1A46"/>
    <w:pPr>
      <w:keepNext/>
      <w:keepLines/>
      <w:spacing w:before="240" w:after="120" w:line="240" w:lineRule="exact"/>
      <w:ind w:right="1134"/>
    </w:pPr>
    <w:rPr>
      <w:b/>
    </w:rPr>
  </w:style>
  <w:style w:type="paragraph" w:customStyle="1" w:styleId="RegSingleTxtG">
    <w:name w:val="Reg_Single Txt_G"/>
    <w:basedOn w:val="Normal"/>
    <w:link w:val="RegSingleTxtGChar"/>
    <w:qFormat/>
    <w:rsid w:val="00FA1A46"/>
    <w:pPr>
      <w:tabs>
        <w:tab w:val="left" w:pos="1701"/>
      </w:tabs>
      <w:spacing w:after="120"/>
      <w:ind w:right="1134"/>
      <w:jc w:val="both"/>
    </w:pPr>
  </w:style>
  <w:style w:type="paragraph" w:styleId="TOC1">
    <w:name w:val="toc 1"/>
    <w:basedOn w:val="Normal"/>
    <w:next w:val="Normal"/>
    <w:autoRedefine/>
    <w:uiPriority w:val="39"/>
    <w:rsid w:val="00B406E1"/>
    <w:pPr>
      <w:tabs>
        <w:tab w:val="right" w:pos="851"/>
        <w:tab w:val="left" w:pos="1134"/>
        <w:tab w:val="left" w:pos="2268"/>
        <w:tab w:val="right" w:leader="dot" w:pos="8930"/>
        <w:tab w:val="right" w:pos="9639"/>
      </w:tabs>
      <w:spacing w:before="120" w:after="120"/>
      <w:ind w:left="2259" w:hanging="1125"/>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style>
  <w:style w:type="paragraph" w:customStyle="1" w:styleId="RegH5G">
    <w:name w:val="Reg_H_5_G"/>
    <w:basedOn w:val="RegH4G"/>
    <w:qFormat/>
    <w:rsid w:val="00FA1A46"/>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tabs>
        <w:tab w:val="clear" w:pos="1701"/>
      </w:tabs>
    </w:pPr>
  </w:style>
  <w:style w:type="paragraph" w:customStyle="1" w:styleId="RegSingleTxtG3">
    <w:name w:val="Reg_Single Txt_G3"/>
    <w:basedOn w:val="RegSingleTxtG"/>
    <w:qFormat/>
    <w:rsid w:val="00FA1A46"/>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3"/>
      </w:numPr>
    </w:pPr>
  </w:style>
  <w:style w:type="numbering" w:customStyle="1" w:styleId="FCCCTextboxfootnote">
    <w:name w:val="FCCC Textbox footnote"/>
    <w:uiPriority w:val="99"/>
    <w:rsid w:val="00FC386E"/>
    <w:pPr>
      <w:numPr>
        <w:numId w:val="4"/>
      </w:numPr>
    </w:pPr>
  </w:style>
  <w:style w:type="numbering" w:customStyle="1" w:styleId="FigureFootnote">
    <w:name w:val="Figure Footnote"/>
    <w:uiPriority w:val="99"/>
    <w:rsid w:val="00FE622D"/>
    <w:pPr>
      <w:numPr>
        <w:numId w:val="5"/>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semiHidden/>
    <w:unhideWhenUsed/>
    <w:rsid w:val="003E45B1"/>
    <w:rPr>
      <w:sz w:val="16"/>
      <w:szCs w:val="16"/>
    </w:rPr>
  </w:style>
  <w:style w:type="paragraph" w:styleId="CommentText">
    <w:name w:val="annotation text"/>
    <w:basedOn w:val="Normal"/>
    <w:link w:val="CommentTextChar"/>
    <w:unhideWhenUsed/>
    <w:rsid w:val="003E45B1"/>
    <w:pPr>
      <w:spacing w:line="240" w:lineRule="auto"/>
    </w:pPr>
  </w:style>
  <w:style w:type="character" w:customStyle="1" w:styleId="CommentTextChar">
    <w:name w:val="Comment Text Char"/>
    <w:basedOn w:val="DefaultParagraphFont"/>
    <w:link w:val="CommentText"/>
    <w:rsid w:val="003E45B1"/>
    <w:rPr>
      <w:rFonts w:eastAsia="SimSun"/>
      <w:lang w:val="en-GB" w:eastAsia="zh-CN"/>
    </w:rPr>
  </w:style>
  <w:style w:type="character" w:customStyle="1" w:styleId="RegSingleTxtGChar">
    <w:name w:val="Reg_Single Txt_G Char"/>
    <w:basedOn w:val="DefaultParagraphFont"/>
    <w:link w:val="RegSingleTxtG"/>
    <w:rsid w:val="00D90D69"/>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E Fußnotentext Char,Fußnotentext Ursprung Char,-E Fußnotentext1 Char,-E Fußnotentext2 Char"/>
    <w:basedOn w:val="DefaultParagraphFont"/>
    <w:link w:val="FootnoteText"/>
    <w:qFormat/>
    <w:locked/>
    <w:rsid w:val="00D90D69"/>
    <w:rPr>
      <w:rFonts w:eastAsia="SimSun"/>
      <w:sz w:val="18"/>
      <w:lang w:val="en-GB" w:eastAsia="zh-CN"/>
    </w:rPr>
  </w:style>
  <w:style w:type="character" w:styleId="Hyperlink">
    <w:name w:val="Hyperlink"/>
    <w:basedOn w:val="DefaultParagraphFont"/>
    <w:unhideWhenUsed/>
    <w:rsid w:val="00D90D69"/>
    <w:rPr>
      <w:color w:val="0000FF" w:themeColor="hyperlink"/>
      <w:u w:val="single"/>
    </w:rPr>
  </w:style>
  <w:style w:type="character" w:customStyle="1" w:styleId="normaltextrun">
    <w:name w:val="normaltextrun"/>
    <w:basedOn w:val="DefaultParagraphFont"/>
    <w:rsid w:val="00D1291B"/>
  </w:style>
  <w:style w:type="character" w:customStyle="1" w:styleId="eop">
    <w:name w:val="eop"/>
    <w:basedOn w:val="DefaultParagraphFont"/>
    <w:rsid w:val="00D1291B"/>
  </w:style>
  <w:style w:type="character" w:customStyle="1" w:styleId="ui-provider">
    <w:name w:val="ui-provider"/>
    <w:basedOn w:val="DefaultParagraphFont"/>
    <w:rsid w:val="00D1291B"/>
  </w:style>
  <w:style w:type="character" w:customStyle="1" w:styleId="HeaderChar">
    <w:name w:val="Header Char"/>
    <w:aliases w:val="6_G Char"/>
    <w:basedOn w:val="DefaultParagraphFont"/>
    <w:link w:val="Header"/>
    <w:uiPriority w:val="99"/>
    <w:rsid w:val="00DC6FDF"/>
    <w:rPr>
      <w:rFonts w:eastAsia="SimSun"/>
      <w:b/>
      <w:sz w:val="18"/>
      <w:lang w:val="en-GB" w:eastAsia="zh-CN"/>
    </w:rPr>
  </w:style>
  <w:style w:type="character" w:customStyle="1" w:styleId="FooterChar">
    <w:name w:val="Footer Char"/>
    <w:aliases w:val="3_G Char"/>
    <w:link w:val="Footer"/>
    <w:rsid w:val="00DC6FDF"/>
    <w:rPr>
      <w:rFonts w:eastAsia="SimSun"/>
      <w:sz w:val="16"/>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DC6FDF"/>
    <w:pPr>
      <w:suppressAutoHyphens w:val="0"/>
      <w:spacing w:after="160" w:line="240" w:lineRule="exact"/>
    </w:pPr>
    <w:rPr>
      <w:rFonts w:eastAsia="Times New Roman"/>
      <w:sz w:val="18"/>
      <w:vertAlign w:val="superscript"/>
      <w:lang w:val="en-US" w:eastAsia="en-US"/>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rsid w:val="00886CFB"/>
    <w:pPr>
      <w:spacing w:after="160" w:line="240" w:lineRule="exact"/>
      <w:jc w:val="both"/>
    </w:pPr>
    <w:rPr>
      <w:rFonts w:eastAsia="Times New Roman"/>
      <w:sz w:val="18"/>
      <w:vertAlign w:val="superscript"/>
      <w:lang w:eastAsia="en-GB"/>
    </w:r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semiHidden/>
    <w:unhideWhenUsed/>
    <w:rsid w:val="000807A8"/>
    <w:rPr>
      <w:b/>
      <w:bCs/>
    </w:rPr>
  </w:style>
  <w:style w:type="character" w:customStyle="1" w:styleId="CommentSubjectChar">
    <w:name w:val="Comment Subject Char"/>
    <w:basedOn w:val="CommentTextChar"/>
    <w:link w:val="CommentSubject"/>
    <w:semiHidden/>
    <w:rsid w:val="000807A8"/>
    <w:rPr>
      <w:rFonts w:eastAsia="SimSun"/>
      <w:b/>
      <w:bCs/>
      <w:lang w:val="en-GB" w:eastAsia="zh-CN"/>
    </w:rPr>
  </w:style>
  <w:style w:type="character" w:styleId="UnresolvedMention">
    <w:name w:val="Unresolved Mention"/>
    <w:basedOn w:val="DefaultParagraphFont"/>
    <w:uiPriority w:val="99"/>
    <w:unhideWhenUsed/>
    <w:rsid w:val="00AB6ACE"/>
    <w:rPr>
      <w:color w:val="605E5C"/>
      <w:shd w:val="clear" w:color="auto" w:fill="E1DFDD"/>
    </w:rPr>
  </w:style>
  <w:style w:type="character" w:customStyle="1" w:styleId="EndnoteTextChar">
    <w:name w:val="Endnote Text Char"/>
    <w:aliases w:val="2_G Char"/>
    <w:basedOn w:val="DefaultParagraphFont"/>
    <w:link w:val="EndnoteText"/>
    <w:rsid w:val="005E7E39"/>
    <w:rPr>
      <w:rFonts w:eastAsia="SimSun"/>
      <w:i/>
      <w:sz w:val="18"/>
      <w:lang w:val="en-GB" w:eastAsia="zh-CN"/>
    </w:rPr>
  </w:style>
  <w:style w:type="paragraph" w:styleId="Revision">
    <w:name w:val="Revision"/>
    <w:hidden/>
    <w:uiPriority w:val="99"/>
    <w:semiHidden/>
    <w:rsid w:val="00D9740A"/>
    <w:rPr>
      <w:rFonts w:eastAsia="SimSun"/>
      <w:lang w:val="en-GB" w:eastAsia="zh-CN"/>
    </w:rPr>
  </w:style>
  <w:style w:type="character" w:customStyle="1" w:styleId="RegHChGChar">
    <w:name w:val="Reg_H__Ch_G Char"/>
    <w:link w:val="RegHChG"/>
    <w:rsid w:val="00350111"/>
    <w:rPr>
      <w:rFonts w:eastAsia="SimSun"/>
      <w:b/>
      <w:sz w:val="28"/>
      <w:lang w:val="en-GB" w:eastAsia="zh-CN"/>
    </w:rPr>
  </w:style>
  <w:style w:type="character" w:styleId="FollowedHyperlink">
    <w:name w:val="FollowedHyperlink"/>
    <w:basedOn w:val="DefaultParagraphFont"/>
    <w:semiHidden/>
    <w:unhideWhenUsed/>
    <w:rsid w:val="00AF7A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5.xml"/><Relationship Id="rId42" Type="http://schemas.openxmlformats.org/officeDocument/2006/relationships/footer" Target="footer13.xml"/><Relationship Id="rId47" Type="http://schemas.openxmlformats.org/officeDocument/2006/relationships/footer" Target="footer16.xml"/><Relationship Id="rId63" Type="http://schemas.openxmlformats.org/officeDocument/2006/relationships/header" Target="header29.xml"/><Relationship Id="rId68" Type="http://schemas.openxmlformats.org/officeDocument/2006/relationships/footer" Target="footer25.xml"/><Relationship Id="rId16" Type="http://schemas.openxmlformats.org/officeDocument/2006/relationships/footer" Target="footer2.xml"/><Relationship Id="rId11" Type="http://schemas.openxmlformats.org/officeDocument/2006/relationships/image" Target="media/image1.wmf"/><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footer" Target="footer11.xml"/><Relationship Id="rId40" Type="http://schemas.openxmlformats.org/officeDocument/2006/relationships/header" Target="header16.xml"/><Relationship Id="rId45" Type="http://schemas.openxmlformats.org/officeDocument/2006/relationships/header" Target="header19.xml"/><Relationship Id="rId53" Type="http://schemas.openxmlformats.org/officeDocument/2006/relationships/header" Target="head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footer" Target="footer28.xml"/><Relationship Id="rId5" Type="http://schemas.openxmlformats.org/officeDocument/2006/relationships/numbering" Target="numbering.xml"/><Relationship Id="rId61" Type="http://schemas.openxmlformats.org/officeDocument/2006/relationships/footer" Target="footer22.xml"/><Relationship Id="rId19" Type="http://schemas.openxmlformats.org/officeDocument/2006/relationships/footer" Target="footer3.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3.xml"/><Relationship Id="rId43" Type="http://schemas.openxmlformats.org/officeDocument/2006/relationships/footer" Target="footer14.xml"/><Relationship Id="rId48" Type="http://schemas.openxmlformats.org/officeDocument/2006/relationships/header" Target="header20.xml"/><Relationship Id="rId56" Type="http://schemas.openxmlformats.org/officeDocument/2006/relationships/footer" Target="footer19.xml"/><Relationship Id="rId64" Type="http://schemas.openxmlformats.org/officeDocument/2006/relationships/footer" Target="footer23.xml"/><Relationship Id="rId69" Type="http://schemas.openxmlformats.org/officeDocument/2006/relationships/footer" Target="footer26.xml"/><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footer" Target="footer17.xml"/><Relationship Id="rId72" Type="http://schemas.openxmlformats.org/officeDocument/2006/relationships/header" Target="header33.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footer" Target="footer10.xml"/><Relationship Id="rId38" Type="http://schemas.openxmlformats.org/officeDocument/2006/relationships/footer" Target="footer12.xml"/><Relationship Id="rId46" Type="http://schemas.openxmlformats.org/officeDocument/2006/relationships/footer" Target="footer15.xml"/><Relationship Id="rId59" Type="http://schemas.openxmlformats.org/officeDocument/2006/relationships/header" Target="header27.xml"/><Relationship Id="rId67" Type="http://schemas.openxmlformats.org/officeDocument/2006/relationships/header" Target="header31.xml"/><Relationship Id="rId20" Type="http://schemas.openxmlformats.org/officeDocument/2006/relationships/footer" Target="footer4.xml"/><Relationship Id="rId41" Type="http://schemas.openxmlformats.org/officeDocument/2006/relationships/header" Target="head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29.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footer" Target="footer7.xml"/><Relationship Id="rId36" Type="http://schemas.openxmlformats.org/officeDocument/2006/relationships/header" Target="header14.xml"/><Relationship Id="rId49" Type="http://schemas.openxmlformats.org/officeDocument/2006/relationships/header" Target="header21.xml"/><Relationship Id="rId57" Type="http://schemas.openxmlformats.org/officeDocument/2006/relationships/footer" Target="footer20.xml"/><Relationship Id="rId10" Type="http://schemas.openxmlformats.org/officeDocument/2006/relationships/endnotes" Target="endnotes.xml"/><Relationship Id="rId31" Type="http://schemas.openxmlformats.org/officeDocument/2006/relationships/header" Target="header11.xml"/><Relationship Id="rId44" Type="http://schemas.openxmlformats.org/officeDocument/2006/relationships/header" Target="header18.xml"/><Relationship Id="rId52" Type="http://schemas.openxmlformats.org/officeDocument/2006/relationships/footer" Target="footer18.xml"/><Relationship Id="rId60" Type="http://schemas.openxmlformats.org/officeDocument/2006/relationships/footer" Target="footer21.xml"/><Relationship Id="rId65" Type="http://schemas.openxmlformats.org/officeDocument/2006/relationships/footer" Target="footer24.xml"/><Relationship Id="rId73" Type="http://schemas.openxmlformats.org/officeDocument/2006/relationships/header" Target="header3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4.xml"/><Relationship Id="rId39" Type="http://schemas.openxmlformats.org/officeDocument/2006/relationships/header" Target="header15.xml"/><Relationship Id="rId34" Type="http://schemas.openxmlformats.org/officeDocument/2006/relationships/header" Target="header12.xml"/><Relationship Id="rId50" Type="http://schemas.openxmlformats.org/officeDocument/2006/relationships/header" Target="header22.xml"/><Relationship Id="rId55" Type="http://schemas.openxmlformats.org/officeDocument/2006/relationships/header" Target="header25.xml"/><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footer" Target="footer27.xml"/><Relationship Id="rId2" Type="http://schemas.openxmlformats.org/officeDocument/2006/relationships/customXml" Target="../customXml/item2.xml"/><Relationship Id="rId29" Type="http://schemas.openxmlformats.org/officeDocument/2006/relationships/footer" Target="footer8.xml"/></Relationships>
</file>

<file path=word/_rels/footnotes.xml.rels><?xml version="1.0" encoding="UTF-8" standalone="yes"?>
<Relationships xmlns="http://schemas.openxmlformats.org/package/2006/relationships"><Relationship Id="rId8" Type="http://schemas.openxmlformats.org/officeDocument/2006/relationships/hyperlink" Target="https://unfccc.int/SCF" TargetMode="External"/><Relationship Id="rId13" Type="http://schemas.openxmlformats.org/officeDocument/2006/relationships/hyperlink" Target="https://www.ctc-n.org/network/gender-climate-expert-roster" TargetMode="External"/><Relationship Id="rId3" Type="http://schemas.openxmlformats.org/officeDocument/2006/relationships/hyperlink" Target="https://unfccc.int/proposalsSNhost" TargetMode="External"/><Relationship Id="rId7" Type="http://schemas.openxmlformats.org/officeDocument/2006/relationships/hyperlink" Target="https://www4.unfccc.int/sites/submissionsstaging/Pages/Home.aspx" TargetMode="External"/><Relationship Id="rId12" Type="http://schemas.openxmlformats.org/officeDocument/2006/relationships/hyperlink" Target="https://unfccc.int/ttclear/acl_users/MultiPAS/artificial_intelligence" TargetMode="External"/><Relationship Id="rId17" Type="http://schemas.openxmlformats.org/officeDocument/2006/relationships/hyperlink" Target="https://unfccc.int/documents/267207" TargetMode="External"/><Relationship Id="rId2" Type="http://schemas.openxmlformats.org/officeDocument/2006/relationships/hyperlink" Target="https://unfccc.int/documents/624794" TargetMode="External"/><Relationship Id="rId16" Type="http://schemas.openxmlformats.org/officeDocument/2006/relationships/hyperlink" Target="https://www4.unfccc.int/sites/submissionsstaging/Pages/Home.aspx" TargetMode="External"/><Relationship Id="rId1" Type="http://schemas.openxmlformats.org/officeDocument/2006/relationships/hyperlink" Target="https://unfccc.int/SNevalpanel" TargetMode="External"/><Relationship Id="rId6" Type="http://schemas.openxmlformats.org/officeDocument/2006/relationships/hyperlink" Target="https://www4.unfccc.int/sites/submissionsstaging/Pages/Home.aspx" TargetMode="External"/><Relationship Id="rId11" Type="http://schemas.openxmlformats.org/officeDocument/2006/relationships/hyperlink" Target="https://unfccc.int/ttclear/tec/techandndc.html" TargetMode="External"/><Relationship Id="rId5" Type="http://schemas.openxmlformats.org/officeDocument/2006/relationships/hyperlink" Target="https://unfccc.int/wim-excom/L-and-D-in-focus" TargetMode="External"/><Relationship Id="rId15" Type="http://schemas.openxmlformats.org/officeDocument/2006/relationships/hyperlink" Target="https://www.ctc-n.org/calendar/events/22nd-ctcn-advisory-board-meeting" TargetMode="External"/><Relationship Id="rId10" Type="http://schemas.openxmlformats.org/officeDocument/2006/relationships/hyperlink" Target="https://unfccc.int/ttclear/tec/workplan" TargetMode="External"/><Relationship Id="rId4" Type="http://schemas.openxmlformats.org/officeDocument/2006/relationships/hyperlink" Target="https://digitallibrary.un.org/record/3930354" TargetMode="External"/><Relationship Id="rId9" Type="http://schemas.openxmlformats.org/officeDocument/2006/relationships/hyperlink" Target="https://www.adaptation-fund.org/enhancing-access-and-increasing-impact-the-role-of-the-multilateral-climate-funds/" TargetMode="External"/><Relationship Id="rId14" Type="http://schemas.openxmlformats.org/officeDocument/2006/relationships/hyperlink" Target="https://unfccc.int/ttclear/tec/document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Paul Desanker</DisplayName>
        <AccountId>247</AccountId>
        <AccountType/>
      </UserInfo>
      <UserInfo>
        <DisplayName>Anna Charles</DisplayName>
        <AccountId>430</AccountId>
        <AccountType/>
      </UserInfo>
      <UserInfo>
        <DisplayName>Luan Harford</DisplayName>
        <AccountId>1818</AccountId>
        <AccountType/>
      </UserInfo>
      <UserInfo>
        <DisplayName>Daniel Klein</DisplayName>
        <AccountId>238</AccountId>
        <AccountType/>
      </UserInfo>
      <UserInfo>
        <DisplayName>Christine Adam</DisplayName>
        <AccountId>2060</AccountId>
        <AccountType/>
      </UserInfo>
      <UserInfo>
        <DisplayName>Gianluca Crispi</DisplayName>
        <AccountId>1356</AccountId>
        <AccountType/>
      </UserInfo>
      <UserInfo>
        <DisplayName>Luisa Rodriguez</DisplayName>
        <AccountId>1241</AccountId>
        <AccountType/>
      </UserInfo>
      <UserInfo>
        <DisplayName>Nattley Williams</DisplayName>
        <AccountId>160</AccountId>
        <AccountType/>
      </UserInfo>
      <UserInfo>
        <DisplayName>Laurence Pollier</DisplayName>
        <AccountId>30</AccountId>
        <AccountType/>
      </UserInfo>
      <UserInfo>
        <DisplayName>Karen N Smith</DisplayName>
        <AccountId>58</AccountId>
        <AccountType/>
      </UserInfo>
      <UserInfo>
        <DisplayName>Tshering Sherpa</DisplayName>
        <AccountId>532</AccountId>
        <AccountType/>
      </UserInfo>
      <UserInfo>
        <DisplayName>Franklin Odhiambo</DisplayName>
        <AccountId>2442</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customXml/itemProps2.xml><?xml version="1.0" encoding="utf-8"?>
<ds:datastoreItem xmlns:ds="http://schemas.openxmlformats.org/officeDocument/2006/customXml" ds:itemID="{0B3C20CF-33D9-40E0-A407-19912C14238B}">
  <ds:schemaRefs>
    <ds:schemaRef ds:uri="http://schemas.microsoft.com/office/2006/metadata/properties"/>
    <ds:schemaRef ds:uri="http://schemas.microsoft.com/office/infopath/2007/PartnerControls"/>
    <ds:schemaRef ds:uri="21fd8bfc-cd85-4899-a616-986da4216f81"/>
    <ds:schemaRef ds:uri="13d80b15-5f07-43ab-b435-85767a7dac08"/>
    <ds:schemaRef ds:uri="eb4559c4-8463-4985-927f-f0d558bff8f0"/>
    <ds:schemaRef ds:uri="b819522c-9de1-4f2d-ac58-6f2cdd8b04ea"/>
  </ds:schemaRefs>
</ds:datastoreItem>
</file>

<file path=customXml/itemProps3.xml><?xml version="1.0" encoding="utf-8"?>
<ds:datastoreItem xmlns:ds="http://schemas.openxmlformats.org/officeDocument/2006/customXml" ds:itemID="{45ECE88F-BF80-4B5E-B916-4078B81EC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9522c-9de1-4f2d-ac58-6f2cdd8b04ea"/>
    <ds:schemaRef ds:uri="13d80b15-5f07-43ab-b435-85767a7dac08"/>
    <ds:schemaRef ds:uri="eb4559c4-8463-4985-927f-f0d558bff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63AE58-9890-41B2-B273-5D63606339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FCCC.dotm</Template>
  <TotalTime>930</TotalTime>
  <Pages>37</Pages>
  <Words>14480</Words>
  <Characters>81360</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Paris Agreement on its fifth session. Addendum</vt:lpstr>
    </vt:vector>
  </TitlesOfParts>
  <Company>UNFCCC</Company>
  <LinksUpToDate>false</LinksUpToDate>
  <CharactersWithSpaces>95649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Paris Agreement on its fifth session. Addendum</dc:title>
  <dc:subject/>
  <dc:creator>UNFCCC</dc:creator>
  <cp:keywords/>
  <dc:description/>
  <cp:lastModifiedBy>Joaquim Barris</cp:lastModifiedBy>
  <cp:revision>995</cp:revision>
  <cp:lastPrinted>2022-09-20T12:19:00Z</cp:lastPrinted>
  <dcterms:created xsi:type="dcterms:W3CDTF">2023-04-06T16:18:00Z</dcterms:created>
  <dcterms:modified xsi:type="dcterms:W3CDTF">2024-10-22T04:54:00Z</dcterms:modified>
  <cp:category>UNFCCC Template 2022</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v.September2022</vt:lpwstr>
  </property>
  <property fmtid="{D5CDD505-2E9C-101B-9397-08002B2CF9AE}" pid="3" name="originalCreationDate">
    <vt:lpwstr>15/3/2023 10:25:00</vt:lpwstr>
  </property>
  <property fmtid="{D5CDD505-2E9C-101B-9397-08002B2CF9AE}" pid="4" name="ContentTypeId">
    <vt:lpwstr>0x01010093B27815B4C26448A2AC74C6D94E050B</vt:lpwstr>
  </property>
  <property fmtid="{D5CDD505-2E9C-101B-9397-08002B2CF9AE}" pid="5" name="_dlc_DocIdItemGuid">
    <vt:lpwstr>22601f0c-ed3a-4ec3-a53d-b68a78953ecd</vt:lpwstr>
  </property>
  <property fmtid="{D5CDD505-2E9C-101B-9397-08002B2CF9AE}" pid="6" name="fccc_body">
    <vt:lpwstr>116;#Conference of the Parties serving as the meeting of the Parties to the Paris Agreement (CMA)|a101c2d0-9814-474d-a28c-ec34bff87864</vt:lpwstr>
  </property>
  <property fmtid="{D5CDD505-2E9C-101B-9397-08002B2CF9AE}" pid="7" name="MediaServiceImageTags">
    <vt:lpwstr/>
  </property>
  <property fmtid="{D5CDD505-2E9C-101B-9397-08002B2CF9AE}" pid="8" name="kb2e315405fe407aa7f85ff4a1d5bcda">
    <vt:lpwstr/>
  </property>
  <property fmtid="{D5CDD505-2E9C-101B-9397-08002B2CF9AE}" pid="9" name="fccc_substantive_topic">
    <vt:lpwstr>46;#Sessional proceedings|ff7bdb8c-f4ee-4fbb-ab88-7747669b7746</vt:lpwstr>
  </property>
  <property fmtid="{D5CDD505-2E9C-101B-9397-08002B2CF9AE}" pid="10" name="Submission clearance officer(s)">
    <vt:lpwstr/>
  </property>
  <property fmtid="{D5CDD505-2E9C-101B-9397-08002B2CF9AE}" pid="11" name="fccc_Keywords">
    <vt:lpwstr>47;#Sessional proceedings|ff7bdb8c-f4ee-4fbb-ab88-7747669b7746</vt:lpwstr>
  </property>
  <property fmtid="{D5CDD505-2E9C-101B-9397-08002B2CF9AE}" pid="12" name="fccc_session">
    <vt:lpwstr>744;#CMA 5|a05b7314-39df-4815-af35-dc5315b9ebda</vt:lpwstr>
  </property>
  <property fmtid="{D5CDD505-2E9C-101B-9397-08002B2CF9AE}" pid="13" name="LinkedUNFCCCDocumentTracker">
    <vt:lpwstr>6044</vt:lpwstr>
  </property>
  <property fmtid="{D5CDD505-2E9C-101B-9397-08002B2CF9AE}" pid="14" name="Web_x0020_doc_x0020_type">
    <vt:lpwstr/>
  </property>
  <property fmtid="{D5CDD505-2E9C-101B-9397-08002B2CF9AE}" pid="15" name="Conference">
    <vt:lpwstr/>
  </property>
  <property fmtid="{D5CDD505-2E9C-101B-9397-08002B2CF9AE}" pid="16" name="Corporate author">
    <vt:lpwstr/>
  </property>
  <property fmtid="{D5CDD505-2E9C-101B-9397-08002B2CF9AE}" pid="17" name="Agenda Item">
    <vt:lpwstr/>
  </property>
  <property fmtid="{D5CDD505-2E9C-101B-9397-08002B2CF9AE}" pid="18" name="Web doc type">
    <vt:lpwstr/>
  </property>
  <property fmtid="{D5CDD505-2E9C-101B-9397-08002B2CF9AE}" pid="19" name="fccc_contact">
    <vt:lpwstr/>
  </property>
  <property fmtid="{D5CDD505-2E9C-101B-9397-08002B2CF9AE}" pid="20" name="Document highlight">
    <vt:bool>false</vt:bool>
  </property>
  <property fmtid="{D5CDD505-2E9C-101B-9397-08002B2CF9AE}" pid="21" name="CMS doc type">
    <vt:lpwstr>Enter Choice #1</vt:lpwstr>
  </property>
  <property fmtid="{D5CDD505-2E9C-101B-9397-08002B2CF9AE}" pid="22" name="TaxCatchAll">
    <vt:lpwstr/>
  </property>
  <property fmtid="{D5CDD505-2E9C-101B-9397-08002B2CF9AE}" pid="23" name="docSymbol2">
    <vt:lpwstr/>
  </property>
  <property fmtid="{D5CDD505-2E9C-101B-9397-08002B2CF9AE}" pid="24" name="ecb85f88989e4f11bfedb6318c1ed337">
    <vt:lpwstr/>
  </property>
  <property fmtid="{D5CDD505-2E9C-101B-9397-08002B2CF9AE}" pid="25" name="mb2653527eb04114b1d23d229a13893d">
    <vt:lpwstr/>
  </property>
  <property fmtid="{D5CDD505-2E9C-101B-9397-08002B2CF9AE}" pid="26" name="c51c080fb2d149e1934818200981989c">
    <vt:lpwstr/>
  </property>
  <property fmtid="{D5CDD505-2E9C-101B-9397-08002B2CF9AE}" pid="27" name="l6e091cbada04ed4b01f309d1d8edbb4">
    <vt:lpwstr/>
  </property>
  <property fmtid="{D5CDD505-2E9C-101B-9397-08002B2CF9AE}" pid="28" name="i961c1f3d95e40d19f5413b53439d186">
    <vt:lpwstr/>
  </property>
  <property fmtid="{D5CDD505-2E9C-101B-9397-08002B2CF9AE}" pid="29" name="oa198490080c4764bc1f8325a2b96d35">
    <vt:lpwstr/>
  </property>
  <property fmtid="{D5CDD505-2E9C-101B-9397-08002B2CF9AE}" pid="30" name="ES clearance?">
    <vt:bool>false</vt:bool>
  </property>
  <property fmtid="{D5CDD505-2E9C-101B-9397-08002B2CF9AE}" pid="31" name="Document Group">
    <vt:lpwstr/>
  </property>
  <property fmtid="{D5CDD505-2E9C-101B-9397-08002B2CF9AE}" pid="32" name="Symbolchanged">
    <vt:bool>false</vt:bool>
  </property>
  <property fmtid="{D5CDD505-2E9C-101B-9397-08002B2CF9AE}" pid="33" name="Defer">
    <vt:bool>false</vt:bool>
  </property>
  <property fmtid="{D5CDD505-2E9C-101B-9397-08002B2CF9AE}" pid="34" name="Ready for gDoc?">
    <vt:bool>false</vt:bool>
  </property>
  <property fmtid="{D5CDD505-2E9C-101B-9397-08002B2CF9AE}" pid="35" name="Editstatus">
    <vt:lpwstr>Not edited</vt:lpwstr>
  </property>
  <property fmtid="{D5CDD505-2E9C-101B-9397-08002B2CF9AE}" pid="36" name="lcf76f155ced4ddcb4097134ff3c332f">
    <vt:lpwstr/>
  </property>
  <property fmtid="{D5CDD505-2E9C-101B-9397-08002B2CF9AE}" pid="37" name="Submitted">
    <vt:bool>false</vt:bool>
  </property>
  <property fmtid="{D5CDD505-2E9C-101B-9397-08002B2CF9AE}" pid="38" name="mc8c0c91454a4efc97cb5a2e90a99718">
    <vt:lpwstr/>
  </property>
  <property fmtid="{D5CDD505-2E9C-101B-9397-08002B2CF9AE}" pid="39" name="SharedWithUsers">
    <vt:lpwstr>247;#Paul Desanker;#430;#Anna Charles;#1818;#Luan Harford;#238;#Daniel Klein;#2060;#Christine Adam;#1356;#Gianluca Crispi;#1241;#Luisa Rodriguez;#160;#Nattley Williams;#30;#Laurence Pollier;#58;#Karen N Smith;#532;#Tshering Sherpa;#2442;#Franklin Odhiambo</vt:lpwstr>
  </property>
  <property fmtid="{D5CDD505-2E9C-101B-9397-08002B2CF9AE}" pid="40" name="docSymbol1">
    <vt:lpwstr>FCCC/PA/CMA/2023/16/Add.2</vt:lpwstr>
  </property>
</Properties>
</file>