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7CFB316F" w14:textId="77777777" w:rsidTr="00D2464E">
        <w:trPr>
          <w:cantSplit/>
          <w:trHeight w:hRule="exact" w:val="1134"/>
        </w:trPr>
        <w:tc>
          <w:tcPr>
            <w:tcW w:w="1242" w:type="dxa"/>
            <w:vAlign w:val="bottom"/>
          </w:tcPr>
          <w:p w14:paraId="6F2E0533" w14:textId="77777777" w:rsidR="002D66A2" w:rsidRPr="003F5FEE" w:rsidRDefault="002D66A2" w:rsidP="00D2464E">
            <w:bookmarkStart w:id="0" w:name="_Hlk55297588"/>
            <w:bookmarkEnd w:id="0"/>
            <w:r>
              <w:rPr>
                <w:noProof/>
                <w:lang w:val="en-US" w:eastAsia="en-US"/>
              </w:rPr>
              <w:drawing>
                <wp:anchor distT="0" distB="0" distL="114300" distR="114300" simplePos="0" relativeHeight="251658240" behindDoc="1" locked="0" layoutInCell="1" allowOverlap="1" wp14:anchorId="3694D843" wp14:editId="11D61B7F">
                  <wp:simplePos x="0" y="0"/>
                  <wp:positionH relativeFrom="column">
                    <wp:posOffset>-2540</wp:posOffset>
                  </wp:positionH>
                  <wp:positionV relativeFrom="paragraph">
                    <wp:posOffset>156210</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538A66BE" w14:textId="77777777" w:rsidR="002D66A2" w:rsidRPr="00A86746" w:rsidRDefault="002D66A2" w:rsidP="00D2464E">
            <w:pPr>
              <w:ind w:left="113"/>
              <w:rPr>
                <w:sz w:val="28"/>
                <w:szCs w:val="28"/>
              </w:rPr>
            </w:pPr>
            <w:r w:rsidRPr="00A86746">
              <w:rPr>
                <w:sz w:val="28"/>
                <w:szCs w:val="28"/>
              </w:rPr>
              <w:t>United Nations</w:t>
            </w:r>
          </w:p>
        </w:tc>
        <w:tc>
          <w:tcPr>
            <w:tcW w:w="5845" w:type="dxa"/>
            <w:gridSpan w:val="3"/>
            <w:vAlign w:val="bottom"/>
          </w:tcPr>
          <w:p w14:paraId="7F94728B" w14:textId="22B111F8" w:rsidR="002D66A2" w:rsidRPr="00C86F14" w:rsidRDefault="00C86F14" w:rsidP="00C86F14">
            <w:pPr>
              <w:jc w:val="right"/>
            </w:pPr>
            <w:r w:rsidRPr="002013D9">
              <w:rPr>
                <w:sz w:val="40"/>
              </w:rPr>
              <w:t>FCCC</w:t>
            </w:r>
            <w:r w:rsidRPr="002013D9">
              <w:t>/PA/CMA/2024/1</w:t>
            </w:r>
            <w:r>
              <w:t>7/Add.1</w:t>
            </w:r>
          </w:p>
        </w:tc>
      </w:tr>
      <w:tr w:rsidR="002D66A2" w14:paraId="06B76353" w14:textId="77777777" w:rsidTr="00D2464E">
        <w:trPr>
          <w:cantSplit/>
          <w:trHeight w:hRule="exact" w:val="2552"/>
        </w:trPr>
        <w:tc>
          <w:tcPr>
            <w:tcW w:w="4511" w:type="dxa"/>
            <w:gridSpan w:val="3"/>
          </w:tcPr>
          <w:p w14:paraId="4BA461BD" w14:textId="77777777" w:rsidR="002D66A2" w:rsidRPr="003F5FEE" w:rsidRDefault="002D66A2" w:rsidP="00D2464E">
            <w:r>
              <w:rPr>
                <w:noProof/>
                <w:lang w:val="en-US" w:eastAsia="en-US"/>
              </w:rPr>
              <w:drawing>
                <wp:anchor distT="0" distB="0" distL="114300" distR="114300" simplePos="0" relativeHeight="251658241" behindDoc="1" locked="0" layoutInCell="1" allowOverlap="1" wp14:anchorId="3F2D5B66" wp14:editId="7C1F6247">
                  <wp:simplePos x="0" y="0"/>
                  <wp:positionH relativeFrom="column">
                    <wp:posOffset>-2540</wp:posOffset>
                  </wp:positionH>
                  <wp:positionV relativeFrom="paragraph">
                    <wp:posOffset>1270</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7795" w14:textId="3FDF4672" w:rsidR="002D66A2" w:rsidRDefault="002D66A2" w:rsidP="00D2464E"/>
          <w:p w14:paraId="36668CDC" w14:textId="77777777" w:rsidR="002D66A2" w:rsidRDefault="002D66A2" w:rsidP="00D2464E"/>
          <w:p w14:paraId="1736A5F9" w14:textId="77777777" w:rsidR="002D66A2" w:rsidRPr="003F5FEE" w:rsidRDefault="002D66A2" w:rsidP="00D2464E"/>
        </w:tc>
        <w:tc>
          <w:tcPr>
            <w:tcW w:w="2293" w:type="dxa"/>
          </w:tcPr>
          <w:p w14:paraId="2689F0F7" w14:textId="77777777" w:rsidR="002D66A2" w:rsidRPr="003F5FEE" w:rsidRDefault="002D66A2" w:rsidP="00D2464E"/>
        </w:tc>
        <w:tc>
          <w:tcPr>
            <w:tcW w:w="2835" w:type="dxa"/>
          </w:tcPr>
          <w:p w14:paraId="7192C977" w14:textId="77777777" w:rsidR="00DC7423" w:rsidRDefault="00C86F14" w:rsidP="00C86F14">
            <w:pPr>
              <w:spacing w:before="240" w:line="240" w:lineRule="exact"/>
              <w:ind w:left="143"/>
            </w:pPr>
            <w:r>
              <w:t>Distr.: General</w:t>
            </w:r>
          </w:p>
          <w:p w14:paraId="1C636EDE" w14:textId="7B456297" w:rsidR="002C2667" w:rsidRDefault="002C2667" w:rsidP="002C2667">
            <w:pPr>
              <w:spacing w:line="240" w:lineRule="exact"/>
              <w:ind w:left="143"/>
            </w:pPr>
            <w:r>
              <w:t>2</w:t>
            </w:r>
            <w:r w:rsidR="00137B06">
              <w:t>7</w:t>
            </w:r>
            <w:r>
              <w:t xml:space="preserve"> </w:t>
            </w:r>
            <w:r w:rsidR="00137B06">
              <w:t>March</w:t>
            </w:r>
            <w:r>
              <w:t xml:space="preserve"> 2025</w:t>
            </w:r>
          </w:p>
          <w:p w14:paraId="143D77E2" w14:textId="77777777" w:rsidR="00C86F14" w:rsidRDefault="00C86F14" w:rsidP="00C86F14">
            <w:pPr>
              <w:spacing w:line="240" w:lineRule="exact"/>
              <w:ind w:left="143"/>
            </w:pPr>
          </w:p>
          <w:p w14:paraId="14EDED5A" w14:textId="152CD4D3" w:rsidR="00C86F14" w:rsidRPr="00E0470D" w:rsidRDefault="00C86F14" w:rsidP="00C86F14">
            <w:pPr>
              <w:spacing w:line="240" w:lineRule="exact"/>
              <w:ind w:left="143"/>
            </w:pPr>
            <w:r>
              <w:t>Original: English</w:t>
            </w:r>
          </w:p>
        </w:tc>
      </w:tr>
    </w:tbl>
    <w:p w14:paraId="0ED489C7" w14:textId="34ACA549" w:rsidR="003F6A01" w:rsidRDefault="009647CF" w:rsidP="003F6A01">
      <w:pPr>
        <w:spacing w:before="120"/>
        <w:rPr>
          <w:b/>
          <w:sz w:val="24"/>
          <w:szCs w:val="24"/>
        </w:rPr>
      </w:pPr>
      <w:r>
        <w:rPr>
          <w:b/>
          <w:sz w:val="24"/>
          <w:szCs w:val="24"/>
        </w:rPr>
        <w:t xml:space="preserve">Conference of the </w:t>
      </w:r>
      <w:r w:rsidR="00823F58">
        <w:rPr>
          <w:b/>
          <w:sz w:val="24"/>
          <w:szCs w:val="24"/>
        </w:rPr>
        <w:t>Parties</w:t>
      </w:r>
      <w:r w:rsidR="00823F58" w:rsidRPr="008B33C9">
        <w:rPr>
          <w:b/>
          <w:sz w:val="24"/>
          <w:szCs w:val="24"/>
        </w:rPr>
        <w:t xml:space="preserve"> </w:t>
      </w:r>
      <w:bookmarkStart w:id="1" w:name="_Hlk75869726"/>
      <w:r w:rsidR="00823F58">
        <w:rPr>
          <w:b/>
          <w:sz w:val="24"/>
          <w:szCs w:val="24"/>
        </w:rPr>
        <w:t xml:space="preserve">serving as the meeting </w:t>
      </w:r>
      <w:r w:rsidR="00823F58">
        <w:rPr>
          <w:b/>
          <w:sz w:val="24"/>
          <w:szCs w:val="24"/>
        </w:rPr>
        <w:br/>
        <w:t>of the Parties to the Paris Agreement</w:t>
      </w:r>
      <w:bookmarkEnd w:id="1"/>
    </w:p>
    <w:p w14:paraId="0AB6453A" w14:textId="2A56EF9E" w:rsidR="003F6A01" w:rsidRDefault="003F6A01" w:rsidP="00492C76">
      <w:pPr>
        <w:pStyle w:val="RegHChG"/>
        <w:numPr>
          <w:ilvl w:val="0"/>
          <w:numId w:val="0"/>
        </w:numPr>
        <w:ind w:left="1135" w:hanging="454"/>
      </w:pPr>
      <w:r>
        <w:t>R</w:t>
      </w:r>
      <w:r w:rsidRPr="00DE51A7">
        <w:t xml:space="preserve">eport of the </w:t>
      </w:r>
      <w:r w:rsidR="00823F58">
        <w:t xml:space="preserve">Conference of the Parties </w:t>
      </w:r>
      <w:r w:rsidR="00823F58" w:rsidRPr="008B33C9">
        <w:t>serving as the meeting of the Parties to the Paris Agreement</w:t>
      </w:r>
      <w:r w:rsidR="00823F58">
        <w:t xml:space="preserve"> </w:t>
      </w:r>
      <w:r>
        <w:t>o</w:t>
      </w:r>
      <w:r w:rsidRPr="00DE51A7">
        <w:t xml:space="preserve">n its </w:t>
      </w:r>
      <w:r w:rsidR="00823F58">
        <w:br/>
        <w:t>sixth</w:t>
      </w:r>
      <w:r w:rsidR="009647CF">
        <w:t xml:space="preserve"> </w:t>
      </w:r>
      <w:r>
        <w:t>session, held in Baku from 11 to</w:t>
      </w:r>
      <w:r w:rsidR="009647CF">
        <w:t xml:space="preserve"> 2</w:t>
      </w:r>
      <w:r w:rsidR="00F7701F">
        <w:t>4</w:t>
      </w:r>
      <w:r>
        <w:t xml:space="preserve"> November 2024</w:t>
      </w:r>
    </w:p>
    <w:p w14:paraId="58CE9536" w14:textId="4CFA0B6F" w:rsidR="00DA0D30" w:rsidRDefault="00DA0D30" w:rsidP="00492C76">
      <w:pPr>
        <w:pStyle w:val="RegH1G"/>
        <w:numPr>
          <w:ilvl w:val="0"/>
          <w:numId w:val="0"/>
        </w:numPr>
        <w:ind w:left="1135" w:hanging="454"/>
      </w:pPr>
      <w:bookmarkStart w:id="2" w:name="_Toc161241743"/>
      <w:bookmarkStart w:id="3" w:name="_Toc161241969"/>
      <w:r>
        <w:t>Addendum</w:t>
      </w:r>
      <w:bookmarkEnd w:id="2"/>
      <w:bookmarkEnd w:id="3"/>
    </w:p>
    <w:p w14:paraId="0D8A82D0" w14:textId="343EC1E2" w:rsidR="003F6A01" w:rsidRDefault="00DA0D30" w:rsidP="00492C76">
      <w:pPr>
        <w:pStyle w:val="RegH1G"/>
        <w:numPr>
          <w:ilvl w:val="0"/>
          <w:numId w:val="0"/>
        </w:numPr>
        <w:ind w:left="1135" w:hanging="454"/>
      </w:pPr>
      <w:bookmarkStart w:id="4" w:name="_Toc161241744"/>
      <w:bookmarkStart w:id="5" w:name="_Toc161241970"/>
      <w:r>
        <w:t xml:space="preserve">Part </w:t>
      </w:r>
      <w:r w:rsidR="00101D9F">
        <w:t>two</w:t>
      </w:r>
      <w:r>
        <w:t>: Action taken by the Conference of the Parties serving as the meeting of the Parties to the Paris Agreement at its sixth session</w:t>
      </w:r>
      <w:bookmarkEnd w:id="4"/>
      <w:bookmarkEnd w:id="5"/>
    </w:p>
    <w:p w14:paraId="15C916A5" w14:textId="2E60EF5D" w:rsidR="003F6A01" w:rsidRDefault="00C656F2" w:rsidP="00C656F2">
      <w:pPr>
        <w:spacing w:after="120"/>
        <w:rPr>
          <w:sz w:val="28"/>
        </w:rPr>
      </w:pPr>
      <w:r>
        <w:rPr>
          <w:sz w:val="28"/>
        </w:rPr>
        <w:t>Contents</w:t>
      </w:r>
    </w:p>
    <w:p w14:paraId="5DEF0D50" w14:textId="2F919DAA" w:rsidR="00442683" w:rsidRPr="00442683" w:rsidRDefault="00442683" w:rsidP="00AB52D7">
      <w:pPr>
        <w:spacing w:before="360" w:after="240"/>
        <w:ind w:left="1134"/>
        <w:rPr>
          <w:b/>
          <w:bCs/>
          <w:sz w:val="28"/>
          <w:szCs w:val="28"/>
        </w:rPr>
      </w:pPr>
      <w:r w:rsidRPr="00442683">
        <w:rPr>
          <w:b/>
          <w:bCs/>
          <w:sz w:val="28"/>
          <w:szCs w:val="28"/>
        </w:rPr>
        <w:t xml:space="preserve">Decisions adopted by the Conference of the Parties </w:t>
      </w:r>
      <w:r w:rsidR="002C7EBF" w:rsidRPr="002C7EBF">
        <w:rPr>
          <w:b/>
          <w:bCs/>
          <w:sz w:val="28"/>
          <w:szCs w:val="28"/>
        </w:rPr>
        <w:t>serving as the meeting of the Parties to the Paris Agreement at its sixth session</w:t>
      </w:r>
    </w:p>
    <w:p w14:paraId="27C24505" w14:textId="0BB538B7" w:rsidR="00F64B90" w:rsidRPr="009374F3" w:rsidRDefault="00F64B90" w:rsidP="00F64B90">
      <w:pPr>
        <w:tabs>
          <w:tab w:val="right" w:pos="9638"/>
        </w:tabs>
        <w:spacing w:after="120"/>
        <w:ind w:left="1134"/>
      </w:pPr>
      <w:r w:rsidRPr="009374F3">
        <w:rPr>
          <w:i/>
        </w:rPr>
        <w:t>Decision</w:t>
      </w:r>
      <w:r w:rsidRPr="009374F3">
        <w:rPr>
          <w:i/>
        </w:rPr>
        <w:tab/>
        <w:t>Page</w:t>
      </w:r>
    </w:p>
    <w:p w14:paraId="2A219CEB" w14:textId="75728BC8" w:rsidR="001126F3" w:rsidRDefault="001126F3" w:rsidP="002E1907">
      <w:pPr>
        <w:pStyle w:val="TOC1"/>
      </w:pPr>
      <w:r>
        <w:tab/>
      </w:r>
      <w:r>
        <w:tab/>
      </w:r>
      <w:hyperlink w:anchor="decision1" w:history="1">
        <w:r w:rsidR="00F64B90" w:rsidRPr="00465E79">
          <w:rPr>
            <w:rStyle w:val="Hyperlink"/>
          </w:rPr>
          <w:t>1/CMA.6</w:t>
        </w:r>
      </w:hyperlink>
      <w:r w:rsidR="00F64B90">
        <w:tab/>
      </w:r>
      <w:r w:rsidR="000C548D">
        <w:t>New collective quantified goal on climate finance</w:t>
      </w:r>
      <w:r w:rsidR="00F64B90">
        <w:tab/>
      </w:r>
      <w:r>
        <w:tab/>
      </w:r>
      <w:r w:rsidR="000C2712">
        <w:t>2</w:t>
      </w:r>
    </w:p>
    <w:p w14:paraId="43BF41BF" w14:textId="47355A85" w:rsidR="001126F3" w:rsidRDefault="001126F3" w:rsidP="002E1907">
      <w:pPr>
        <w:pStyle w:val="TOC1"/>
      </w:pPr>
      <w:r>
        <w:tab/>
      </w:r>
      <w:r>
        <w:tab/>
      </w:r>
      <w:hyperlink w:anchor="decision2" w:history="1">
        <w:r w:rsidR="000C548D" w:rsidRPr="00CB04AB">
          <w:rPr>
            <w:rStyle w:val="Hyperlink"/>
          </w:rPr>
          <w:t>2/CMA.6</w:t>
        </w:r>
      </w:hyperlink>
      <w:r w:rsidR="000C548D">
        <w:tab/>
      </w:r>
      <w:r w:rsidR="00501829">
        <w:t>Sharm el-Sheikh mitigation ambition and implementation work programme</w:t>
      </w:r>
      <w:r w:rsidR="00501829">
        <w:tab/>
      </w:r>
      <w:r>
        <w:tab/>
      </w:r>
      <w:r w:rsidR="00154B4E">
        <w:t>7</w:t>
      </w:r>
    </w:p>
    <w:p w14:paraId="186D463F" w14:textId="471235EB" w:rsidR="001126F3" w:rsidRDefault="001126F3" w:rsidP="002E1907">
      <w:pPr>
        <w:pStyle w:val="TOC1"/>
      </w:pPr>
      <w:r>
        <w:tab/>
      </w:r>
      <w:r>
        <w:tab/>
      </w:r>
      <w:hyperlink w:anchor="decision3" w:history="1">
        <w:r w:rsidR="00501829" w:rsidRPr="00CB04AB">
          <w:rPr>
            <w:rStyle w:val="Hyperlink"/>
          </w:rPr>
          <w:t>3/CMA.6</w:t>
        </w:r>
      </w:hyperlink>
      <w:r w:rsidR="00501829">
        <w:tab/>
      </w:r>
      <w:r w:rsidR="000B35F8">
        <w:t>Global goal on adaptation</w:t>
      </w:r>
      <w:r w:rsidR="000B35F8">
        <w:tab/>
      </w:r>
      <w:r>
        <w:tab/>
      </w:r>
      <w:r w:rsidR="00A53027">
        <w:t>1</w:t>
      </w:r>
      <w:r w:rsidR="00154B4E">
        <w:t>0</w:t>
      </w:r>
    </w:p>
    <w:p w14:paraId="4BDEF929" w14:textId="054E7484" w:rsidR="000B11A1" w:rsidRDefault="001126F3" w:rsidP="002E1907">
      <w:pPr>
        <w:pStyle w:val="TOC1"/>
      </w:pPr>
      <w:r>
        <w:tab/>
      </w:r>
      <w:r>
        <w:tab/>
      </w:r>
      <w:hyperlink w:anchor="decision4" w:history="1">
        <w:r w:rsidR="000B35F8" w:rsidRPr="00CB04AB">
          <w:rPr>
            <w:rStyle w:val="Hyperlink"/>
          </w:rPr>
          <w:t>4/CMA.6</w:t>
        </w:r>
      </w:hyperlink>
      <w:r w:rsidR="000B35F8">
        <w:tab/>
      </w:r>
      <w:r w:rsidR="00C62C83">
        <w:t xml:space="preserve">Matters relating to cooperative approaches referred to in Article 6, paragraph 2, </w:t>
      </w:r>
      <w:r w:rsidR="002A1747">
        <w:br/>
      </w:r>
      <w:r w:rsidR="00C62C83">
        <w:t>of the Paris Agreemen</w:t>
      </w:r>
      <w:r w:rsidR="00A53027">
        <w:t>t</w:t>
      </w:r>
      <w:r w:rsidR="00A53027">
        <w:tab/>
      </w:r>
      <w:r>
        <w:tab/>
      </w:r>
      <w:r w:rsidR="00A53027">
        <w:t>1</w:t>
      </w:r>
      <w:r w:rsidR="00DB2C1F">
        <w:t>6</w:t>
      </w:r>
    </w:p>
    <w:p w14:paraId="62272AE7" w14:textId="6511C278" w:rsidR="000B11A1" w:rsidRDefault="000B11A1" w:rsidP="002E1907">
      <w:pPr>
        <w:pStyle w:val="TOC1"/>
      </w:pPr>
      <w:r>
        <w:tab/>
      </w:r>
      <w:r>
        <w:tab/>
      </w:r>
      <w:hyperlink w:anchor="decision5" w:history="1">
        <w:r w:rsidR="00726CFA" w:rsidRPr="00CB04AB">
          <w:rPr>
            <w:rStyle w:val="Hyperlink"/>
          </w:rPr>
          <w:t>5/CMA.6</w:t>
        </w:r>
      </w:hyperlink>
      <w:r w:rsidR="00726CFA">
        <w:tab/>
      </w:r>
      <w:r w:rsidR="00577FCE">
        <w:t>Guidance on the mechanism established by Article 6, paragraph 4, of the Paris</w:t>
      </w:r>
      <w:r w:rsidR="00D87C54">
        <w:t xml:space="preserve"> </w:t>
      </w:r>
      <w:r w:rsidR="00D87C54">
        <w:br/>
      </w:r>
      <w:r w:rsidR="00577FCE">
        <w:t>Agreement</w:t>
      </w:r>
      <w:r w:rsidR="00577FCE">
        <w:tab/>
      </w:r>
      <w:r w:rsidR="00A53027">
        <w:tab/>
        <w:t>3</w:t>
      </w:r>
      <w:r w:rsidR="004103AA">
        <w:t>3</w:t>
      </w:r>
    </w:p>
    <w:p w14:paraId="421335FE" w14:textId="404F9B19" w:rsidR="008C56E6" w:rsidRDefault="000B11A1" w:rsidP="002E1907">
      <w:pPr>
        <w:pStyle w:val="TOC1"/>
      </w:pPr>
      <w:r>
        <w:tab/>
      </w:r>
      <w:r>
        <w:tab/>
      </w:r>
      <w:hyperlink w:anchor="decision6" w:history="1">
        <w:r w:rsidR="00577FCE" w:rsidRPr="00CB04AB">
          <w:rPr>
            <w:rStyle w:val="Hyperlink"/>
          </w:rPr>
          <w:t>6/CMA.6</w:t>
        </w:r>
      </w:hyperlink>
      <w:r w:rsidR="00577FCE">
        <w:tab/>
      </w:r>
      <w:r w:rsidR="007567FB">
        <w:t>Further guidance on the mechanism established by Art</w:t>
      </w:r>
      <w:r w:rsidR="009B55DD">
        <w:t>i</w:t>
      </w:r>
      <w:r w:rsidR="007567FB">
        <w:t xml:space="preserve">cle 6, paragraph </w:t>
      </w:r>
      <w:r w:rsidR="009B55DD">
        <w:t xml:space="preserve">4, </w:t>
      </w:r>
      <w:r w:rsidR="002A1747">
        <w:br/>
      </w:r>
      <w:r w:rsidR="009B55DD">
        <w:t>of the Paris Agreement</w:t>
      </w:r>
      <w:r w:rsidR="009B55DD">
        <w:tab/>
      </w:r>
      <w:r w:rsidR="008C56E6">
        <w:tab/>
      </w:r>
      <w:r w:rsidR="0078222B">
        <w:t>3</w:t>
      </w:r>
      <w:r w:rsidR="002A3D15">
        <w:t>4</w:t>
      </w:r>
    </w:p>
    <w:p w14:paraId="4DBCA730" w14:textId="125B169C" w:rsidR="00C656F2" w:rsidRDefault="008C56E6" w:rsidP="002E1907">
      <w:pPr>
        <w:pStyle w:val="TOC1"/>
      </w:pPr>
      <w:r>
        <w:tab/>
      </w:r>
      <w:r>
        <w:tab/>
      </w:r>
      <w:hyperlink w:anchor="decision7" w:history="1">
        <w:r w:rsidR="009B55DD" w:rsidRPr="00CB04AB">
          <w:rPr>
            <w:rStyle w:val="Hyperlink"/>
          </w:rPr>
          <w:t>7/CMA.6</w:t>
        </w:r>
      </w:hyperlink>
      <w:r w:rsidR="009B55DD">
        <w:tab/>
      </w:r>
      <w:r w:rsidR="007978CC">
        <w:t>Work programme under the framework for non-market approaches referred to in</w:t>
      </w:r>
      <w:r w:rsidR="00D87C54">
        <w:t xml:space="preserve"> </w:t>
      </w:r>
      <w:r w:rsidR="00D87C54">
        <w:br/>
      </w:r>
      <w:r w:rsidR="007978CC">
        <w:t>Article 6, paragraph 8, of the Paris Agreement and in decision</w:t>
      </w:r>
      <w:r w:rsidR="00C97681">
        <w:t xml:space="preserve"> 4/CMA</w:t>
      </w:r>
      <w:r w:rsidR="00AB52D7">
        <w:t>.3</w:t>
      </w:r>
      <w:r w:rsidR="007978CC">
        <w:tab/>
      </w:r>
      <w:r>
        <w:tab/>
      </w:r>
      <w:r w:rsidR="002A3D15">
        <w:t>38</w:t>
      </w:r>
    </w:p>
    <w:p w14:paraId="3FD3D0C2" w14:textId="77777777" w:rsidR="00C656F2" w:rsidRPr="00C656F2" w:rsidRDefault="00C656F2" w:rsidP="00C656F2">
      <w:pPr>
        <w:tabs>
          <w:tab w:val="right" w:pos="850"/>
          <w:tab w:val="left" w:pos="1134"/>
          <w:tab w:val="left" w:pos="1559"/>
          <w:tab w:val="left" w:pos="1984"/>
          <w:tab w:val="center" w:leader="dot" w:pos="8929"/>
          <w:tab w:val="right" w:pos="9638"/>
        </w:tabs>
        <w:spacing w:after="120"/>
      </w:pPr>
    </w:p>
    <w:p w14:paraId="28C8C591" w14:textId="7E4CFFDF" w:rsidR="003F6A01" w:rsidRDefault="003F6A01" w:rsidP="0056797C">
      <w:pPr>
        <w:suppressAutoHyphens w:val="0"/>
        <w:spacing w:line="240" w:lineRule="auto"/>
      </w:pPr>
      <w:r>
        <w:br w:type="page"/>
      </w:r>
    </w:p>
    <w:p w14:paraId="2C78CCBD" w14:textId="04E9C62B" w:rsidR="00776AD2" w:rsidRDefault="005516CA" w:rsidP="00492C76">
      <w:pPr>
        <w:pStyle w:val="RegHChG"/>
        <w:numPr>
          <w:ilvl w:val="0"/>
          <w:numId w:val="0"/>
        </w:numPr>
        <w:ind w:left="1135" w:hanging="454"/>
      </w:pPr>
      <w:bookmarkStart w:id="6" w:name="decision1"/>
      <w:r>
        <w:lastRenderedPageBreak/>
        <w:t>Decision 1/CMA.6</w:t>
      </w:r>
    </w:p>
    <w:bookmarkEnd w:id="6"/>
    <w:p w14:paraId="31533E4F" w14:textId="77777777" w:rsidR="00776AD2" w:rsidRPr="00A96DC7" w:rsidRDefault="00776AD2" w:rsidP="00776AD2">
      <w:pPr>
        <w:pStyle w:val="HChG"/>
      </w:pPr>
      <w:r>
        <w:tab/>
      </w:r>
      <w:r>
        <w:tab/>
      </w:r>
      <w:r w:rsidRPr="00894CAA">
        <w:t>New collective quantified goal on climate finance</w:t>
      </w:r>
    </w:p>
    <w:p w14:paraId="618A39C2" w14:textId="77777777" w:rsidR="00776AD2" w:rsidRDefault="00776AD2" w:rsidP="00492C76">
      <w:pPr>
        <w:pStyle w:val="RegH5G"/>
        <w:numPr>
          <w:ilvl w:val="0"/>
          <w:numId w:val="0"/>
        </w:numPr>
        <w:spacing w:before="180"/>
        <w:ind w:left="1134" w:hanging="454"/>
      </w:pPr>
      <w:r w:rsidRPr="00C720DC" w:rsidDel="00673F06">
        <w:rPr>
          <w:color w:val="000000"/>
        </w:rPr>
        <w:t>The</w:t>
      </w:r>
      <w:r w:rsidRPr="00C720DC" w:rsidDel="00673F06">
        <w:t xml:space="preserve"> Conference of the Parties</w:t>
      </w:r>
      <w:r>
        <w:t xml:space="preserve"> serving as the meeting of the Parties to the Paris Agreement</w:t>
      </w:r>
      <w:r w:rsidRPr="00156E0D">
        <w:rPr>
          <w:i w:val="0"/>
          <w:iCs/>
        </w:rPr>
        <w:t>,</w:t>
      </w:r>
    </w:p>
    <w:p w14:paraId="0ED6B83F" w14:textId="77777777" w:rsidR="00776AD2" w:rsidRDefault="00776AD2" w:rsidP="00776AD2">
      <w:pPr>
        <w:pStyle w:val="RegSingleTxtG"/>
        <w:numPr>
          <w:ilvl w:val="0"/>
          <w:numId w:val="0"/>
        </w:numPr>
        <w:ind w:left="1134" w:firstLine="567"/>
      </w:pPr>
      <w:bookmarkStart w:id="7" w:name="_Ref182947246"/>
      <w:r w:rsidRPr="00A27C74">
        <w:rPr>
          <w:i/>
          <w:iCs/>
        </w:rPr>
        <w:t>Recalling</w:t>
      </w:r>
      <w:r w:rsidRPr="00A27C74">
        <w:t xml:space="preserve"> Article</w:t>
      </w:r>
      <w:r>
        <w:t xml:space="preserve"> </w:t>
      </w:r>
      <w:r w:rsidRPr="00A27C74">
        <w:t>9</w:t>
      </w:r>
      <w:r>
        <w:t xml:space="preserve"> </w:t>
      </w:r>
      <w:r w:rsidRPr="00A27C74">
        <w:t>of the Paris Agreement,</w:t>
      </w:r>
    </w:p>
    <w:p w14:paraId="5E670A86" w14:textId="77777777" w:rsidR="00776AD2" w:rsidRPr="00E85F70" w:rsidRDefault="00776AD2" w:rsidP="00776AD2">
      <w:pPr>
        <w:pStyle w:val="RegSingleTxtG"/>
        <w:numPr>
          <w:ilvl w:val="0"/>
          <w:numId w:val="0"/>
        </w:numPr>
        <w:ind w:left="1134" w:firstLine="567"/>
        <w:rPr>
          <w:rFonts w:eastAsia="Times New Roman"/>
          <w:color w:val="000000" w:themeColor="text1"/>
        </w:rPr>
      </w:pPr>
      <w:r>
        <w:rPr>
          <w:i/>
          <w:iCs/>
        </w:rPr>
        <w:t xml:space="preserve">Also recalling </w:t>
      </w:r>
      <w:r>
        <w:t>Article 2, paragraph 1, of the Paris Agreement, which sets out the goals of the Paris Agreement, and Article 2, paragraph 2, of the Paris Agreement, which provides that the Agreement will be implemented to reflect equity and the principle of common but differentiated responsibilities and respective capabilities, in the light of different national circumstances,</w:t>
      </w:r>
    </w:p>
    <w:p w14:paraId="320B9504" w14:textId="30A32AE8" w:rsidR="00776AD2" w:rsidRPr="000F057B" w:rsidRDefault="00776AD2" w:rsidP="00776AD2">
      <w:pPr>
        <w:pStyle w:val="RegSingleTxtG"/>
        <w:numPr>
          <w:ilvl w:val="0"/>
          <w:numId w:val="0"/>
        </w:numPr>
        <w:ind w:left="1134" w:firstLine="567"/>
        <w:rPr>
          <w:rFonts w:eastAsia="Times New Roman"/>
          <w:color w:val="000000" w:themeColor="text1"/>
        </w:rPr>
      </w:pPr>
      <w:r>
        <w:rPr>
          <w:rFonts w:eastAsia="Times New Roman"/>
          <w:i/>
          <w:iCs/>
          <w:color w:val="000000" w:themeColor="text1"/>
        </w:rPr>
        <w:t>Further r</w:t>
      </w:r>
      <w:r w:rsidRPr="000F057B">
        <w:rPr>
          <w:rFonts w:eastAsia="Times New Roman"/>
          <w:i/>
          <w:iCs/>
          <w:color w:val="000000" w:themeColor="text1"/>
        </w:rPr>
        <w:t>ecalling</w:t>
      </w:r>
      <w:r w:rsidRPr="000F057B">
        <w:rPr>
          <w:rFonts w:eastAsia="Times New Roman"/>
          <w:color w:val="000000" w:themeColor="text1"/>
        </w:rPr>
        <w:t xml:space="preserve"> decision </w:t>
      </w:r>
      <w:hyperlink r:id="rId15" w:history="1">
        <w:r w:rsidRPr="00514C67">
          <w:rPr>
            <w:rStyle w:val="Hyperlink"/>
            <w:rFonts w:eastAsia="Times New Roman"/>
          </w:rPr>
          <w:t>1/CP.21</w:t>
        </w:r>
      </w:hyperlink>
      <w:r w:rsidRPr="000F057B">
        <w:rPr>
          <w:rFonts w:eastAsia="Times New Roman"/>
          <w:color w:val="000000" w:themeColor="text1"/>
        </w:rPr>
        <w:t>, paragraph 53,</w:t>
      </w:r>
    </w:p>
    <w:p w14:paraId="0160883C" w14:textId="66E599D4" w:rsidR="00776AD2" w:rsidRDefault="00776AD2" w:rsidP="00776AD2">
      <w:pPr>
        <w:pStyle w:val="RegSingleTxtG"/>
        <w:numPr>
          <w:ilvl w:val="0"/>
          <w:numId w:val="0"/>
        </w:numPr>
        <w:ind w:left="1134" w:firstLine="567"/>
        <w:rPr>
          <w:rFonts w:eastAsia="Times New Roman"/>
          <w:color w:val="000000" w:themeColor="text1"/>
        </w:rPr>
      </w:pPr>
      <w:r>
        <w:rPr>
          <w:rFonts w:eastAsia="Times New Roman"/>
          <w:i/>
          <w:iCs/>
          <w:color w:val="000000" w:themeColor="text1"/>
        </w:rPr>
        <w:t>R</w:t>
      </w:r>
      <w:r w:rsidRPr="000F057B">
        <w:rPr>
          <w:rFonts w:eastAsia="Times New Roman"/>
          <w:i/>
          <w:iCs/>
          <w:color w:val="000000" w:themeColor="text1"/>
        </w:rPr>
        <w:t>ecalling</w:t>
      </w:r>
      <w:r w:rsidRPr="000F057B">
        <w:rPr>
          <w:rFonts w:eastAsia="Times New Roman"/>
          <w:color w:val="000000" w:themeColor="text1"/>
        </w:rPr>
        <w:t xml:space="preserve"> decisions </w:t>
      </w:r>
      <w:hyperlink r:id="rId16" w:history="1">
        <w:r w:rsidRPr="00514C67">
          <w:rPr>
            <w:rStyle w:val="Hyperlink"/>
            <w:rFonts w:eastAsia="Times New Roman"/>
          </w:rPr>
          <w:t>14/CMA.1</w:t>
        </w:r>
      </w:hyperlink>
      <w:r w:rsidRPr="000F057B">
        <w:rPr>
          <w:rFonts w:eastAsia="Times New Roman"/>
          <w:color w:val="000000" w:themeColor="text1"/>
        </w:rPr>
        <w:t xml:space="preserve">, </w:t>
      </w:r>
      <w:hyperlink r:id="rId17" w:history="1">
        <w:r w:rsidRPr="00514C67">
          <w:rPr>
            <w:rStyle w:val="Hyperlink"/>
            <w:rFonts w:eastAsia="Times New Roman"/>
          </w:rPr>
          <w:t>9/CMA.3</w:t>
        </w:r>
      </w:hyperlink>
      <w:r w:rsidRPr="000F057B">
        <w:rPr>
          <w:rFonts w:eastAsia="Times New Roman"/>
          <w:color w:val="000000" w:themeColor="text1"/>
        </w:rPr>
        <w:t xml:space="preserve">, </w:t>
      </w:r>
      <w:hyperlink r:id="rId18" w:history="1">
        <w:r w:rsidRPr="00514C67">
          <w:rPr>
            <w:rStyle w:val="Hyperlink"/>
            <w:rFonts w:eastAsia="Times New Roman"/>
          </w:rPr>
          <w:t>5/CMA.4</w:t>
        </w:r>
      </w:hyperlink>
      <w:r w:rsidRPr="000F057B">
        <w:rPr>
          <w:rFonts w:eastAsia="Times New Roman"/>
          <w:color w:val="000000" w:themeColor="text1"/>
        </w:rPr>
        <w:t xml:space="preserve"> and </w:t>
      </w:r>
      <w:hyperlink r:id="rId19" w:history="1">
        <w:r w:rsidRPr="00514C67">
          <w:rPr>
            <w:rStyle w:val="Hyperlink"/>
            <w:rFonts w:eastAsia="Times New Roman"/>
          </w:rPr>
          <w:t>8/CMA.5</w:t>
        </w:r>
      </w:hyperlink>
      <w:r w:rsidRPr="000F057B">
        <w:rPr>
          <w:rFonts w:eastAsia="Times New Roman"/>
          <w:color w:val="000000" w:themeColor="text1"/>
        </w:rPr>
        <w:t>,</w:t>
      </w:r>
    </w:p>
    <w:p w14:paraId="6F5707BD" w14:textId="59575198" w:rsidR="00776AD2" w:rsidRDefault="00492C76" w:rsidP="00492C76">
      <w:pPr>
        <w:pStyle w:val="RegSingleTxtG"/>
        <w:numPr>
          <w:ilvl w:val="0"/>
          <w:numId w:val="0"/>
        </w:numPr>
        <w:ind w:left="1134"/>
      </w:pPr>
      <w:r>
        <w:t>1.</w:t>
      </w:r>
      <w:r>
        <w:tab/>
      </w:r>
      <w:r w:rsidR="00776AD2" w:rsidRPr="00D05D77">
        <w:rPr>
          <w:i/>
          <w:iCs/>
        </w:rPr>
        <w:t>Affirms</w:t>
      </w:r>
      <w:r w:rsidR="00776AD2">
        <w:t xml:space="preserve"> that the new collective quantified goal on climate finance is aimed at contributing to accelerating the achievement of Article 2 of the Paris Agreement of holding the increase in the global average temperature to well below 2 °C above pre-industrial levels and pursuing efforts to limit the temperature increase to 1.5 °C above pre-industrial levels, recognizing that this would significantly reduce the risks and impacts of climate change; increasing the ability to adapt to the adverse impacts of climate change and foster climate resilience and low greenhouse gas emission development in a manner that does not threaten food production; and making finance flows consistent with a pathway towards low greenhouse gas emissions and climate-resilient development; </w:t>
      </w:r>
    </w:p>
    <w:p w14:paraId="78D0C25D" w14:textId="19A490E5" w:rsidR="00776AD2" w:rsidRDefault="00492C76" w:rsidP="00492C76">
      <w:pPr>
        <w:pStyle w:val="RegSingleTxtG"/>
        <w:numPr>
          <w:ilvl w:val="0"/>
          <w:numId w:val="0"/>
        </w:numPr>
        <w:ind w:left="1134"/>
      </w:pPr>
      <w:r>
        <w:t>2.</w:t>
      </w:r>
      <w:r>
        <w:tab/>
      </w:r>
      <w:r w:rsidR="00776AD2" w:rsidRPr="000F057B">
        <w:rPr>
          <w:i/>
          <w:iCs/>
        </w:rPr>
        <w:t>Re</w:t>
      </w:r>
      <w:r w:rsidR="00776AD2">
        <w:rPr>
          <w:i/>
          <w:iCs/>
        </w:rPr>
        <w:t>affirm</w:t>
      </w:r>
      <w:r w:rsidR="00776AD2" w:rsidRPr="000F057B">
        <w:rPr>
          <w:i/>
          <w:iCs/>
        </w:rPr>
        <w:t>s</w:t>
      </w:r>
      <w:r w:rsidR="00776AD2">
        <w:t xml:space="preserve"> the outcomes of the first global stocktake and </w:t>
      </w:r>
      <w:r w:rsidR="00776AD2" w:rsidRPr="00814AE1">
        <w:rPr>
          <w:i/>
          <w:iCs/>
        </w:rPr>
        <w:t>stresses</w:t>
      </w:r>
      <w:r w:rsidR="00776AD2">
        <w:t xml:space="preserve"> the urgency of enhancing ambition and action in this critical decade to address the gaps in the implementation of the goals of the Paris Agreement;</w:t>
      </w:r>
    </w:p>
    <w:p w14:paraId="7BBD53F5" w14:textId="10C967EC" w:rsidR="00776AD2" w:rsidRDefault="00492C76" w:rsidP="00492C76">
      <w:pPr>
        <w:pStyle w:val="RegSingleTxtG"/>
        <w:numPr>
          <w:ilvl w:val="0"/>
          <w:numId w:val="0"/>
        </w:numPr>
        <w:ind w:left="1134"/>
      </w:pPr>
      <w:r>
        <w:t>3.</w:t>
      </w:r>
      <w:r>
        <w:tab/>
      </w:r>
      <w:r w:rsidR="00776AD2">
        <w:rPr>
          <w:bCs/>
          <w:i/>
          <w:iCs/>
        </w:rPr>
        <w:t>H</w:t>
      </w:r>
      <w:r w:rsidR="00776AD2" w:rsidRPr="00E412DA">
        <w:rPr>
          <w:i/>
          <w:iCs/>
        </w:rPr>
        <w:t>ighlights</w:t>
      </w:r>
      <w:r w:rsidR="00776AD2" w:rsidRPr="00A27C74">
        <w:t xml:space="preserve"> that costed needs </w:t>
      </w:r>
      <w:r w:rsidR="00776AD2">
        <w:t xml:space="preserve">reported </w:t>
      </w:r>
      <w:r w:rsidR="00776AD2" w:rsidRPr="00A27C74">
        <w:t xml:space="preserve">in </w:t>
      </w:r>
      <w:r w:rsidR="00776AD2">
        <w:t xml:space="preserve">nationally determined contributions </w:t>
      </w:r>
      <w:r w:rsidR="00776AD2" w:rsidRPr="00CC68A8">
        <w:t>of developing country Parties</w:t>
      </w:r>
      <w:r w:rsidR="00776AD2" w:rsidRPr="00A27C74">
        <w:t xml:space="preserve"> are</w:t>
      </w:r>
      <w:r w:rsidR="00776AD2">
        <w:t xml:space="preserve"> </w:t>
      </w:r>
      <w:r w:rsidR="00776AD2" w:rsidRPr="00A27C74">
        <w:t>estimated at</w:t>
      </w:r>
      <w:r w:rsidR="00776AD2">
        <w:t xml:space="preserve"> USD 5.1–6.8 </w:t>
      </w:r>
      <w:r w:rsidR="00776AD2" w:rsidRPr="00A27C74">
        <w:t xml:space="preserve">trillion </w:t>
      </w:r>
      <w:r w:rsidR="00776AD2">
        <w:t xml:space="preserve">for </w:t>
      </w:r>
      <w:r w:rsidR="00776AD2" w:rsidRPr="00A27C74">
        <w:t>up until 2030</w:t>
      </w:r>
      <w:r w:rsidR="00776AD2">
        <w:t xml:space="preserve"> or USD</w:t>
      </w:r>
      <w:r w:rsidR="00A848D1">
        <w:t> </w:t>
      </w:r>
      <w:r w:rsidR="00776AD2" w:rsidRPr="00A27C74">
        <w:t xml:space="preserve">455–584 billion </w:t>
      </w:r>
      <w:r w:rsidR="00776AD2" w:rsidRPr="002D4B38">
        <w:t>per year</w:t>
      </w:r>
      <w:r w:rsidR="00776AD2">
        <w:rPr>
          <w:rStyle w:val="FootnoteReference"/>
        </w:rPr>
        <w:footnoteReference w:id="2"/>
      </w:r>
      <w:r w:rsidR="00776AD2" w:rsidRPr="00251D23">
        <w:t xml:space="preserve"> </w:t>
      </w:r>
      <w:r w:rsidR="00776AD2" w:rsidRPr="002D4B38">
        <w:t xml:space="preserve">and adaptation finance needs are estimated at USD 215–387 billion annually </w:t>
      </w:r>
      <w:r w:rsidR="00776AD2">
        <w:t xml:space="preserve">for </w:t>
      </w:r>
      <w:r w:rsidR="00776AD2" w:rsidRPr="002D4B38">
        <w:t>up until 2030</w:t>
      </w:r>
      <w:r w:rsidR="00776AD2">
        <w:rPr>
          <w:rStyle w:val="FootnoteReference"/>
        </w:rPr>
        <w:footnoteReference w:id="3"/>
      </w:r>
      <w:r w:rsidR="00776AD2">
        <w:t xml:space="preserve"> and </w:t>
      </w:r>
      <w:r w:rsidR="00776AD2" w:rsidRPr="008E612D">
        <w:rPr>
          <w:i/>
          <w:iCs/>
        </w:rPr>
        <w:t>notes with concern</w:t>
      </w:r>
      <w:r w:rsidR="00776AD2">
        <w:t xml:space="preserve"> the gap between climate finance flows and needs, particularly for adaptation in developing country Parties</w:t>
      </w:r>
      <w:r w:rsidR="00776AD2" w:rsidRPr="00A27C74">
        <w:t>;</w:t>
      </w:r>
      <w:r w:rsidR="00776AD2">
        <w:rPr>
          <w:rStyle w:val="FootnoteReference"/>
        </w:rPr>
        <w:footnoteReference w:id="4"/>
      </w:r>
      <w:r w:rsidR="00776AD2" w:rsidRPr="00A27C74">
        <w:t xml:space="preserve"> </w:t>
      </w:r>
    </w:p>
    <w:p w14:paraId="294AC6AE" w14:textId="6B6EB2AC" w:rsidR="00776AD2" w:rsidRDefault="00492C76" w:rsidP="00492C76">
      <w:pPr>
        <w:pStyle w:val="RegSingleTxtG"/>
        <w:numPr>
          <w:ilvl w:val="0"/>
          <w:numId w:val="0"/>
        </w:numPr>
        <w:ind w:left="1134"/>
      </w:pPr>
      <w:r>
        <w:t>4.</w:t>
      </w:r>
      <w:r>
        <w:tab/>
      </w:r>
      <w:r w:rsidR="00776AD2" w:rsidRPr="000F057B">
        <w:rPr>
          <w:i/>
          <w:iCs/>
        </w:rPr>
        <w:t xml:space="preserve">Notes </w:t>
      </w:r>
      <w:r w:rsidR="00776AD2">
        <w:t xml:space="preserve">the findings </w:t>
      </w:r>
      <w:r w:rsidR="00776AD2" w:rsidDel="00945699">
        <w:t xml:space="preserve">of </w:t>
      </w:r>
      <w:r w:rsidR="00776AD2">
        <w:t>the Sixth Assessment Report of the Intergovernmental Panel on Climate Change, including the urgency of climate action; that finance, technology and international cooperation are critical enablers for accelerated climate action; that if climate goals are to be achieved, both adaptation and mitigation financing would need to be increased manyfold; and that there is sufficient global capital to close the global investment gap but there are barriers to redirecting capital to climate action, and that governments, through public funding and clear signals to investors, are key in reducing these barriers;</w:t>
      </w:r>
    </w:p>
    <w:p w14:paraId="34B4D19C" w14:textId="429BBB56" w:rsidR="00776AD2" w:rsidRDefault="00492C76" w:rsidP="00492C76">
      <w:pPr>
        <w:pStyle w:val="RegSingleTxtG"/>
        <w:numPr>
          <w:ilvl w:val="0"/>
          <w:numId w:val="0"/>
        </w:numPr>
        <w:ind w:left="1134"/>
      </w:pPr>
      <w:r>
        <w:t>5.</w:t>
      </w:r>
      <w:r>
        <w:tab/>
      </w:r>
      <w:r w:rsidR="00776AD2" w:rsidRPr="00683836">
        <w:rPr>
          <w:i/>
          <w:iCs/>
        </w:rPr>
        <w:t>Decides</w:t>
      </w:r>
      <w:r w:rsidR="00776AD2">
        <w:t xml:space="preserve"> that the new collective quantified goal on climate finance will support the implementation of developing country Parties’, inter alia, nationally determined contributions, national adaptation plans and adaptation communications, including those submitted as adaptation components of nationally determined contributions; contribute to increasing and accelerating ambition; and reflect the evolving needs and priorities of developing country Parties, especially those that are particularly vulnerable</w:t>
      </w:r>
      <w:r w:rsidR="00776AD2" w:rsidRPr="00683836">
        <w:t xml:space="preserve"> </w:t>
      </w:r>
      <w:r w:rsidR="00776AD2">
        <w:t>to the adverse effects of climate change and have significant capacity constraints, such as the least developed countries and small island developing States;</w:t>
      </w:r>
    </w:p>
    <w:p w14:paraId="17DA23B1" w14:textId="7E23E882" w:rsidR="00776AD2" w:rsidRDefault="00492C76" w:rsidP="00492C76">
      <w:pPr>
        <w:pStyle w:val="RegSingleTxtG"/>
        <w:numPr>
          <w:ilvl w:val="0"/>
          <w:numId w:val="0"/>
        </w:numPr>
        <w:ind w:left="1134"/>
      </w:pPr>
      <w:r>
        <w:lastRenderedPageBreak/>
        <w:t>6.</w:t>
      </w:r>
      <w:r>
        <w:tab/>
      </w:r>
      <w:r w:rsidR="00776AD2" w:rsidRPr="00C204FB">
        <w:rPr>
          <w:i/>
          <w:iCs/>
        </w:rPr>
        <w:t>Reiterates</w:t>
      </w:r>
      <w:r w:rsidR="00776AD2">
        <w:t xml:space="preserve"> the importance of reforming the multilateral financial architecture</w:t>
      </w:r>
      <w:r w:rsidR="00776AD2">
        <w:rPr>
          <w:rStyle w:val="FootnoteReference"/>
        </w:rPr>
        <w:footnoteReference w:id="5"/>
      </w:r>
      <w:r w:rsidR="00776AD2">
        <w:t xml:space="preserve"> and </w:t>
      </w:r>
      <w:r w:rsidR="00776AD2" w:rsidRPr="00C204FB">
        <w:rPr>
          <w:i/>
          <w:iCs/>
        </w:rPr>
        <w:t>underscores</w:t>
      </w:r>
      <w:r w:rsidR="00776AD2">
        <w:t xml:space="preserve"> the need to remove barriers and address disenablers faced by developing country Parties in financing climate action, including high costs of capital, limited fiscal space, unsustainable debt levels, high transaction costs and conditionalities for accessing climate finance;</w:t>
      </w:r>
    </w:p>
    <w:p w14:paraId="269804DC" w14:textId="0911778C" w:rsidR="00776AD2" w:rsidRDefault="00492C76" w:rsidP="00492C76">
      <w:pPr>
        <w:pStyle w:val="RegSingleTxtG"/>
        <w:numPr>
          <w:ilvl w:val="0"/>
          <w:numId w:val="0"/>
        </w:numPr>
        <w:ind w:left="1134"/>
      </w:pPr>
      <w:bookmarkStart w:id="8" w:name="_Hlk183210933"/>
      <w:r>
        <w:t>7.</w:t>
      </w:r>
      <w:r>
        <w:tab/>
      </w:r>
      <w:r w:rsidR="00776AD2" w:rsidRPr="000F057B">
        <w:rPr>
          <w:i/>
          <w:iCs/>
        </w:rPr>
        <w:t>Calls</w:t>
      </w:r>
      <w:r w:rsidR="00776AD2">
        <w:t xml:space="preserve"> </w:t>
      </w:r>
      <w:r w:rsidR="00776AD2" w:rsidRPr="00846433">
        <w:rPr>
          <w:i/>
          <w:iCs/>
        </w:rPr>
        <w:t>on</w:t>
      </w:r>
      <w:r w:rsidR="00776AD2">
        <w:t xml:space="preserve"> all actors to work together to enable the scaling up of financing to developing country Parties for climate action from all public and private sources to at least USD 1.3 trillion per year by 2035;</w:t>
      </w:r>
    </w:p>
    <w:p w14:paraId="30FF314F" w14:textId="33D18CC0" w:rsidR="00776AD2" w:rsidRDefault="00492C76" w:rsidP="00492C76">
      <w:pPr>
        <w:pStyle w:val="RegSingleTxtG"/>
        <w:numPr>
          <w:ilvl w:val="0"/>
          <w:numId w:val="0"/>
        </w:numPr>
        <w:ind w:left="1134"/>
      </w:pPr>
      <w:r>
        <w:t>8.</w:t>
      </w:r>
      <w:r>
        <w:tab/>
      </w:r>
      <w:r w:rsidR="00776AD2" w:rsidRPr="007C6129">
        <w:rPr>
          <w:i/>
        </w:rPr>
        <w:t>R</w:t>
      </w:r>
      <w:r w:rsidR="00776AD2" w:rsidRPr="007C6129">
        <w:rPr>
          <w:i/>
          <w:iCs/>
        </w:rPr>
        <w:t>eaffirms</w:t>
      </w:r>
      <w:r w:rsidR="00776AD2" w:rsidRPr="00846433">
        <w:t>,</w:t>
      </w:r>
      <w:r w:rsidR="00776AD2">
        <w:rPr>
          <w:i/>
          <w:iCs/>
        </w:rPr>
        <w:t xml:space="preserve"> </w:t>
      </w:r>
      <w:r w:rsidR="00776AD2">
        <w:t xml:space="preserve">in this context, Article 9 of the Paris Agreement and </w:t>
      </w:r>
      <w:r w:rsidR="00776AD2" w:rsidRPr="000F057B">
        <w:rPr>
          <w:i/>
          <w:iCs/>
        </w:rPr>
        <w:t>decides</w:t>
      </w:r>
      <w:r w:rsidR="00776AD2">
        <w:t xml:space="preserve"> to set a goal, </w:t>
      </w:r>
      <w:r w:rsidR="00776AD2" w:rsidDel="002179A6">
        <w:t>in</w:t>
      </w:r>
      <w:r w:rsidR="00776AD2">
        <w:t xml:space="preserve"> extension of the goal referred to in paragraph 53 of decision </w:t>
      </w:r>
      <w:hyperlink r:id="rId20" w:history="1">
        <w:r w:rsidR="00776AD2" w:rsidRPr="00514C67">
          <w:rPr>
            <w:rStyle w:val="Hyperlink"/>
          </w:rPr>
          <w:t>1/CP.21</w:t>
        </w:r>
      </w:hyperlink>
      <w:r w:rsidR="00776AD2">
        <w:t>, with developed country Parties taking the lead, of at least USD 300 billion per year by 2035 for developing country Parties for climate action:</w:t>
      </w:r>
    </w:p>
    <w:p w14:paraId="49135ED1" w14:textId="5A7E2154" w:rsidR="00776AD2" w:rsidRDefault="00492C76" w:rsidP="00492C76">
      <w:pPr>
        <w:pStyle w:val="RegSingleTxtG2"/>
        <w:numPr>
          <w:ilvl w:val="0"/>
          <w:numId w:val="0"/>
        </w:numPr>
        <w:ind w:left="1134" w:firstLine="567"/>
      </w:pPr>
      <w:r>
        <w:rPr>
          <w:szCs w:val="28"/>
        </w:rPr>
        <w:t>(a)</w:t>
      </w:r>
      <w:r>
        <w:rPr>
          <w:szCs w:val="28"/>
        </w:rPr>
        <w:tab/>
      </w:r>
      <w:r w:rsidR="00776AD2">
        <w:t>From a wide variety of sources, public and private, bilateral and multilateral, including alternative sources;</w:t>
      </w:r>
    </w:p>
    <w:p w14:paraId="07295DD5" w14:textId="52E9480E" w:rsidR="00776AD2" w:rsidRDefault="00492C76" w:rsidP="00492C76">
      <w:pPr>
        <w:pStyle w:val="RegSingleTxtG2"/>
        <w:numPr>
          <w:ilvl w:val="0"/>
          <w:numId w:val="0"/>
        </w:numPr>
        <w:ind w:left="1134" w:firstLine="567"/>
      </w:pPr>
      <w:r>
        <w:rPr>
          <w:szCs w:val="28"/>
        </w:rPr>
        <w:t>(b)</w:t>
      </w:r>
      <w:r>
        <w:rPr>
          <w:szCs w:val="28"/>
        </w:rPr>
        <w:tab/>
      </w:r>
      <w:r w:rsidR="00776AD2">
        <w:t xml:space="preserve">In the context of meaningful and ambitious mitigation and adaptation action, and transparency in implementation; </w:t>
      </w:r>
    </w:p>
    <w:p w14:paraId="5901690D" w14:textId="2BCF8335" w:rsidR="00776AD2" w:rsidRDefault="00492C76" w:rsidP="00492C76">
      <w:pPr>
        <w:pStyle w:val="RegSingleTxtG2"/>
        <w:numPr>
          <w:ilvl w:val="0"/>
          <w:numId w:val="0"/>
        </w:numPr>
        <w:ind w:left="1134" w:firstLine="567"/>
      </w:pPr>
      <w:r>
        <w:rPr>
          <w:szCs w:val="28"/>
        </w:rPr>
        <w:t>(c)</w:t>
      </w:r>
      <w:r>
        <w:rPr>
          <w:szCs w:val="28"/>
        </w:rPr>
        <w:tab/>
      </w:r>
      <w:r w:rsidR="00776AD2" w:rsidRPr="00156E0D">
        <w:t>Recognizing</w:t>
      </w:r>
      <w:r w:rsidR="00776AD2">
        <w:t xml:space="preserve"> the voluntary intention of Parties to count all climate-related outflows from and climate-related finance mobilized by multilateral development banks towards achievement of the goal </w:t>
      </w:r>
      <w:r w:rsidR="00776AD2" w:rsidDel="00830EFD">
        <w:t>set forth in this paragraph</w:t>
      </w:r>
      <w:r w:rsidR="00776AD2">
        <w:t>;</w:t>
      </w:r>
      <w:r w:rsidR="00776AD2">
        <w:rPr>
          <w:rStyle w:val="FootnoteReference"/>
        </w:rPr>
        <w:footnoteReference w:id="6"/>
      </w:r>
      <w:r w:rsidR="00776AD2">
        <w:t xml:space="preserve"> </w:t>
      </w:r>
    </w:p>
    <w:p w14:paraId="26280C2A" w14:textId="298D4652" w:rsidR="00776AD2" w:rsidRPr="00846433" w:rsidRDefault="00492C76" w:rsidP="00492C76">
      <w:pPr>
        <w:pStyle w:val="RegSingleTxtG"/>
        <w:numPr>
          <w:ilvl w:val="0"/>
          <w:numId w:val="0"/>
        </w:numPr>
        <w:ind w:left="1134"/>
        <w:rPr>
          <w:i/>
          <w:iCs/>
        </w:rPr>
      </w:pPr>
      <w:r w:rsidRPr="00846433">
        <w:t>9.</w:t>
      </w:r>
      <w:r w:rsidRPr="00846433">
        <w:tab/>
      </w:r>
      <w:r w:rsidR="00776AD2">
        <w:rPr>
          <w:i/>
          <w:iCs/>
        </w:rPr>
        <w:t>Encourages</w:t>
      </w:r>
      <w:r w:rsidR="00776AD2" w:rsidRPr="00846433">
        <w:rPr>
          <w:i/>
          <w:iCs/>
        </w:rPr>
        <w:t xml:space="preserve"> </w:t>
      </w:r>
      <w:r w:rsidR="00776AD2">
        <w:t>developing country Parties to make contributions, including through South–South cooperation, on a voluntary basis;</w:t>
      </w:r>
      <w:r w:rsidR="00776AD2" w:rsidRPr="00846433">
        <w:rPr>
          <w:i/>
          <w:iCs/>
        </w:rPr>
        <w:t xml:space="preserve"> </w:t>
      </w:r>
    </w:p>
    <w:p w14:paraId="69676512" w14:textId="1B15ACA7" w:rsidR="00776AD2" w:rsidRPr="001C0525" w:rsidRDefault="00492C76" w:rsidP="00492C76">
      <w:pPr>
        <w:pStyle w:val="RegSingleTxtG"/>
        <w:numPr>
          <w:ilvl w:val="0"/>
          <w:numId w:val="0"/>
        </w:numPr>
        <w:ind w:left="1134"/>
      </w:pPr>
      <w:r w:rsidRPr="001C0525">
        <w:t>10.</w:t>
      </w:r>
      <w:r w:rsidRPr="001C0525">
        <w:tab/>
      </w:r>
      <w:r w:rsidR="00776AD2" w:rsidRPr="001C0525">
        <w:rPr>
          <w:i/>
          <w:iCs/>
        </w:rPr>
        <w:t>Affirms</w:t>
      </w:r>
      <w:r w:rsidR="00776AD2" w:rsidRPr="001C0525">
        <w:t xml:space="preserve"> that nothing in paragraphs 8–9 above affects any Party’s development or recipient status;</w:t>
      </w:r>
      <w:bookmarkEnd w:id="8"/>
    </w:p>
    <w:p w14:paraId="3E9D5E1F" w14:textId="045063EA" w:rsidR="00776AD2" w:rsidRDefault="00492C76" w:rsidP="00492C76">
      <w:pPr>
        <w:pStyle w:val="RegSingleTxtG"/>
        <w:numPr>
          <w:ilvl w:val="0"/>
          <w:numId w:val="0"/>
        </w:numPr>
        <w:ind w:left="1134"/>
      </w:pPr>
      <w:r>
        <w:t>11.</w:t>
      </w:r>
      <w:r>
        <w:tab/>
      </w:r>
      <w:r w:rsidR="00776AD2" w:rsidRPr="000F057B">
        <w:rPr>
          <w:i/>
          <w:iCs/>
        </w:rPr>
        <w:t>Underscores</w:t>
      </w:r>
      <w:r w:rsidR="00776AD2">
        <w:t xml:space="preserve"> the importance of continuing to use bilateral channels to support climate action in developing country Parties, taking into account their needs and priorities in line with country-driven strategies and plans;</w:t>
      </w:r>
    </w:p>
    <w:p w14:paraId="3630AB65" w14:textId="0211EA26" w:rsidR="00776AD2" w:rsidRDefault="00492C76" w:rsidP="00492C76">
      <w:pPr>
        <w:pStyle w:val="RegSingleTxtG"/>
        <w:numPr>
          <w:ilvl w:val="0"/>
          <w:numId w:val="0"/>
        </w:numPr>
        <w:ind w:left="1134"/>
      </w:pPr>
      <w:r>
        <w:t>12.</w:t>
      </w:r>
      <w:r>
        <w:tab/>
      </w:r>
      <w:r w:rsidR="00776AD2" w:rsidRPr="000F057B">
        <w:rPr>
          <w:i/>
          <w:iCs/>
        </w:rPr>
        <w:t>Encourages</w:t>
      </w:r>
      <w:r w:rsidR="00776AD2">
        <w:t xml:space="preserve"> Parties, in carrying out their functions as shareholders of multilateral development banks, to continue advancing efforts to promote an evolution agenda for bigger, better and more effective multilateral development banks in order to address global challenges and poverty eradication and maximize impact in developing country Parties;</w:t>
      </w:r>
    </w:p>
    <w:p w14:paraId="042C1D42" w14:textId="5FF62C64" w:rsidR="00776AD2" w:rsidRDefault="00492C76" w:rsidP="00492C76">
      <w:pPr>
        <w:pStyle w:val="RegSingleTxtG"/>
        <w:numPr>
          <w:ilvl w:val="0"/>
          <w:numId w:val="0"/>
        </w:numPr>
        <w:ind w:left="1134"/>
      </w:pPr>
      <w:r>
        <w:t>13.</w:t>
      </w:r>
      <w:r>
        <w:tab/>
      </w:r>
      <w:r w:rsidR="00776AD2" w:rsidRPr="00EA2B9D">
        <w:rPr>
          <w:i/>
          <w:iCs/>
        </w:rPr>
        <w:t>Recognize</w:t>
      </w:r>
      <w:r w:rsidR="00776AD2">
        <w:rPr>
          <w:i/>
          <w:iCs/>
        </w:rPr>
        <w:t>s</w:t>
      </w:r>
      <w:r w:rsidR="00776AD2">
        <w:t xml:space="preserve"> that multilateral climate funds, including </w:t>
      </w:r>
      <w:r w:rsidR="00776AD2" w:rsidDel="00EC683E">
        <w:t xml:space="preserve">the </w:t>
      </w:r>
      <w:r w:rsidR="00776AD2">
        <w:t xml:space="preserve">operating entities of the Financial Mechanism, the Adaptation Fund, the Least Developed Countries Fund and the Special Climate Change Fund, are key in supporting developing country Parties and </w:t>
      </w:r>
      <w:r w:rsidR="00776AD2" w:rsidRPr="00814AE1">
        <w:rPr>
          <w:i/>
          <w:iCs/>
        </w:rPr>
        <w:t>encourages</w:t>
      </w:r>
      <w:r w:rsidR="00776AD2">
        <w:t xml:space="preserve"> Parties to work through the governing bodies on which they serve to continue enhancing climate finance, including with respect to coherence, complementarity and access;</w:t>
      </w:r>
    </w:p>
    <w:p w14:paraId="2B6B1F1B" w14:textId="11C57A6C" w:rsidR="00776AD2" w:rsidRDefault="00492C76" w:rsidP="00492C76">
      <w:pPr>
        <w:pStyle w:val="RegSingleTxtG"/>
        <w:numPr>
          <w:ilvl w:val="0"/>
          <w:numId w:val="0"/>
        </w:numPr>
        <w:ind w:left="1134"/>
      </w:pPr>
      <w:r>
        <w:t>14.</w:t>
      </w:r>
      <w:r>
        <w:tab/>
      </w:r>
      <w:r w:rsidR="00776AD2" w:rsidRPr="00EA2B9D">
        <w:rPr>
          <w:i/>
          <w:iCs/>
        </w:rPr>
        <w:t>Acknowledges</w:t>
      </w:r>
      <w:r w:rsidR="00776AD2">
        <w:t xml:space="preserve"> the fiscal constraints and increasing costs to adapt to the adverse effects of climate change and, in this context, </w:t>
      </w:r>
      <w:r w:rsidR="00776AD2" w:rsidRPr="00BD4E9A">
        <w:rPr>
          <w:i/>
        </w:rPr>
        <w:t>also</w:t>
      </w:r>
      <w:r w:rsidR="00776AD2">
        <w:t xml:space="preserve"> </w:t>
      </w:r>
      <w:r w:rsidR="00776AD2">
        <w:rPr>
          <w:i/>
          <w:iCs/>
        </w:rPr>
        <w:t>acknowledges</w:t>
      </w:r>
      <w:r w:rsidR="00776AD2">
        <w:t xml:space="preserve"> the need for public and grant-based resources and highly concessional finance, particularly for adaptation and responding to loss and damage in developing country Parties, especially those that are particularly vulnerable to the adverse effects of climate change and have significant capacity constraints, such as the least developed countries and small island developing States;</w:t>
      </w:r>
    </w:p>
    <w:p w14:paraId="47951624" w14:textId="59118FC6" w:rsidR="00776AD2" w:rsidRDefault="00492C76" w:rsidP="00492C76">
      <w:pPr>
        <w:pStyle w:val="RegSingleTxtG"/>
        <w:numPr>
          <w:ilvl w:val="0"/>
          <w:numId w:val="0"/>
        </w:numPr>
        <w:ind w:left="1134"/>
      </w:pPr>
      <w:r>
        <w:t>15.</w:t>
      </w:r>
      <w:r>
        <w:tab/>
      </w:r>
      <w:r w:rsidR="00776AD2" w:rsidRPr="00EA2B9D">
        <w:rPr>
          <w:i/>
          <w:iCs/>
        </w:rPr>
        <w:t>Underscores</w:t>
      </w:r>
      <w:r w:rsidR="00776AD2">
        <w:t xml:space="preserve"> the critical importance of significantly reducing the cost of capital and increasing the mobilization ratio of finance mobilized from public sources by 2030 and creating fiscal space in developing country Parties through the use of innovative instruments, such as first-loss instruments, guarantees, local currency financing and foreign exchange risk </w:t>
      </w:r>
      <w:r w:rsidR="00776AD2">
        <w:lastRenderedPageBreak/>
        <w:t xml:space="preserve">instruments, taking into account national circumstances, and </w:t>
      </w:r>
      <w:r w:rsidR="00776AD2">
        <w:rPr>
          <w:i/>
          <w:iCs/>
        </w:rPr>
        <w:t>e</w:t>
      </w:r>
      <w:r w:rsidR="00776AD2" w:rsidRPr="00EA2B9D">
        <w:rPr>
          <w:i/>
          <w:iCs/>
        </w:rPr>
        <w:t>ncourage</w:t>
      </w:r>
      <w:r w:rsidR="00776AD2">
        <w:rPr>
          <w:i/>
          <w:iCs/>
        </w:rPr>
        <w:t>s</w:t>
      </w:r>
      <w:r w:rsidR="00776AD2">
        <w:t xml:space="preserve"> the exploration, use and scaling up of innovative sources and instruments of finance,</w:t>
      </w:r>
      <w:r w:rsidR="00776AD2" w:rsidRPr="001D1B42">
        <w:t xml:space="preserve"> </w:t>
      </w:r>
      <w:r w:rsidR="00776AD2">
        <w:t xml:space="preserve">as appropriate; </w:t>
      </w:r>
    </w:p>
    <w:p w14:paraId="3D7F39EC" w14:textId="4E16BB05" w:rsidR="00776AD2" w:rsidRPr="008E612D" w:rsidRDefault="00492C76" w:rsidP="00492C76">
      <w:pPr>
        <w:pStyle w:val="RegSingleTxtG"/>
        <w:numPr>
          <w:ilvl w:val="0"/>
          <w:numId w:val="0"/>
        </w:numPr>
        <w:ind w:left="1134"/>
      </w:pPr>
      <w:r w:rsidRPr="008E612D">
        <w:t>16.</w:t>
      </w:r>
      <w:r w:rsidRPr="008E612D">
        <w:tab/>
      </w:r>
      <w:r w:rsidR="00776AD2">
        <w:rPr>
          <w:rFonts w:asciiTheme="majorBidi" w:hAnsiTheme="majorBidi" w:cstheme="majorBidi"/>
          <w:i/>
          <w:iCs/>
        </w:rPr>
        <w:t>Decides</w:t>
      </w:r>
      <w:r w:rsidR="00776AD2">
        <w:rPr>
          <w:rFonts w:asciiTheme="majorBidi" w:hAnsiTheme="majorBidi" w:cstheme="majorBidi"/>
        </w:rPr>
        <w:t xml:space="preserve"> that a significant increase of public resources should be provided through the operating entities of the Financial Mechanism, the Adaptation Fund, the Least Developed Countries Fund and the Special Climate Change Fund and </w:t>
      </w:r>
      <w:r w:rsidR="00776AD2">
        <w:rPr>
          <w:rFonts w:asciiTheme="majorBidi" w:hAnsiTheme="majorBidi" w:cstheme="majorBidi"/>
          <w:i/>
          <w:iCs/>
        </w:rPr>
        <w:t>also decides</w:t>
      </w:r>
      <w:r w:rsidR="00776AD2">
        <w:rPr>
          <w:rFonts w:asciiTheme="majorBidi" w:hAnsiTheme="majorBidi" w:cstheme="majorBidi"/>
        </w:rPr>
        <w:t xml:space="preserve"> to pursue efforts to at least triple annual outflows from those Funds from 2022 levels by 2030 at the latest with a view to significantly scaling up the share of finance delivered through them in delivering on the goal contained in paragraph 8 above;</w:t>
      </w:r>
    </w:p>
    <w:p w14:paraId="54DDDA37" w14:textId="38B33576" w:rsidR="00776AD2" w:rsidRDefault="00492C76" w:rsidP="00492C76">
      <w:pPr>
        <w:pStyle w:val="RegSingleTxtG"/>
        <w:numPr>
          <w:ilvl w:val="0"/>
          <w:numId w:val="0"/>
        </w:numPr>
        <w:ind w:left="1134"/>
      </w:pPr>
      <w:r>
        <w:t>17.</w:t>
      </w:r>
      <w:r>
        <w:tab/>
      </w:r>
      <w:r w:rsidR="00776AD2" w:rsidRPr="00EA2B9D">
        <w:rPr>
          <w:i/>
          <w:iCs/>
        </w:rPr>
        <w:t>Affirms</w:t>
      </w:r>
      <w:r w:rsidR="00776AD2">
        <w:t xml:space="preserve"> that the provision of scaled-up financial resources should aim to achieve a balance between adaptation and mitigation, taking into account country-driven strategies, and the needs and priorities of developing country Parties, especially those that are particularly vulnerable to the adverse effects of climate change and have significant capacity constraints, such as the least developed countries and small island developing States;</w:t>
      </w:r>
    </w:p>
    <w:p w14:paraId="5E0954C2" w14:textId="7AA22004" w:rsidR="00776AD2" w:rsidRDefault="00492C76" w:rsidP="00492C76">
      <w:pPr>
        <w:pStyle w:val="RegSingleTxtG"/>
        <w:numPr>
          <w:ilvl w:val="0"/>
          <w:numId w:val="0"/>
        </w:numPr>
        <w:ind w:left="1134"/>
      </w:pPr>
      <w:bookmarkStart w:id="9" w:name="_Hlk183211427"/>
      <w:r>
        <w:t>18.</w:t>
      </w:r>
      <w:r>
        <w:tab/>
      </w:r>
      <w:r w:rsidR="00776AD2" w:rsidRPr="00EA2B9D">
        <w:rPr>
          <w:i/>
          <w:iCs/>
        </w:rPr>
        <w:t>Recognizes</w:t>
      </w:r>
      <w:r w:rsidR="00776AD2">
        <w:t xml:space="preserve"> the need to dramatically scale up adaptation finance, including taking into account the global goal on adaptation and the targets referred to in paragraphs 9</w:t>
      </w:r>
      <w:r w:rsidR="00B765F4">
        <w:t xml:space="preserve">–10 </w:t>
      </w:r>
      <w:r w:rsidR="00776AD2">
        <w:t xml:space="preserve">of decision </w:t>
      </w:r>
      <w:hyperlink r:id="rId21" w:history="1">
        <w:r w:rsidR="00776AD2" w:rsidRPr="00514C67">
          <w:rPr>
            <w:rStyle w:val="Hyperlink"/>
          </w:rPr>
          <w:t>2/CMA.5</w:t>
        </w:r>
      </w:hyperlink>
      <w:r w:rsidR="00B765F4">
        <w:t>;</w:t>
      </w:r>
    </w:p>
    <w:bookmarkEnd w:id="9"/>
    <w:p w14:paraId="27057C15" w14:textId="713ADFA1" w:rsidR="00776AD2" w:rsidRPr="006015EF" w:rsidRDefault="00492C76" w:rsidP="00492C76">
      <w:pPr>
        <w:pStyle w:val="RegSingleTxtG"/>
        <w:numPr>
          <w:ilvl w:val="0"/>
          <w:numId w:val="0"/>
        </w:numPr>
        <w:ind w:left="1134"/>
      </w:pPr>
      <w:r w:rsidRPr="006015EF">
        <w:t>19.</w:t>
      </w:r>
      <w:r w:rsidRPr="006015EF">
        <w:tab/>
      </w:r>
      <w:r w:rsidR="00776AD2" w:rsidRPr="00EA2B9D">
        <w:rPr>
          <w:i/>
          <w:iCs/>
        </w:rPr>
        <w:t>Acknowledges</w:t>
      </w:r>
      <w:r w:rsidR="00776AD2">
        <w:t xml:space="preserve"> the significant gaps that remain in responding to the increased scale and frequency of loss and damage, and the associated economic and non-economic losses and </w:t>
      </w:r>
      <w:r w:rsidR="00776AD2" w:rsidRPr="00814AE1">
        <w:rPr>
          <w:i/>
          <w:iCs/>
        </w:rPr>
        <w:t xml:space="preserve">recognizes </w:t>
      </w:r>
      <w:r w:rsidR="00776AD2">
        <w:t xml:space="preserve">the need for urgent and enhanced action and support for averting, minimizing </w:t>
      </w:r>
      <w:r w:rsidR="00776AD2" w:rsidRPr="006015EF">
        <w:t>and addressing loss and damage associated with climate change impacts;</w:t>
      </w:r>
    </w:p>
    <w:p w14:paraId="1875F0CC" w14:textId="5B4B4249" w:rsidR="00776AD2" w:rsidRDefault="00492C76" w:rsidP="00492C76">
      <w:pPr>
        <w:pStyle w:val="RegSingleTxtG"/>
        <w:numPr>
          <w:ilvl w:val="0"/>
          <w:numId w:val="0"/>
        </w:numPr>
        <w:ind w:left="1134"/>
      </w:pPr>
      <w:r>
        <w:t>20.</w:t>
      </w:r>
      <w:r>
        <w:tab/>
      </w:r>
      <w:r w:rsidR="00776AD2">
        <w:rPr>
          <w:i/>
          <w:iCs/>
        </w:rPr>
        <w:t>Also r</w:t>
      </w:r>
      <w:r w:rsidR="00776AD2" w:rsidRPr="006015EF">
        <w:rPr>
          <w:i/>
          <w:iCs/>
        </w:rPr>
        <w:t>ecognizes</w:t>
      </w:r>
      <w:r w:rsidR="00776AD2" w:rsidRPr="006015EF">
        <w:t xml:space="preserve"> the importance of continued efforts to support just transitions across all sectors and thematic areas,</w:t>
      </w:r>
      <w:r w:rsidR="00776AD2" w:rsidRPr="00814AE1">
        <w:t xml:space="preserve"> </w:t>
      </w:r>
      <w:r w:rsidR="00776AD2">
        <w:t>and</w:t>
      </w:r>
      <w:r w:rsidR="00776AD2" w:rsidRPr="00814AE1">
        <w:t xml:space="preserve"> </w:t>
      </w:r>
      <w:r w:rsidR="00776AD2" w:rsidRPr="006015EF">
        <w:t>cross-cutting efforts, including transparency, readiness, capacity-building and technology development and transfer</w:t>
      </w:r>
      <w:r w:rsidR="00776AD2">
        <w:t>,</w:t>
      </w:r>
      <w:r w:rsidR="00776AD2" w:rsidRPr="006015EF">
        <w:t xml:space="preserve"> in developing countr</w:t>
      </w:r>
      <w:r w:rsidR="00776AD2">
        <w:t>y Part</w:t>
      </w:r>
      <w:r w:rsidR="00776AD2" w:rsidRPr="006015EF">
        <w:t>ies;</w:t>
      </w:r>
    </w:p>
    <w:p w14:paraId="7FA37A4D" w14:textId="736A97B7" w:rsidR="00776AD2" w:rsidRDefault="00492C76" w:rsidP="00492C76">
      <w:pPr>
        <w:pStyle w:val="RegSingleTxtG"/>
        <w:numPr>
          <w:ilvl w:val="0"/>
          <w:numId w:val="0"/>
        </w:numPr>
        <w:ind w:left="1134"/>
      </w:pPr>
      <w:r>
        <w:t>21.</w:t>
      </w:r>
      <w:r>
        <w:tab/>
      </w:r>
      <w:r w:rsidR="00776AD2">
        <w:rPr>
          <w:i/>
          <w:iCs/>
        </w:rPr>
        <w:t>U</w:t>
      </w:r>
      <w:r w:rsidR="00776AD2" w:rsidRPr="00814AE1">
        <w:rPr>
          <w:i/>
          <w:iCs/>
        </w:rPr>
        <w:t>nderscores</w:t>
      </w:r>
      <w:r w:rsidR="00776AD2">
        <w:t xml:space="preserve"> the importance of reducing existing </w:t>
      </w:r>
      <w:r w:rsidR="00776AD2" w:rsidRPr="00D97743">
        <w:t>constraints</w:t>
      </w:r>
      <w:r w:rsidR="00776AD2">
        <w:t xml:space="preserve">, challenges, systemic inequities and barriers to access to climate finance, such as high cost of capital, co-financing requirements and burdensome application processes, </w:t>
      </w:r>
      <w:r w:rsidR="00776AD2" w:rsidRPr="00DA6061">
        <w:rPr>
          <w:i/>
          <w:iCs/>
        </w:rPr>
        <w:t>w</w:t>
      </w:r>
      <w:r w:rsidR="00776AD2" w:rsidRPr="00B268B1">
        <w:rPr>
          <w:i/>
          <w:iCs/>
        </w:rPr>
        <w:t>elcomes</w:t>
      </w:r>
      <w:r w:rsidR="00776AD2" w:rsidRPr="00E80F21">
        <w:t xml:space="preserve"> ongoing efforts to improve access</w:t>
      </w:r>
      <w:r w:rsidR="00776AD2">
        <w:t xml:space="preserve"> to climate finance and </w:t>
      </w:r>
      <w:r w:rsidR="00776AD2" w:rsidRPr="00814AE1">
        <w:rPr>
          <w:i/>
          <w:iCs/>
        </w:rPr>
        <w:t xml:space="preserve">urges </w:t>
      </w:r>
      <w:r w:rsidR="00776AD2">
        <w:t>all climate finance actors to</w:t>
      </w:r>
      <w:r w:rsidR="00776AD2" w:rsidRPr="00962149">
        <w:t xml:space="preserve"> strengthen </w:t>
      </w:r>
      <w:r w:rsidR="00776AD2">
        <w:t xml:space="preserve">their </w:t>
      </w:r>
      <w:r w:rsidR="00776AD2" w:rsidRPr="00962149">
        <w:t xml:space="preserve">efforts </w:t>
      </w:r>
      <w:r w:rsidR="00776AD2">
        <w:t>to</w:t>
      </w:r>
      <w:r w:rsidR="00776AD2" w:rsidRPr="00962149">
        <w:t xml:space="preserve"> enhanc</w:t>
      </w:r>
      <w:r w:rsidR="00776AD2">
        <w:t>e</w:t>
      </w:r>
      <w:r w:rsidR="00776AD2" w:rsidRPr="00962149">
        <w:t xml:space="preserve"> efficient and effective access to bilateral, regional and multilateral climate finance for developing countries</w:t>
      </w:r>
      <w:r w:rsidR="00776AD2">
        <w:t>,</w:t>
      </w:r>
      <w:r w:rsidR="00776AD2" w:rsidRPr="00962149">
        <w:t xml:space="preserve"> in line with country</w:t>
      </w:r>
      <w:r w:rsidR="00776AD2">
        <w:t>-</w:t>
      </w:r>
      <w:r w:rsidR="00776AD2" w:rsidRPr="00962149">
        <w:t xml:space="preserve">driven strategies and plans, in particular </w:t>
      </w:r>
      <w:r w:rsidR="00776AD2">
        <w:t>the least developed countries and small island developing States</w:t>
      </w:r>
      <w:r w:rsidR="00776AD2" w:rsidRPr="00962149">
        <w:t xml:space="preserve">, </w:t>
      </w:r>
      <w:r w:rsidR="00776AD2">
        <w:t xml:space="preserve">to </w:t>
      </w:r>
      <w:r w:rsidR="00776AD2" w:rsidRPr="00962149">
        <w:t>eliminat</w:t>
      </w:r>
      <w:r w:rsidR="00776AD2">
        <w:t>e</w:t>
      </w:r>
      <w:r w:rsidR="00776AD2" w:rsidRPr="00962149">
        <w:t xml:space="preserve"> conditionalities for access, as appropriate</w:t>
      </w:r>
      <w:r w:rsidR="00776AD2">
        <w:t>, and to e</w:t>
      </w:r>
      <w:r w:rsidR="00776AD2" w:rsidRPr="0013221E">
        <w:t>nhanc</w:t>
      </w:r>
      <w:r w:rsidR="00776AD2">
        <w:t>e</w:t>
      </w:r>
      <w:r w:rsidR="00776AD2" w:rsidRPr="0013221E">
        <w:t xml:space="preserve"> transparency regarding efforts undertaken in </w:t>
      </w:r>
      <w:r w:rsidR="00776AD2">
        <w:t>this regard;</w:t>
      </w:r>
    </w:p>
    <w:p w14:paraId="3D97E504" w14:textId="6972C7DF" w:rsidR="00776AD2" w:rsidRDefault="00492C76" w:rsidP="00492C76">
      <w:pPr>
        <w:pStyle w:val="RegSingleTxtG"/>
        <w:numPr>
          <w:ilvl w:val="0"/>
          <w:numId w:val="0"/>
        </w:numPr>
        <w:ind w:left="1134"/>
      </w:pPr>
      <w:r>
        <w:t>22.</w:t>
      </w:r>
      <w:r>
        <w:tab/>
      </w:r>
      <w:r w:rsidR="00776AD2">
        <w:rPr>
          <w:i/>
          <w:iCs/>
        </w:rPr>
        <w:t>Also u</w:t>
      </w:r>
      <w:r w:rsidR="00776AD2" w:rsidRPr="00EA2B9D">
        <w:rPr>
          <w:i/>
          <w:iCs/>
        </w:rPr>
        <w:t>rge</w:t>
      </w:r>
      <w:r w:rsidR="00776AD2">
        <w:rPr>
          <w:i/>
          <w:iCs/>
        </w:rPr>
        <w:t>s</w:t>
      </w:r>
      <w:r w:rsidR="00776AD2">
        <w:t xml:space="preserve"> Parties that provide bilateral climate finance to apply access enhancements, as appropriate and where relevant, including, in particular, by:</w:t>
      </w:r>
    </w:p>
    <w:p w14:paraId="0739ACD6" w14:textId="38211D6E" w:rsidR="00776AD2" w:rsidRDefault="00492C76" w:rsidP="00492C76">
      <w:pPr>
        <w:pStyle w:val="RegSingleTxtG2"/>
        <w:numPr>
          <w:ilvl w:val="0"/>
          <w:numId w:val="0"/>
        </w:numPr>
        <w:ind w:left="1134" w:firstLine="567"/>
      </w:pPr>
      <w:r>
        <w:rPr>
          <w:szCs w:val="28"/>
        </w:rPr>
        <w:t>(a)</w:t>
      </w:r>
      <w:r>
        <w:rPr>
          <w:szCs w:val="28"/>
        </w:rPr>
        <w:tab/>
      </w:r>
      <w:r w:rsidR="00776AD2">
        <w:t xml:space="preserve">Increasing, as appropriate, support for locally led approaches and institutions, in particular for adaptation measures; </w:t>
      </w:r>
    </w:p>
    <w:p w14:paraId="4AA8542D" w14:textId="7D04B1AC" w:rsidR="00776AD2" w:rsidRDefault="00492C76" w:rsidP="00492C76">
      <w:pPr>
        <w:pStyle w:val="RegSingleTxtG2"/>
        <w:numPr>
          <w:ilvl w:val="0"/>
          <w:numId w:val="0"/>
        </w:numPr>
        <w:ind w:left="1134" w:firstLine="567"/>
      </w:pPr>
      <w:r>
        <w:rPr>
          <w:szCs w:val="28"/>
        </w:rPr>
        <w:t>(b)</w:t>
      </w:r>
      <w:r>
        <w:rPr>
          <w:szCs w:val="28"/>
        </w:rPr>
        <w:tab/>
      </w:r>
      <w:r w:rsidR="00776AD2">
        <w:t xml:space="preserve">Enhancing </w:t>
      </w:r>
      <w:r w:rsidR="00776AD2" w:rsidRPr="00D37724">
        <w:t xml:space="preserve">sustained </w:t>
      </w:r>
      <w:r w:rsidR="00776AD2">
        <w:t xml:space="preserve">demand-led capacity-building, technical assistance and readiness programmes; </w:t>
      </w:r>
    </w:p>
    <w:p w14:paraId="36B2124C" w14:textId="7D994BFA" w:rsidR="00776AD2" w:rsidRDefault="00492C76" w:rsidP="00492C76">
      <w:pPr>
        <w:pStyle w:val="RegSingleTxtG2"/>
        <w:numPr>
          <w:ilvl w:val="0"/>
          <w:numId w:val="0"/>
        </w:numPr>
        <w:ind w:left="1134" w:firstLine="567"/>
      </w:pPr>
      <w:r>
        <w:rPr>
          <w:szCs w:val="28"/>
        </w:rPr>
        <w:t>(c)</w:t>
      </w:r>
      <w:r>
        <w:rPr>
          <w:szCs w:val="28"/>
        </w:rPr>
        <w:tab/>
      </w:r>
      <w:r w:rsidR="00776AD2">
        <w:t xml:space="preserve">Expanding multi-year, country-led programmatic approaches; </w:t>
      </w:r>
    </w:p>
    <w:p w14:paraId="6874C02E" w14:textId="6AC75F20" w:rsidR="00776AD2" w:rsidRDefault="00492C76" w:rsidP="00492C76">
      <w:pPr>
        <w:pStyle w:val="RegSingleTxtG2"/>
        <w:numPr>
          <w:ilvl w:val="0"/>
          <w:numId w:val="0"/>
        </w:numPr>
        <w:ind w:left="1134" w:firstLine="567"/>
      </w:pPr>
      <w:r>
        <w:rPr>
          <w:szCs w:val="28"/>
        </w:rPr>
        <w:t>(d)</w:t>
      </w:r>
      <w:r>
        <w:rPr>
          <w:szCs w:val="28"/>
        </w:rPr>
        <w:tab/>
      </w:r>
      <w:r w:rsidR="00776AD2">
        <w:t xml:space="preserve">Considering expansion of existing projects, rather than establishing smaller new projects, as appropriate to the context and in a country-driven manner; </w:t>
      </w:r>
    </w:p>
    <w:p w14:paraId="61FD84FE" w14:textId="373E441A" w:rsidR="00776AD2" w:rsidRDefault="00492C76" w:rsidP="00492C76">
      <w:pPr>
        <w:pStyle w:val="RegSingleTxtG2"/>
        <w:numPr>
          <w:ilvl w:val="0"/>
          <w:numId w:val="0"/>
        </w:numPr>
        <w:ind w:left="1134" w:firstLine="567"/>
      </w:pPr>
      <w:r>
        <w:rPr>
          <w:szCs w:val="28"/>
        </w:rPr>
        <w:t>(e)</w:t>
      </w:r>
      <w:r>
        <w:rPr>
          <w:szCs w:val="28"/>
        </w:rPr>
        <w:tab/>
      </w:r>
      <w:r w:rsidR="00776AD2">
        <w:t>Streamlining reporting requirements where possible and consistently with respective mandates;</w:t>
      </w:r>
    </w:p>
    <w:p w14:paraId="55E3EDC5" w14:textId="47B2F3C2" w:rsidR="00776AD2" w:rsidRPr="00D37724" w:rsidRDefault="00492C76" w:rsidP="00492C76">
      <w:pPr>
        <w:pStyle w:val="RegSingleTxtG2"/>
        <w:numPr>
          <w:ilvl w:val="0"/>
          <w:numId w:val="0"/>
        </w:numPr>
        <w:ind w:left="1134" w:firstLine="567"/>
      </w:pPr>
      <w:r w:rsidRPr="00D37724">
        <w:rPr>
          <w:szCs w:val="28"/>
        </w:rPr>
        <w:t>(f)</w:t>
      </w:r>
      <w:r w:rsidRPr="00D37724">
        <w:rPr>
          <w:szCs w:val="28"/>
        </w:rPr>
        <w:tab/>
      </w:r>
      <w:r w:rsidR="00776AD2" w:rsidRPr="00D37724">
        <w:t>Consider</w:t>
      </w:r>
      <w:r w:rsidR="00776AD2">
        <w:t>ing</w:t>
      </w:r>
      <w:r w:rsidR="00776AD2" w:rsidRPr="00D37724">
        <w:t xml:space="preserve"> measures for increasing finance to the least developed countries and small island developing States; </w:t>
      </w:r>
    </w:p>
    <w:p w14:paraId="2425952E" w14:textId="557013C3" w:rsidR="00776AD2" w:rsidRDefault="00492C76" w:rsidP="00492C76">
      <w:pPr>
        <w:pStyle w:val="RegSingleTxtG"/>
        <w:numPr>
          <w:ilvl w:val="0"/>
          <w:numId w:val="0"/>
        </w:numPr>
        <w:ind w:left="1134"/>
      </w:pPr>
      <w:r>
        <w:t>23.</w:t>
      </w:r>
      <w:r>
        <w:tab/>
      </w:r>
      <w:r w:rsidR="00776AD2" w:rsidRPr="00EA2B9D">
        <w:rPr>
          <w:i/>
          <w:iCs/>
        </w:rPr>
        <w:t>Invites</w:t>
      </w:r>
      <w:r w:rsidR="00776AD2">
        <w:t xml:space="preserve"> international financial institutions, including multilateral development banks as appropriate, to continue to align their operational models, channels and instruments to be fit for purpose for urgently addressing global climate change, development and poverty, in accordance with their mandates and in line with the direction of their governing bodies, including by:</w:t>
      </w:r>
    </w:p>
    <w:p w14:paraId="50D8CDCB" w14:textId="154D66DE" w:rsidR="00776AD2" w:rsidRDefault="00492C76" w:rsidP="00492C76">
      <w:pPr>
        <w:pStyle w:val="RegSingleTxtG2"/>
        <w:numPr>
          <w:ilvl w:val="0"/>
          <w:numId w:val="0"/>
        </w:numPr>
        <w:ind w:left="1134" w:firstLine="567"/>
      </w:pPr>
      <w:r>
        <w:rPr>
          <w:szCs w:val="28"/>
        </w:rPr>
        <w:t>(a)</w:t>
      </w:r>
      <w:r>
        <w:rPr>
          <w:szCs w:val="28"/>
        </w:rPr>
        <w:tab/>
      </w:r>
      <w:r w:rsidR="00776AD2">
        <w:t xml:space="preserve">Deploying a range of instruments, in particular non-debt-inducing instruments; </w:t>
      </w:r>
    </w:p>
    <w:p w14:paraId="285BB48C" w14:textId="734E1375" w:rsidR="00776AD2" w:rsidRDefault="00492C76" w:rsidP="00492C76">
      <w:pPr>
        <w:pStyle w:val="RegSingleTxtG2"/>
        <w:numPr>
          <w:ilvl w:val="0"/>
          <w:numId w:val="0"/>
        </w:numPr>
        <w:ind w:left="1134" w:firstLine="567"/>
      </w:pPr>
      <w:r>
        <w:rPr>
          <w:szCs w:val="28"/>
        </w:rPr>
        <w:lastRenderedPageBreak/>
        <w:t>(b)</w:t>
      </w:r>
      <w:r>
        <w:rPr>
          <w:szCs w:val="28"/>
        </w:rPr>
        <w:tab/>
      </w:r>
      <w:r w:rsidR="00776AD2">
        <w:t xml:space="preserve">Considering shifting their risk appetites in the context of climate finance; </w:t>
      </w:r>
    </w:p>
    <w:p w14:paraId="612A237E" w14:textId="0F24012F" w:rsidR="00776AD2" w:rsidRDefault="00492C76" w:rsidP="00492C76">
      <w:pPr>
        <w:pStyle w:val="RegSingleTxtG2"/>
        <w:numPr>
          <w:ilvl w:val="0"/>
          <w:numId w:val="0"/>
        </w:numPr>
        <w:ind w:left="1134" w:firstLine="567"/>
      </w:pPr>
      <w:r>
        <w:rPr>
          <w:szCs w:val="28"/>
        </w:rPr>
        <w:t>(c)</w:t>
      </w:r>
      <w:r>
        <w:rPr>
          <w:szCs w:val="28"/>
        </w:rPr>
        <w:tab/>
      </w:r>
      <w:r w:rsidR="00776AD2">
        <w:t>Continuing to contribute to scaling up climate ambition and finance, including by simplifying access to finance;</w:t>
      </w:r>
    </w:p>
    <w:p w14:paraId="28A0814D" w14:textId="02BFB233" w:rsidR="00776AD2" w:rsidRDefault="00492C76" w:rsidP="00492C76">
      <w:pPr>
        <w:pStyle w:val="RegSingleTxtG2"/>
        <w:numPr>
          <w:ilvl w:val="0"/>
          <w:numId w:val="0"/>
        </w:numPr>
        <w:ind w:left="1134" w:firstLine="567"/>
      </w:pPr>
      <w:r>
        <w:rPr>
          <w:szCs w:val="28"/>
        </w:rPr>
        <w:t>(d)</w:t>
      </w:r>
      <w:r>
        <w:rPr>
          <w:szCs w:val="28"/>
        </w:rPr>
        <w:tab/>
      </w:r>
      <w:r w:rsidR="00776AD2">
        <w:t>Continuing to enhance the effectiveness of climate finance provided and mobilized;</w:t>
      </w:r>
    </w:p>
    <w:p w14:paraId="308D295C" w14:textId="41F8D993" w:rsidR="00776AD2" w:rsidRDefault="00492C76" w:rsidP="00492C76">
      <w:pPr>
        <w:pStyle w:val="RegSingleTxtG2"/>
        <w:numPr>
          <w:ilvl w:val="0"/>
          <w:numId w:val="0"/>
        </w:numPr>
        <w:ind w:left="1134" w:firstLine="567"/>
        <w:rPr>
          <w:rStyle w:val="normaltextrun"/>
        </w:rPr>
      </w:pPr>
      <w:r>
        <w:rPr>
          <w:rStyle w:val="normaltextrun"/>
          <w:szCs w:val="28"/>
        </w:rPr>
        <w:t>(e)</w:t>
      </w:r>
      <w:r>
        <w:rPr>
          <w:rStyle w:val="normaltextrun"/>
          <w:szCs w:val="28"/>
        </w:rPr>
        <w:tab/>
      </w:r>
      <w:r w:rsidR="00776AD2" w:rsidRPr="008E612D">
        <w:rPr>
          <w:rStyle w:val="normaltextrun"/>
        </w:rPr>
        <w:t>Consider</w:t>
      </w:r>
      <w:r w:rsidR="00776AD2">
        <w:rPr>
          <w:rStyle w:val="normaltextrun"/>
        </w:rPr>
        <w:t xml:space="preserve">ing scaling up </w:t>
      </w:r>
      <w:r w:rsidR="00776AD2" w:rsidRPr="008E612D">
        <w:rPr>
          <w:rStyle w:val="normaltextrun"/>
        </w:rPr>
        <w:t xml:space="preserve">highly concessional finance </w:t>
      </w:r>
      <w:r w:rsidR="00776AD2">
        <w:rPr>
          <w:rStyle w:val="normaltextrun"/>
        </w:rPr>
        <w:t>for</w:t>
      </w:r>
      <w:r w:rsidR="00776AD2" w:rsidRPr="008E612D">
        <w:rPr>
          <w:rStyle w:val="normaltextrun"/>
        </w:rPr>
        <w:t xml:space="preserve"> </w:t>
      </w:r>
      <w:r w:rsidR="00776AD2">
        <w:rPr>
          <w:rStyle w:val="normaltextrun"/>
        </w:rPr>
        <w:t xml:space="preserve">developing </w:t>
      </w:r>
      <w:r w:rsidR="00776AD2" w:rsidRPr="008E612D">
        <w:rPr>
          <w:rStyle w:val="normaltextrun"/>
        </w:rPr>
        <w:t>countr</w:t>
      </w:r>
      <w:r w:rsidR="00776AD2">
        <w:rPr>
          <w:rStyle w:val="normaltextrun"/>
        </w:rPr>
        <w:t>y Part</w:t>
      </w:r>
      <w:r w:rsidR="00776AD2" w:rsidRPr="008E612D">
        <w:rPr>
          <w:rStyle w:val="normaltextrun"/>
        </w:rPr>
        <w:t>ies</w:t>
      </w:r>
      <w:r w:rsidR="00776AD2">
        <w:rPr>
          <w:rStyle w:val="normaltextrun"/>
        </w:rPr>
        <w:t>, especially those</w:t>
      </w:r>
      <w:r w:rsidR="00776AD2" w:rsidRPr="008E612D">
        <w:rPr>
          <w:rStyle w:val="normaltextrun"/>
        </w:rPr>
        <w:t xml:space="preserve"> that are particularly vulnerable to the adverse effects of climate change and have significant capacity constraints, such as </w:t>
      </w:r>
      <w:r w:rsidR="00776AD2">
        <w:rPr>
          <w:rStyle w:val="normaltextrun"/>
        </w:rPr>
        <w:t>the least developed countries</w:t>
      </w:r>
      <w:r w:rsidR="00776AD2" w:rsidRPr="008E612D">
        <w:rPr>
          <w:rStyle w:val="normaltextrun"/>
        </w:rPr>
        <w:t xml:space="preserve"> and </w:t>
      </w:r>
      <w:r w:rsidR="00776AD2">
        <w:rPr>
          <w:rStyle w:val="normaltextrun"/>
        </w:rPr>
        <w:t xml:space="preserve">small island developing States; </w:t>
      </w:r>
    </w:p>
    <w:p w14:paraId="327885B7" w14:textId="41DFCE44" w:rsidR="00776AD2" w:rsidRDefault="00492C76" w:rsidP="00492C76">
      <w:pPr>
        <w:pStyle w:val="RegSingleTxtG2"/>
        <w:numPr>
          <w:ilvl w:val="0"/>
          <w:numId w:val="0"/>
        </w:numPr>
        <w:ind w:left="1134" w:firstLine="567"/>
      </w:pPr>
      <w:r>
        <w:rPr>
          <w:szCs w:val="28"/>
        </w:rPr>
        <w:t>(f)</w:t>
      </w:r>
      <w:r>
        <w:rPr>
          <w:szCs w:val="28"/>
        </w:rPr>
        <w:tab/>
      </w:r>
      <w:r w:rsidR="00776AD2">
        <w:rPr>
          <w:rStyle w:val="normaltextrun"/>
        </w:rPr>
        <w:t>Aiming at increasing grant financing disbursed to the least developed countries and small island developing States;</w:t>
      </w:r>
    </w:p>
    <w:p w14:paraId="54AE8868" w14:textId="22521441" w:rsidR="00776AD2" w:rsidRDefault="00492C76" w:rsidP="00492C76">
      <w:pPr>
        <w:pStyle w:val="RegSingleTxtG"/>
        <w:numPr>
          <w:ilvl w:val="0"/>
          <w:numId w:val="0"/>
        </w:numPr>
        <w:ind w:left="1134"/>
      </w:pPr>
      <w:r>
        <w:t>24.</w:t>
      </w:r>
      <w:r>
        <w:tab/>
      </w:r>
      <w:r w:rsidR="00776AD2" w:rsidRPr="00EA2B9D">
        <w:rPr>
          <w:i/>
          <w:iCs/>
        </w:rPr>
        <w:t xml:space="preserve">Calls </w:t>
      </w:r>
      <w:r w:rsidR="00776AD2" w:rsidRPr="00156E0D">
        <w:rPr>
          <w:i/>
          <w:iCs/>
        </w:rPr>
        <w:t>on</w:t>
      </w:r>
      <w:r w:rsidR="00776AD2">
        <w:t xml:space="preserve"> multilateral climate funds, including </w:t>
      </w:r>
      <w:r w:rsidR="00776AD2" w:rsidDel="00004D78">
        <w:t xml:space="preserve">the </w:t>
      </w:r>
      <w:r w:rsidR="00776AD2">
        <w:t>operating entities of the Financial Mechanism, the Adaptation Fund, the Least Developed Countries Fund and the Special Climate Change Fund, to strengthen their efforts to enhance access and promote effectiveness, including by, as appropriate:</w:t>
      </w:r>
    </w:p>
    <w:p w14:paraId="46B3F032" w14:textId="39DE5AE7" w:rsidR="00776AD2" w:rsidRDefault="00492C76" w:rsidP="00492C76">
      <w:pPr>
        <w:pStyle w:val="RegSingleTxtG2"/>
        <w:numPr>
          <w:ilvl w:val="0"/>
          <w:numId w:val="0"/>
        </w:numPr>
        <w:ind w:left="1134" w:firstLine="567"/>
      </w:pPr>
      <w:r>
        <w:rPr>
          <w:szCs w:val="28"/>
        </w:rPr>
        <w:t>(a)</w:t>
      </w:r>
      <w:r>
        <w:rPr>
          <w:szCs w:val="28"/>
        </w:rPr>
        <w:tab/>
      </w:r>
      <w:r w:rsidR="00776AD2">
        <w:t>Scaling up and prioritizing direct access;</w:t>
      </w:r>
    </w:p>
    <w:p w14:paraId="00129605" w14:textId="06D1CE27" w:rsidR="00776AD2" w:rsidRDefault="00492C76" w:rsidP="00492C76">
      <w:pPr>
        <w:pStyle w:val="RegSingleTxtG2"/>
        <w:numPr>
          <w:ilvl w:val="0"/>
          <w:numId w:val="0"/>
        </w:numPr>
        <w:ind w:left="1134" w:firstLine="567"/>
      </w:pPr>
      <w:r>
        <w:rPr>
          <w:szCs w:val="28"/>
        </w:rPr>
        <w:t>(b)</w:t>
      </w:r>
      <w:r>
        <w:rPr>
          <w:szCs w:val="28"/>
        </w:rPr>
        <w:tab/>
      </w:r>
      <w:r w:rsidR="00776AD2">
        <w:t>Simplifying and harmonizing application</w:t>
      </w:r>
      <w:r w:rsidR="00776AD2" w:rsidRPr="008B012C">
        <w:t xml:space="preserve"> </w:t>
      </w:r>
      <w:r w:rsidR="00776AD2" w:rsidRPr="00962149">
        <w:t>pre-approval and post-approval requirements</w:t>
      </w:r>
      <w:r w:rsidR="00776AD2">
        <w:t xml:space="preserve"> and disbursement processes;</w:t>
      </w:r>
    </w:p>
    <w:p w14:paraId="6411E7D9" w14:textId="79C7F368" w:rsidR="00776AD2" w:rsidRDefault="00492C76" w:rsidP="00492C76">
      <w:pPr>
        <w:pStyle w:val="RegSingleTxtG2"/>
        <w:numPr>
          <w:ilvl w:val="0"/>
          <w:numId w:val="0"/>
        </w:numPr>
        <w:ind w:left="1134" w:firstLine="567"/>
      </w:pPr>
      <w:r>
        <w:rPr>
          <w:szCs w:val="28"/>
        </w:rPr>
        <w:t>(c)</w:t>
      </w:r>
      <w:r>
        <w:rPr>
          <w:szCs w:val="28"/>
        </w:rPr>
        <w:tab/>
      </w:r>
      <w:r w:rsidR="00776AD2">
        <w:t>Establishing flexible information requirements;</w:t>
      </w:r>
    </w:p>
    <w:p w14:paraId="1DF86C37" w14:textId="43DFBFA5" w:rsidR="00776AD2" w:rsidRDefault="00492C76" w:rsidP="00492C76">
      <w:pPr>
        <w:pStyle w:val="RegSingleTxtG2"/>
        <w:numPr>
          <w:ilvl w:val="0"/>
          <w:numId w:val="0"/>
        </w:numPr>
        <w:ind w:left="1134" w:firstLine="567"/>
      </w:pPr>
      <w:r>
        <w:rPr>
          <w:szCs w:val="28"/>
        </w:rPr>
        <w:t>(d)</w:t>
      </w:r>
      <w:r>
        <w:rPr>
          <w:szCs w:val="28"/>
        </w:rPr>
        <w:tab/>
      </w:r>
      <w:r w:rsidR="00776AD2">
        <w:t>Promoting programmatic approaches;</w:t>
      </w:r>
    </w:p>
    <w:p w14:paraId="5E5C4F2C" w14:textId="30C2FFE5" w:rsidR="00776AD2" w:rsidRDefault="00492C76" w:rsidP="00492C76">
      <w:pPr>
        <w:pStyle w:val="RegSingleTxtG2"/>
        <w:numPr>
          <w:ilvl w:val="0"/>
          <w:numId w:val="0"/>
        </w:numPr>
        <w:ind w:left="1134" w:firstLine="567"/>
      </w:pPr>
      <w:r>
        <w:rPr>
          <w:szCs w:val="28"/>
        </w:rPr>
        <w:t>(e)</w:t>
      </w:r>
      <w:r>
        <w:rPr>
          <w:szCs w:val="28"/>
        </w:rPr>
        <w:tab/>
      </w:r>
      <w:r w:rsidR="00776AD2">
        <w:t>Streamlining reporting requirements;</w:t>
      </w:r>
    </w:p>
    <w:p w14:paraId="165638FB" w14:textId="78B772FB" w:rsidR="00776AD2" w:rsidRDefault="00492C76" w:rsidP="00492C76">
      <w:pPr>
        <w:pStyle w:val="RegSingleTxtG"/>
        <w:numPr>
          <w:ilvl w:val="0"/>
          <w:numId w:val="0"/>
        </w:numPr>
        <w:ind w:left="1134"/>
      </w:pPr>
      <w:r>
        <w:t>25.</w:t>
      </w:r>
      <w:r>
        <w:tab/>
      </w:r>
      <w:r w:rsidR="00776AD2">
        <w:rPr>
          <w:i/>
          <w:iCs/>
        </w:rPr>
        <w:t>Also c</w:t>
      </w:r>
      <w:r w:rsidR="00776AD2" w:rsidRPr="00F41FD7">
        <w:rPr>
          <w:i/>
          <w:iCs/>
        </w:rPr>
        <w:t xml:space="preserve">alls </w:t>
      </w:r>
      <w:r w:rsidR="00776AD2" w:rsidRPr="00156E0D">
        <w:rPr>
          <w:i/>
          <w:iCs/>
        </w:rPr>
        <w:t>on</w:t>
      </w:r>
      <w:r w:rsidR="00776AD2">
        <w:t xml:space="preserve"> Parties to enhance their enabling environments, in a nationally determined manner, with a view to increasing climate financing;</w:t>
      </w:r>
    </w:p>
    <w:p w14:paraId="04D4C18A" w14:textId="792417F1" w:rsidR="00776AD2" w:rsidRDefault="00492C76" w:rsidP="00492C76">
      <w:pPr>
        <w:pStyle w:val="RegSingleTxtG"/>
        <w:numPr>
          <w:ilvl w:val="0"/>
          <w:numId w:val="0"/>
        </w:numPr>
        <w:ind w:left="1134"/>
      </w:pPr>
      <w:r>
        <w:t>26.</w:t>
      </w:r>
      <w:r>
        <w:tab/>
      </w:r>
      <w:r w:rsidR="00776AD2" w:rsidRPr="00EA2B9D">
        <w:rPr>
          <w:i/>
          <w:iCs/>
        </w:rPr>
        <w:t>Urges</w:t>
      </w:r>
      <w:r w:rsidR="00776AD2">
        <w:t xml:space="preserve"> Parties and other relevant actors to promote the inclusion and extension of benefits to vulnerable communities and groups in climate finance efforts, including women and girls, children and youth, persons with disabilities, Indigenous Peoples, </w:t>
      </w:r>
      <w:r w:rsidR="00776AD2" w:rsidRPr="00962149">
        <w:t>local communities</w:t>
      </w:r>
      <w:r w:rsidR="00776AD2">
        <w:t>, migrants and refugees, climate-vulnerable communities and people in vulnerable situations;</w:t>
      </w:r>
    </w:p>
    <w:p w14:paraId="71118221" w14:textId="58D4DCB6" w:rsidR="00776AD2" w:rsidRPr="000D3F8B" w:rsidRDefault="00492C76" w:rsidP="00492C76">
      <w:pPr>
        <w:pStyle w:val="RegSingleTxtG"/>
        <w:numPr>
          <w:ilvl w:val="0"/>
          <w:numId w:val="0"/>
        </w:numPr>
        <w:ind w:left="1134"/>
      </w:pPr>
      <w:r w:rsidRPr="000D3F8B">
        <w:t>27.</w:t>
      </w:r>
      <w:r w:rsidRPr="000D3F8B">
        <w:tab/>
      </w:r>
      <w:r w:rsidR="00776AD2" w:rsidRPr="00B13DE3">
        <w:rPr>
          <w:rFonts w:asciiTheme="majorBidi" w:hAnsiTheme="majorBidi" w:cstheme="majorBidi"/>
          <w:i/>
          <w:iCs/>
        </w:rPr>
        <w:t>Decides</w:t>
      </w:r>
      <w:r w:rsidR="00776AD2" w:rsidRPr="00B13DE3">
        <w:rPr>
          <w:rFonts w:asciiTheme="majorBidi" w:hAnsiTheme="majorBidi" w:cstheme="majorBidi"/>
        </w:rPr>
        <w:t xml:space="preserve"> to launch</w:t>
      </w:r>
      <w:r w:rsidR="00776AD2">
        <w:rPr>
          <w:rFonts w:asciiTheme="majorBidi" w:hAnsiTheme="majorBidi" w:cstheme="majorBidi"/>
        </w:rPr>
        <w:t>,</w:t>
      </w:r>
      <w:r w:rsidR="00776AD2" w:rsidRPr="00B13DE3">
        <w:rPr>
          <w:rFonts w:asciiTheme="majorBidi" w:hAnsiTheme="majorBidi" w:cstheme="majorBidi"/>
        </w:rPr>
        <w:t xml:space="preserve"> under the guidance of the Presidencies of the sixth and seventh sessions of the </w:t>
      </w:r>
      <w:r w:rsidR="00030C10">
        <w:rPr>
          <w:rFonts w:asciiTheme="majorBidi" w:hAnsiTheme="majorBidi" w:cstheme="majorBidi"/>
        </w:rPr>
        <w:t>Conference of the Parties serving as the meeting of the Parties to the Paris Agreement</w:t>
      </w:r>
      <w:r w:rsidR="00776AD2">
        <w:rPr>
          <w:rFonts w:asciiTheme="majorBidi" w:hAnsiTheme="majorBidi" w:cstheme="majorBidi"/>
        </w:rPr>
        <w:t>,</w:t>
      </w:r>
      <w:r w:rsidR="00776AD2" w:rsidRPr="00B13DE3">
        <w:rPr>
          <w:rFonts w:asciiTheme="majorBidi" w:hAnsiTheme="majorBidi" w:cstheme="majorBidi"/>
        </w:rPr>
        <w:t xml:space="preserve"> in consultation with Parties</w:t>
      </w:r>
      <w:r w:rsidR="00776AD2">
        <w:rPr>
          <w:rFonts w:asciiTheme="majorBidi" w:hAnsiTheme="majorBidi" w:cstheme="majorBidi"/>
        </w:rPr>
        <w:t>,</w:t>
      </w:r>
      <w:r w:rsidR="00776AD2" w:rsidRPr="00B13DE3">
        <w:rPr>
          <w:rFonts w:asciiTheme="majorBidi" w:hAnsiTheme="majorBidi" w:cstheme="majorBidi"/>
        </w:rPr>
        <w:t xml:space="preserve"> the </w:t>
      </w:r>
      <w:r w:rsidR="00776AD2">
        <w:rPr>
          <w:rFonts w:asciiTheme="majorBidi" w:hAnsiTheme="majorBidi" w:cstheme="majorBidi"/>
        </w:rPr>
        <w:t>“</w:t>
      </w:r>
      <w:r w:rsidR="00776AD2" w:rsidRPr="00B13DE3">
        <w:rPr>
          <w:rFonts w:asciiTheme="majorBidi" w:hAnsiTheme="majorBidi" w:cstheme="majorBidi"/>
        </w:rPr>
        <w:t>Baku to Bel</w:t>
      </w:r>
      <w:r w:rsidR="00776AD2">
        <w:rPr>
          <w:rFonts w:asciiTheme="majorBidi" w:hAnsiTheme="majorBidi" w:cstheme="majorBidi"/>
        </w:rPr>
        <w:t>é</w:t>
      </w:r>
      <w:r w:rsidR="00776AD2" w:rsidRPr="00B13DE3">
        <w:rPr>
          <w:rFonts w:asciiTheme="majorBidi" w:hAnsiTheme="majorBidi" w:cstheme="majorBidi"/>
        </w:rPr>
        <w:t xml:space="preserve">m </w:t>
      </w:r>
      <w:r w:rsidR="00776AD2">
        <w:rPr>
          <w:rFonts w:asciiTheme="majorBidi" w:hAnsiTheme="majorBidi" w:cstheme="majorBidi"/>
        </w:rPr>
        <w:t>R</w:t>
      </w:r>
      <w:r w:rsidR="00776AD2" w:rsidRPr="00B13DE3">
        <w:rPr>
          <w:rFonts w:asciiTheme="majorBidi" w:hAnsiTheme="majorBidi" w:cstheme="majorBidi"/>
        </w:rPr>
        <w:t>oadmap</w:t>
      </w:r>
      <w:r w:rsidR="00776AD2">
        <w:rPr>
          <w:rFonts w:asciiTheme="majorBidi" w:hAnsiTheme="majorBidi" w:cstheme="majorBidi"/>
        </w:rPr>
        <w:t xml:space="preserve"> to 1.3T”, aiming at scaling up climate finance to developing country Parties to support low greenhouse gas emissions and climate-resilient development pathways and implement the nationally determined contributions and national adaptation plans including through grants, concessional and non-debt</w:t>
      </w:r>
      <w:r w:rsidR="000B626A">
        <w:rPr>
          <w:rFonts w:asciiTheme="majorBidi" w:hAnsiTheme="majorBidi" w:cstheme="majorBidi"/>
        </w:rPr>
        <w:t>-</w:t>
      </w:r>
      <w:r w:rsidR="00776AD2">
        <w:rPr>
          <w:rFonts w:asciiTheme="majorBidi" w:hAnsiTheme="majorBidi" w:cstheme="majorBidi"/>
        </w:rPr>
        <w:t xml:space="preserve">creating instruments, and measures to create fiscal space, taking into account relevant multilateral initiatives as appropriate; </w:t>
      </w:r>
      <w:r w:rsidR="004F100B" w:rsidRPr="002D4225">
        <w:rPr>
          <w:rFonts w:asciiTheme="majorBidi" w:hAnsiTheme="majorBidi" w:cstheme="majorBidi"/>
        </w:rPr>
        <w:t>and</w:t>
      </w:r>
      <w:r w:rsidR="00776AD2" w:rsidRPr="006C5BAC">
        <w:rPr>
          <w:rFonts w:asciiTheme="majorBidi" w:hAnsiTheme="majorBidi" w:cstheme="majorBidi"/>
          <w:i/>
          <w:iCs/>
        </w:rPr>
        <w:t xml:space="preserve"> requests</w:t>
      </w:r>
      <w:r w:rsidR="00776AD2">
        <w:rPr>
          <w:rFonts w:asciiTheme="majorBidi" w:hAnsiTheme="majorBidi" w:cstheme="majorBidi"/>
        </w:rPr>
        <w:t xml:space="preserve"> the Presidencies to produce a report summarizing the work as </w:t>
      </w:r>
      <w:r w:rsidR="00257C47">
        <w:rPr>
          <w:rFonts w:asciiTheme="majorBidi" w:hAnsiTheme="majorBidi" w:cstheme="majorBidi"/>
        </w:rPr>
        <w:t xml:space="preserve">they </w:t>
      </w:r>
      <w:r w:rsidR="00776AD2">
        <w:rPr>
          <w:rFonts w:asciiTheme="majorBidi" w:hAnsiTheme="majorBidi" w:cstheme="majorBidi"/>
        </w:rPr>
        <w:t xml:space="preserve">conclude the work by </w:t>
      </w:r>
      <w:r w:rsidR="00257C47">
        <w:rPr>
          <w:rFonts w:asciiTheme="majorBidi" w:hAnsiTheme="majorBidi" w:cstheme="majorBidi"/>
        </w:rPr>
        <w:t xml:space="preserve">the seventh session of the </w:t>
      </w:r>
      <w:r w:rsidR="00776AD2">
        <w:rPr>
          <w:rFonts w:asciiTheme="majorBidi" w:hAnsiTheme="majorBidi" w:cstheme="majorBidi"/>
        </w:rPr>
        <w:t>C</w:t>
      </w:r>
      <w:r w:rsidR="006A58DF">
        <w:rPr>
          <w:rFonts w:asciiTheme="majorBidi" w:hAnsiTheme="majorBidi" w:cstheme="majorBidi"/>
        </w:rPr>
        <w:t xml:space="preserve">onference of the Parties serving as the meeting of the Parties to the Paris Agreement </w:t>
      </w:r>
      <w:r w:rsidR="00EF406B">
        <w:rPr>
          <w:rFonts w:asciiTheme="majorBidi" w:hAnsiTheme="majorBidi" w:cstheme="majorBidi"/>
        </w:rPr>
        <w:t>(November 2025)</w:t>
      </w:r>
      <w:r w:rsidR="00776AD2">
        <w:rPr>
          <w:rFonts w:asciiTheme="majorBidi" w:hAnsiTheme="majorBidi" w:cstheme="majorBidi"/>
        </w:rPr>
        <w:t>;</w:t>
      </w:r>
    </w:p>
    <w:p w14:paraId="47BA1244" w14:textId="10F66D89" w:rsidR="00776AD2" w:rsidRDefault="00492C76" w:rsidP="00492C76">
      <w:pPr>
        <w:pStyle w:val="RegSingleTxtG"/>
        <w:numPr>
          <w:ilvl w:val="0"/>
          <w:numId w:val="0"/>
        </w:numPr>
        <w:ind w:left="1134"/>
      </w:pPr>
      <w:r>
        <w:t>28.</w:t>
      </w:r>
      <w:r>
        <w:tab/>
      </w:r>
      <w:r w:rsidR="00776AD2" w:rsidRPr="00EA2B9D">
        <w:rPr>
          <w:i/>
          <w:iCs/>
        </w:rPr>
        <w:t>Recalls</w:t>
      </w:r>
      <w:r w:rsidR="00776AD2">
        <w:t xml:space="preserve"> Article 9, paragraph 7, of the Paris Agreement, which states that developed country Parties shall provide transparent and consistent information on support for developing country Parties provided and mobilized through public interventions biennially in accordance with the modalities, procedures and guidelines for the transparency framework for action and support referred to in Article 13 of the Paris Agreement,</w:t>
      </w:r>
      <w:r w:rsidR="00776AD2">
        <w:rPr>
          <w:rStyle w:val="FootnoteReference"/>
        </w:rPr>
        <w:footnoteReference w:id="7"/>
      </w:r>
      <w:r w:rsidR="00776AD2">
        <w:t xml:space="preserve"> and that other Parties are encouraged to do so; </w:t>
      </w:r>
    </w:p>
    <w:p w14:paraId="485B924B" w14:textId="2CFA14A3" w:rsidR="00776AD2" w:rsidRDefault="00492C76" w:rsidP="00492C76">
      <w:pPr>
        <w:pStyle w:val="RegSingleTxtG"/>
        <w:numPr>
          <w:ilvl w:val="0"/>
          <w:numId w:val="0"/>
        </w:numPr>
        <w:ind w:left="1134"/>
      </w:pPr>
      <w:r>
        <w:t>29.</w:t>
      </w:r>
      <w:r>
        <w:tab/>
      </w:r>
      <w:r w:rsidR="00776AD2">
        <w:rPr>
          <w:i/>
          <w:iCs/>
        </w:rPr>
        <w:t>Also</w:t>
      </w:r>
      <w:r w:rsidR="00776AD2" w:rsidRPr="00EA2B9D">
        <w:rPr>
          <w:i/>
          <w:iCs/>
        </w:rPr>
        <w:t xml:space="preserve"> recalls</w:t>
      </w:r>
      <w:r w:rsidR="00776AD2">
        <w:t xml:space="preserve"> paragraph 118 of the annex to decision </w:t>
      </w:r>
      <w:hyperlink r:id="rId22" w:history="1">
        <w:r w:rsidR="00776AD2" w:rsidRPr="00514C67">
          <w:rPr>
            <w:rStyle w:val="Hyperlink"/>
          </w:rPr>
          <w:t>18/CMA.1</w:t>
        </w:r>
      </w:hyperlink>
      <w:r w:rsidR="00776AD2">
        <w:t xml:space="preserve">, which states that developed country Parties shall provide information pursuant to Article 13, paragraph 9, of the Paris Agreement in accordance with the modalities, procedures and guidelines contained in chapter V of the annex to that decision, and that other Parties that provide support should </w:t>
      </w:r>
      <w:r w:rsidR="00776AD2">
        <w:lastRenderedPageBreak/>
        <w:t>provide such information and in doing so are encouraged to use those modalities, procedures and guidelines;</w:t>
      </w:r>
    </w:p>
    <w:p w14:paraId="7C082E0B" w14:textId="7C3C363F" w:rsidR="00776AD2" w:rsidRDefault="00492C76" w:rsidP="00492C76">
      <w:pPr>
        <w:pStyle w:val="RegSingleTxtG"/>
        <w:numPr>
          <w:ilvl w:val="0"/>
          <w:numId w:val="0"/>
        </w:numPr>
        <w:ind w:left="1134"/>
      </w:pPr>
      <w:bookmarkStart w:id="10" w:name="_Ref183215898"/>
      <w:bookmarkStart w:id="11" w:name="_Hlk183210544"/>
      <w:r>
        <w:t>30.</w:t>
      </w:r>
      <w:r>
        <w:tab/>
      </w:r>
      <w:r w:rsidR="00776AD2" w:rsidRPr="00EA2B9D">
        <w:rPr>
          <w:i/>
          <w:iCs/>
        </w:rPr>
        <w:t xml:space="preserve">Requests </w:t>
      </w:r>
      <w:r w:rsidR="00776AD2">
        <w:t>the Standing Committee on Finance to prepare a report biennially, commencing in 2028, on collective progress towards all elements of this decision, on the basis of all relevant and available sources of information, for consideration by the Conference of the Parties serving as the meeting of the Parties to the Paris Agreement;</w:t>
      </w:r>
      <w:bookmarkEnd w:id="10"/>
    </w:p>
    <w:bookmarkEnd w:id="11"/>
    <w:p w14:paraId="60DB644A" w14:textId="4B5E5052" w:rsidR="00776AD2" w:rsidRDefault="00492C76" w:rsidP="00492C76">
      <w:pPr>
        <w:pStyle w:val="RegSingleTxtG"/>
        <w:numPr>
          <w:ilvl w:val="0"/>
          <w:numId w:val="0"/>
        </w:numPr>
        <w:ind w:left="1134"/>
      </w:pPr>
      <w:r>
        <w:t>31.</w:t>
      </w:r>
      <w:r>
        <w:tab/>
      </w:r>
      <w:r w:rsidR="00776AD2">
        <w:rPr>
          <w:i/>
          <w:iCs/>
        </w:rPr>
        <w:t xml:space="preserve">Invites </w:t>
      </w:r>
      <w:r w:rsidR="00776AD2">
        <w:t xml:space="preserve">submissions on the information on financial support provided and mobilized in 2025 and 2026 through the </w:t>
      </w:r>
      <w:r w:rsidR="00776AD2" w:rsidRPr="00674E86">
        <w:t xml:space="preserve">common tabular formats referred to in chapter V of the annex to decision </w:t>
      </w:r>
      <w:hyperlink r:id="rId23" w:history="1">
        <w:r w:rsidR="00776AD2" w:rsidRPr="00514C67">
          <w:rPr>
            <w:rStyle w:val="Hyperlink"/>
          </w:rPr>
          <w:t>18/CMA.1</w:t>
        </w:r>
      </w:hyperlink>
      <w:r w:rsidR="00776AD2" w:rsidRPr="00674E86">
        <w:t xml:space="preserve"> </w:t>
      </w:r>
      <w:r w:rsidR="00776AD2" w:rsidRPr="00674E86" w:rsidDel="00650D54">
        <w:t>for the electronic reporting of th</w:t>
      </w:r>
      <w:r w:rsidR="00776AD2">
        <w:t>at</w:t>
      </w:r>
      <w:r w:rsidR="00776AD2" w:rsidRPr="00674E86" w:rsidDel="00650D54">
        <w:t xml:space="preserve"> information </w:t>
      </w:r>
      <w:r w:rsidR="00776AD2" w:rsidRPr="00674E86" w:rsidDel="00F918DE">
        <w:t>by</w:t>
      </w:r>
      <w:r w:rsidR="00776AD2" w:rsidRPr="00674E86">
        <w:t xml:space="preserve"> 3</w:t>
      </w:r>
      <w:r w:rsidR="00776AD2">
        <w:t>0</w:t>
      </w:r>
      <w:r w:rsidR="00776AD2" w:rsidRPr="00674E86">
        <w:t xml:space="preserve"> </w:t>
      </w:r>
      <w:r w:rsidR="00776AD2">
        <w:t xml:space="preserve">June </w:t>
      </w:r>
      <w:r w:rsidR="00776AD2" w:rsidRPr="00674E86">
        <w:t>2028</w:t>
      </w:r>
      <w:r w:rsidR="00776AD2">
        <w:t>,</w:t>
      </w:r>
      <w:r w:rsidR="00776AD2" w:rsidRPr="00674E86">
        <w:t xml:space="preserve"> and </w:t>
      </w:r>
      <w:r w:rsidR="00776AD2">
        <w:t xml:space="preserve">the provision of relevant subsequent information </w:t>
      </w:r>
      <w:r w:rsidR="00776AD2" w:rsidRPr="00674E86">
        <w:t>on a</w:t>
      </w:r>
      <w:r w:rsidR="00776AD2">
        <w:t xml:space="preserve"> biennial</w:t>
      </w:r>
      <w:r w:rsidR="00776AD2" w:rsidRPr="00674E86">
        <w:t xml:space="preserve"> basis thereafter</w:t>
      </w:r>
      <w:r w:rsidR="00776AD2">
        <w:t>, in order to provide a full overview of aggregate financial support provided and to inform the global stocktake under Article 14 of the Paris Agreement;</w:t>
      </w:r>
    </w:p>
    <w:p w14:paraId="5BA3544E" w14:textId="5BF11924" w:rsidR="00776AD2" w:rsidRDefault="00492C76" w:rsidP="00492C76">
      <w:pPr>
        <w:pStyle w:val="RegSingleTxtG"/>
        <w:numPr>
          <w:ilvl w:val="0"/>
          <w:numId w:val="0"/>
        </w:numPr>
        <w:ind w:left="1134"/>
      </w:pPr>
      <w:r>
        <w:t>32.</w:t>
      </w:r>
      <w:r>
        <w:tab/>
      </w:r>
      <w:r w:rsidR="00776AD2">
        <w:rPr>
          <w:i/>
          <w:iCs/>
        </w:rPr>
        <w:t>R</w:t>
      </w:r>
      <w:r w:rsidR="00776AD2" w:rsidRPr="00EA2B9D">
        <w:rPr>
          <w:i/>
          <w:iCs/>
        </w:rPr>
        <w:t>equests</w:t>
      </w:r>
      <w:r w:rsidR="00776AD2">
        <w:t xml:space="preserve"> the Standing Committee on Finance to consider in its assessment of progress for the report referred to in paragraph </w:t>
      </w:r>
      <w:r w:rsidR="00776AD2">
        <w:rPr>
          <w:cs/>
        </w:rPr>
        <w:t>‎</w:t>
      </w:r>
      <w:r w:rsidR="00776AD2">
        <w:t>30 above information from all relevant and available data sources, such as information provided in biennial transparency reports and reporting based on project-level data from, for example, multilateral development banks, multilateral climate funds and other international financial institutions;</w:t>
      </w:r>
    </w:p>
    <w:p w14:paraId="23E623FB" w14:textId="7C9785B3" w:rsidR="00776AD2" w:rsidRPr="00A035BF" w:rsidRDefault="00492C76" w:rsidP="00492C76">
      <w:pPr>
        <w:pStyle w:val="RegSingleTxtG"/>
        <w:numPr>
          <w:ilvl w:val="0"/>
          <w:numId w:val="0"/>
        </w:numPr>
        <w:ind w:left="1134"/>
      </w:pPr>
      <w:r w:rsidRPr="00A035BF">
        <w:t>33.</w:t>
      </w:r>
      <w:r w:rsidRPr="00A035BF">
        <w:tab/>
      </w:r>
      <w:r w:rsidR="00776AD2" w:rsidRPr="00B47BEF" w:rsidDel="00504A44">
        <w:rPr>
          <w:rFonts w:eastAsia="Times New Roman"/>
          <w:i/>
          <w:iCs/>
          <w:color w:val="000000" w:themeColor="text1"/>
        </w:rPr>
        <w:t>R</w:t>
      </w:r>
      <w:r w:rsidR="00776AD2" w:rsidDel="00504A44">
        <w:rPr>
          <w:rFonts w:eastAsia="Times New Roman"/>
          <w:i/>
          <w:iCs/>
          <w:color w:val="000000" w:themeColor="text1"/>
        </w:rPr>
        <w:t xml:space="preserve">ecognizes </w:t>
      </w:r>
      <w:r w:rsidR="00776AD2" w:rsidDel="00504A44">
        <w:rPr>
          <w:rFonts w:eastAsia="Times New Roman"/>
          <w:color w:val="000000" w:themeColor="text1"/>
        </w:rPr>
        <w:t xml:space="preserve">the importance of transparency </w:t>
      </w:r>
      <w:r w:rsidR="00776AD2">
        <w:rPr>
          <w:rFonts w:eastAsia="Times New Roman"/>
          <w:color w:val="000000" w:themeColor="text1"/>
        </w:rPr>
        <w:t xml:space="preserve">in measuring progress in enhancing access to climate finance and </w:t>
      </w:r>
      <w:r w:rsidR="00776AD2" w:rsidDel="00504A44">
        <w:rPr>
          <w:rFonts w:eastAsia="Times New Roman"/>
          <w:color w:val="000000" w:themeColor="text1"/>
        </w:rPr>
        <w:t xml:space="preserve">the </w:t>
      </w:r>
      <w:r w:rsidR="00776AD2" w:rsidRPr="00814AE1" w:rsidDel="00504A44">
        <w:rPr>
          <w:rFonts w:eastAsia="Times New Roman"/>
          <w:color w:val="000000" w:themeColor="text1"/>
        </w:rPr>
        <w:t>impacts</w:t>
      </w:r>
      <w:r w:rsidR="00776AD2" w:rsidRPr="001B2ED4">
        <w:rPr>
          <w:rFonts w:eastAsia="Times New Roman"/>
          <w:color w:val="000000" w:themeColor="text1"/>
        </w:rPr>
        <w:t>,</w:t>
      </w:r>
      <w:r w:rsidR="00776AD2">
        <w:rPr>
          <w:rFonts w:eastAsia="Times New Roman"/>
          <w:color w:val="000000" w:themeColor="text1"/>
        </w:rPr>
        <w:t xml:space="preserve"> </w:t>
      </w:r>
      <w:r w:rsidR="00776AD2" w:rsidDel="00504A44">
        <w:rPr>
          <w:rFonts w:eastAsia="Times New Roman"/>
          <w:color w:val="000000" w:themeColor="text1"/>
        </w:rPr>
        <w:t xml:space="preserve">results </w:t>
      </w:r>
      <w:r w:rsidR="00776AD2">
        <w:rPr>
          <w:rFonts w:eastAsia="Times New Roman"/>
          <w:color w:val="000000" w:themeColor="text1"/>
        </w:rPr>
        <w:t>and outcomes o</w:t>
      </w:r>
      <w:r w:rsidR="00776AD2" w:rsidDel="00504A44">
        <w:rPr>
          <w:rFonts w:eastAsia="Times New Roman"/>
          <w:color w:val="000000" w:themeColor="text1"/>
        </w:rPr>
        <w:t xml:space="preserve">f climate finance flows </w:t>
      </w:r>
      <w:r w:rsidR="00776AD2">
        <w:rPr>
          <w:rFonts w:eastAsia="Times New Roman"/>
          <w:color w:val="000000" w:themeColor="text1"/>
        </w:rPr>
        <w:t xml:space="preserve">for addressing the needs and priorities of developing country Parties </w:t>
      </w:r>
      <w:r w:rsidR="00776AD2" w:rsidDel="00504A44">
        <w:rPr>
          <w:rFonts w:eastAsia="Times New Roman"/>
          <w:color w:val="000000" w:themeColor="text1"/>
        </w:rPr>
        <w:t xml:space="preserve">and </w:t>
      </w:r>
      <w:r w:rsidR="00776AD2">
        <w:rPr>
          <w:rFonts w:eastAsia="Times New Roman"/>
          <w:i/>
          <w:iCs/>
          <w:color w:val="000000" w:themeColor="text1"/>
        </w:rPr>
        <w:t xml:space="preserve">requests </w:t>
      </w:r>
      <w:r w:rsidR="00776AD2">
        <w:rPr>
          <w:rFonts w:eastAsia="Times New Roman"/>
          <w:color w:val="000000" w:themeColor="text1"/>
        </w:rPr>
        <w:t>the Standing Committee of Finance</w:t>
      </w:r>
      <w:r w:rsidR="00776AD2" w:rsidRPr="00B47BEF">
        <w:rPr>
          <w:rFonts w:eastAsia="Times New Roman"/>
          <w:color w:val="000000" w:themeColor="text1"/>
        </w:rPr>
        <w:t xml:space="preserve"> to </w:t>
      </w:r>
      <w:r w:rsidR="00776AD2">
        <w:rPr>
          <w:rFonts w:eastAsia="Times New Roman"/>
          <w:color w:val="000000" w:themeColor="text1"/>
        </w:rPr>
        <w:t xml:space="preserve">report on progress in these areas as part of the report referred to in paragraph </w:t>
      </w:r>
      <w:r w:rsidR="00776AD2">
        <w:rPr>
          <w:rFonts w:eastAsia="Times New Roman"/>
          <w:color w:val="000000" w:themeColor="text1"/>
          <w:cs/>
        </w:rPr>
        <w:t>‎</w:t>
      </w:r>
      <w:r w:rsidR="00776AD2">
        <w:rPr>
          <w:rFonts w:eastAsia="Times New Roman"/>
          <w:color w:val="000000" w:themeColor="text1"/>
        </w:rPr>
        <w:t>30 above</w:t>
      </w:r>
      <w:r w:rsidR="00776AD2" w:rsidDel="00504A44">
        <w:rPr>
          <w:rFonts w:eastAsia="Times New Roman"/>
          <w:color w:val="000000" w:themeColor="text1"/>
        </w:rPr>
        <w:t>;</w:t>
      </w:r>
    </w:p>
    <w:bookmarkEnd w:id="7"/>
    <w:p w14:paraId="4EFF2063" w14:textId="60A8F053" w:rsidR="00776AD2" w:rsidRDefault="00492C76" w:rsidP="00492C76">
      <w:pPr>
        <w:pStyle w:val="RegSingleTxtG"/>
        <w:numPr>
          <w:ilvl w:val="0"/>
          <w:numId w:val="0"/>
        </w:numPr>
        <w:ind w:left="1134"/>
      </w:pPr>
      <w:r>
        <w:t>34.</w:t>
      </w:r>
      <w:r>
        <w:tab/>
      </w:r>
      <w:r w:rsidR="00776AD2" w:rsidRPr="00311530">
        <w:rPr>
          <w:i/>
          <w:iCs/>
        </w:rPr>
        <w:t>Decides</w:t>
      </w:r>
      <w:r w:rsidR="00776AD2">
        <w:t xml:space="preserve"> to undertake a special assessment of access to climate finance at </w:t>
      </w:r>
      <w:r w:rsidR="003F0895">
        <w:t>the twelfth session of the Conference of the Parties serving as the meeting of the Parties to the Paris Agreement</w:t>
      </w:r>
      <w:r w:rsidR="00776AD2">
        <w:t xml:space="preserve"> (2030) with a view to assessing progress in relation to the matters referred to in paragraphs </w:t>
      </w:r>
      <w:r w:rsidR="00776AD2" w:rsidRPr="00A6441E">
        <w:rPr>
          <w:rFonts w:eastAsia="Times New Roman"/>
          <w:color w:val="000000" w:themeColor="text1"/>
        </w:rPr>
        <w:t>21</w:t>
      </w:r>
      <w:r w:rsidR="00776AD2">
        <w:t>–24 above and identifying further opportunities for enhancing access to climate finance in accordance with the aim of the new collective quantified goal and in line with Article 9, paragraph 9, of the Paris Agreement;</w:t>
      </w:r>
    </w:p>
    <w:p w14:paraId="2C8A4564" w14:textId="152251CD" w:rsidR="00776AD2" w:rsidRPr="007C2551" w:rsidRDefault="00492C76" w:rsidP="00492C76">
      <w:pPr>
        <w:pStyle w:val="RegSingleTxtG"/>
        <w:numPr>
          <w:ilvl w:val="0"/>
          <w:numId w:val="0"/>
        </w:numPr>
        <w:ind w:left="1134"/>
      </w:pPr>
      <w:r w:rsidRPr="007C2551">
        <w:t>35.</w:t>
      </w:r>
      <w:r w:rsidRPr="007C2551">
        <w:tab/>
      </w:r>
      <w:r w:rsidR="00A56A1D">
        <w:rPr>
          <w:i/>
          <w:iCs/>
        </w:rPr>
        <w:t>I</w:t>
      </w:r>
      <w:r w:rsidR="00776AD2" w:rsidRPr="00B66346">
        <w:rPr>
          <w:i/>
          <w:iCs/>
        </w:rPr>
        <w:t>nvites</w:t>
      </w:r>
      <w:r w:rsidR="00776AD2">
        <w:t xml:space="preserve"> the Standing Committee on Finance to consider in the report referred to in paragraph 30 above the regional balance in efforts to increase finance in line with paragraphs</w:t>
      </w:r>
      <w:r w:rsidR="000B505C">
        <w:t> </w:t>
      </w:r>
      <w:r w:rsidR="00776AD2">
        <w:t>7–8 above, including therein both qualitative and quantitative considerations, and disaggregated information related to the least developed countries and small island developing States;</w:t>
      </w:r>
    </w:p>
    <w:p w14:paraId="4F94D57C" w14:textId="6D3E968B" w:rsidR="00776AD2" w:rsidRPr="00FF5555" w:rsidRDefault="00492C76" w:rsidP="00492C76">
      <w:pPr>
        <w:pStyle w:val="RegSingleTxtG"/>
        <w:numPr>
          <w:ilvl w:val="0"/>
          <w:numId w:val="0"/>
        </w:numPr>
        <w:ind w:left="1134"/>
        <w:rPr>
          <w:color w:val="000000"/>
        </w:rPr>
      </w:pPr>
      <w:r w:rsidRPr="00FF5555">
        <w:rPr>
          <w:color w:val="000000"/>
        </w:rPr>
        <w:t>36.</w:t>
      </w:r>
      <w:r w:rsidRPr="00FF5555">
        <w:rPr>
          <w:color w:val="000000"/>
        </w:rPr>
        <w:tab/>
      </w:r>
      <w:r w:rsidR="00776AD2" w:rsidRPr="00290F13">
        <w:rPr>
          <w:i/>
          <w:iCs/>
        </w:rPr>
        <w:t xml:space="preserve">Decides </w:t>
      </w:r>
      <w:r w:rsidR="00776AD2" w:rsidRPr="00814AE1">
        <w:t>to</w:t>
      </w:r>
      <w:r w:rsidR="00776AD2" w:rsidRPr="00290F13">
        <w:rPr>
          <w:i/>
        </w:rPr>
        <w:t xml:space="preserve"> </w:t>
      </w:r>
      <w:r w:rsidR="00776AD2">
        <w:t>periodically take stock of the implementation of this decision as part of the global stocktake and to initiate deliberations on the way forward prior to 2035, including through a review of this decision in 2030;</w:t>
      </w:r>
    </w:p>
    <w:p w14:paraId="332795E2" w14:textId="767B24C5" w:rsidR="001720FB" w:rsidRDefault="00492C76" w:rsidP="00492C76">
      <w:pPr>
        <w:pStyle w:val="RegSingleTxtG"/>
        <w:numPr>
          <w:ilvl w:val="0"/>
          <w:numId w:val="0"/>
        </w:numPr>
        <w:ind w:left="1134"/>
      </w:pPr>
      <w:r>
        <w:t>37.</w:t>
      </w:r>
      <w:r>
        <w:tab/>
      </w:r>
      <w:r w:rsidR="00776AD2" w:rsidRPr="00FF5555">
        <w:rPr>
          <w:i/>
          <w:iCs/>
        </w:rPr>
        <w:t>Takes note</w:t>
      </w:r>
      <w:r w:rsidR="00776AD2">
        <w:t xml:space="preserve"> of the estimated budgetary implications of the activities to be undertaken by the secretariat referred to in paragraphs </w:t>
      </w:r>
      <w:r w:rsidR="00776AD2">
        <w:rPr>
          <w:cs/>
        </w:rPr>
        <w:t>‎</w:t>
      </w:r>
      <w:r w:rsidR="00776AD2">
        <w:rPr>
          <w:rFonts w:hint="cs"/>
          <w:cs/>
        </w:rPr>
        <w:t>27, 30, 34 and 36</w:t>
      </w:r>
      <w:r w:rsidR="00776AD2">
        <w:t xml:space="preserve"> above;</w:t>
      </w:r>
    </w:p>
    <w:p w14:paraId="4490504F" w14:textId="211D2758" w:rsidR="00776AD2" w:rsidRDefault="00492C76" w:rsidP="00492C76">
      <w:pPr>
        <w:pStyle w:val="RegSingleTxtG"/>
        <w:numPr>
          <w:ilvl w:val="0"/>
          <w:numId w:val="0"/>
        </w:numPr>
        <w:ind w:left="1134"/>
      </w:pPr>
      <w:r>
        <w:t>38.</w:t>
      </w:r>
      <w:r>
        <w:tab/>
      </w:r>
      <w:r w:rsidR="00776AD2" w:rsidRPr="001720FB">
        <w:rPr>
          <w:i/>
          <w:iCs/>
        </w:rPr>
        <w:t>Requests</w:t>
      </w:r>
      <w:r w:rsidR="00776AD2">
        <w:t xml:space="preserve"> that the actions of the secretariat called for in this decision be undertaken subject to the availability of financial resources.</w:t>
      </w:r>
    </w:p>
    <w:p w14:paraId="7956FC7C" w14:textId="3A45672A" w:rsidR="001720FB" w:rsidRDefault="00A61992" w:rsidP="001720FB">
      <w:pPr>
        <w:pStyle w:val="RegSingleTxtG"/>
        <w:numPr>
          <w:ilvl w:val="0"/>
          <w:numId w:val="0"/>
        </w:numPr>
        <w:spacing w:after="0"/>
        <w:ind w:left="1134"/>
        <w:jc w:val="right"/>
        <w:rPr>
          <w:i/>
          <w:iCs/>
        </w:rPr>
      </w:pPr>
      <w:r>
        <w:rPr>
          <w:i/>
          <w:iCs/>
        </w:rPr>
        <w:t>Resumed 11</w:t>
      </w:r>
      <w:r w:rsidR="00D24B45" w:rsidRPr="00D24B45">
        <w:rPr>
          <w:i/>
          <w:iCs/>
          <w:vertAlign w:val="superscript"/>
        </w:rPr>
        <w:t>th</w:t>
      </w:r>
      <w:r w:rsidR="00D24B45">
        <w:rPr>
          <w:i/>
          <w:iCs/>
        </w:rPr>
        <w:t xml:space="preserve"> </w:t>
      </w:r>
      <w:r w:rsidR="001720FB">
        <w:rPr>
          <w:i/>
          <w:iCs/>
        </w:rPr>
        <w:t>plenary meeting</w:t>
      </w:r>
    </w:p>
    <w:p w14:paraId="56CB1269" w14:textId="1FF65D0F" w:rsidR="001720FB" w:rsidRDefault="00F5068C" w:rsidP="001720FB">
      <w:pPr>
        <w:pStyle w:val="RegSingleTxtG"/>
        <w:numPr>
          <w:ilvl w:val="0"/>
          <w:numId w:val="0"/>
        </w:numPr>
        <w:spacing w:after="0"/>
        <w:ind w:left="1134"/>
        <w:jc w:val="right"/>
      </w:pPr>
      <w:r>
        <w:rPr>
          <w:i/>
          <w:iCs/>
        </w:rPr>
        <w:t>2</w:t>
      </w:r>
      <w:r w:rsidR="007B1BA2">
        <w:rPr>
          <w:i/>
          <w:iCs/>
        </w:rPr>
        <w:t>4</w:t>
      </w:r>
      <w:r w:rsidR="001720FB">
        <w:rPr>
          <w:i/>
          <w:iCs/>
        </w:rPr>
        <w:t xml:space="preserve"> November 2024</w:t>
      </w:r>
    </w:p>
    <w:p w14:paraId="77B420F5" w14:textId="77777777" w:rsidR="001720FB" w:rsidRDefault="001720FB" w:rsidP="00492C76">
      <w:pPr>
        <w:pStyle w:val="RegHChG"/>
        <w:numPr>
          <w:ilvl w:val="0"/>
          <w:numId w:val="0"/>
        </w:numPr>
        <w:ind w:left="1135" w:hanging="454"/>
      </w:pPr>
    </w:p>
    <w:p w14:paraId="54614359" w14:textId="65AFB770" w:rsidR="001720FB" w:rsidRDefault="00492C76" w:rsidP="00492C76">
      <w:pPr>
        <w:pStyle w:val="RegHChG"/>
        <w:numPr>
          <w:ilvl w:val="0"/>
          <w:numId w:val="0"/>
        </w:numPr>
        <w:tabs>
          <w:tab w:val="left" w:pos="1135"/>
        </w:tabs>
        <w:ind w:left="1135" w:hanging="454"/>
        <w:sectPr w:rsidR="001720FB" w:rsidSect="00C86F14">
          <w:headerReference w:type="even" r:id="rId24"/>
          <w:headerReference w:type="default" r:id="rId25"/>
          <w:footerReference w:type="even" r:id="rId26"/>
          <w:footerReference w:type="default" r:id="rId27"/>
          <w:headerReference w:type="first" r:id="rId28"/>
          <w:pgSz w:w="11906" w:h="16838" w:code="9"/>
          <w:pgMar w:top="1417" w:right="1134" w:bottom="1134" w:left="1134" w:header="850" w:footer="567" w:gutter="0"/>
          <w:cols w:space="708"/>
          <w:titlePg/>
          <w:docGrid w:linePitch="360"/>
        </w:sectPr>
      </w:pPr>
      <w:r>
        <w:t>I.</w:t>
      </w:r>
      <w:r>
        <w:tab/>
      </w:r>
    </w:p>
    <w:p w14:paraId="61E2AC87" w14:textId="6281CF3E" w:rsidR="00B76240" w:rsidRDefault="00B76240" w:rsidP="00492C76">
      <w:pPr>
        <w:pStyle w:val="RegHChG"/>
        <w:numPr>
          <w:ilvl w:val="0"/>
          <w:numId w:val="0"/>
        </w:numPr>
        <w:ind w:left="1135" w:hanging="454"/>
      </w:pPr>
      <w:bookmarkStart w:id="12" w:name="decision2"/>
      <w:r>
        <w:lastRenderedPageBreak/>
        <w:t>Decision 2/CMA.6</w:t>
      </w:r>
    </w:p>
    <w:bookmarkEnd w:id="12"/>
    <w:p w14:paraId="20528A2D" w14:textId="77777777" w:rsidR="000A3AB4" w:rsidRPr="00A96DC7" w:rsidRDefault="000A3AB4" w:rsidP="001F2682">
      <w:pPr>
        <w:pStyle w:val="HChG"/>
        <w:ind w:firstLine="0"/>
      </w:pPr>
      <w:r w:rsidRPr="000B763D">
        <w:t>Sharm el-Sheikh mitigation ambition and implementation work programme</w:t>
      </w:r>
    </w:p>
    <w:p w14:paraId="198BAC54" w14:textId="77777777" w:rsidR="000A3AB4" w:rsidRDefault="000A3AB4" w:rsidP="000A3AB4">
      <w:pPr>
        <w:pStyle w:val="RegSingleTxtG"/>
        <w:numPr>
          <w:ilvl w:val="0"/>
          <w:numId w:val="0"/>
        </w:numPr>
        <w:ind w:left="1134"/>
      </w:pPr>
      <w:r>
        <w:tab/>
      </w:r>
      <w:r w:rsidRPr="000653F0">
        <w:rPr>
          <w:i/>
          <w:iCs/>
        </w:rPr>
        <w:t>The Conference of the Parties serving as the meeting of the Parties to the Paris Agreement</w:t>
      </w:r>
      <w:r>
        <w:t>,</w:t>
      </w:r>
    </w:p>
    <w:p w14:paraId="1E5ECD09" w14:textId="77777777" w:rsidR="000A3AB4" w:rsidRDefault="000A3AB4" w:rsidP="000A3AB4">
      <w:pPr>
        <w:pStyle w:val="RegSingleTxtG"/>
        <w:numPr>
          <w:ilvl w:val="0"/>
          <w:numId w:val="0"/>
        </w:numPr>
        <w:ind w:left="1134"/>
      </w:pPr>
      <w:r>
        <w:rPr>
          <w:i/>
          <w:iCs/>
        </w:rPr>
        <w:tab/>
      </w:r>
      <w:r w:rsidRPr="00EA7A02">
        <w:rPr>
          <w:i/>
          <w:iCs/>
        </w:rPr>
        <w:t>Recalling</w:t>
      </w:r>
      <w:r w:rsidRPr="004B10CB">
        <w:t xml:space="preserve"> the Paris Agreement,</w:t>
      </w:r>
    </w:p>
    <w:p w14:paraId="35ECA6CA" w14:textId="77777777" w:rsidR="000A3AB4" w:rsidRDefault="000A3AB4" w:rsidP="000A3AB4">
      <w:pPr>
        <w:pStyle w:val="RegSingleTxtG"/>
        <w:numPr>
          <w:ilvl w:val="0"/>
          <w:numId w:val="0"/>
        </w:numPr>
        <w:ind w:left="1134"/>
      </w:pPr>
      <w:r>
        <w:tab/>
      </w:r>
      <w:r>
        <w:rPr>
          <w:i/>
          <w:iCs/>
        </w:rPr>
        <w:t xml:space="preserve">Also </w:t>
      </w:r>
      <w:r w:rsidRPr="00883B28">
        <w:rPr>
          <w:i/>
          <w:iCs/>
        </w:rPr>
        <w:t>recalling</w:t>
      </w:r>
      <w:r>
        <w:t xml:space="preserve"> Article 2, paragraph 2, of the Paris Agreement, which provides that the Agreement will be implemented to reflect equity and the principle of common but differentiated responsibilities and respective capabilities, in the light of different national circumstances,</w:t>
      </w:r>
    </w:p>
    <w:p w14:paraId="52C76906" w14:textId="77777777" w:rsidR="000A3AB4" w:rsidRDefault="000A3AB4" w:rsidP="000A3AB4">
      <w:pPr>
        <w:pStyle w:val="RegSingleTxtG"/>
        <w:numPr>
          <w:ilvl w:val="0"/>
          <w:numId w:val="0"/>
        </w:numPr>
        <w:ind w:left="1134"/>
      </w:pPr>
      <w:r>
        <w:tab/>
      </w:r>
      <w:r>
        <w:rPr>
          <w:i/>
          <w:iCs/>
        </w:rPr>
        <w:t>Further</w:t>
      </w:r>
      <w:r w:rsidRPr="00513628">
        <w:rPr>
          <w:i/>
          <w:iCs/>
        </w:rPr>
        <w:t xml:space="preserve"> recalling</w:t>
      </w:r>
      <w:r>
        <w:t xml:space="preserve"> Article 4, paragraph 5, of the Paris Agreement, which provides that support shall be provided to developing country Parties for the implementation of Article 4 of the Paris Agreement, in accordance with Articles 9–11 of the Agreement, recognizing that enhanced support for developing country Parties will allow for higher ambition in their actions,</w:t>
      </w:r>
    </w:p>
    <w:p w14:paraId="4714FC9F" w14:textId="3556F9D0" w:rsidR="000A3AB4" w:rsidRPr="00A570AB" w:rsidRDefault="000A3AB4" w:rsidP="000A3AB4">
      <w:pPr>
        <w:pStyle w:val="RegSingleTxtG"/>
        <w:numPr>
          <w:ilvl w:val="0"/>
          <w:numId w:val="0"/>
        </w:numPr>
        <w:ind w:left="1134"/>
      </w:pPr>
      <w:r>
        <w:rPr>
          <w:b/>
          <w:bCs/>
        </w:rPr>
        <w:tab/>
      </w:r>
      <w:r>
        <w:rPr>
          <w:i/>
          <w:iCs/>
        </w:rPr>
        <w:tab/>
        <w:t>R</w:t>
      </w:r>
      <w:r w:rsidRPr="00EA7A02">
        <w:rPr>
          <w:i/>
          <w:iCs/>
        </w:rPr>
        <w:t>ecalling</w:t>
      </w:r>
      <w:r w:rsidRPr="00EA7A02">
        <w:t xml:space="preserve"> decision </w:t>
      </w:r>
      <w:hyperlink r:id="rId29" w:history="1">
        <w:r w:rsidRPr="00514C67">
          <w:rPr>
            <w:rStyle w:val="Hyperlink"/>
          </w:rPr>
          <w:t>4/CMA.4</w:t>
        </w:r>
      </w:hyperlink>
      <w:r>
        <w:t xml:space="preserve">, particularly paragraphs 1–4, and decision </w:t>
      </w:r>
      <w:hyperlink r:id="rId30" w:history="1">
        <w:r w:rsidRPr="00514C67">
          <w:rPr>
            <w:rStyle w:val="Hyperlink"/>
          </w:rPr>
          <w:t>4/CMA.5</w:t>
        </w:r>
      </w:hyperlink>
      <w:r w:rsidRPr="00EA7A02">
        <w:t xml:space="preserve">, </w:t>
      </w:r>
    </w:p>
    <w:p w14:paraId="0B2C39C1" w14:textId="77777777" w:rsidR="000A3AB4" w:rsidRDefault="000A3AB4" w:rsidP="000A3AB4">
      <w:pPr>
        <w:pStyle w:val="RegSingleTxtG"/>
        <w:numPr>
          <w:ilvl w:val="0"/>
          <w:numId w:val="0"/>
        </w:numPr>
        <w:ind w:left="1134"/>
      </w:pPr>
      <w:r>
        <w:rPr>
          <w:i/>
          <w:iCs/>
        </w:rPr>
        <w:tab/>
        <w:t>R</w:t>
      </w:r>
      <w:r w:rsidRPr="00286436">
        <w:rPr>
          <w:i/>
          <w:iCs/>
        </w:rPr>
        <w:t>ecogniz</w:t>
      </w:r>
      <w:r>
        <w:rPr>
          <w:i/>
          <w:iCs/>
        </w:rPr>
        <w:t>ing</w:t>
      </w:r>
      <w:r w:rsidRPr="00286436">
        <w:rPr>
          <w:i/>
          <w:iCs/>
        </w:rPr>
        <w:t xml:space="preserve"> </w:t>
      </w:r>
      <w:r w:rsidRPr="00677880">
        <w:t xml:space="preserve">that Parties have different starting points, capacities and national circumstances and </w:t>
      </w:r>
      <w:r w:rsidRPr="008775EF">
        <w:rPr>
          <w:i/>
          <w:iCs/>
        </w:rPr>
        <w:t>highlighting</w:t>
      </w:r>
      <w:r w:rsidRPr="00677880">
        <w:t xml:space="preserve"> the importance of capacity-building support for developing</w:t>
      </w:r>
      <w:r>
        <w:t xml:space="preserve"> countries</w:t>
      </w:r>
      <w:r w:rsidRPr="00677880">
        <w:rPr>
          <w:lang w:val="en-US"/>
        </w:rPr>
        <w:t>,</w:t>
      </w:r>
    </w:p>
    <w:p w14:paraId="3AB05A5C" w14:textId="77777777" w:rsidR="000A3AB4" w:rsidRDefault="000A3AB4" w:rsidP="000A3AB4">
      <w:pPr>
        <w:pStyle w:val="RegSingleTxtG"/>
        <w:numPr>
          <w:ilvl w:val="0"/>
          <w:numId w:val="0"/>
        </w:numPr>
        <w:ind w:left="1134"/>
      </w:pPr>
      <w:r>
        <w:tab/>
      </w:r>
      <w:r>
        <w:rPr>
          <w:i/>
          <w:iCs/>
        </w:rPr>
        <w:tab/>
      </w:r>
      <w:r w:rsidRPr="0081692E">
        <w:rPr>
          <w:i/>
          <w:iCs/>
        </w:rPr>
        <w:t>Re</w:t>
      </w:r>
      <w:r>
        <w:rPr>
          <w:i/>
          <w:iCs/>
        </w:rPr>
        <w:t>affirming</w:t>
      </w:r>
      <w:r w:rsidRPr="00EA7A02">
        <w:t xml:space="preserve"> the nationally determined nature of nationally determined contributions,</w:t>
      </w:r>
    </w:p>
    <w:p w14:paraId="1A874C92" w14:textId="5CF60877" w:rsidR="000A3AB4" w:rsidRDefault="00492C76" w:rsidP="00492C76">
      <w:pPr>
        <w:pStyle w:val="RegSingleTxtG"/>
        <w:numPr>
          <w:ilvl w:val="0"/>
          <w:numId w:val="0"/>
        </w:numPr>
        <w:ind w:left="1134"/>
      </w:pPr>
      <w:r>
        <w:t>1.</w:t>
      </w:r>
      <w:r>
        <w:tab/>
      </w:r>
      <w:r w:rsidR="000A3AB4" w:rsidRPr="001F2682">
        <w:rPr>
          <w:i/>
          <w:iCs/>
        </w:rPr>
        <w:t>Expresses appreciation</w:t>
      </w:r>
      <w:r w:rsidR="000A3AB4" w:rsidRPr="005739B1">
        <w:t xml:space="preserve"> </w:t>
      </w:r>
      <w:r w:rsidR="000A3AB4">
        <w:t xml:space="preserve">to </w:t>
      </w:r>
      <w:r w:rsidR="000A3AB4" w:rsidRPr="00BE1270">
        <w:t xml:space="preserve">the co-chairs of the </w:t>
      </w:r>
      <w:r w:rsidR="000A3AB4">
        <w:t xml:space="preserve">Sharm el-Sheikh mitigation ambition and implementation </w:t>
      </w:r>
      <w:r w:rsidR="000A3AB4" w:rsidRPr="00EA7A02">
        <w:t>work programme</w:t>
      </w:r>
      <w:r w:rsidR="000A3AB4">
        <w:t xml:space="preserve"> for 2023–2024, </w:t>
      </w:r>
      <w:r w:rsidR="000A3AB4" w:rsidRPr="00FE7B04">
        <w:t>Amr Osama Abdel-Aziz and Lola Vallejo</w:t>
      </w:r>
      <w:r w:rsidR="000A3AB4">
        <w:t xml:space="preserve">, and the secretariat for their </w:t>
      </w:r>
      <w:r w:rsidR="000A3AB4" w:rsidRPr="00EA7A02">
        <w:t xml:space="preserve">work </w:t>
      </w:r>
      <w:r w:rsidR="000A3AB4">
        <w:t xml:space="preserve">under the programme, including </w:t>
      </w:r>
      <w:r w:rsidR="000A3AB4" w:rsidRPr="00EA7A02">
        <w:t>organiz</w:t>
      </w:r>
      <w:r w:rsidR="000A3AB4">
        <w:t xml:space="preserve">ing </w:t>
      </w:r>
      <w:r w:rsidR="000A3AB4" w:rsidRPr="00BE1270">
        <w:t xml:space="preserve">the </w:t>
      </w:r>
      <w:r w:rsidR="000A3AB4">
        <w:t xml:space="preserve">four </w:t>
      </w:r>
      <w:r w:rsidR="000A3AB4" w:rsidRPr="00BE1270">
        <w:t xml:space="preserve">global dialogues and investment-focused events </w:t>
      </w:r>
      <w:r w:rsidR="000A3AB4">
        <w:t>there</w:t>
      </w:r>
      <w:r w:rsidR="000A3AB4" w:rsidRPr="00EA7A02">
        <w:t>under</w:t>
      </w:r>
      <w:r w:rsidR="000A3AB4" w:rsidRPr="00EA7A02" w:rsidDel="00201F53">
        <w:t xml:space="preserve"> </w:t>
      </w:r>
      <w:r w:rsidR="000A3AB4" w:rsidRPr="00EA7A02">
        <w:t xml:space="preserve">in </w:t>
      </w:r>
      <w:r w:rsidR="000A3AB4">
        <w:t>2023–</w:t>
      </w:r>
      <w:r w:rsidR="000A3AB4" w:rsidRPr="00BE1270">
        <w:t>2024</w:t>
      </w:r>
      <w:r w:rsidR="000A3AB4">
        <w:t>;</w:t>
      </w:r>
      <w:r w:rsidR="000A3AB4" w:rsidRPr="00EA7A02">
        <w:t xml:space="preserve"> </w:t>
      </w:r>
      <w:r w:rsidR="000A3AB4">
        <w:t>and</w:t>
      </w:r>
      <w:r w:rsidR="000A3AB4" w:rsidRPr="00EA7A02">
        <w:t xml:space="preserve"> to the </w:t>
      </w:r>
      <w:r w:rsidR="000A3AB4" w:rsidRPr="00D359D1">
        <w:t>experts</w:t>
      </w:r>
      <w:r w:rsidR="000A3AB4">
        <w:t>, facilitators</w:t>
      </w:r>
      <w:r w:rsidR="000A3AB4" w:rsidRPr="00D359D1">
        <w:t xml:space="preserve"> and </w:t>
      </w:r>
      <w:r w:rsidR="000A3AB4" w:rsidRPr="00631B67">
        <w:t>advisory panel members</w:t>
      </w:r>
      <w:r w:rsidR="000A3AB4">
        <w:t xml:space="preserve"> for their contributions to the dialogues and events</w:t>
      </w:r>
      <w:r w:rsidR="000A3AB4" w:rsidRPr="00661E2B">
        <w:t>;</w:t>
      </w:r>
    </w:p>
    <w:p w14:paraId="53914C03" w14:textId="0BABE828" w:rsidR="000A3AB4" w:rsidRPr="00EA7A02" w:rsidRDefault="00492C76" w:rsidP="00492C76">
      <w:pPr>
        <w:pStyle w:val="RegSingleTxtG"/>
        <w:numPr>
          <w:ilvl w:val="0"/>
          <w:numId w:val="0"/>
        </w:numPr>
        <w:ind w:left="1134"/>
      </w:pPr>
      <w:r w:rsidRPr="00EA7A02">
        <w:t>2.</w:t>
      </w:r>
      <w:r w:rsidRPr="00EA7A02">
        <w:tab/>
      </w:r>
      <w:r w:rsidR="000A3AB4">
        <w:rPr>
          <w:i/>
          <w:iCs/>
        </w:rPr>
        <w:t>Also e</w:t>
      </w:r>
      <w:r w:rsidR="000A3AB4" w:rsidRPr="00E928D1">
        <w:rPr>
          <w:i/>
          <w:iCs/>
        </w:rPr>
        <w:t>xpresses appreciation</w:t>
      </w:r>
      <w:r w:rsidR="000A3AB4" w:rsidRPr="00EA7A02">
        <w:t xml:space="preserve"> to the Government of Egypt for hosting </w:t>
      </w:r>
      <w:r w:rsidR="000A3AB4">
        <w:t xml:space="preserve">in 2024 </w:t>
      </w:r>
      <w:r w:rsidR="000A3AB4" w:rsidRPr="00EA7A02">
        <w:t>the fourth global dialogue and investment-focused event</w:t>
      </w:r>
      <w:r w:rsidR="000A3AB4">
        <w:t xml:space="preserve"> under the work programme;</w:t>
      </w:r>
    </w:p>
    <w:p w14:paraId="081DFA2B" w14:textId="175DFC7C" w:rsidR="000A3AB4" w:rsidRDefault="00492C76" w:rsidP="00492C76">
      <w:pPr>
        <w:pStyle w:val="RegSingleTxtG"/>
        <w:numPr>
          <w:ilvl w:val="0"/>
          <w:numId w:val="0"/>
        </w:numPr>
        <w:ind w:left="1134"/>
      </w:pPr>
      <w:r>
        <w:t>3.</w:t>
      </w:r>
      <w:r>
        <w:tab/>
      </w:r>
      <w:r w:rsidR="000A3AB4" w:rsidRPr="00474274">
        <w:rPr>
          <w:i/>
          <w:iCs/>
        </w:rPr>
        <w:t>Welcomes</w:t>
      </w:r>
      <w:r w:rsidR="000A3AB4">
        <w:t xml:space="preserve"> the progress of</w:t>
      </w:r>
      <w:r w:rsidR="000A3AB4" w:rsidRPr="00EA7A02">
        <w:t xml:space="preserve"> implement</w:t>
      </w:r>
      <w:r w:rsidR="000A3AB4">
        <w:t>ation</w:t>
      </w:r>
      <w:r w:rsidR="000A3AB4" w:rsidRPr="00EA7A02">
        <w:t xml:space="preserve"> </w:t>
      </w:r>
      <w:r w:rsidR="000A3AB4">
        <w:t>of the work programme in 2023–2024, including through:</w:t>
      </w:r>
    </w:p>
    <w:p w14:paraId="0112E664" w14:textId="754FF459" w:rsidR="000A3AB4" w:rsidRDefault="00492C76" w:rsidP="00492C76">
      <w:pPr>
        <w:pStyle w:val="RegSingleTxtG2"/>
        <w:numPr>
          <w:ilvl w:val="0"/>
          <w:numId w:val="0"/>
        </w:numPr>
        <w:tabs>
          <w:tab w:val="left" w:pos="1702"/>
        </w:tabs>
        <w:ind w:left="1134" w:firstLine="567"/>
      </w:pPr>
      <w:r>
        <w:rPr>
          <w:szCs w:val="28"/>
        </w:rPr>
        <w:t>(a)</w:t>
      </w:r>
      <w:r>
        <w:rPr>
          <w:szCs w:val="28"/>
        </w:rPr>
        <w:tab/>
      </w:r>
      <w:r w:rsidR="000A3AB4">
        <w:t>Provision of a platform for</w:t>
      </w:r>
      <w:r w:rsidR="000A3AB4" w:rsidRPr="00EA7A02">
        <w:t xml:space="preserve"> deepen</w:t>
      </w:r>
      <w:r w:rsidR="000A3AB4">
        <w:t xml:space="preserve">ing understanding </w:t>
      </w:r>
      <w:r w:rsidR="000A3AB4" w:rsidRPr="00EA7A02">
        <w:t>o</w:t>
      </w:r>
      <w:r w:rsidR="000A3AB4">
        <w:t>f opportunities, best practices, actionable solutions, challenges and barriers related to the topics discussed at the global dialogues and investment-focused events;</w:t>
      </w:r>
    </w:p>
    <w:p w14:paraId="4D1D4898" w14:textId="7E329375" w:rsidR="000A3AB4" w:rsidRDefault="00492C76" w:rsidP="00492C76">
      <w:pPr>
        <w:pStyle w:val="RegSingleTxtG2"/>
        <w:numPr>
          <w:ilvl w:val="0"/>
          <w:numId w:val="0"/>
        </w:numPr>
        <w:tabs>
          <w:tab w:val="left" w:pos="1702"/>
        </w:tabs>
        <w:ind w:left="1134" w:firstLine="567"/>
      </w:pPr>
      <w:r>
        <w:rPr>
          <w:szCs w:val="28"/>
        </w:rPr>
        <w:t>(b)</w:t>
      </w:r>
      <w:r>
        <w:rPr>
          <w:szCs w:val="28"/>
        </w:rPr>
        <w:tab/>
      </w:r>
      <w:r w:rsidR="000A3AB4">
        <w:t>P</w:t>
      </w:r>
      <w:r w:rsidR="000A3AB4" w:rsidRPr="00EA7A02">
        <w:t>rovi</w:t>
      </w:r>
      <w:r w:rsidR="000A3AB4">
        <w:t>sion</w:t>
      </w:r>
      <w:r w:rsidR="000A3AB4" w:rsidRPr="00EA7A02">
        <w:t xml:space="preserve"> </w:t>
      </w:r>
      <w:r w:rsidR="000A3AB4">
        <w:t xml:space="preserve">of opportunities for matchmaking between project proponents and </w:t>
      </w:r>
      <w:r w:rsidR="000A3AB4" w:rsidRPr="00E27277">
        <w:t>potential financier</w:t>
      </w:r>
      <w:r w:rsidR="000A3AB4">
        <w:t xml:space="preserve">s through pitch </w:t>
      </w:r>
      <w:r w:rsidR="000A3AB4" w:rsidRPr="00EA7A02">
        <w:t>hub</w:t>
      </w:r>
      <w:r w:rsidR="000A3AB4">
        <w:t>s held at the investment-focused events;</w:t>
      </w:r>
    </w:p>
    <w:p w14:paraId="7776C6E2" w14:textId="231BD7CD" w:rsidR="000A3AB4" w:rsidRPr="00EA7A02" w:rsidRDefault="00492C76" w:rsidP="00492C76">
      <w:pPr>
        <w:pStyle w:val="RegSingleTxtG2"/>
        <w:numPr>
          <w:ilvl w:val="0"/>
          <w:numId w:val="0"/>
        </w:numPr>
        <w:tabs>
          <w:tab w:val="left" w:pos="1702"/>
        </w:tabs>
        <w:ind w:left="1134" w:firstLine="567"/>
      </w:pPr>
      <w:r w:rsidRPr="00EA7A02">
        <w:rPr>
          <w:szCs w:val="28"/>
        </w:rPr>
        <w:t>(c)</w:t>
      </w:r>
      <w:r w:rsidRPr="00EA7A02">
        <w:rPr>
          <w:szCs w:val="28"/>
        </w:rPr>
        <w:tab/>
      </w:r>
      <w:r w:rsidR="000A3AB4">
        <w:t>P</w:t>
      </w:r>
      <w:r w:rsidR="000A3AB4" w:rsidRPr="00EA7A02">
        <w:t>ubli</w:t>
      </w:r>
      <w:r w:rsidR="000A3AB4">
        <w:t>cation</w:t>
      </w:r>
      <w:r w:rsidR="000A3AB4" w:rsidRPr="00EA7A02">
        <w:t xml:space="preserve"> </w:t>
      </w:r>
      <w:r w:rsidR="000A3AB4">
        <w:t xml:space="preserve">of </w:t>
      </w:r>
      <w:r w:rsidR="000A3AB4" w:rsidRPr="00EA7A02">
        <w:t>the annual reports</w:t>
      </w:r>
      <w:r w:rsidR="000A3AB4">
        <w:t xml:space="preserve"> on the work programme;</w:t>
      </w:r>
      <w:r w:rsidR="000A3AB4" w:rsidRPr="00EA7A02">
        <w:rPr>
          <w:rStyle w:val="FootnoteReference"/>
        </w:rPr>
        <w:footnoteReference w:id="8"/>
      </w:r>
    </w:p>
    <w:p w14:paraId="22B8C556" w14:textId="34224E1F" w:rsidR="000A3AB4" w:rsidRDefault="00492C76" w:rsidP="00492C76">
      <w:pPr>
        <w:pStyle w:val="RegSingleTxtG"/>
        <w:numPr>
          <w:ilvl w:val="0"/>
          <w:numId w:val="0"/>
        </w:numPr>
        <w:ind w:left="1134"/>
      </w:pPr>
      <w:r>
        <w:t>4.</w:t>
      </w:r>
      <w:r>
        <w:tab/>
      </w:r>
      <w:r w:rsidR="000A3AB4">
        <w:rPr>
          <w:i/>
          <w:iCs/>
        </w:rPr>
        <w:t>Notes</w:t>
      </w:r>
      <w:r w:rsidR="000A3AB4" w:rsidRPr="00EA7A02">
        <w:t xml:space="preserve"> the focused exchange of views, information and ideas during the global dialogues and investment-focused events in 2024</w:t>
      </w:r>
      <w:r w:rsidR="000A3AB4">
        <w:t>,</w:t>
      </w:r>
      <w:r w:rsidR="000A3AB4" w:rsidRPr="00EA7A02">
        <w:t xml:space="preserve"> on the topic “Cities: buildings and urban systems”, noting that the topics </w:t>
      </w:r>
      <w:r w:rsidR="000A3AB4">
        <w:t>to be discussed a</w:t>
      </w:r>
      <w:r w:rsidR="000A3AB4" w:rsidRPr="00EA7A02">
        <w:t>re decided by the co-chairs of the work programme</w:t>
      </w:r>
      <w:r w:rsidR="000A3AB4">
        <w:t>;</w:t>
      </w:r>
      <w:r w:rsidR="000A3AB4">
        <w:rPr>
          <w:rStyle w:val="FootnoteReference"/>
        </w:rPr>
        <w:footnoteReference w:id="9"/>
      </w:r>
    </w:p>
    <w:p w14:paraId="25774A30" w14:textId="7CF3E843" w:rsidR="000A3AB4" w:rsidRPr="00EA7A02" w:rsidRDefault="00492C76" w:rsidP="00492C76">
      <w:pPr>
        <w:pStyle w:val="RegSingleTxtG"/>
        <w:numPr>
          <w:ilvl w:val="0"/>
          <w:numId w:val="0"/>
        </w:numPr>
        <w:ind w:left="1134"/>
      </w:pPr>
      <w:r w:rsidRPr="00EA7A02">
        <w:t>5.</w:t>
      </w:r>
      <w:r w:rsidRPr="00EA7A02">
        <w:tab/>
      </w:r>
      <w:r w:rsidR="000A3AB4">
        <w:rPr>
          <w:i/>
          <w:iCs/>
        </w:rPr>
        <w:t>Welcomes</w:t>
      </w:r>
      <w:r w:rsidR="000A3AB4" w:rsidRPr="00146AD3">
        <w:t xml:space="preserve"> the organization </w:t>
      </w:r>
      <w:r w:rsidR="000A3AB4">
        <w:t xml:space="preserve">of </w:t>
      </w:r>
      <w:r w:rsidR="000A3AB4" w:rsidRPr="00146AD3">
        <w:t xml:space="preserve">and </w:t>
      </w:r>
      <w:r w:rsidR="000A3AB4" w:rsidRPr="007C2C08">
        <w:rPr>
          <w:i/>
          <w:iCs/>
        </w:rPr>
        <w:t>notes</w:t>
      </w:r>
      <w:r w:rsidR="000A3AB4">
        <w:t xml:space="preserve"> the </w:t>
      </w:r>
      <w:r w:rsidR="000A3AB4" w:rsidRPr="00146AD3">
        <w:t>discussion</w:t>
      </w:r>
      <w:r w:rsidR="000A3AB4">
        <w:t>s</w:t>
      </w:r>
      <w:r w:rsidR="000A3AB4" w:rsidRPr="00146AD3">
        <w:t xml:space="preserve"> at</w:t>
      </w:r>
      <w:r w:rsidR="000A3AB4">
        <w:t xml:space="preserve"> the third high-level ministerial round table on pre-2030 ambition, held on 18 November 2024;</w:t>
      </w:r>
    </w:p>
    <w:p w14:paraId="6C65D406" w14:textId="0C92F5FF" w:rsidR="000A3AB4" w:rsidRPr="00EA7A02" w:rsidRDefault="00492C76" w:rsidP="00492C76">
      <w:pPr>
        <w:pStyle w:val="RegSingleTxtG"/>
        <w:numPr>
          <w:ilvl w:val="0"/>
          <w:numId w:val="0"/>
        </w:numPr>
        <w:ind w:left="1134"/>
      </w:pPr>
      <w:r w:rsidRPr="00EA7A02">
        <w:t>6.</w:t>
      </w:r>
      <w:r w:rsidRPr="00EA7A02">
        <w:tab/>
      </w:r>
      <w:r w:rsidR="000A3AB4">
        <w:tab/>
      </w:r>
      <w:r w:rsidR="000A3AB4">
        <w:rPr>
          <w:i/>
          <w:iCs/>
        </w:rPr>
        <w:t>Also n</w:t>
      </w:r>
      <w:r w:rsidR="000A3AB4" w:rsidRPr="00681548">
        <w:rPr>
          <w:i/>
          <w:iCs/>
        </w:rPr>
        <w:t>otes</w:t>
      </w:r>
      <w:r w:rsidR="000A3AB4" w:rsidRPr="00EA7A02">
        <w:t xml:space="preserve"> the key findings, opportunities, barriers and actionable solutions summarized in the annual report on the work programme</w:t>
      </w:r>
      <w:r w:rsidR="000A3AB4">
        <w:t xml:space="preserve"> for 2024</w:t>
      </w:r>
      <w:r w:rsidR="000A3AB4" w:rsidRPr="00EA7A02">
        <w:t xml:space="preserve"> on the </w:t>
      </w:r>
      <w:r w:rsidR="000A3AB4" w:rsidRPr="00B41685">
        <w:t xml:space="preserve">topic “Cities: </w:t>
      </w:r>
      <w:r w:rsidR="000A3AB4" w:rsidRPr="00B41685">
        <w:lastRenderedPageBreak/>
        <w:t>buildings and urban systems”</w:t>
      </w:r>
      <w:r w:rsidR="000A3AB4" w:rsidRPr="00EA7A02">
        <w:t>,</w:t>
      </w:r>
      <w:r w:rsidR="000A3AB4">
        <w:rPr>
          <w:rStyle w:val="FootnoteReference"/>
        </w:rPr>
        <w:footnoteReference w:id="10"/>
      </w:r>
      <w:r w:rsidR="000A3AB4" w:rsidRPr="00EA7A02">
        <w:t xml:space="preserve"> recognizing that the</w:t>
      </w:r>
      <w:r w:rsidR="000A3AB4">
        <w:t>y</w:t>
      </w:r>
      <w:r w:rsidR="000A3AB4" w:rsidRPr="00EA7A02">
        <w:t xml:space="preserve"> do not represent an exhaustive summary of all views</w:t>
      </w:r>
      <w:r w:rsidR="000A3AB4">
        <w:t xml:space="preserve"> expressed in this regard and taking into account different national circumstances</w:t>
      </w:r>
      <w:r w:rsidR="000A3AB4" w:rsidRPr="00EA7A02">
        <w:t xml:space="preserve">, </w:t>
      </w:r>
      <w:r w:rsidR="000A3AB4">
        <w:t>including:</w:t>
      </w:r>
    </w:p>
    <w:p w14:paraId="1983DA0D" w14:textId="0F8F6E9B" w:rsidR="000A3AB4" w:rsidRPr="00EA7A02" w:rsidRDefault="00492C76" w:rsidP="00492C76">
      <w:pPr>
        <w:pStyle w:val="RegSingleTxtG2"/>
        <w:numPr>
          <w:ilvl w:val="0"/>
          <w:numId w:val="0"/>
        </w:numPr>
        <w:tabs>
          <w:tab w:val="left" w:pos="1702"/>
        </w:tabs>
        <w:ind w:left="1134" w:firstLine="567"/>
      </w:pPr>
      <w:r w:rsidRPr="00EA7A02">
        <w:rPr>
          <w:szCs w:val="28"/>
        </w:rPr>
        <w:t>(a)</w:t>
      </w:r>
      <w:r w:rsidRPr="00EA7A02">
        <w:rPr>
          <w:szCs w:val="28"/>
        </w:rPr>
        <w:tab/>
      </w:r>
      <w:r w:rsidR="000A3AB4">
        <w:t>I</w:t>
      </w:r>
      <w:r w:rsidR="000A3AB4" w:rsidRPr="00EA7A02">
        <w:t>n relation to reducing operational emissions (</w:t>
      </w:r>
      <w:r w:rsidR="000A3AB4">
        <w:t xml:space="preserve">from </w:t>
      </w:r>
      <w:r w:rsidR="000A3AB4" w:rsidRPr="00EA7A02">
        <w:t>heating, cooling and appliances), designing building envelope</w:t>
      </w:r>
      <w:r w:rsidR="000A3AB4">
        <w:t>s</w:t>
      </w:r>
      <w:r w:rsidR="000A3AB4" w:rsidRPr="00EA7A02">
        <w:t xml:space="preserve"> for </w:t>
      </w:r>
      <w:r w:rsidR="000A3AB4">
        <w:t xml:space="preserve">energy </w:t>
      </w:r>
      <w:r w:rsidR="000A3AB4" w:rsidRPr="00EA7A02">
        <w:t>efficiency (</w:t>
      </w:r>
      <w:r w:rsidR="000A3AB4">
        <w:t xml:space="preserve">for </w:t>
      </w:r>
      <w:r w:rsidR="000A3AB4" w:rsidRPr="00EA7A02">
        <w:t>retrofitting</w:t>
      </w:r>
      <w:r w:rsidR="000A3AB4">
        <w:t xml:space="preserve"> and</w:t>
      </w:r>
      <w:r w:rsidR="000A3AB4" w:rsidRPr="00EA7A02">
        <w:t xml:space="preserve"> new construction), reducing embodied emissions (</w:t>
      </w:r>
      <w:r w:rsidR="000A3AB4">
        <w:t xml:space="preserve">from </w:t>
      </w:r>
      <w:r w:rsidR="000A3AB4" w:rsidRPr="00EA7A02">
        <w:t xml:space="preserve">building materials), spatial planning and low-carbon infrastructure, electrification and switching to </w:t>
      </w:r>
      <w:r w:rsidR="000A3AB4">
        <w:t>clean and low-</w:t>
      </w:r>
      <w:r w:rsidR="000A3AB4" w:rsidRPr="00EA7A02">
        <w:t xml:space="preserve">emission </w:t>
      </w:r>
      <w:r w:rsidR="000A3AB4">
        <w:t>technologies</w:t>
      </w:r>
      <w:r w:rsidR="000A3AB4" w:rsidRPr="00EA7A02">
        <w:t xml:space="preserve">, </w:t>
      </w:r>
      <w:r w:rsidR="000A3AB4">
        <w:t xml:space="preserve">and </w:t>
      </w:r>
      <w:r w:rsidR="000A3AB4" w:rsidRPr="00EA7A02">
        <w:t>enhancing carbon storage through green and blue infrastructure</w:t>
      </w:r>
      <w:r w:rsidR="000A3AB4">
        <w:t>;</w:t>
      </w:r>
    </w:p>
    <w:p w14:paraId="7250DF8A" w14:textId="0D72FE38" w:rsidR="000A3AB4" w:rsidRDefault="00492C76" w:rsidP="00492C76">
      <w:pPr>
        <w:pStyle w:val="RegSingleTxtG2"/>
        <w:numPr>
          <w:ilvl w:val="0"/>
          <w:numId w:val="0"/>
        </w:numPr>
        <w:tabs>
          <w:tab w:val="left" w:pos="1702"/>
        </w:tabs>
        <w:ind w:left="1134" w:firstLine="567"/>
      </w:pPr>
      <w:r>
        <w:rPr>
          <w:szCs w:val="28"/>
        </w:rPr>
        <w:t>(b)</w:t>
      </w:r>
      <w:r>
        <w:rPr>
          <w:szCs w:val="28"/>
        </w:rPr>
        <w:tab/>
      </w:r>
      <w:r w:rsidR="000A3AB4">
        <w:t>T</w:t>
      </w:r>
      <w:r w:rsidR="000A3AB4" w:rsidRPr="00EA7A02">
        <w:t xml:space="preserve">he </w:t>
      </w:r>
      <w:r w:rsidR="000A3AB4">
        <w:t>importance</w:t>
      </w:r>
      <w:r w:rsidR="000A3AB4" w:rsidRPr="00EA7A02">
        <w:t xml:space="preserve"> </w:t>
      </w:r>
      <w:r w:rsidR="000A3AB4">
        <w:t>of</w:t>
      </w:r>
      <w:r w:rsidR="000A3AB4" w:rsidRPr="00EA7A02">
        <w:t xml:space="preserve"> international collaboration and means of implementation</w:t>
      </w:r>
      <w:r w:rsidR="000A3AB4">
        <w:t>,</w:t>
      </w:r>
      <w:r w:rsidR="000A3AB4" w:rsidRPr="00EA7A02">
        <w:t xml:space="preserve"> including finance, technology transfer</w:t>
      </w:r>
      <w:r w:rsidR="000A3AB4">
        <w:t xml:space="preserve">, </w:t>
      </w:r>
      <w:r w:rsidR="000A3AB4" w:rsidRPr="00EA7A02">
        <w:t>capacity-building</w:t>
      </w:r>
      <w:r w:rsidR="000A3AB4">
        <w:t>,</w:t>
      </w:r>
      <w:r w:rsidR="000A3AB4" w:rsidRPr="00EA7A02">
        <w:t xml:space="preserve"> </w:t>
      </w:r>
      <w:r w:rsidR="000A3AB4">
        <w:t>knowledge-sharing and awareness-raising, for</w:t>
      </w:r>
      <w:r w:rsidR="000A3AB4" w:rsidRPr="00EA7A02">
        <w:t xml:space="preserve"> urgently scal</w:t>
      </w:r>
      <w:r w:rsidR="000A3AB4">
        <w:t>ing</w:t>
      </w:r>
      <w:r w:rsidR="000A3AB4" w:rsidRPr="00EA7A02">
        <w:t xml:space="preserve"> up implementation</w:t>
      </w:r>
      <w:r w:rsidR="000A3AB4">
        <w:t xml:space="preserve"> of mitigation actions, particularly in developing countries;</w:t>
      </w:r>
    </w:p>
    <w:p w14:paraId="239CA187" w14:textId="7F1616BB" w:rsidR="000A3AB4" w:rsidRPr="00EA7A02" w:rsidRDefault="00492C76" w:rsidP="00492C76">
      <w:pPr>
        <w:pStyle w:val="RegSingleTxtG2"/>
        <w:numPr>
          <w:ilvl w:val="0"/>
          <w:numId w:val="0"/>
        </w:numPr>
        <w:tabs>
          <w:tab w:val="left" w:pos="1702"/>
        </w:tabs>
        <w:ind w:left="1134" w:firstLine="567"/>
      </w:pPr>
      <w:r w:rsidRPr="00EA7A02">
        <w:rPr>
          <w:szCs w:val="28"/>
        </w:rPr>
        <w:t>(c)</w:t>
      </w:r>
      <w:r w:rsidRPr="00EA7A02">
        <w:rPr>
          <w:szCs w:val="28"/>
        </w:rPr>
        <w:tab/>
      </w:r>
      <w:r w:rsidR="000A3AB4">
        <w:t>T</w:t>
      </w:r>
      <w:r w:rsidR="000A3AB4" w:rsidRPr="00EA7A02">
        <w:t xml:space="preserve">he </w:t>
      </w:r>
      <w:r w:rsidR="000A3AB4">
        <w:t xml:space="preserve">need to </w:t>
      </w:r>
      <w:r w:rsidR="000A3AB4" w:rsidRPr="00EA7A02">
        <w:t xml:space="preserve">tailor solutions to </w:t>
      </w:r>
      <w:r w:rsidR="000A3AB4">
        <w:t xml:space="preserve">sociocultural and economic </w:t>
      </w:r>
      <w:r w:rsidR="000A3AB4" w:rsidRPr="00EA7A02">
        <w:t>contexts</w:t>
      </w:r>
      <w:r w:rsidR="000A3AB4">
        <w:t>, noting that there is no ‘one size fits all’ approach owing to the diversity of national and local circumstances;</w:t>
      </w:r>
    </w:p>
    <w:p w14:paraId="4AED7D34" w14:textId="1998342B" w:rsidR="000A3AB4" w:rsidRDefault="00492C76" w:rsidP="00492C76">
      <w:pPr>
        <w:pStyle w:val="RegSingleTxtG2"/>
        <w:numPr>
          <w:ilvl w:val="0"/>
          <w:numId w:val="0"/>
        </w:numPr>
        <w:tabs>
          <w:tab w:val="left" w:pos="1702"/>
        </w:tabs>
        <w:ind w:left="1134" w:firstLine="567"/>
      </w:pPr>
      <w:r>
        <w:rPr>
          <w:szCs w:val="28"/>
        </w:rPr>
        <w:t>(d)</w:t>
      </w:r>
      <w:r>
        <w:rPr>
          <w:szCs w:val="28"/>
        </w:rPr>
        <w:tab/>
      </w:r>
      <w:r w:rsidR="000A3AB4">
        <w:t>The importance of e</w:t>
      </w:r>
      <w:r w:rsidR="000A3AB4" w:rsidRPr="00EA7A02">
        <w:t>nhancing collaboration between cities, subnational authorities</w:t>
      </w:r>
      <w:r w:rsidR="000A3AB4">
        <w:t>, local communities</w:t>
      </w:r>
      <w:r w:rsidR="000A3AB4" w:rsidRPr="00EA7A02">
        <w:t xml:space="preserve"> </w:t>
      </w:r>
      <w:r w:rsidR="000A3AB4">
        <w:t>and</w:t>
      </w:r>
      <w:r w:rsidR="000A3AB4" w:rsidRPr="00EA7A02">
        <w:t xml:space="preserve"> national </w:t>
      </w:r>
      <w:r w:rsidR="000A3AB4">
        <w:t>G</w:t>
      </w:r>
      <w:r w:rsidR="000A3AB4" w:rsidRPr="00EA7A02">
        <w:t>overnments</w:t>
      </w:r>
      <w:r w:rsidR="000A3AB4" w:rsidRPr="00F2107C">
        <w:t xml:space="preserve"> </w:t>
      </w:r>
      <w:r w:rsidR="000A3AB4">
        <w:t>on developing and implementing mitigation actions;</w:t>
      </w:r>
    </w:p>
    <w:p w14:paraId="13E90078" w14:textId="2CF6F816" w:rsidR="000A3AB4" w:rsidRDefault="00492C76" w:rsidP="00492C76">
      <w:pPr>
        <w:pStyle w:val="RegSingleTxtG2"/>
        <w:numPr>
          <w:ilvl w:val="0"/>
          <w:numId w:val="0"/>
        </w:numPr>
        <w:tabs>
          <w:tab w:val="left" w:pos="1702"/>
        </w:tabs>
        <w:ind w:left="1134" w:firstLine="567"/>
      </w:pPr>
      <w:r>
        <w:rPr>
          <w:szCs w:val="28"/>
        </w:rPr>
        <w:t>(e)</w:t>
      </w:r>
      <w:r>
        <w:rPr>
          <w:szCs w:val="28"/>
        </w:rPr>
        <w:tab/>
      </w:r>
      <w:r w:rsidR="000A3AB4">
        <w:t xml:space="preserve">The importance of </w:t>
      </w:r>
      <w:r w:rsidR="000A3AB4" w:rsidRPr="0040268F">
        <w:t>integrat</w:t>
      </w:r>
      <w:r w:rsidR="000A3AB4">
        <w:t>ing</w:t>
      </w:r>
      <w:r w:rsidR="000A3AB4" w:rsidRPr="0040268F">
        <w:t xml:space="preserve"> climate action into </w:t>
      </w:r>
      <w:r w:rsidR="000A3AB4">
        <w:t xml:space="preserve">work on buildings and urban system planning </w:t>
      </w:r>
      <w:r w:rsidR="000A3AB4" w:rsidRPr="0040268F">
        <w:t>to reduce emissions through long</w:t>
      </w:r>
      <w:r w:rsidR="000A3AB4">
        <w:t>-</w:t>
      </w:r>
      <w:r w:rsidR="000A3AB4" w:rsidRPr="0040268F">
        <w:t xml:space="preserve">term planning </w:t>
      </w:r>
      <w:r w:rsidR="000A3AB4">
        <w:t xml:space="preserve">in the context of </w:t>
      </w:r>
      <w:r w:rsidR="000A3AB4" w:rsidRPr="0040268F">
        <w:t xml:space="preserve">sustainable development and </w:t>
      </w:r>
      <w:r w:rsidR="000A3AB4">
        <w:t>efforts to eradicate poverty and inequality;</w:t>
      </w:r>
    </w:p>
    <w:p w14:paraId="6CC3C77E" w14:textId="58F79409" w:rsidR="000A3AB4" w:rsidRPr="00BF7C81" w:rsidRDefault="00492C76" w:rsidP="00492C76">
      <w:pPr>
        <w:pStyle w:val="RegSingleTxtG"/>
        <w:numPr>
          <w:ilvl w:val="0"/>
          <w:numId w:val="0"/>
        </w:numPr>
        <w:ind w:left="1134"/>
      </w:pPr>
      <w:r w:rsidRPr="00BF7C81">
        <w:t>7.</w:t>
      </w:r>
      <w:r w:rsidRPr="00BF7C81">
        <w:tab/>
      </w:r>
      <w:r w:rsidR="000A3AB4">
        <w:rPr>
          <w:i/>
          <w:iCs/>
        </w:rPr>
        <w:t>Further n</w:t>
      </w:r>
      <w:r w:rsidR="000A3AB4" w:rsidRPr="000533FF">
        <w:rPr>
          <w:i/>
          <w:iCs/>
        </w:rPr>
        <w:t>otes</w:t>
      </w:r>
      <w:r w:rsidR="000A3AB4" w:rsidRPr="000533FF">
        <w:t xml:space="preserve"> that </w:t>
      </w:r>
      <w:r w:rsidR="000A3AB4">
        <w:t>addressing</w:t>
      </w:r>
      <w:r w:rsidR="000A3AB4" w:rsidRPr="000533FF">
        <w:t xml:space="preserve"> the key findings, </w:t>
      </w:r>
      <w:r w:rsidR="000A3AB4">
        <w:t xml:space="preserve">leveraging the </w:t>
      </w:r>
      <w:r w:rsidR="000A3AB4" w:rsidRPr="000533FF">
        <w:t>opportunities</w:t>
      </w:r>
      <w:r w:rsidR="000A3AB4">
        <w:t>,</w:t>
      </w:r>
      <w:r w:rsidR="000A3AB4" w:rsidRPr="000533FF">
        <w:t xml:space="preserve"> overcoming </w:t>
      </w:r>
      <w:r w:rsidR="000A3AB4">
        <w:t xml:space="preserve">the </w:t>
      </w:r>
      <w:r w:rsidR="000A3AB4" w:rsidRPr="000533FF">
        <w:t xml:space="preserve">barriers and </w:t>
      </w:r>
      <w:r w:rsidR="000A3AB4">
        <w:t>considering the</w:t>
      </w:r>
      <w:r w:rsidR="000A3AB4" w:rsidRPr="000533FF">
        <w:t xml:space="preserve"> actionable solutions</w:t>
      </w:r>
      <w:r w:rsidR="000A3AB4">
        <w:t xml:space="preserve"> </w:t>
      </w:r>
      <w:r w:rsidR="000A3AB4" w:rsidRPr="000533FF">
        <w:t xml:space="preserve">referred to in paragraph </w:t>
      </w:r>
      <w:r w:rsidR="000A3AB4">
        <w:rPr>
          <w:cs/>
        </w:rPr>
        <w:t>‎</w:t>
      </w:r>
      <w:r w:rsidR="000A3AB4">
        <w:t>6</w:t>
      </w:r>
      <w:r w:rsidR="000A3AB4" w:rsidRPr="000533FF">
        <w:t xml:space="preserve"> above </w:t>
      </w:r>
      <w:r w:rsidR="000A3AB4">
        <w:t>is voluntary and can be enabled by</w:t>
      </w:r>
      <w:r w:rsidR="000A3AB4" w:rsidRPr="000533FF">
        <w:t xml:space="preserve"> country-specific </w:t>
      </w:r>
      <w:r w:rsidR="000A3AB4">
        <w:t>action in the light of different national circumstances,</w:t>
      </w:r>
      <w:r w:rsidR="000A3AB4" w:rsidRPr="000533FF">
        <w:t xml:space="preserve"> international cooperation and the </w:t>
      </w:r>
      <w:r w:rsidR="000A3AB4">
        <w:t>mobilization</w:t>
      </w:r>
      <w:r w:rsidR="000A3AB4" w:rsidRPr="000533FF">
        <w:t xml:space="preserve"> of financ</w:t>
      </w:r>
      <w:r w:rsidR="000A3AB4">
        <w:t>ial</w:t>
      </w:r>
      <w:r w:rsidR="000A3AB4" w:rsidRPr="000533FF">
        <w:t xml:space="preserve">, technology and capacity-building </w:t>
      </w:r>
      <w:r w:rsidR="000A3AB4">
        <w:t>support to</w:t>
      </w:r>
      <w:r w:rsidR="000A3AB4" w:rsidRPr="000533FF">
        <w:t xml:space="preserve"> developing countries</w:t>
      </w:r>
      <w:r w:rsidR="000A3AB4">
        <w:t>;</w:t>
      </w:r>
    </w:p>
    <w:p w14:paraId="2DC92D0D" w14:textId="02502DBE" w:rsidR="000A3AB4" w:rsidRPr="009F5BF4" w:rsidRDefault="00492C76" w:rsidP="00492C76">
      <w:pPr>
        <w:pStyle w:val="RegSingleTxtG"/>
        <w:numPr>
          <w:ilvl w:val="0"/>
          <w:numId w:val="0"/>
        </w:numPr>
        <w:ind w:left="1134"/>
      </w:pPr>
      <w:r w:rsidRPr="009F5BF4">
        <w:t>8.</w:t>
      </w:r>
      <w:r w:rsidRPr="009F5BF4">
        <w:tab/>
      </w:r>
      <w:r w:rsidR="000A3AB4" w:rsidRPr="00556568">
        <w:rPr>
          <w:i/>
          <w:iCs/>
        </w:rPr>
        <w:t>Recalls</w:t>
      </w:r>
      <w:r w:rsidR="000A3AB4" w:rsidRPr="00556568">
        <w:t xml:space="preserve"> </w:t>
      </w:r>
      <w:r w:rsidR="000A3AB4" w:rsidRPr="009F5BF4">
        <w:t>paragraph 13</w:t>
      </w:r>
      <w:r w:rsidR="000A3AB4">
        <w:t xml:space="preserve"> of </w:t>
      </w:r>
      <w:r w:rsidR="000A3AB4" w:rsidRPr="009F5BF4">
        <w:t xml:space="preserve">decision </w:t>
      </w:r>
      <w:hyperlink r:id="rId31" w:history="1">
        <w:r w:rsidR="000A3AB4" w:rsidRPr="00514C67">
          <w:rPr>
            <w:rStyle w:val="Hyperlink"/>
          </w:rPr>
          <w:t>4/CMA.4</w:t>
        </w:r>
      </w:hyperlink>
      <w:r w:rsidR="000A3AB4" w:rsidRPr="009F5BF4">
        <w:t xml:space="preserve"> </w:t>
      </w:r>
      <w:r w:rsidR="000A3AB4">
        <w:t xml:space="preserve">and paragraph 8 of </w:t>
      </w:r>
      <w:r w:rsidR="000A3AB4" w:rsidRPr="00556568">
        <w:t xml:space="preserve">decision </w:t>
      </w:r>
      <w:hyperlink r:id="rId32" w:history="1">
        <w:r w:rsidR="000A3AB4" w:rsidRPr="00514C67">
          <w:rPr>
            <w:rStyle w:val="Hyperlink"/>
          </w:rPr>
          <w:t>4/CMA.5</w:t>
        </w:r>
      </w:hyperlink>
      <w:r w:rsidR="000A3AB4" w:rsidRPr="00556568">
        <w:t xml:space="preserve">, </w:t>
      </w:r>
      <w:r w:rsidR="000A3AB4" w:rsidRPr="009F5BF4">
        <w:t xml:space="preserve">in which it was decided that the co-chairs of the work programme, considering the submissions referred to in paragraph </w:t>
      </w:r>
      <w:r w:rsidR="000A3AB4">
        <w:t>9</w:t>
      </w:r>
      <w:r w:rsidR="000A3AB4" w:rsidRPr="009F5BF4">
        <w:t xml:space="preserve"> </w:t>
      </w:r>
      <w:r w:rsidR="000A3AB4">
        <w:t>below</w:t>
      </w:r>
      <w:r w:rsidR="000A3AB4" w:rsidRPr="009F5BF4">
        <w:t>, will decide on and communicate by 1 March 202</w:t>
      </w:r>
      <w:r w:rsidR="000A3AB4">
        <w:t>5</w:t>
      </w:r>
      <w:r w:rsidR="000A3AB4" w:rsidRPr="009F5BF4">
        <w:t xml:space="preserve"> the topics to be discussed at each dialogue in 202</w:t>
      </w:r>
      <w:r w:rsidR="000A3AB4">
        <w:t>5</w:t>
      </w:r>
      <w:r w:rsidR="000A3AB4" w:rsidRPr="009F5BF4">
        <w:t xml:space="preserve">, noting that successive global dialogues should cover different topics; </w:t>
      </w:r>
    </w:p>
    <w:p w14:paraId="19D2245E" w14:textId="60A703F8" w:rsidR="000A3AB4" w:rsidRDefault="00492C76" w:rsidP="00492C76">
      <w:pPr>
        <w:pStyle w:val="RegSingleTxtG"/>
        <w:numPr>
          <w:ilvl w:val="0"/>
          <w:numId w:val="0"/>
        </w:numPr>
        <w:ind w:left="1134"/>
      </w:pPr>
      <w:r>
        <w:t>9.</w:t>
      </w:r>
      <w:r>
        <w:tab/>
      </w:r>
      <w:r w:rsidR="000A3AB4">
        <w:rPr>
          <w:i/>
          <w:iCs/>
        </w:rPr>
        <w:t>Also recalls</w:t>
      </w:r>
      <w:r w:rsidR="000A3AB4" w:rsidRPr="002B40D1">
        <w:t xml:space="preserve"> </w:t>
      </w:r>
      <w:r w:rsidR="000A3AB4">
        <w:t xml:space="preserve">paragraph 12 of </w:t>
      </w:r>
      <w:r w:rsidR="000A3AB4" w:rsidRPr="002B40D1">
        <w:t xml:space="preserve">decision </w:t>
      </w:r>
      <w:hyperlink r:id="rId33" w:history="1">
        <w:r w:rsidR="000A3AB4" w:rsidRPr="00514C67">
          <w:rPr>
            <w:rStyle w:val="Hyperlink"/>
          </w:rPr>
          <w:t>4/CMA.4</w:t>
        </w:r>
      </w:hyperlink>
      <w:r w:rsidR="000A3AB4" w:rsidRPr="002B40D1">
        <w:t xml:space="preserve"> and </w:t>
      </w:r>
      <w:r w:rsidR="000A3AB4">
        <w:rPr>
          <w:i/>
          <w:iCs/>
        </w:rPr>
        <w:t>e</w:t>
      </w:r>
      <w:r w:rsidR="000A3AB4" w:rsidRPr="00D148A0">
        <w:rPr>
          <w:i/>
          <w:iCs/>
        </w:rPr>
        <w:t>ncourages</w:t>
      </w:r>
      <w:r w:rsidR="000A3AB4" w:rsidRPr="009128A8">
        <w:t xml:space="preserve"> Parties, observers and other stakeholders to submit via the submission portal</w:t>
      </w:r>
      <w:r w:rsidR="000A3AB4" w:rsidRPr="009128A8">
        <w:rPr>
          <w:rStyle w:val="FootnoteReference"/>
          <w:rFonts w:eastAsia="DengXian"/>
          <w:szCs w:val="22"/>
        </w:rPr>
        <w:footnoteReference w:id="11"/>
      </w:r>
      <w:r w:rsidR="000A3AB4" w:rsidRPr="009128A8">
        <w:t xml:space="preserve"> by 1 February </w:t>
      </w:r>
      <w:r w:rsidR="000A3AB4">
        <w:t>2025</w:t>
      </w:r>
      <w:r w:rsidR="000A3AB4" w:rsidRPr="009128A8">
        <w:t xml:space="preserve"> suggested topics in line with the scope of the work programme to be discussed at the global dialogues in 202</w:t>
      </w:r>
      <w:r w:rsidR="000A3AB4">
        <w:t>5;</w:t>
      </w:r>
    </w:p>
    <w:p w14:paraId="2DC9D90E" w14:textId="5FE49EA5" w:rsidR="000A3AB4" w:rsidRDefault="00492C76" w:rsidP="00492C76">
      <w:pPr>
        <w:pStyle w:val="RegSingleTxtG"/>
        <w:numPr>
          <w:ilvl w:val="0"/>
          <w:numId w:val="0"/>
        </w:numPr>
        <w:ind w:left="1134"/>
      </w:pPr>
      <w:r>
        <w:t>10.</w:t>
      </w:r>
      <w:r>
        <w:tab/>
      </w:r>
      <w:r w:rsidR="009E0D12">
        <w:rPr>
          <w:i/>
          <w:iCs/>
        </w:rPr>
        <w:t>R</w:t>
      </w:r>
      <w:r w:rsidR="000A3AB4" w:rsidRPr="00EA7A02">
        <w:rPr>
          <w:i/>
          <w:iCs/>
        </w:rPr>
        <w:t>ecalls</w:t>
      </w:r>
      <w:r w:rsidR="000A3AB4" w:rsidRPr="00EA7A02">
        <w:t xml:space="preserve"> </w:t>
      </w:r>
      <w:r w:rsidR="000A3AB4">
        <w:t xml:space="preserve">paragraph 14 of </w:t>
      </w:r>
      <w:r w:rsidR="000A3AB4" w:rsidRPr="00EA7A02">
        <w:t xml:space="preserve">decision </w:t>
      </w:r>
      <w:hyperlink r:id="rId34" w:history="1">
        <w:r w:rsidR="000A3AB4" w:rsidRPr="00514C67">
          <w:rPr>
            <w:rStyle w:val="Hyperlink"/>
          </w:rPr>
          <w:t>4/CMA.4</w:t>
        </w:r>
      </w:hyperlink>
      <w:r w:rsidR="000A3AB4">
        <w:t xml:space="preserve"> and paragraph 9 of </w:t>
      </w:r>
      <w:r w:rsidR="000A3AB4" w:rsidRPr="00EA7A02">
        <w:t xml:space="preserve">decision </w:t>
      </w:r>
      <w:hyperlink r:id="rId35" w:history="1">
        <w:r w:rsidR="000A3AB4" w:rsidRPr="00514C67">
          <w:rPr>
            <w:rStyle w:val="Hyperlink"/>
          </w:rPr>
          <w:t>4/CMA.5</w:t>
        </w:r>
      </w:hyperlink>
      <w:r w:rsidR="000A3AB4" w:rsidRPr="00EA7A02">
        <w:t xml:space="preserve"> and </w:t>
      </w:r>
      <w:r w:rsidR="000A3AB4" w:rsidRPr="00EA7A02">
        <w:rPr>
          <w:i/>
          <w:iCs/>
        </w:rPr>
        <w:t>encourages</w:t>
      </w:r>
      <w:r w:rsidR="000A3AB4" w:rsidRPr="00EA7A02">
        <w:t xml:space="preserve"> Parties, observers and other stakeholders to submit views on opportunities, best practices, actionable solutions, challenges </w:t>
      </w:r>
      <w:r w:rsidR="000A3AB4" w:rsidRPr="00C34692">
        <w:t>and barriers relevant to the topic of each dialogue under the work programme via the submission portal four weeks before each dialogue, noting that the submissions may include information on</w:t>
      </w:r>
      <w:r w:rsidR="000A3AB4">
        <w:t>:</w:t>
      </w:r>
      <w:r w:rsidR="000A3AB4" w:rsidRPr="00C34692">
        <w:t xml:space="preserve"> </w:t>
      </w:r>
    </w:p>
    <w:p w14:paraId="3398BCB0" w14:textId="6E6CD2EC" w:rsidR="000A3AB4" w:rsidRDefault="00492C76" w:rsidP="00492C76">
      <w:pPr>
        <w:pStyle w:val="RegSingleTxtG2"/>
        <w:numPr>
          <w:ilvl w:val="0"/>
          <w:numId w:val="0"/>
        </w:numPr>
        <w:tabs>
          <w:tab w:val="left" w:pos="1702"/>
        </w:tabs>
        <w:ind w:left="1134" w:firstLine="567"/>
      </w:pPr>
      <w:r>
        <w:rPr>
          <w:szCs w:val="28"/>
        </w:rPr>
        <w:t>(a)</w:t>
      </w:r>
      <w:r>
        <w:rPr>
          <w:szCs w:val="28"/>
        </w:rPr>
        <w:tab/>
      </w:r>
      <w:r w:rsidR="000A3AB4">
        <w:t xml:space="preserve">The </w:t>
      </w:r>
      <w:r w:rsidR="000A3AB4" w:rsidRPr="00C34692">
        <w:t>experts, potential financiers</w:t>
      </w:r>
      <w:r w:rsidR="000A3AB4">
        <w:t xml:space="preserve"> and</w:t>
      </w:r>
      <w:r w:rsidR="000A3AB4" w:rsidRPr="00C34692">
        <w:t xml:space="preserve"> investors</w:t>
      </w:r>
      <w:r w:rsidR="000A3AB4">
        <w:t xml:space="preserve"> </w:t>
      </w:r>
      <w:r w:rsidR="000A3AB4" w:rsidRPr="00C34692">
        <w:t xml:space="preserve">to be invited to </w:t>
      </w:r>
      <w:r w:rsidR="000A3AB4">
        <w:t xml:space="preserve">participate in </w:t>
      </w:r>
      <w:r w:rsidR="000A3AB4" w:rsidRPr="00C34692">
        <w:t>the global dialogue</w:t>
      </w:r>
      <w:r w:rsidR="000A3AB4">
        <w:t>s</w:t>
      </w:r>
      <w:r w:rsidR="000A3AB4" w:rsidRPr="00C34692">
        <w:t xml:space="preserve"> and investment-focused events</w:t>
      </w:r>
      <w:r w:rsidR="000A3AB4">
        <w:t>;</w:t>
      </w:r>
    </w:p>
    <w:p w14:paraId="058B742C" w14:textId="23C2420E" w:rsidR="000A3AB4" w:rsidRPr="00EA7A02" w:rsidRDefault="00492C76" w:rsidP="00492C76">
      <w:pPr>
        <w:pStyle w:val="RegSingleTxtG2"/>
        <w:numPr>
          <w:ilvl w:val="0"/>
          <w:numId w:val="0"/>
        </w:numPr>
        <w:tabs>
          <w:tab w:val="left" w:pos="1702"/>
        </w:tabs>
        <w:ind w:left="1134" w:firstLine="567"/>
      </w:pPr>
      <w:r w:rsidRPr="00EA7A02">
        <w:rPr>
          <w:szCs w:val="28"/>
        </w:rPr>
        <w:t>(b)</w:t>
      </w:r>
      <w:r w:rsidRPr="00EA7A02">
        <w:rPr>
          <w:szCs w:val="28"/>
        </w:rPr>
        <w:tab/>
      </w:r>
      <w:r w:rsidR="000A3AB4">
        <w:t>The</w:t>
      </w:r>
      <w:r w:rsidR="000A3AB4" w:rsidRPr="00EA7A02">
        <w:t xml:space="preserve"> specific needs and circumstances of </w:t>
      </w:r>
      <w:r w:rsidR="000A3AB4" w:rsidRPr="00DB397D">
        <w:t>developing country Parties, especially those that are particularly vulnerable to the adverse effects of climate change, as provided for in the Convention and the Paris Agreement</w:t>
      </w:r>
      <w:r w:rsidR="000A3AB4">
        <w:t>;</w:t>
      </w:r>
    </w:p>
    <w:p w14:paraId="51F4735B" w14:textId="720279D6" w:rsidR="000A3AB4" w:rsidRDefault="00492C76" w:rsidP="00492C76">
      <w:pPr>
        <w:pStyle w:val="RegSingleTxtG"/>
        <w:numPr>
          <w:ilvl w:val="0"/>
          <w:numId w:val="0"/>
        </w:numPr>
        <w:ind w:left="1134"/>
      </w:pPr>
      <w:bookmarkStart w:id="13" w:name="_Ref182862090"/>
      <w:r>
        <w:t>11.</w:t>
      </w:r>
      <w:r>
        <w:tab/>
      </w:r>
      <w:r w:rsidR="000A3AB4" w:rsidRPr="00103C1A">
        <w:rPr>
          <w:i/>
          <w:iCs/>
        </w:rPr>
        <w:t>Requests</w:t>
      </w:r>
      <w:r w:rsidR="000A3AB4" w:rsidRPr="0048239F">
        <w:t xml:space="preserve"> the secretariat to organize, under the guidance of the co-chairs of the work programme, future global dialogues and investment-focused events </w:t>
      </w:r>
      <w:r w:rsidR="000A3AB4">
        <w:t xml:space="preserve">under the work programme </w:t>
      </w:r>
      <w:r w:rsidR="000A3AB4" w:rsidRPr="00EA7A02">
        <w:t xml:space="preserve">in </w:t>
      </w:r>
      <w:r w:rsidR="000A3AB4">
        <w:t xml:space="preserve">such </w:t>
      </w:r>
      <w:r w:rsidR="000A3AB4" w:rsidRPr="0048239F">
        <w:t xml:space="preserve">a manner </w:t>
      </w:r>
      <w:r w:rsidR="000A3AB4">
        <w:t>as to</w:t>
      </w:r>
      <w:r w:rsidR="000A3AB4" w:rsidRPr="00EA7A02">
        <w:t>:</w:t>
      </w:r>
      <w:bookmarkEnd w:id="13"/>
      <w:r w:rsidR="000A3AB4">
        <w:t xml:space="preserve"> </w:t>
      </w:r>
    </w:p>
    <w:p w14:paraId="29FA4CD1" w14:textId="3FAD2F75" w:rsidR="000A3AB4" w:rsidRDefault="00492C76" w:rsidP="00492C76">
      <w:pPr>
        <w:pStyle w:val="RegSingleTxtG2"/>
        <w:numPr>
          <w:ilvl w:val="0"/>
          <w:numId w:val="0"/>
        </w:numPr>
        <w:tabs>
          <w:tab w:val="left" w:pos="1702"/>
        </w:tabs>
        <w:ind w:left="1134" w:firstLine="567"/>
      </w:pPr>
      <w:r>
        <w:rPr>
          <w:szCs w:val="28"/>
        </w:rPr>
        <w:t>(a)</w:t>
      </w:r>
      <w:r>
        <w:rPr>
          <w:szCs w:val="28"/>
        </w:rPr>
        <w:tab/>
      </w:r>
      <w:r w:rsidR="000A3AB4">
        <w:t>E</w:t>
      </w:r>
      <w:r w:rsidR="000A3AB4" w:rsidRPr="006F00B2">
        <w:t xml:space="preserve">nhance </w:t>
      </w:r>
      <w:r w:rsidR="000A3AB4" w:rsidRPr="00BD790D">
        <w:t>regional and gender balance among invited experts</w:t>
      </w:r>
      <w:r w:rsidR="000A3AB4">
        <w:t>;</w:t>
      </w:r>
    </w:p>
    <w:p w14:paraId="0261B0D7" w14:textId="27E963FA" w:rsidR="000A3AB4" w:rsidRDefault="00492C76" w:rsidP="00492C76">
      <w:pPr>
        <w:pStyle w:val="RegSingleTxtG2"/>
        <w:numPr>
          <w:ilvl w:val="0"/>
          <w:numId w:val="0"/>
        </w:numPr>
        <w:tabs>
          <w:tab w:val="left" w:pos="1702"/>
        </w:tabs>
        <w:ind w:left="1134" w:firstLine="567"/>
      </w:pPr>
      <w:r>
        <w:rPr>
          <w:szCs w:val="28"/>
        </w:rPr>
        <w:lastRenderedPageBreak/>
        <w:t>(b)</w:t>
      </w:r>
      <w:r>
        <w:rPr>
          <w:szCs w:val="28"/>
        </w:rPr>
        <w:tab/>
      </w:r>
      <w:r w:rsidR="000A3AB4">
        <w:t xml:space="preserve">Increase </w:t>
      </w:r>
      <w:r w:rsidR="000A3AB4" w:rsidRPr="00225618">
        <w:t>the number of participants from each Party, particularly from developing country Parties</w:t>
      </w:r>
      <w:r w:rsidR="000A3AB4">
        <w:t>,</w:t>
      </w:r>
      <w:r w:rsidR="000A3AB4" w:rsidRPr="001276D8">
        <w:t xml:space="preserve"> </w:t>
      </w:r>
      <w:r w:rsidR="000A3AB4">
        <w:t>including by expanding virtual participation opportunities</w:t>
      </w:r>
      <w:r w:rsidR="000A3AB4" w:rsidRPr="00EA7A02">
        <w:t>;</w:t>
      </w:r>
    </w:p>
    <w:p w14:paraId="78C9E372" w14:textId="0F0402BA" w:rsidR="000A3AB4" w:rsidRDefault="00492C76" w:rsidP="00492C76">
      <w:pPr>
        <w:pStyle w:val="RegSingleTxtG2"/>
        <w:numPr>
          <w:ilvl w:val="0"/>
          <w:numId w:val="0"/>
        </w:numPr>
        <w:tabs>
          <w:tab w:val="left" w:pos="1702"/>
        </w:tabs>
        <w:ind w:left="1134" w:firstLine="567"/>
      </w:pPr>
      <w:r>
        <w:rPr>
          <w:szCs w:val="28"/>
        </w:rPr>
        <w:t>(c)</w:t>
      </w:r>
      <w:r>
        <w:rPr>
          <w:szCs w:val="28"/>
        </w:rPr>
        <w:tab/>
      </w:r>
      <w:r w:rsidR="000A3AB4">
        <w:t xml:space="preserve">Enable Parties to contribute to determining the agenda, subtopics and guiding questions for the dialogues and events with a view to enhancing transparency; </w:t>
      </w:r>
    </w:p>
    <w:p w14:paraId="74278739" w14:textId="6C4ADCC2" w:rsidR="000A3AB4" w:rsidRDefault="00492C76" w:rsidP="00492C76">
      <w:pPr>
        <w:pStyle w:val="RegSingleTxtG2"/>
        <w:numPr>
          <w:ilvl w:val="0"/>
          <w:numId w:val="0"/>
        </w:numPr>
        <w:tabs>
          <w:tab w:val="left" w:pos="1702"/>
        </w:tabs>
        <w:ind w:left="1134" w:firstLine="567"/>
      </w:pPr>
      <w:r>
        <w:rPr>
          <w:szCs w:val="28"/>
        </w:rPr>
        <w:t>(d)</w:t>
      </w:r>
      <w:r>
        <w:rPr>
          <w:szCs w:val="28"/>
        </w:rPr>
        <w:tab/>
      </w:r>
      <w:r w:rsidR="000A3AB4">
        <w:t>Enhance the</w:t>
      </w:r>
      <w:r w:rsidR="000A3AB4" w:rsidRPr="00EA7A02">
        <w:t xml:space="preserve"> matchmaking</w:t>
      </w:r>
      <w:r w:rsidR="000A3AB4" w:rsidRPr="00652BC2">
        <w:t xml:space="preserve"> function to </w:t>
      </w:r>
      <w:r w:rsidR="000A3AB4" w:rsidRPr="00EA7A02">
        <w:t>assist</w:t>
      </w:r>
      <w:r w:rsidR="000A3AB4" w:rsidRPr="00652BC2">
        <w:t xml:space="preserve"> Parties </w:t>
      </w:r>
      <w:r w:rsidR="000A3AB4">
        <w:t>in</w:t>
      </w:r>
      <w:r w:rsidR="000A3AB4" w:rsidRPr="00EA7A02">
        <w:t xml:space="preserve"> access</w:t>
      </w:r>
      <w:r w:rsidR="000A3AB4">
        <w:t>ing</w:t>
      </w:r>
      <w:r w:rsidR="000A3AB4" w:rsidRPr="00EA7A02">
        <w:t xml:space="preserve"> finance</w:t>
      </w:r>
      <w:r w:rsidR="000A3AB4">
        <w:t xml:space="preserve">, including investment, </w:t>
      </w:r>
      <w:r w:rsidR="000A3AB4" w:rsidRPr="008C4E0F">
        <w:t>grants and concessional loans</w:t>
      </w:r>
      <w:r w:rsidR="000A3AB4" w:rsidRPr="00EA7A02">
        <w:t>;</w:t>
      </w:r>
    </w:p>
    <w:p w14:paraId="2B7B7B63" w14:textId="41FEF006" w:rsidR="000A3AB4" w:rsidRDefault="00492C76" w:rsidP="00492C76">
      <w:pPr>
        <w:pStyle w:val="RegSingleTxtG2"/>
        <w:numPr>
          <w:ilvl w:val="0"/>
          <w:numId w:val="0"/>
        </w:numPr>
        <w:tabs>
          <w:tab w:val="left" w:pos="1702"/>
        </w:tabs>
        <w:ind w:left="1134" w:firstLine="567"/>
      </w:pPr>
      <w:r>
        <w:rPr>
          <w:szCs w:val="28"/>
        </w:rPr>
        <w:t>(e)</w:t>
      </w:r>
      <w:r>
        <w:rPr>
          <w:szCs w:val="28"/>
        </w:rPr>
        <w:tab/>
      </w:r>
      <w:r w:rsidR="000A3AB4">
        <w:t>Enhance understanding of regional perspectives;</w:t>
      </w:r>
    </w:p>
    <w:p w14:paraId="3B394B2C" w14:textId="2AE583D3" w:rsidR="000A3AB4" w:rsidRDefault="00492C76" w:rsidP="00492C76">
      <w:pPr>
        <w:pStyle w:val="RegSingleTxtG"/>
        <w:numPr>
          <w:ilvl w:val="0"/>
          <w:numId w:val="0"/>
        </w:numPr>
        <w:ind w:left="1134"/>
      </w:pPr>
      <w:r>
        <w:t>12.</w:t>
      </w:r>
      <w:r>
        <w:tab/>
      </w:r>
      <w:r w:rsidR="000A3AB4" w:rsidRPr="00EA7A02">
        <w:rPr>
          <w:i/>
          <w:iCs/>
        </w:rPr>
        <w:t>Recalls</w:t>
      </w:r>
      <w:r w:rsidR="000A3AB4" w:rsidRPr="00EA7A02">
        <w:t xml:space="preserve"> </w:t>
      </w:r>
      <w:r w:rsidR="000A3AB4">
        <w:t xml:space="preserve">paragraph 9 of </w:t>
      </w:r>
      <w:r w:rsidR="000A3AB4" w:rsidRPr="00EA7A02">
        <w:t xml:space="preserve">decision </w:t>
      </w:r>
      <w:hyperlink r:id="rId36" w:history="1">
        <w:r w:rsidR="000A3AB4" w:rsidRPr="00514C67">
          <w:rPr>
            <w:rStyle w:val="Hyperlink"/>
          </w:rPr>
          <w:t>4/CMA.4</w:t>
        </w:r>
      </w:hyperlink>
      <w:r w:rsidR="000A3AB4" w:rsidRPr="00EA7A02">
        <w:t>, in which it was decided that other in-person or hybrid dialogues may be held each year in conjunction with existing events, such as the regional climate weeks, at the discretion of the co-chairs of the work programme with a view to ensuring inclusive and balanced geographical representation at the dialogues;</w:t>
      </w:r>
    </w:p>
    <w:p w14:paraId="2005B865" w14:textId="0DD0623A" w:rsidR="000A3AB4" w:rsidRDefault="00492C76" w:rsidP="00492C76">
      <w:pPr>
        <w:pStyle w:val="RegSingleTxtG"/>
        <w:numPr>
          <w:ilvl w:val="0"/>
          <w:numId w:val="0"/>
        </w:numPr>
        <w:ind w:left="1134"/>
      </w:pPr>
      <w:bookmarkStart w:id="14" w:name="_Ref182859157"/>
      <w:r>
        <w:t>13.</w:t>
      </w:r>
      <w:r>
        <w:tab/>
      </w:r>
      <w:r w:rsidR="000A3AB4">
        <w:rPr>
          <w:i/>
          <w:iCs/>
        </w:rPr>
        <w:t>Notes</w:t>
      </w:r>
      <w:r w:rsidR="000A3AB4">
        <w:t xml:space="preserve"> the discussion at this session regarding the creation of a digital platform to facilitate implementation of mitigation actions by enhancing collaboration between </w:t>
      </w:r>
      <w:r w:rsidR="000A3AB4" w:rsidRPr="00EA7A02">
        <w:t>governments</w:t>
      </w:r>
      <w:r w:rsidR="000A3AB4">
        <w:t>,</w:t>
      </w:r>
      <w:r w:rsidR="000A3AB4" w:rsidRPr="00EA7A02">
        <w:t xml:space="preserve"> </w:t>
      </w:r>
      <w:r w:rsidR="000A3AB4">
        <w:t xml:space="preserve">financiers and other stakeholders on developing investable projects </w:t>
      </w:r>
      <w:r w:rsidR="000A3AB4" w:rsidRPr="000A00DC">
        <w:t>in a country-owned and nationally determined manner</w:t>
      </w:r>
      <w:r w:rsidR="000A3AB4" w:rsidRPr="00EA7A02">
        <w:t>;</w:t>
      </w:r>
      <w:bookmarkEnd w:id="14"/>
    </w:p>
    <w:p w14:paraId="167FB344" w14:textId="228364E8" w:rsidR="000A3AB4" w:rsidRDefault="00492C76" w:rsidP="00492C76">
      <w:pPr>
        <w:pStyle w:val="RegSingleTxtG"/>
        <w:numPr>
          <w:ilvl w:val="0"/>
          <w:numId w:val="0"/>
        </w:numPr>
        <w:ind w:left="1134"/>
      </w:pPr>
      <w:bookmarkStart w:id="15" w:name="_Ref182859211"/>
      <w:r>
        <w:t>14.</w:t>
      </w:r>
      <w:r>
        <w:tab/>
      </w:r>
      <w:r w:rsidR="000A3AB4" w:rsidRPr="00EF6D4E">
        <w:rPr>
          <w:i/>
          <w:iCs/>
        </w:rPr>
        <w:t>Invites</w:t>
      </w:r>
      <w:r w:rsidR="000A3AB4">
        <w:t xml:space="preserve"> Parties, observers and other stakeholders to submit via the submission portal by 1 May 2025 views on the design and features of the platform referred to in paragraph </w:t>
      </w:r>
      <w:r w:rsidR="000A3AB4">
        <w:rPr>
          <w:cs/>
        </w:rPr>
        <w:t>‎</w:t>
      </w:r>
      <w:r w:rsidR="000A3AB4">
        <w:t>13 above</w:t>
      </w:r>
      <w:bookmarkEnd w:id="15"/>
      <w:r w:rsidR="000A3AB4">
        <w:t xml:space="preserve"> with a view to an exchange of views on the platform taking place at the sixty-second sessions of the subsidiary bodies (June 2025); </w:t>
      </w:r>
    </w:p>
    <w:p w14:paraId="0A1E9B84" w14:textId="77160324" w:rsidR="001F2682" w:rsidRDefault="00492C76" w:rsidP="00492C76">
      <w:pPr>
        <w:pStyle w:val="RegSingleTxtG"/>
        <w:numPr>
          <w:ilvl w:val="0"/>
          <w:numId w:val="0"/>
        </w:numPr>
        <w:ind w:left="1134"/>
      </w:pPr>
      <w:r>
        <w:t>15.</w:t>
      </w:r>
      <w:r>
        <w:tab/>
      </w:r>
      <w:r w:rsidR="000A3AB4" w:rsidRPr="009527E2">
        <w:rPr>
          <w:i/>
          <w:iCs/>
        </w:rPr>
        <w:t>Takes note</w:t>
      </w:r>
      <w:r w:rsidR="000A3AB4" w:rsidRPr="009527E2">
        <w:t xml:space="preserve"> of the estimated budgetary implications of the activities to be undertaken by the secretariat referred to in paragraph</w:t>
      </w:r>
      <w:r w:rsidR="000A3AB4">
        <w:t xml:space="preserve"> </w:t>
      </w:r>
      <w:r w:rsidR="000A3AB4">
        <w:rPr>
          <w:cs/>
        </w:rPr>
        <w:t>‎</w:t>
      </w:r>
      <w:r w:rsidR="000A3AB4">
        <w:t xml:space="preserve">11 </w:t>
      </w:r>
      <w:r w:rsidR="000A3AB4" w:rsidRPr="009527E2">
        <w:t>above</w:t>
      </w:r>
      <w:r w:rsidR="000A3AB4">
        <w:t>;</w:t>
      </w:r>
    </w:p>
    <w:p w14:paraId="220E795C" w14:textId="32B8D026" w:rsidR="000A3AB4" w:rsidRDefault="00492C76" w:rsidP="00492C76">
      <w:pPr>
        <w:pStyle w:val="RegSingleTxtG"/>
        <w:numPr>
          <w:ilvl w:val="0"/>
          <w:numId w:val="0"/>
        </w:numPr>
        <w:ind w:left="1134"/>
      </w:pPr>
      <w:r>
        <w:t>16.</w:t>
      </w:r>
      <w:r>
        <w:tab/>
      </w:r>
      <w:r w:rsidR="000A3AB4" w:rsidRPr="001F2682">
        <w:rPr>
          <w:i/>
          <w:iCs/>
        </w:rPr>
        <w:t>Requests</w:t>
      </w:r>
      <w:r w:rsidR="000A3AB4" w:rsidRPr="00242F8A">
        <w:t xml:space="preserve"> that the actions of the secretariat called for in this decision be undertaken subject to the availability of financial resources</w:t>
      </w:r>
      <w:r w:rsidR="000A3AB4">
        <w:t>.</w:t>
      </w:r>
    </w:p>
    <w:p w14:paraId="0EC56973" w14:textId="3CB1EF49" w:rsidR="001F2682" w:rsidRDefault="00636AFA" w:rsidP="001F2682">
      <w:pPr>
        <w:pStyle w:val="RegSingleTxtG"/>
        <w:numPr>
          <w:ilvl w:val="0"/>
          <w:numId w:val="0"/>
        </w:numPr>
        <w:spacing w:after="0"/>
        <w:ind w:left="1134"/>
        <w:jc w:val="right"/>
        <w:rPr>
          <w:i/>
          <w:iCs/>
        </w:rPr>
      </w:pPr>
      <w:r>
        <w:rPr>
          <w:i/>
          <w:iCs/>
        </w:rPr>
        <w:t>Resumed 11</w:t>
      </w:r>
      <w:r w:rsidRPr="00636AFA">
        <w:rPr>
          <w:i/>
          <w:iCs/>
          <w:vertAlign w:val="superscript"/>
        </w:rPr>
        <w:t>th</w:t>
      </w:r>
      <w:r>
        <w:rPr>
          <w:i/>
          <w:iCs/>
        </w:rPr>
        <w:t xml:space="preserve"> </w:t>
      </w:r>
      <w:r w:rsidR="001F2682">
        <w:rPr>
          <w:i/>
          <w:iCs/>
        </w:rPr>
        <w:t>plenary meeting</w:t>
      </w:r>
    </w:p>
    <w:p w14:paraId="502D39B3" w14:textId="797E39B8" w:rsidR="001F2682" w:rsidRDefault="00636AFA" w:rsidP="001F2682">
      <w:pPr>
        <w:pStyle w:val="RegSingleTxtG"/>
        <w:numPr>
          <w:ilvl w:val="0"/>
          <w:numId w:val="0"/>
        </w:numPr>
        <w:spacing w:after="0"/>
        <w:ind w:left="1134"/>
        <w:jc w:val="right"/>
      </w:pPr>
      <w:r>
        <w:rPr>
          <w:i/>
          <w:iCs/>
        </w:rPr>
        <w:t>2</w:t>
      </w:r>
      <w:r w:rsidR="00F763F7">
        <w:rPr>
          <w:i/>
          <w:iCs/>
        </w:rPr>
        <w:t>4</w:t>
      </w:r>
      <w:r w:rsidR="001F2682">
        <w:rPr>
          <w:i/>
          <w:iCs/>
        </w:rPr>
        <w:t xml:space="preserve"> November 2024</w:t>
      </w:r>
    </w:p>
    <w:p w14:paraId="251D91F9" w14:textId="77777777" w:rsidR="001F2682" w:rsidRDefault="001F2682" w:rsidP="00492C76">
      <w:pPr>
        <w:pStyle w:val="RegHChG"/>
        <w:numPr>
          <w:ilvl w:val="0"/>
          <w:numId w:val="0"/>
        </w:numPr>
        <w:ind w:left="1135" w:hanging="454"/>
      </w:pPr>
    </w:p>
    <w:p w14:paraId="7A75B3A0" w14:textId="41ECC11A" w:rsidR="001F2682" w:rsidRDefault="00492C76" w:rsidP="00492C76">
      <w:pPr>
        <w:pStyle w:val="RegHChG"/>
        <w:numPr>
          <w:ilvl w:val="0"/>
          <w:numId w:val="0"/>
        </w:numPr>
        <w:tabs>
          <w:tab w:val="left" w:pos="1135"/>
        </w:tabs>
        <w:ind w:left="1135" w:hanging="454"/>
        <w:sectPr w:rsidR="001F2682" w:rsidSect="00C86F14">
          <w:headerReference w:type="even" r:id="rId37"/>
          <w:headerReference w:type="default" r:id="rId38"/>
          <w:footerReference w:type="even" r:id="rId39"/>
          <w:footerReference w:type="default" r:id="rId40"/>
          <w:footnotePr>
            <w:numRestart w:val="eachSect"/>
          </w:footnotePr>
          <w:pgSz w:w="11906" w:h="16838" w:code="9"/>
          <w:pgMar w:top="1417" w:right="1134" w:bottom="1134" w:left="1134" w:header="850" w:footer="567" w:gutter="0"/>
          <w:cols w:space="708"/>
          <w:docGrid w:linePitch="360"/>
        </w:sectPr>
      </w:pPr>
      <w:r>
        <w:t>I.</w:t>
      </w:r>
      <w:r>
        <w:tab/>
      </w:r>
    </w:p>
    <w:p w14:paraId="7C7447C9" w14:textId="15999B1A" w:rsidR="005E53BC" w:rsidRDefault="005E53BC" w:rsidP="00492C76">
      <w:pPr>
        <w:pStyle w:val="RegHChG"/>
        <w:numPr>
          <w:ilvl w:val="0"/>
          <w:numId w:val="0"/>
        </w:numPr>
        <w:ind w:left="1135" w:hanging="454"/>
      </w:pPr>
      <w:bookmarkStart w:id="16" w:name="decision3"/>
      <w:r>
        <w:lastRenderedPageBreak/>
        <w:t>Decision 3/CMA.6</w:t>
      </w:r>
    </w:p>
    <w:bookmarkEnd w:id="16"/>
    <w:p w14:paraId="35E1D5A0" w14:textId="77777777" w:rsidR="00236568" w:rsidRPr="00A96DC7" w:rsidRDefault="00236568" w:rsidP="00236568">
      <w:pPr>
        <w:pStyle w:val="HChG"/>
        <w:ind w:firstLine="0"/>
      </w:pPr>
      <w:r>
        <w:t>G</w:t>
      </w:r>
      <w:r w:rsidRPr="00FA7D7B">
        <w:t>lobal goal on adaptation</w:t>
      </w:r>
    </w:p>
    <w:p w14:paraId="33CD3A5C" w14:textId="77777777" w:rsidR="00236568" w:rsidRPr="007F7081" w:rsidRDefault="00236568" w:rsidP="00E906A9">
      <w:pPr>
        <w:pStyle w:val="RegSingleTxtG"/>
        <w:numPr>
          <w:ilvl w:val="0"/>
          <w:numId w:val="0"/>
        </w:numPr>
        <w:spacing w:before="180"/>
        <w:ind w:left="1134"/>
        <w:rPr>
          <w:i/>
          <w:iCs/>
        </w:rPr>
      </w:pPr>
      <w:r>
        <w:rPr>
          <w:i/>
          <w:iCs/>
        </w:rPr>
        <w:tab/>
      </w:r>
      <w:r w:rsidRPr="003E2C2D">
        <w:rPr>
          <w:i/>
          <w:iCs/>
        </w:rPr>
        <w:t>The Conference of the Parties serving as the meeting of the Parties to the Paris</w:t>
      </w:r>
      <w:r>
        <w:rPr>
          <w:i/>
          <w:iCs/>
        </w:rPr>
        <w:t xml:space="preserve"> </w:t>
      </w:r>
      <w:r w:rsidRPr="003E2C2D">
        <w:rPr>
          <w:i/>
          <w:iCs/>
        </w:rPr>
        <w:t>Agreement</w:t>
      </w:r>
      <w:r w:rsidRPr="00D107AE">
        <w:t>,</w:t>
      </w:r>
    </w:p>
    <w:p w14:paraId="6344B017" w14:textId="77777777" w:rsidR="00236568" w:rsidRDefault="00236568" w:rsidP="00E906A9">
      <w:pPr>
        <w:pStyle w:val="RegSingleTxtG"/>
        <w:numPr>
          <w:ilvl w:val="0"/>
          <w:numId w:val="0"/>
        </w:numPr>
        <w:ind w:left="1134"/>
      </w:pPr>
      <w:r>
        <w:rPr>
          <w:i/>
          <w:iCs/>
        </w:rPr>
        <w:tab/>
      </w:r>
      <w:r w:rsidRPr="00AF706A">
        <w:rPr>
          <w:i/>
          <w:iCs/>
        </w:rPr>
        <w:t>Recalling</w:t>
      </w:r>
      <w:r w:rsidRPr="004F1734">
        <w:t xml:space="preserve"> Article 7 of the Paris Agreement, in particular paragraph 1, which </w:t>
      </w:r>
      <w:r>
        <w:t xml:space="preserve">provided for the establishment of </w:t>
      </w:r>
      <w:r w:rsidRPr="004F1734">
        <w:t>the global goal</w:t>
      </w:r>
      <w:r>
        <w:t xml:space="preserve"> </w:t>
      </w:r>
      <w:r w:rsidRPr="004F1734">
        <w:t>on adaptation of enhancing adaptive capacity, strengthening resilience and reducing vulnerability to climate change with a view to contributing to sustainable development and ensuring an adequate adaptation response in the context of the temperature goal referred to in Article 2</w:t>
      </w:r>
      <w:r>
        <w:t xml:space="preserve">, paragraph </w:t>
      </w:r>
      <w:r w:rsidRPr="00CF3908">
        <w:t>1</w:t>
      </w:r>
      <w:r>
        <w:t>,</w:t>
      </w:r>
      <w:r w:rsidRPr="004F1734">
        <w:t xml:space="preserve"> of the Agreement</w:t>
      </w:r>
      <w:r>
        <w:t>,</w:t>
      </w:r>
    </w:p>
    <w:p w14:paraId="5D2445EF" w14:textId="77777777" w:rsidR="00236568" w:rsidRDefault="00236568" w:rsidP="00E906A9">
      <w:pPr>
        <w:pStyle w:val="RegSingleTxtG"/>
        <w:numPr>
          <w:ilvl w:val="0"/>
          <w:numId w:val="0"/>
        </w:numPr>
        <w:ind w:left="1134"/>
      </w:pPr>
      <w:r>
        <w:tab/>
      </w:r>
      <w:r>
        <w:rPr>
          <w:i/>
          <w:iCs/>
        </w:rPr>
        <w:t>Also r</w:t>
      </w:r>
      <w:r w:rsidRPr="00AF706A">
        <w:rPr>
          <w:i/>
          <w:iCs/>
        </w:rPr>
        <w:t>ecalling</w:t>
      </w:r>
      <w:r w:rsidRPr="004F1734">
        <w:t xml:space="preserve"> relevant provisions and principles of the Convention and the Paris Agreement,</w:t>
      </w:r>
    </w:p>
    <w:p w14:paraId="539BCB06" w14:textId="3508A4EC" w:rsidR="00236568" w:rsidRDefault="00236568" w:rsidP="00E906A9">
      <w:pPr>
        <w:pStyle w:val="RegSingleTxtG"/>
        <w:numPr>
          <w:ilvl w:val="0"/>
          <w:numId w:val="0"/>
        </w:numPr>
        <w:ind w:left="1134"/>
      </w:pPr>
      <w:r>
        <w:tab/>
      </w:r>
      <w:r>
        <w:rPr>
          <w:i/>
          <w:iCs/>
        </w:rPr>
        <w:t>Further r</w:t>
      </w:r>
      <w:r w:rsidRPr="00C51F66">
        <w:rPr>
          <w:i/>
          <w:iCs/>
        </w:rPr>
        <w:t>ecalling</w:t>
      </w:r>
      <w:r w:rsidRPr="00C51F66">
        <w:t xml:space="preserve"> decision </w:t>
      </w:r>
      <w:hyperlink r:id="rId41" w:history="1">
        <w:r w:rsidRPr="00514C67">
          <w:rPr>
            <w:rStyle w:val="Hyperlink"/>
          </w:rPr>
          <w:t>2/CMA.5</w:t>
        </w:r>
      </w:hyperlink>
      <w:r w:rsidRPr="00C51F66">
        <w:t>, in particular paragraph 30, which notes with concern that the adaptation finance gap is widening,</w:t>
      </w:r>
    </w:p>
    <w:p w14:paraId="1AC87FEC" w14:textId="7C58CFC0" w:rsidR="00236568" w:rsidRDefault="00492C76" w:rsidP="00492C76">
      <w:pPr>
        <w:pStyle w:val="RegSingleTxtG"/>
        <w:numPr>
          <w:ilvl w:val="0"/>
          <w:numId w:val="0"/>
        </w:numPr>
        <w:ind w:left="1134"/>
      </w:pPr>
      <w:bookmarkStart w:id="17" w:name="_Ref183204441"/>
      <w:r>
        <w:t>1.</w:t>
      </w:r>
      <w:r>
        <w:tab/>
      </w:r>
      <w:r w:rsidR="00236568" w:rsidRPr="000662EC">
        <w:rPr>
          <w:i/>
          <w:iCs/>
        </w:rPr>
        <w:t>Welcomes</w:t>
      </w:r>
      <w:r w:rsidR="00236568">
        <w:t xml:space="preserve"> the convening</w:t>
      </w:r>
      <w:r w:rsidR="00236568">
        <w:rPr>
          <w:rStyle w:val="FootnoteReference"/>
        </w:rPr>
        <w:footnoteReference w:id="12"/>
      </w:r>
      <w:r w:rsidR="00236568">
        <w:t xml:space="preserve"> by the Chairs of the subsidiary bodies of technical experts to assist in the technical work under the United Arab Emirates–Belém work programme </w:t>
      </w:r>
      <w:r w:rsidR="00236568" w:rsidRPr="000662EC">
        <w:rPr>
          <w:rFonts w:eastAsia="Times New Roman"/>
          <w:color w:val="000000"/>
        </w:rPr>
        <w:t xml:space="preserve">on indicators for measuring progress achieved towards the targets referred to in paragraphs 9–‍10 of decision </w:t>
      </w:r>
      <w:hyperlink r:id="rId42" w:history="1">
        <w:r w:rsidR="00236568" w:rsidRPr="000662EC">
          <w:rPr>
            <w:rStyle w:val="Hyperlink"/>
            <w:rFonts w:eastAsia="Times New Roman"/>
          </w:rPr>
          <w:t>2/CMA.5</w:t>
        </w:r>
      </w:hyperlink>
      <w:r w:rsidR="00236568">
        <w:t xml:space="preserve">, including </w:t>
      </w:r>
      <w:r w:rsidR="00236568" w:rsidRPr="005640E7">
        <w:t>reviewing and refining the compilation and mapping of existing indicator</w:t>
      </w:r>
      <w:r w:rsidR="00236568">
        <w:t>s relevant to measuring that progress;</w:t>
      </w:r>
      <w:bookmarkEnd w:id="17"/>
    </w:p>
    <w:p w14:paraId="18E032F0" w14:textId="658A0E70" w:rsidR="00236568" w:rsidRDefault="00492C76" w:rsidP="00492C76">
      <w:pPr>
        <w:pStyle w:val="RegSingleTxtG"/>
        <w:numPr>
          <w:ilvl w:val="0"/>
          <w:numId w:val="0"/>
        </w:numPr>
        <w:ind w:left="1134"/>
      </w:pPr>
      <w:r>
        <w:t>2.</w:t>
      </w:r>
      <w:r>
        <w:tab/>
      </w:r>
      <w:r w:rsidR="00236568" w:rsidRPr="000662EC">
        <w:rPr>
          <w:i/>
          <w:iCs/>
        </w:rPr>
        <w:t>Notes with appreciation</w:t>
      </w:r>
      <w:r w:rsidR="00236568">
        <w:t xml:space="preserve"> the work of the secretariat in supporting activities under the United Arab Emirates–Belém work programme to date;</w:t>
      </w:r>
    </w:p>
    <w:p w14:paraId="6C0EEF7C" w14:textId="4359C291" w:rsidR="00236568" w:rsidRDefault="00492C76" w:rsidP="00492C76">
      <w:pPr>
        <w:pStyle w:val="RegSingleTxtG"/>
        <w:numPr>
          <w:ilvl w:val="0"/>
          <w:numId w:val="0"/>
        </w:numPr>
        <w:ind w:left="1134"/>
      </w:pPr>
      <w:r>
        <w:t>3.</w:t>
      </w:r>
      <w:r>
        <w:tab/>
      </w:r>
      <w:r w:rsidR="00236568" w:rsidRPr="0D42AD85">
        <w:rPr>
          <w:i/>
          <w:iCs/>
        </w:rPr>
        <w:t>Acknowledges</w:t>
      </w:r>
      <w:r w:rsidR="00236568">
        <w:t xml:space="preserve"> </w:t>
      </w:r>
      <w:r w:rsidR="00236568" w:rsidRPr="0B6A3C6F">
        <w:rPr>
          <w:i/>
          <w:iCs/>
        </w:rPr>
        <w:t xml:space="preserve">with appreciation </w:t>
      </w:r>
      <w:r w:rsidR="00236568">
        <w:t xml:space="preserve">the significant progress made by the experts referred to in paragraph 1 above in their work on indicators under the United Arab Emirates–Belém work programme, noting the time constraints faced in the delivery of the refined mapping of indicators prior to the sixth session of the </w:t>
      </w:r>
      <w:r w:rsidR="00236568" w:rsidRPr="00F458A3">
        <w:t>Conference of the Parties serving as the meeting of the Parties to the Paris Agreement</w:t>
      </w:r>
      <w:r w:rsidR="00236568">
        <w:t xml:space="preserve"> and the time and effort the experts contributed to the mapping;</w:t>
      </w:r>
    </w:p>
    <w:p w14:paraId="14066122" w14:textId="25AEF0D4" w:rsidR="00236568" w:rsidRDefault="00492C76" w:rsidP="00492C76">
      <w:pPr>
        <w:pStyle w:val="RegSingleTxtG"/>
        <w:numPr>
          <w:ilvl w:val="0"/>
          <w:numId w:val="0"/>
        </w:numPr>
        <w:ind w:left="1134"/>
      </w:pPr>
      <w:r>
        <w:t>4.</w:t>
      </w:r>
      <w:r>
        <w:tab/>
      </w:r>
      <w:r w:rsidR="00236568" w:rsidRPr="008409B3">
        <w:rPr>
          <w:i/>
          <w:iCs/>
        </w:rPr>
        <w:t>Welcomes</w:t>
      </w:r>
      <w:r w:rsidR="00236568">
        <w:t xml:space="preserve"> </w:t>
      </w:r>
      <w:r w:rsidR="00236568" w:rsidRPr="008C2AF9">
        <w:t>the</w:t>
      </w:r>
      <w:r w:rsidR="00236568">
        <w:t xml:space="preserve"> contribution of the Adaptation Committee to the compilation and mapping referred to in paragraph 1 above;</w:t>
      </w:r>
      <w:r w:rsidR="00236568">
        <w:rPr>
          <w:rStyle w:val="FootnoteReference"/>
        </w:rPr>
        <w:footnoteReference w:id="13"/>
      </w:r>
      <w:r w:rsidR="00236568">
        <w:t xml:space="preserve"> </w:t>
      </w:r>
    </w:p>
    <w:p w14:paraId="53C91D35" w14:textId="4852A5C9" w:rsidR="00236568" w:rsidRDefault="00492C76" w:rsidP="00492C76">
      <w:pPr>
        <w:pStyle w:val="RegSingleTxtG"/>
        <w:numPr>
          <w:ilvl w:val="0"/>
          <w:numId w:val="0"/>
        </w:numPr>
        <w:ind w:left="1134"/>
      </w:pPr>
      <w:r>
        <w:t>5.</w:t>
      </w:r>
      <w:r>
        <w:tab/>
      </w:r>
      <w:r w:rsidR="00236568" w:rsidRPr="008409B3">
        <w:rPr>
          <w:i/>
          <w:iCs/>
        </w:rPr>
        <w:t>Expresse</w:t>
      </w:r>
      <w:r w:rsidR="00236568">
        <w:rPr>
          <w:i/>
          <w:iCs/>
        </w:rPr>
        <w:t>s</w:t>
      </w:r>
      <w:r w:rsidR="00236568" w:rsidRPr="00D730B2">
        <w:t xml:space="preserve"> </w:t>
      </w:r>
      <w:r w:rsidR="00236568" w:rsidRPr="005A4856">
        <w:rPr>
          <w:i/>
          <w:iCs/>
        </w:rPr>
        <w:t>appreciation</w:t>
      </w:r>
      <w:r w:rsidR="00236568" w:rsidRPr="0034266B">
        <w:t xml:space="preserve"> to the Government</w:t>
      </w:r>
      <w:r w:rsidR="00236568">
        <w:t>s</w:t>
      </w:r>
      <w:r w:rsidR="00236568" w:rsidRPr="0034266B">
        <w:t xml:space="preserve"> of </w:t>
      </w:r>
      <w:r w:rsidR="00236568">
        <w:t>Bhutan and</w:t>
      </w:r>
      <w:r w:rsidR="00236568" w:rsidRPr="0034266B">
        <w:t xml:space="preserve"> Egypt for hosting </w:t>
      </w:r>
      <w:r w:rsidR="00236568">
        <w:t xml:space="preserve">the </w:t>
      </w:r>
      <w:r w:rsidR="00236568" w:rsidRPr="0034266B">
        <w:t>workshop</w:t>
      </w:r>
      <w:r w:rsidR="00236568">
        <w:t xml:space="preserve">s </w:t>
      </w:r>
      <w:r w:rsidR="00236568" w:rsidRPr="0034266B">
        <w:t>on matters related to the United Arab Emirates–Belém work programme</w:t>
      </w:r>
      <w:r w:rsidR="00236568">
        <w:t xml:space="preserve"> </w:t>
      </w:r>
      <w:r w:rsidR="00236568" w:rsidRPr="0034266B">
        <w:t xml:space="preserve">held in </w:t>
      </w:r>
      <w:r w:rsidR="00236568">
        <w:t>Thimphu from 15 to 17 May 2024</w:t>
      </w:r>
      <w:r w:rsidR="00236568">
        <w:rPr>
          <w:rStyle w:val="FootnoteReference"/>
        </w:rPr>
        <w:footnoteReference w:id="14"/>
      </w:r>
      <w:r w:rsidR="00236568">
        <w:t xml:space="preserve"> and in </w:t>
      </w:r>
      <w:r w:rsidR="00236568" w:rsidRPr="0034266B">
        <w:t xml:space="preserve">Sharm </w:t>
      </w:r>
      <w:r w:rsidR="00236568">
        <w:t>e</w:t>
      </w:r>
      <w:r w:rsidR="00236568" w:rsidRPr="0034266B">
        <w:t>l-Sheikh from 8 to 9 October 2024</w:t>
      </w:r>
      <w:r w:rsidR="00236568">
        <w:rPr>
          <w:rStyle w:val="FootnoteReference"/>
        </w:rPr>
        <w:footnoteReference w:id="15"/>
      </w:r>
      <w:r w:rsidR="00236568">
        <w:t xml:space="preserve"> respectively;</w:t>
      </w:r>
    </w:p>
    <w:p w14:paraId="65725B82" w14:textId="09A6352D" w:rsidR="00236568" w:rsidRDefault="00492C76" w:rsidP="00492C76">
      <w:pPr>
        <w:pStyle w:val="RegSingleTxtG"/>
        <w:numPr>
          <w:ilvl w:val="0"/>
          <w:numId w:val="0"/>
        </w:numPr>
        <w:ind w:left="1134"/>
      </w:pPr>
      <w:r>
        <w:t>6.</w:t>
      </w:r>
      <w:r>
        <w:tab/>
      </w:r>
      <w:r w:rsidR="00236568" w:rsidRPr="5E796B15">
        <w:rPr>
          <w:i/>
          <w:iCs/>
        </w:rPr>
        <w:t>Takes not</w:t>
      </w:r>
      <w:r w:rsidR="00236568" w:rsidRPr="00D107AE">
        <w:rPr>
          <w:i/>
          <w:iCs/>
        </w:rPr>
        <w:t>e</w:t>
      </w:r>
      <w:r w:rsidR="00236568">
        <w:t xml:space="preserve"> of</w:t>
      </w:r>
      <w:r w:rsidR="00236568" w:rsidRPr="00DB575E">
        <w:rPr>
          <w:i/>
          <w:iCs/>
        </w:rPr>
        <w:t xml:space="preserve"> </w:t>
      </w:r>
      <w:r w:rsidR="00236568">
        <w:t xml:space="preserve">the </w:t>
      </w:r>
      <w:r w:rsidR="00236568" w:rsidRPr="00794F45">
        <w:t>report</w:t>
      </w:r>
      <w:r w:rsidR="00236568" w:rsidRPr="00880BED">
        <w:t xml:space="preserve"> </w:t>
      </w:r>
      <w:r w:rsidR="00236568">
        <w:t xml:space="preserve">by the secretariat on the workshop held in </w:t>
      </w:r>
      <w:r w:rsidR="00236568" w:rsidRPr="0034266B">
        <w:t xml:space="preserve">Sharm </w:t>
      </w:r>
      <w:r w:rsidR="00236568">
        <w:t>e</w:t>
      </w:r>
      <w:r w:rsidR="00236568" w:rsidRPr="0034266B">
        <w:t xml:space="preserve">l-Sheikh </w:t>
      </w:r>
      <w:r w:rsidR="00236568">
        <w:t>referred to in paragraph 5 above, including the refined mapping</w:t>
      </w:r>
      <w:r w:rsidR="00236568" w:rsidRPr="002E7828">
        <w:t xml:space="preserve"> </w:t>
      </w:r>
      <w:r w:rsidR="00236568">
        <w:t>prepared by the experts referred to in paragraph 1 above</w:t>
      </w:r>
      <w:r w:rsidR="00236568">
        <w:rPr>
          <w:rFonts w:eastAsia="Times New Roman"/>
          <w:color w:val="000000"/>
        </w:rPr>
        <w:t>,</w:t>
      </w:r>
      <w:r w:rsidR="00236568">
        <w:t xml:space="preserve"> and </w:t>
      </w:r>
      <w:r w:rsidR="00236568" w:rsidRPr="00743043">
        <w:rPr>
          <w:i/>
          <w:iCs/>
        </w:rPr>
        <w:t>notes</w:t>
      </w:r>
      <w:r w:rsidR="00236568">
        <w:t xml:space="preserve"> that the report</w:t>
      </w:r>
      <w:r w:rsidR="00236568">
        <w:rPr>
          <w:rStyle w:val="FootnoteReference"/>
        </w:rPr>
        <w:footnoteReference w:id="16"/>
      </w:r>
      <w:r w:rsidR="00236568">
        <w:t xml:space="preserve"> was published late in the pre</w:t>
      </w:r>
      <w:r w:rsidR="00236568">
        <w:noBreakHyphen/>
        <w:t xml:space="preserve">sessional period; </w:t>
      </w:r>
    </w:p>
    <w:p w14:paraId="6F2D8196" w14:textId="23AB9CAC" w:rsidR="00236568" w:rsidRPr="00591718" w:rsidRDefault="00492C76" w:rsidP="00492C76">
      <w:pPr>
        <w:pStyle w:val="RegSingleTxtG"/>
        <w:numPr>
          <w:ilvl w:val="0"/>
          <w:numId w:val="0"/>
        </w:numPr>
        <w:ind w:left="1134"/>
      </w:pPr>
      <w:r w:rsidRPr="00591718">
        <w:t>7.</w:t>
      </w:r>
      <w:r w:rsidRPr="00591718">
        <w:tab/>
      </w:r>
      <w:r w:rsidR="00236568" w:rsidRPr="4769A9A4">
        <w:rPr>
          <w:i/>
          <w:iCs/>
        </w:rPr>
        <w:t>Requests</w:t>
      </w:r>
      <w:r w:rsidR="00236568">
        <w:t xml:space="preserve"> the </w:t>
      </w:r>
      <w:r w:rsidR="00236568" w:rsidRPr="00794F45">
        <w:t>secretariat</w:t>
      </w:r>
      <w:r w:rsidR="00236568" w:rsidRPr="009251A7">
        <w:t xml:space="preserve"> </w:t>
      </w:r>
      <w:r w:rsidR="00236568">
        <w:t xml:space="preserve">to make the informal progress reports that were prepared by the experts referred to in paragraph 1 above prior to the sixth session of the </w:t>
      </w:r>
      <w:r w:rsidR="00236568" w:rsidRPr="00F458A3">
        <w:t>Conference of the Parties serving as the meeting of the Parties to the Paris Agreement</w:t>
      </w:r>
      <w:r w:rsidR="00236568">
        <w:t xml:space="preserve"> available on the UNFCCC website;</w:t>
      </w:r>
    </w:p>
    <w:p w14:paraId="3FD13EE5" w14:textId="21931C26" w:rsidR="00236568" w:rsidRDefault="00492C76" w:rsidP="00492C76">
      <w:pPr>
        <w:pStyle w:val="RegSingleTxtG"/>
        <w:numPr>
          <w:ilvl w:val="0"/>
          <w:numId w:val="0"/>
        </w:numPr>
        <w:ind w:left="1134"/>
      </w:pPr>
      <w:r>
        <w:t>8.</w:t>
      </w:r>
      <w:r>
        <w:tab/>
      </w:r>
      <w:r w:rsidR="00236568" w:rsidRPr="00655A4B">
        <w:rPr>
          <w:i/>
          <w:iCs/>
        </w:rPr>
        <w:t>Recalls</w:t>
      </w:r>
      <w:r w:rsidR="00236568" w:rsidRPr="00347196">
        <w:t xml:space="preserve"> </w:t>
      </w:r>
      <w:r w:rsidR="00236568" w:rsidRPr="000E15BC">
        <w:t xml:space="preserve">paragraph </w:t>
      </w:r>
      <w:r w:rsidR="00236568">
        <w:t xml:space="preserve">39 of </w:t>
      </w:r>
      <w:r w:rsidR="00236568" w:rsidRPr="00347196">
        <w:t xml:space="preserve">decision </w:t>
      </w:r>
      <w:hyperlink r:id="rId43" w:history="1">
        <w:r w:rsidR="00236568" w:rsidRPr="00514C67">
          <w:rPr>
            <w:rStyle w:val="Hyperlink"/>
          </w:rPr>
          <w:t>2/CMA.5</w:t>
        </w:r>
      </w:hyperlink>
      <w:r w:rsidR="00236568" w:rsidRPr="00347196">
        <w:t xml:space="preserve"> and </w:t>
      </w:r>
      <w:r w:rsidR="00236568">
        <w:t>the request of the subsidiary bodies</w:t>
      </w:r>
      <w:r w:rsidR="00236568">
        <w:rPr>
          <w:rStyle w:val="FootnoteReference"/>
        </w:rPr>
        <w:footnoteReference w:id="17"/>
      </w:r>
      <w:r w:rsidR="00236568" w:rsidRPr="00347196">
        <w:t xml:space="preserve"> </w:t>
      </w:r>
      <w:r w:rsidR="00236568">
        <w:t>for their Chairs to convene</w:t>
      </w:r>
      <w:r w:rsidR="00236568" w:rsidRPr="00347196">
        <w:t xml:space="preserve"> technical experts to assist </w:t>
      </w:r>
      <w:r w:rsidR="00236568">
        <w:t>in</w:t>
      </w:r>
      <w:r w:rsidR="00236568" w:rsidRPr="00347196">
        <w:t xml:space="preserve"> reviewing and refining the compilation and mapping </w:t>
      </w:r>
      <w:r w:rsidR="00236568">
        <w:t>referred to in paragraph 1 above</w:t>
      </w:r>
      <w:r w:rsidR="00236568" w:rsidRPr="00347196">
        <w:t xml:space="preserve"> and</w:t>
      </w:r>
      <w:r w:rsidR="00236568">
        <w:t>,</w:t>
      </w:r>
      <w:r w:rsidR="00236568" w:rsidRPr="00347196">
        <w:t xml:space="preserve"> as needed, developing new indicators</w:t>
      </w:r>
      <w:r w:rsidR="00236568">
        <w:t xml:space="preserve"> for measuring progress achieved </w:t>
      </w:r>
      <w:r w:rsidR="00236568" w:rsidRPr="008A443B">
        <w:t>towards the targets</w:t>
      </w:r>
      <w:r w:rsidR="00236568">
        <w:t xml:space="preserve"> referred to in paragraphs 9–‍10 </w:t>
      </w:r>
      <w:r w:rsidR="00236568">
        <w:lastRenderedPageBreak/>
        <w:t xml:space="preserve">of decision </w:t>
      </w:r>
      <w:hyperlink r:id="rId44" w:history="1">
        <w:r w:rsidR="00236568" w:rsidRPr="00514C67">
          <w:rPr>
            <w:rStyle w:val="Hyperlink"/>
          </w:rPr>
          <w:t>2/CMA.5</w:t>
        </w:r>
      </w:hyperlink>
      <w:r w:rsidR="00236568" w:rsidRPr="00347196">
        <w:t xml:space="preserve"> and </w:t>
      </w:r>
      <w:r w:rsidR="00236568" w:rsidRPr="00CA627C">
        <w:rPr>
          <w:i/>
          <w:iCs/>
        </w:rPr>
        <w:t>confirms</w:t>
      </w:r>
      <w:r w:rsidR="00236568" w:rsidRPr="00347196">
        <w:t xml:space="preserve"> that </w:t>
      </w:r>
      <w:r w:rsidR="00236568">
        <w:t xml:space="preserve">the Conference of the Parties serving as the meeting of the Parties to the Paris Agreement </w:t>
      </w:r>
      <w:r w:rsidR="00236568" w:rsidRPr="00347196">
        <w:t xml:space="preserve">will decide on a final list of indicators at </w:t>
      </w:r>
      <w:r w:rsidR="00236568">
        <w:t>its seventh session (November 2025</w:t>
      </w:r>
      <w:r w:rsidR="00236568" w:rsidRPr="00CF3908">
        <w:t>)</w:t>
      </w:r>
      <w:r w:rsidR="00236568">
        <w:t xml:space="preserve">; </w:t>
      </w:r>
    </w:p>
    <w:p w14:paraId="5966A424" w14:textId="6CE17D5C" w:rsidR="00236568" w:rsidRPr="003A4B80" w:rsidRDefault="00492C76" w:rsidP="00492C76">
      <w:pPr>
        <w:pStyle w:val="RegSingleTxtG"/>
        <w:numPr>
          <w:ilvl w:val="0"/>
          <w:numId w:val="0"/>
        </w:numPr>
        <w:ind w:left="1134"/>
      </w:pPr>
      <w:r w:rsidRPr="003A4B80">
        <w:t>9.</w:t>
      </w:r>
      <w:r w:rsidRPr="003A4B80">
        <w:tab/>
      </w:r>
      <w:r w:rsidR="00236568" w:rsidRPr="5E796B15">
        <w:rPr>
          <w:i/>
          <w:iCs/>
        </w:rPr>
        <w:t>Emphasizes</w:t>
      </w:r>
      <w:r w:rsidR="00236568" w:rsidRPr="00B56E52">
        <w:t xml:space="preserve"> the importance of ensuring geographical</w:t>
      </w:r>
      <w:r w:rsidR="00236568">
        <w:t xml:space="preserve"> and gender </w:t>
      </w:r>
      <w:r w:rsidR="00236568" w:rsidRPr="00B56E52">
        <w:t xml:space="preserve">balance </w:t>
      </w:r>
      <w:r w:rsidR="00236568">
        <w:t xml:space="preserve">among the </w:t>
      </w:r>
      <w:r w:rsidR="00236568" w:rsidRPr="00B56E52">
        <w:t>expert</w:t>
      </w:r>
      <w:r w:rsidR="00236568">
        <w:t>s</w:t>
      </w:r>
      <w:r w:rsidR="00236568" w:rsidRPr="00B56E52">
        <w:t xml:space="preserve"> re</w:t>
      </w:r>
      <w:r w:rsidR="00236568">
        <w:t>ferred to in paragraph 1 above</w:t>
      </w:r>
      <w:r w:rsidR="00236568" w:rsidRPr="00B56E52">
        <w:t xml:space="preserve"> </w:t>
      </w:r>
      <w:r w:rsidR="00236568">
        <w:t>working</w:t>
      </w:r>
      <w:r w:rsidR="00236568" w:rsidRPr="00B56E52">
        <w:t xml:space="preserve"> across the </w:t>
      </w:r>
      <w:r w:rsidR="00236568">
        <w:t xml:space="preserve">targets </w:t>
      </w:r>
      <w:r w:rsidR="00236568">
        <w:rPr>
          <w:rFonts w:eastAsia="Times New Roman"/>
          <w:color w:val="000000"/>
        </w:rPr>
        <w:t>referred to in paragraphs</w:t>
      </w:r>
      <w:r w:rsidR="000662EC">
        <w:rPr>
          <w:rFonts w:eastAsia="Times New Roman"/>
          <w:color w:val="000000"/>
        </w:rPr>
        <w:t> </w:t>
      </w:r>
      <w:r w:rsidR="00236568">
        <w:rPr>
          <w:rFonts w:eastAsia="Times New Roman"/>
          <w:color w:val="000000"/>
        </w:rPr>
        <w:t xml:space="preserve">9–10 of decision </w:t>
      </w:r>
      <w:hyperlink r:id="rId45" w:history="1">
        <w:r w:rsidR="00236568" w:rsidRPr="00514C67">
          <w:rPr>
            <w:rStyle w:val="Hyperlink"/>
            <w:rFonts w:eastAsia="Times New Roman"/>
          </w:rPr>
          <w:t>2/CMA.5</w:t>
        </w:r>
      </w:hyperlink>
      <w:r w:rsidR="00236568">
        <w:t>;</w:t>
      </w:r>
    </w:p>
    <w:p w14:paraId="51B3E7D2" w14:textId="50266AF1" w:rsidR="00236568" w:rsidRDefault="00492C76" w:rsidP="00492C76">
      <w:pPr>
        <w:pStyle w:val="RegSingleTxtG"/>
        <w:numPr>
          <w:ilvl w:val="0"/>
          <w:numId w:val="0"/>
        </w:numPr>
        <w:ind w:left="1134"/>
      </w:pPr>
      <w:r>
        <w:t>10.</w:t>
      </w:r>
      <w:r>
        <w:tab/>
      </w:r>
      <w:r w:rsidR="00236568" w:rsidRPr="5E796B15">
        <w:rPr>
          <w:i/>
          <w:iCs/>
        </w:rPr>
        <w:t>Recognizes</w:t>
      </w:r>
      <w:r w:rsidR="00236568">
        <w:t xml:space="preserve"> that further guidance is required for the experts referred to in paragraph 1 above and </w:t>
      </w:r>
      <w:r w:rsidR="00236568" w:rsidRPr="00BE1473">
        <w:rPr>
          <w:i/>
          <w:iCs/>
        </w:rPr>
        <w:t>requests</w:t>
      </w:r>
      <w:r w:rsidR="00236568" w:rsidRPr="00727D72">
        <w:t xml:space="preserve"> the Chairs</w:t>
      </w:r>
      <w:r w:rsidR="00236568">
        <w:t xml:space="preserve"> of the subsidiary bodies to invite the experts to: </w:t>
      </w:r>
    </w:p>
    <w:p w14:paraId="7DD14EF5" w14:textId="1A1FC71D" w:rsidR="00236568" w:rsidRDefault="00492C76" w:rsidP="00492C76">
      <w:pPr>
        <w:pStyle w:val="RegSingleTxtG2"/>
        <w:numPr>
          <w:ilvl w:val="0"/>
          <w:numId w:val="0"/>
        </w:numPr>
        <w:ind w:left="1134" w:firstLine="567"/>
      </w:pPr>
      <w:r>
        <w:rPr>
          <w:szCs w:val="28"/>
        </w:rPr>
        <w:t>(a)</w:t>
      </w:r>
      <w:r>
        <w:rPr>
          <w:szCs w:val="28"/>
        </w:rPr>
        <w:tab/>
      </w:r>
      <w:r w:rsidR="00236568">
        <w:t xml:space="preserve">Ensure that they apply </w:t>
      </w:r>
      <w:r w:rsidR="00236568" w:rsidRPr="00E40CF8">
        <w:t xml:space="preserve">common approaches and methodologies as they continue their work </w:t>
      </w:r>
      <w:r w:rsidR="00236568">
        <w:t>on refining the indicators referred to in paragraph 1 above</w:t>
      </w:r>
      <w:r w:rsidR="00236568" w:rsidRPr="00CF3908">
        <w:t xml:space="preserve"> </w:t>
      </w:r>
      <w:r w:rsidR="00236568">
        <w:t xml:space="preserve">and developing new indicators </w:t>
      </w:r>
      <w:r w:rsidR="00236568" w:rsidRPr="00871AF6">
        <w:t xml:space="preserve">under the </w:t>
      </w:r>
      <w:r w:rsidR="00236568">
        <w:t>United Arab Emirates–Belém work programme on the basis of the criteria referred to in paragraph 17 below, as appropriate;</w:t>
      </w:r>
    </w:p>
    <w:p w14:paraId="61CF0DE1" w14:textId="5F06921A" w:rsidR="00236568" w:rsidRDefault="00492C76" w:rsidP="00492C76">
      <w:pPr>
        <w:pStyle w:val="RegSingleTxtG2"/>
        <w:numPr>
          <w:ilvl w:val="0"/>
          <w:numId w:val="0"/>
        </w:numPr>
        <w:ind w:left="1134" w:firstLine="567"/>
      </w:pPr>
      <w:r>
        <w:rPr>
          <w:szCs w:val="28"/>
        </w:rPr>
        <w:t>(b)</w:t>
      </w:r>
      <w:r>
        <w:rPr>
          <w:szCs w:val="28"/>
        </w:rPr>
        <w:tab/>
      </w:r>
      <w:r w:rsidR="00236568">
        <w:t>E</w:t>
      </w:r>
      <w:r w:rsidR="00236568" w:rsidRPr="00E42D69">
        <w:t>nhance collaboration</w:t>
      </w:r>
      <w:r w:rsidR="00236568">
        <w:t xml:space="preserve"> among the experts working </w:t>
      </w:r>
      <w:r w:rsidR="00236568" w:rsidRPr="00E42D69">
        <w:t xml:space="preserve">across both the thematic and </w:t>
      </w:r>
      <w:r w:rsidR="00236568">
        <w:t xml:space="preserve">the </w:t>
      </w:r>
      <w:r w:rsidR="00236568" w:rsidRPr="00E42D69">
        <w:t>dimensional target</w:t>
      </w:r>
      <w:r w:rsidR="00236568">
        <w:t>s</w:t>
      </w:r>
      <w:r w:rsidR="00236568">
        <w:rPr>
          <w:rStyle w:val="FootnoteReference"/>
        </w:rPr>
        <w:footnoteReference w:id="18"/>
      </w:r>
      <w:r w:rsidR="00236568" w:rsidRPr="00E42D69">
        <w:t xml:space="preserve"> </w:t>
      </w:r>
      <w:r w:rsidR="00236568">
        <w:t xml:space="preserve">with a view </w:t>
      </w:r>
      <w:r w:rsidR="00236568" w:rsidRPr="00E42D69">
        <w:t>to identify</w:t>
      </w:r>
      <w:r w:rsidR="00236568">
        <w:t>ing</w:t>
      </w:r>
      <w:r w:rsidR="00236568" w:rsidRPr="00E42D69">
        <w:t xml:space="preserve"> synergies</w:t>
      </w:r>
      <w:r w:rsidR="00236568">
        <w:t>,</w:t>
      </w:r>
      <w:r w:rsidR="00236568" w:rsidRPr="00E42D69">
        <w:t xml:space="preserve"> </w:t>
      </w:r>
      <w:r w:rsidR="00236568">
        <w:t xml:space="preserve">and facilitate contributions by </w:t>
      </w:r>
      <w:r w:rsidR="00236568" w:rsidRPr="00E42D69">
        <w:t>experts from all geographic</w:t>
      </w:r>
      <w:r w:rsidR="00236568">
        <w:t>al</w:t>
      </w:r>
      <w:r w:rsidR="00236568" w:rsidRPr="00E42D69">
        <w:t xml:space="preserve"> regions </w:t>
      </w:r>
      <w:r w:rsidR="00236568">
        <w:t>across all the targets;</w:t>
      </w:r>
    </w:p>
    <w:p w14:paraId="5F545AC3" w14:textId="46FC7AFA" w:rsidR="00236568" w:rsidRDefault="00492C76" w:rsidP="00492C76">
      <w:pPr>
        <w:pStyle w:val="RegSingleTxtG2"/>
        <w:numPr>
          <w:ilvl w:val="0"/>
          <w:numId w:val="0"/>
        </w:numPr>
        <w:ind w:left="1134" w:firstLine="567"/>
      </w:pPr>
      <w:r>
        <w:rPr>
          <w:szCs w:val="28"/>
        </w:rPr>
        <w:t>(c)</w:t>
      </w:r>
      <w:r>
        <w:rPr>
          <w:szCs w:val="28"/>
        </w:rPr>
        <w:tab/>
      </w:r>
      <w:r w:rsidR="00236568">
        <w:t>P</w:t>
      </w:r>
      <w:r w:rsidR="00236568" w:rsidRPr="00452A98">
        <w:t xml:space="preserve">rioritize </w:t>
      </w:r>
      <w:r w:rsidR="00236568">
        <w:t xml:space="preserve">reducing </w:t>
      </w:r>
      <w:r w:rsidR="00236568" w:rsidRPr="00452A98">
        <w:t xml:space="preserve">the number of </w:t>
      </w:r>
      <w:r w:rsidR="00236568">
        <w:t xml:space="preserve">global </w:t>
      </w:r>
      <w:r w:rsidR="00236568" w:rsidRPr="00452A98">
        <w:t xml:space="preserve">indicators in the next stage of their work, </w:t>
      </w:r>
      <w:r w:rsidR="00236568">
        <w:t>keeping indicators that</w:t>
      </w:r>
      <w:r w:rsidR="00236568" w:rsidRPr="00452A98">
        <w:t xml:space="preserve"> reflect overarching </w:t>
      </w:r>
      <w:r w:rsidR="00236568">
        <w:t>trends</w:t>
      </w:r>
      <w:r w:rsidR="00236568" w:rsidRPr="00452A98">
        <w:t xml:space="preserve"> and common challenges </w:t>
      </w:r>
      <w:r w:rsidR="00236568">
        <w:t>related to</w:t>
      </w:r>
      <w:r w:rsidR="00236568" w:rsidRPr="00452A98">
        <w:t xml:space="preserve"> adaptation efforts across countries</w:t>
      </w:r>
      <w:r w:rsidR="00236568">
        <w:t>;</w:t>
      </w:r>
    </w:p>
    <w:p w14:paraId="422AC581" w14:textId="00DA04F2" w:rsidR="00236568" w:rsidRDefault="00492C76" w:rsidP="00492C76">
      <w:pPr>
        <w:pStyle w:val="RegSingleTxtG2"/>
        <w:numPr>
          <w:ilvl w:val="0"/>
          <w:numId w:val="0"/>
        </w:numPr>
        <w:ind w:left="1134" w:firstLine="567"/>
      </w:pPr>
      <w:r>
        <w:rPr>
          <w:szCs w:val="28"/>
        </w:rPr>
        <w:t>(d)</w:t>
      </w:r>
      <w:r>
        <w:rPr>
          <w:szCs w:val="28"/>
        </w:rPr>
        <w:tab/>
      </w:r>
      <w:r w:rsidR="00236568">
        <w:t>D</w:t>
      </w:r>
      <w:r w:rsidR="00236568" w:rsidRPr="00C23137">
        <w:t xml:space="preserve">evelop, if needed, or </w:t>
      </w:r>
      <w:r w:rsidR="00236568">
        <w:t xml:space="preserve">identify </w:t>
      </w:r>
      <w:r w:rsidR="00236568" w:rsidRPr="00C23137">
        <w:t xml:space="preserve">from the </w:t>
      </w:r>
      <w:r w:rsidR="00236568">
        <w:t xml:space="preserve">compilation and mapping referred to in paragraph 1 above </w:t>
      </w:r>
      <w:r w:rsidR="00236568" w:rsidRPr="00C23137">
        <w:t xml:space="preserve">indicators for </w:t>
      </w:r>
      <w:r w:rsidR="00236568" w:rsidRPr="004E64DB">
        <w:t>enabl</w:t>
      </w:r>
      <w:r w:rsidR="00236568">
        <w:t>ing</w:t>
      </w:r>
      <w:r w:rsidR="00236568" w:rsidRPr="004E64DB">
        <w:t xml:space="preserve"> </w:t>
      </w:r>
      <w:r w:rsidR="00236568">
        <w:t>factors for the implementation of</w:t>
      </w:r>
      <w:r w:rsidR="00236568" w:rsidRPr="004E64DB">
        <w:t xml:space="preserve"> adaptation</w:t>
      </w:r>
      <w:r w:rsidR="00236568" w:rsidRPr="00C23137">
        <w:t xml:space="preserve"> </w:t>
      </w:r>
      <w:r w:rsidR="00236568">
        <w:t xml:space="preserve">action, including means of </w:t>
      </w:r>
      <w:r w:rsidR="00236568" w:rsidRPr="00C23137">
        <w:t>implementation</w:t>
      </w:r>
      <w:r w:rsidR="00236568">
        <w:t>;</w:t>
      </w:r>
    </w:p>
    <w:p w14:paraId="7DE7B775" w14:textId="665909CE" w:rsidR="00236568" w:rsidRPr="002169ED" w:rsidRDefault="00492C76" w:rsidP="00492C76">
      <w:pPr>
        <w:pStyle w:val="RegSingleTxtG"/>
        <w:numPr>
          <w:ilvl w:val="0"/>
          <w:numId w:val="0"/>
        </w:numPr>
        <w:ind w:left="1134"/>
        <w:rPr>
          <w:color w:val="000000" w:themeColor="text1"/>
        </w:rPr>
      </w:pPr>
      <w:r w:rsidRPr="002169ED">
        <w:rPr>
          <w:color w:val="000000" w:themeColor="text1"/>
        </w:rPr>
        <w:t>11.</w:t>
      </w:r>
      <w:r w:rsidRPr="002169ED">
        <w:rPr>
          <w:color w:val="000000" w:themeColor="text1"/>
        </w:rPr>
        <w:tab/>
      </w:r>
      <w:r w:rsidR="00236568" w:rsidRPr="0D975596">
        <w:rPr>
          <w:i/>
          <w:iCs/>
          <w:color w:val="000000" w:themeColor="text1"/>
        </w:rPr>
        <w:t>Encourages</w:t>
      </w:r>
      <w:r w:rsidR="00236568" w:rsidRPr="002169ED">
        <w:rPr>
          <w:color w:val="000000" w:themeColor="text1"/>
        </w:rPr>
        <w:t xml:space="preserve"> </w:t>
      </w:r>
      <w:r w:rsidR="00236568" w:rsidRPr="00FB43F5">
        <w:t>engagement</w:t>
      </w:r>
      <w:r w:rsidR="00236568" w:rsidRPr="002169ED">
        <w:rPr>
          <w:color w:val="000000" w:themeColor="text1"/>
        </w:rPr>
        <w:t xml:space="preserve"> with official statistical bodies at </w:t>
      </w:r>
      <w:r w:rsidR="00236568">
        <w:rPr>
          <w:color w:val="000000" w:themeColor="text1"/>
        </w:rPr>
        <w:t xml:space="preserve">the </w:t>
      </w:r>
      <w:r w:rsidR="00236568" w:rsidRPr="002169ED">
        <w:rPr>
          <w:color w:val="000000" w:themeColor="text1"/>
        </w:rPr>
        <w:t xml:space="preserve">national, regional and global </w:t>
      </w:r>
      <w:r w:rsidR="00236568" w:rsidRPr="0E089D41">
        <w:rPr>
          <w:color w:val="000000" w:themeColor="text1"/>
        </w:rPr>
        <w:t>level</w:t>
      </w:r>
      <w:r w:rsidR="00236568" w:rsidRPr="002169ED">
        <w:rPr>
          <w:color w:val="000000" w:themeColor="text1"/>
        </w:rPr>
        <w:t xml:space="preserve"> </w:t>
      </w:r>
      <w:r w:rsidR="00236568">
        <w:rPr>
          <w:color w:val="000000" w:themeColor="text1"/>
        </w:rPr>
        <w:t>in order</w:t>
      </w:r>
      <w:r w:rsidR="00236568" w:rsidRPr="002169ED">
        <w:rPr>
          <w:color w:val="000000" w:themeColor="text1"/>
        </w:rPr>
        <w:t xml:space="preserve"> </w:t>
      </w:r>
      <w:r w:rsidR="00236568">
        <w:rPr>
          <w:color w:val="000000" w:themeColor="text1"/>
        </w:rPr>
        <w:t>to remain appraised of other relevant frameworks for indicators;</w:t>
      </w:r>
    </w:p>
    <w:p w14:paraId="3D75FC4A" w14:textId="5E2902B0" w:rsidR="00236568" w:rsidRDefault="00492C76" w:rsidP="00492C76">
      <w:pPr>
        <w:pStyle w:val="RegSingleTxtG"/>
        <w:numPr>
          <w:ilvl w:val="0"/>
          <w:numId w:val="0"/>
        </w:numPr>
        <w:ind w:left="1134"/>
      </w:pPr>
      <w:r>
        <w:t>12.</w:t>
      </w:r>
      <w:r>
        <w:tab/>
      </w:r>
      <w:r w:rsidR="00236568" w:rsidRPr="00655A4B">
        <w:rPr>
          <w:i/>
          <w:iCs/>
        </w:rPr>
        <w:t>Also encourages</w:t>
      </w:r>
      <w:r w:rsidR="00236568" w:rsidRPr="00F37C74">
        <w:t xml:space="preserve"> ongoing dialogue among </w:t>
      </w:r>
      <w:r w:rsidR="00236568">
        <w:t>P</w:t>
      </w:r>
      <w:r w:rsidR="00236568" w:rsidRPr="00F37C74">
        <w:t xml:space="preserve">arties, experts and </w:t>
      </w:r>
      <w:r w:rsidR="00236568">
        <w:t xml:space="preserve">other </w:t>
      </w:r>
      <w:r w:rsidR="00236568" w:rsidRPr="00F37C74">
        <w:t xml:space="preserve">stakeholders to support </w:t>
      </w:r>
      <w:r w:rsidR="00236568">
        <w:t>the</w:t>
      </w:r>
      <w:r w:rsidR="00236568" w:rsidRPr="00F37C74">
        <w:t xml:space="preserve"> refinement</w:t>
      </w:r>
      <w:r w:rsidR="00236568">
        <w:t xml:space="preserve"> of existing and </w:t>
      </w:r>
      <w:r w:rsidR="00236568" w:rsidRPr="00F37C74">
        <w:t xml:space="preserve">development </w:t>
      </w:r>
      <w:r w:rsidR="00236568">
        <w:t>of new indicators taking into account</w:t>
      </w:r>
      <w:r w:rsidR="00236568" w:rsidRPr="00F37C74">
        <w:t xml:space="preserve"> </w:t>
      </w:r>
      <w:r w:rsidR="00236568">
        <w:t>the</w:t>
      </w:r>
      <w:r w:rsidR="00236568" w:rsidRPr="00F37C74">
        <w:t xml:space="preserve"> </w:t>
      </w:r>
      <w:r w:rsidR="00236568">
        <w:t xml:space="preserve">guidance referred to in paragraph 10 above and the </w:t>
      </w:r>
      <w:r w:rsidR="00236568" w:rsidRPr="00F37C74">
        <w:t xml:space="preserve">criteria </w:t>
      </w:r>
      <w:r w:rsidR="00236568">
        <w:t>referred to in paragraph</w:t>
      </w:r>
      <w:r w:rsidR="00236568" w:rsidRPr="00EE577D">
        <w:t xml:space="preserve"> </w:t>
      </w:r>
      <w:r w:rsidR="00236568">
        <w:t>17 below</w:t>
      </w:r>
      <w:r w:rsidR="00236568" w:rsidRPr="00AC3D8D">
        <w:t xml:space="preserve"> and </w:t>
      </w:r>
      <w:r w:rsidR="00236568" w:rsidRPr="008864EF">
        <w:rPr>
          <w:i/>
          <w:iCs/>
        </w:rPr>
        <w:t>invites</w:t>
      </w:r>
      <w:r w:rsidR="00236568" w:rsidRPr="00AC3D8D">
        <w:t xml:space="preserve"> the organization of regular dialogues and workshops, as needed, over the next year to review </w:t>
      </w:r>
      <w:r w:rsidR="00236568">
        <w:t xml:space="preserve">the </w:t>
      </w:r>
      <w:r w:rsidR="00236568" w:rsidRPr="00AC3D8D">
        <w:t xml:space="preserve">progress </w:t>
      </w:r>
      <w:r w:rsidR="00236568">
        <w:t xml:space="preserve">of the refinement and development of indicators, including for </w:t>
      </w:r>
      <w:r w:rsidR="00236568" w:rsidRPr="00CF3908">
        <w:t>means of</w:t>
      </w:r>
      <w:r w:rsidR="00236568">
        <w:t xml:space="preserve"> implementation;</w:t>
      </w:r>
    </w:p>
    <w:p w14:paraId="725C753A" w14:textId="25F5B4E2" w:rsidR="00236568" w:rsidRDefault="00492C76" w:rsidP="00492C76">
      <w:pPr>
        <w:pStyle w:val="RegSingleTxtG"/>
        <w:numPr>
          <w:ilvl w:val="0"/>
          <w:numId w:val="0"/>
        </w:numPr>
        <w:ind w:left="1134"/>
      </w:pPr>
      <w:r>
        <w:t>13.</w:t>
      </w:r>
      <w:r>
        <w:tab/>
      </w:r>
      <w:r w:rsidR="00236568" w:rsidRPr="07E7F693">
        <w:rPr>
          <w:i/>
          <w:iCs/>
        </w:rPr>
        <w:t>Requests</w:t>
      </w:r>
      <w:r w:rsidR="00236568" w:rsidRPr="00655A4B">
        <w:t xml:space="preserve"> </w:t>
      </w:r>
      <w:r w:rsidR="00236568">
        <w:t xml:space="preserve">the Chairs of the subsidiary bodies to organize </w:t>
      </w:r>
      <w:r w:rsidR="00236568" w:rsidRPr="0079475C">
        <w:t xml:space="preserve">a </w:t>
      </w:r>
      <w:r w:rsidR="00236568">
        <w:t xml:space="preserve">hybrid </w:t>
      </w:r>
      <w:r w:rsidR="00236568" w:rsidRPr="0079475C">
        <w:t xml:space="preserve">workshop </w:t>
      </w:r>
      <w:r w:rsidR="00236568">
        <w:t>under</w:t>
      </w:r>
      <w:r w:rsidR="00236568" w:rsidRPr="0079475C">
        <w:t xml:space="preserve"> </w:t>
      </w:r>
      <w:r w:rsidR="00236568">
        <w:t>the United Arab Emirates–Belém work programme,</w:t>
      </w:r>
      <w:r w:rsidR="00236568" w:rsidRPr="0079475C">
        <w:t xml:space="preserve"> to </w:t>
      </w:r>
      <w:r w:rsidR="00236568">
        <w:t>take place prior to</w:t>
      </w:r>
      <w:r w:rsidR="00236568" w:rsidRPr="0079475C">
        <w:t xml:space="preserve"> </w:t>
      </w:r>
      <w:r w:rsidR="00236568">
        <w:t>the sixty-second sessions of the subsidiary bodies (June 2025),</w:t>
      </w:r>
      <w:r w:rsidR="00236568" w:rsidRPr="0079475C">
        <w:t xml:space="preserve"> </w:t>
      </w:r>
      <w:r w:rsidR="00236568">
        <w:t xml:space="preserve">to facilitate the work of the </w:t>
      </w:r>
      <w:r w:rsidR="00236568" w:rsidRPr="0079475C">
        <w:t>experts</w:t>
      </w:r>
      <w:r w:rsidR="00236568">
        <w:t xml:space="preserve"> referred to in paragraph 1 above;</w:t>
      </w:r>
    </w:p>
    <w:p w14:paraId="600A23CF" w14:textId="3A428BB0" w:rsidR="00236568" w:rsidRDefault="00492C76" w:rsidP="00492C76">
      <w:pPr>
        <w:pStyle w:val="RegSingleTxtG"/>
        <w:numPr>
          <w:ilvl w:val="0"/>
          <w:numId w:val="0"/>
        </w:numPr>
        <w:ind w:left="1134"/>
      </w:pPr>
      <w:r>
        <w:t>14.</w:t>
      </w:r>
      <w:r>
        <w:tab/>
      </w:r>
      <w:r w:rsidR="00236568">
        <w:rPr>
          <w:i/>
          <w:iCs/>
        </w:rPr>
        <w:t>Also r</w:t>
      </w:r>
      <w:r w:rsidR="00236568" w:rsidRPr="005752BB">
        <w:rPr>
          <w:i/>
          <w:iCs/>
        </w:rPr>
        <w:t>equests</w:t>
      </w:r>
      <w:r w:rsidR="00236568">
        <w:t xml:space="preserve"> the secretariat to prepare and publish a summary report on the workshop referred to in paragraph 13 above no later than six weeks prior to the sixty-second sessions of the subsidiary bodies;</w:t>
      </w:r>
    </w:p>
    <w:p w14:paraId="000CB237" w14:textId="71A74D04" w:rsidR="00236568" w:rsidRDefault="00492C76" w:rsidP="00492C76">
      <w:pPr>
        <w:pStyle w:val="RegSingleTxtG"/>
        <w:numPr>
          <w:ilvl w:val="0"/>
          <w:numId w:val="0"/>
        </w:numPr>
        <w:ind w:left="1134"/>
      </w:pPr>
      <w:r>
        <w:t>15.</w:t>
      </w:r>
      <w:r>
        <w:tab/>
      </w:r>
      <w:r w:rsidR="00236568" w:rsidRPr="6CA772EB">
        <w:rPr>
          <w:i/>
          <w:iCs/>
        </w:rPr>
        <w:t>Emphasizes</w:t>
      </w:r>
      <w:r w:rsidR="00236568">
        <w:t xml:space="preserve"> the importance of including traditional knowledge, knowledge of Indigenous Peoples and local knowledge systems in work under the United Arab Emirates–‍Belém work programme;</w:t>
      </w:r>
    </w:p>
    <w:p w14:paraId="021D9EAF" w14:textId="0F4BFFF7" w:rsidR="00236568" w:rsidRPr="000C0CEA" w:rsidRDefault="00492C76" w:rsidP="00492C76">
      <w:pPr>
        <w:pStyle w:val="RegSingleTxtG"/>
        <w:numPr>
          <w:ilvl w:val="0"/>
          <w:numId w:val="0"/>
        </w:numPr>
        <w:ind w:left="1134"/>
      </w:pPr>
      <w:r w:rsidRPr="000C0CEA">
        <w:t>16.</w:t>
      </w:r>
      <w:r w:rsidRPr="000C0CEA">
        <w:tab/>
      </w:r>
      <w:r w:rsidR="00236568" w:rsidRPr="000C0CEA">
        <w:rPr>
          <w:i/>
          <w:iCs/>
        </w:rPr>
        <w:t>Notes</w:t>
      </w:r>
      <w:r w:rsidR="00236568" w:rsidRPr="000C0CEA">
        <w:t xml:space="preserve"> that national adaptation plans are </w:t>
      </w:r>
      <w:r w:rsidR="00236568" w:rsidRPr="00DC4B0E">
        <w:t xml:space="preserve">one of the </w:t>
      </w:r>
      <w:r w:rsidR="00236568" w:rsidRPr="000C0CEA">
        <w:t xml:space="preserve">important </w:t>
      </w:r>
      <w:r w:rsidR="00236568">
        <w:t>channels via</w:t>
      </w:r>
      <w:r w:rsidR="00236568" w:rsidRPr="000C0CEA">
        <w:t xml:space="preserve"> which the targets </w:t>
      </w:r>
      <w:r w:rsidR="00236568">
        <w:rPr>
          <w:rFonts w:eastAsia="Times New Roman"/>
          <w:color w:val="000000"/>
        </w:rPr>
        <w:t xml:space="preserve">referred to in paragraphs 9–10 of decision </w:t>
      </w:r>
      <w:hyperlink r:id="rId46" w:history="1">
        <w:r w:rsidR="00236568" w:rsidRPr="00514C67">
          <w:rPr>
            <w:rStyle w:val="Hyperlink"/>
            <w:rFonts w:eastAsia="Times New Roman"/>
          </w:rPr>
          <w:t>2/CMA.5</w:t>
        </w:r>
      </w:hyperlink>
      <w:r w:rsidR="00236568">
        <w:t xml:space="preserve"> </w:t>
      </w:r>
      <w:r w:rsidR="00236568" w:rsidRPr="000C0CEA">
        <w:t>could be achieved</w:t>
      </w:r>
      <w:r w:rsidR="00236568">
        <w:t>;</w:t>
      </w:r>
    </w:p>
    <w:p w14:paraId="455D439E" w14:textId="4B1439F7" w:rsidR="00236568" w:rsidRPr="00D929C7" w:rsidRDefault="00492C76" w:rsidP="00492C76">
      <w:pPr>
        <w:pStyle w:val="RegSingleTxtG"/>
        <w:numPr>
          <w:ilvl w:val="0"/>
          <w:numId w:val="0"/>
        </w:numPr>
        <w:ind w:left="1134"/>
      </w:pPr>
      <w:bookmarkStart w:id="18" w:name="_Ref183204580"/>
      <w:r w:rsidRPr="00D929C7">
        <w:t>17.</w:t>
      </w:r>
      <w:r w:rsidRPr="00D929C7">
        <w:tab/>
      </w:r>
      <w:r w:rsidR="00236568" w:rsidRPr="19DC8662">
        <w:rPr>
          <w:i/>
          <w:iCs/>
        </w:rPr>
        <w:t xml:space="preserve">Recalls </w:t>
      </w:r>
      <w:r w:rsidR="00236568">
        <w:t>the criteria</w:t>
      </w:r>
      <w:r w:rsidR="00236568">
        <w:rPr>
          <w:rStyle w:val="FootnoteReference"/>
        </w:rPr>
        <w:footnoteReference w:id="19"/>
      </w:r>
      <w:r w:rsidR="00236568">
        <w:t xml:space="preserve"> for potential indicators set out in the conclusions of the subsidiary bodies at their sixtieth sessions and </w:t>
      </w:r>
      <w:r w:rsidR="00236568" w:rsidRPr="5B1D51E7">
        <w:rPr>
          <w:i/>
          <w:iCs/>
        </w:rPr>
        <w:t>identifies</w:t>
      </w:r>
      <w:r w:rsidR="00236568">
        <w:t xml:space="preserve"> the following additional criteria for possible consideration by the experts referred to in paragraph 1 above, as appropriate:</w:t>
      </w:r>
      <w:bookmarkEnd w:id="18"/>
    </w:p>
    <w:p w14:paraId="25F7D3B1" w14:textId="48C1BA48" w:rsidR="00236568" w:rsidRPr="00046F0B" w:rsidRDefault="00492C76" w:rsidP="00492C76">
      <w:pPr>
        <w:pStyle w:val="RegSingleTxtG2"/>
        <w:numPr>
          <w:ilvl w:val="0"/>
          <w:numId w:val="0"/>
        </w:numPr>
        <w:ind w:left="1134" w:firstLine="567"/>
      </w:pPr>
      <w:r w:rsidRPr="00046F0B">
        <w:rPr>
          <w:szCs w:val="28"/>
        </w:rPr>
        <w:t>(a)</w:t>
      </w:r>
      <w:r w:rsidRPr="00046F0B">
        <w:rPr>
          <w:szCs w:val="28"/>
        </w:rPr>
        <w:tab/>
      </w:r>
      <w:r w:rsidR="00236568">
        <w:t>The m</w:t>
      </w:r>
      <w:r w:rsidR="00236568" w:rsidRPr="00A30893">
        <w:t xml:space="preserve">easurability and availability of data </w:t>
      </w:r>
      <w:r w:rsidR="00236568">
        <w:t>enabling the transparent</w:t>
      </w:r>
      <w:r w:rsidR="00236568" w:rsidRPr="00A30893">
        <w:t xml:space="preserve"> monitoring</w:t>
      </w:r>
      <w:r w:rsidR="00236568">
        <w:t xml:space="preserve"> of</w:t>
      </w:r>
      <w:r w:rsidR="00236568" w:rsidRPr="00A30893">
        <w:t xml:space="preserve"> progress</w:t>
      </w:r>
      <w:r w:rsidR="00236568">
        <w:t xml:space="preserve">; </w:t>
      </w:r>
    </w:p>
    <w:p w14:paraId="2F810604" w14:textId="0AB7D060" w:rsidR="00236568" w:rsidRPr="00046F0B" w:rsidRDefault="00492C76" w:rsidP="00492C76">
      <w:pPr>
        <w:pStyle w:val="RegSingleTxtG2"/>
        <w:numPr>
          <w:ilvl w:val="0"/>
          <w:numId w:val="0"/>
        </w:numPr>
        <w:ind w:left="1134" w:firstLine="567"/>
      </w:pPr>
      <w:r w:rsidRPr="00046F0B">
        <w:rPr>
          <w:szCs w:val="28"/>
        </w:rPr>
        <w:t>(b)</w:t>
      </w:r>
      <w:r w:rsidRPr="00046F0B">
        <w:rPr>
          <w:szCs w:val="28"/>
        </w:rPr>
        <w:tab/>
      </w:r>
      <w:r w:rsidR="00236568" w:rsidRPr="004A1B41">
        <w:t xml:space="preserve">The ability to use data that </w:t>
      </w:r>
      <w:r w:rsidR="00236568">
        <w:t>are</w:t>
      </w:r>
      <w:r w:rsidR="00236568" w:rsidRPr="004A1B41">
        <w:t xml:space="preserve"> already available or can be easily collected by countries, including data from international databases </w:t>
      </w:r>
      <w:r w:rsidR="00236568">
        <w:t>and</w:t>
      </w:r>
      <w:r w:rsidR="00236568" w:rsidRPr="004A1B41">
        <w:t xml:space="preserve"> standardized reporting </w:t>
      </w:r>
      <w:r w:rsidR="00236568">
        <w:t xml:space="preserve">practices; </w:t>
      </w:r>
    </w:p>
    <w:p w14:paraId="03D0A3B2" w14:textId="3D694639" w:rsidR="00236568" w:rsidRPr="00046F0B" w:rsidRDefault="00492C76" w:rsidP="00492C76">
      <w:pPr>
        <w:pStyle w:val="RegSingleTxtG2"/>
        <w:numPr>
          <w:ilvl w:val="0"/>
          <w:numId w:val="0"/>
        </w:numPr>
        <w:ind w:left="1134" w:firstLine="567"/>
      </w:pPr>
      <w:r w:rsidRPr="00046F0B">
        <w:rPr>
          <w:szCs w:val="28"/>
        </w:rPr>
        <w:lastRenderedPageBreak/>
        <w:t>(c)</w:t>
      </w:r>
      <w:r w:rsidRPr="00046F0B">
        <w:rPr>
          <w:szCs w:val="28"/>
        </w:rPr>
        <w:tab/>
      </w:r>
      <w:r w:rsidR="00236568">
        <w:t>The u</w:t>
      </w:r>
      <w:r w:rsidR="00236568" w:rsidRPr="008A7068">
        <w:t xml:space="preserve">se of metrics </w:t>
      </w:r>
      <w:r w:rsidR="00236568">
        <w:t>where</w:t>
      </w:r>
      <w:r w:rsidR="00236568" w:rsidRPr="008A7068">
        <w:t xml:space="preserve"> baselines </w:t>
      </w:r>
      <w:r w:rsidR="00236568">
        <w:t>exist;</w:t>
      </w:r>
    </w:p>
    <w:p w14:paraId="762487C7" w14:textId="31419E79" w:rsidR="00236568" w:rsidRPr="00A65DD3" w:rsidRDefault="00492C76" w:rsidP="00492C76">
      <w:pPr>
        <w:pStyle w:val="RegSingleTxtG2"/>
        <w:numPr>
          <w:ilvl w:val="0"/>
          <w:numId w:val="0"/>
        </w:numPr>
        <w:ind w:left="1134" w:firstLine="567"/>
      </w:pPr>
      <w:r w:rsidRPr="00A65DD3">
        <w:rPr>
          <w:szCs w:val="28"/>
        </w:rPr>
        <w:t>(d)</w:t>
      </w:r>
      <w:r w:rsidRPr="00A65DD3">
        <w:rPr>
          <w:szCs w:val="28"/>
        </w:rPr>
        <w:tab/>
      </w:r>
      <w:r w:rsidR="00236568">
        <w:t>The relevance to multiple thematic targets;</w:t>
      </w:r>
    </w:p>
    <w:p w14:paraId="7279CC42" w14:textId="70095653" w:rsidR="00236568" w:rsidRDefault="00492C76" w:rsidP="00492C76">
      <w:pPr>
        <w:pStyle w:val="RegSingleTxtG2"/>
        <w:numPr>
          <w:ilvl w:val="0"/>
          <w:numId w:val="0"/>
        </w:numPr>
        <w:ind w:left="1134" w:firstLine="567"/>
      </w:pPr>
      <w:r>
        <w:rPr>
          <w:szCs w:val="28"/>
        </w:rPr>
        <w:t>(e)</w:t>
      </w:r>
      <w:r>
        <w:rPr>
          <w:szCs w:val="28"/>
        </w:rPr>
        <w:tab/>
      </w:r>
      <w:r w:rsidR="00236568">
        <w:t>Outcome and output orientation;</w:t>
      </w:r>
    </w:p>
    <w:p w14:paraId="459E00A1" w14:textId="74EE2B8A" w:rsidR="00236568" w:rsidRPr="00D55D6D" w:rsidRDefault="00492C76" w:rsidP="00492C76">
      <w:pPr>
        <w:pStyle w:val="RegSingleTxtG"/>
        <w:numPr>
          <w:ilvl w:val="0"/>
          <w:numId w:val="0"/>
        </w:numPr>
        <w:ind w:left="1134"/>
      </w:pPr>
      <w:r w:rsidRPr="00D55D6D">
        <w:t>18.</w:t>
      </w:r>
      <w:r w:rsidRPr="00D55D6D">
        <w:tab/>
      </w:r>
      <w:r w:rsidR="00236568">
        <w:rPr>
          <w:i/>
          <w:iCs/>
        </w:rPr>
        <w:t>R</w:t>
      </w:r>
      <w:r w:rsidR="00236568" w:rsidRPr="24D7C406">
        <w:rPr>
          <w:i/>
          <w:iCs/>
        </w:rPr>
        <w:t>ecalls</w:t>
      </w:r>
      <w:r w:rsidR="00236568" w:rsidRPr="3BD0DC0C">
        <w:rPr>
          <w:i/>
          <w:iCs/>
        </w:rPr>
        <w:t xml:space="preserve"> </w:t>
      </w:r>
      <w:r w:rsidR="00236568" w:rsidRPr="00D55D6D">
        <w:t xml:space="preserve">paragraph 16 of decision </w:t>
      </w:r>
      <w:hyperlink r:id="rId47" w:history="1">
        <w:r w:rsidR="00236568" w:rsidRPr="00514C67">
          <w:rPr>
            <w:rStyle w:val="Hyperlink"/>
          </w:rPr>
          <w:t>2/CMA.5</w:t>
        </w:r>
      </w:hyperlink>
      <w:r w:rsidR="00236568" w:rsidRPr="00D55D6D">
        <w:t xml:space="preserve"> and </w:t>
      </w:r>
      <w:r w:rsidR="00236568" w:rsidRPr="00C26D78">
        <w:rPr>
          <w:i/>
          <w:iCs/>
        </w:rPr>
        <w:t>reiterates</w:t>
      </w:r>
      <w:r w:rsidR="00236568" w:rsidRPr="00D55D6D">
        <w:t xml:space="preserve"> that no additional reporting </w:t>
      </w:r>
      <w:r w:rsidR="00236568">
        <w:t>burden</w:t>
      </w:r>
      <w:r w:rsidR="00236568" w:rsidRPr="00D55D6D">
        <w:t xml:space="preserve"> should be placed on Parties</w:t>
      </w:r>
      <w:r w:rsidR="00236568">
        <w:t xml:space="preserve"> through the implementation of the United Arab Emirates Framework for Global Climate Resilience;</w:t>
      </w:r>
    </w:p>
    <w:p w14:paraId="598AF5AE" w14:textId="27E41B0B" w:rsidR="00236568" w:rsidRPr="000D492A" w:rsidRDefault="00492C76" w:rsidP="00492C76">
      <w:pPr>
        <w:pStyle w:val="RegSingleTxtG"/>
        <w:numPr>
          <w:ilvl w:val="0"/>
          <w:numId w:val="0"/>
        </w:numPr>
        <w:ind w:left="1134"/>
      </w:pPr>
      <w:r w:rsidRPr="000D492A">
        <w:t>19.</w:t>
      </w:r>
      <w:r w:rsidRPr="000D492A">
        <w:tab/>
      </w:r>
      <w:r w:rsidR="00236568" w:rsidRPr="3BD0DC0C">
        <w:rPr>
          <w:i/>
          <w:iCs/>
        </w:rPr>
        <w:t>Decides</w:t>
      </w:r>
      <w:r w:rsidR="00236568" w:rsidRPr="000D492A">
        <w:rPr>
          <w:i/>
          <w:iCs/>
        </w:rPr>
        <w:t xml:space="preserve"> </w:t>
      </w:r>
      <w:r w:rsidR="00236568" w:rsidRPr="000D492A">
        <w:t xml:space="preserve">that the final outcome of </w:t>
      </w:r>
      <w:r w:rsidR="00236568">
        <w:t xml:space="preserve">the United Arab Emirates–Belém work programme </w:t>
      </w:r>
      <w:r w:rsidR="00236568" w:rsidRPr="000D492A">
        <w:t xml:space="preserve">should support an assessment of progress towards </w:t>
      </w:r>
      <w:r w:rsidR="00236568">
        <w:t xml:space="preserve">achieving </w:t>
      </w:r>
      <w:r w:rsidR="00236568" w:rsidRPr="000D492A">
        <w:t>the targets</w:t>
      </w:r>
      <w:r w:rsidR="00236568">
        <w:t xml:space="preserve"> </w:t>
      </w:r>
      <w:r w:rsidR="00236568">
        <w:rPr>
          <w:rFonts w:eastAsia="Times New Roman"/>
          <w:color w:val="000000"/>
        </w:rPr>
        <w:t xml:space="preserve">referred to in paragraphs 9–10 of decision </w:t>
      </w:r>
      <w:hyperlink r:id="rId48" w:history="1">
        <w:r w:rsidR="00236568" w:rsidRPr="00514C67">
          <w:rPr>
            <w:rStyle w:val="Hyperlink"/>
            <w:rFonts w:eastAsia="Times New Roman"/>
          </w:rPr>
          <w:t>2/CMA.5</w:t>
        </w:r>
      </w:hyperlink>
      <w:r w:rsidR="00236568" w:rsidRPr="000D492A">
        <w:t xml:space="preserve"> and </w:t>
      </w:r>
      <w:r w:rsidR="00236568">
        <w:t>be consistent</w:t>
      </w:r>
      <w:r w:rsidR="00236568" w:rsidRPr="000D492A">
        <w:t xml:space="preserve"> with Article 7</w:t>
      </w:r>
      <w:r w:rsidR="00236568">
        <w:t xml:space="preserve">, paragraph </w:t>
      </w:r>
      <w:r w:rsidR="00236568" w:rsidRPr="000D492A">
        <w:t>1</w:t>
      </w:r>
      <w:r w:rsidR="00236568">
        <w:t>,</w:t>
      </w:r>
      <w:r w:rsidR="00236568" w:rsidRPr="000D492A">
        <w:t xml:space="preserve"> of the Paris Agreement and the temperature goal referred to in Article</w:t>
      </w:r>
      <w:r w:rsidR="00236568">
        <w:t> </w:t>
      </w:r>
      <w:r w:rsidR="00236568" w:rsidRPr="000D492A">
        <w:t xml:space="preserve">2 of </w:t>
      </w:r>
      <w:r w:rsidR="00236568">
        <w:t xml:space="preserve">the </w:t>
      </w:r>
      <w:r w:rsidR="00236568" w:rsidRPr="000D492A">
        <w:t>Paris Agreement</w:t>
      </w:r>
      <w:r w:rsidR="00236568">
        <w:t>;</w:t>
      </w:r>
    </w:p>
    <w:p w14:paraId="43000235" w14:textId="0EB098D7" w:rsidR="00236568" w:rsidRDefault="00492C76" w:rsidP="00492C76">
      <w:pPr>
        <w:pStyle w:val="RegSingleTxtG"/>
        <w:numPr>
          <w:ilvl w:val="0"/>
          <w:numId w:val="0"/>
        </w:numPr>
        <w:ind w:left="1134"/>
      </w:pPr>
      <w:r>
        <w:t>20.</w:t>
      </w:r>
      <w:r>
        <w:tab/>
      </w:r>
      <w:r w:rsidR="00236568" w:rsidRPr="53A25980">
        <w:rPr>
          <w:i/>
          <w:iCs/>
        </w:rPr>
        <w:t>Also decides</w:t>
      </w:r>
      <w:r w:rsidR="00236568">
        <w:rPr>
          <w:i/>
          <w:iCs/>
        </w:rPr>
        <w:t xml:space="preserve"> </w:t>
      </w:r>
      <w:r w:rsidR="00236568" w:rsidRPr="00B14D06">
        <w:t>that</w:t>
      </w:r>
      <w:r w:rsidR="00236568">
        <w:t>,</w:t>
      </w:r>
      <w:r w:rsidR="00236568" w:rsidRPr="53A25980">
        <w:rPr>
          <w:i/>
          <w:iCs/>
        </w:rPr>
        <w:t xml:space="preserve"> </w:t>
      </w:r>
      <w:r w:rsidR="00236568">
        <w:t>noting the need to avoid placing an additional reporting burden on Parties, the final outcome of the United Arab Emirates–Belém work programme</w:t>
      </w:r>
      <w:r w:rsidR="00236568" w:rsidRPr="53A25980">
        <w:rPr>
          <w:rFonts w:eastAsia="Times New Roman"/>
          <w:color w:val="000000" w:themeColor="text1"/>
        </w:rPr>
        <w:t xml:space="preserve"> </w:t>
      </w:r>
      <w:r w:rsidR="00236568">
        <w:t>may include a manageable set of no more than 100 indicators that:</w:t>
      </w:r>
    </w:p>
    <w:p w14:paraId="7261779A" w14:textId="5ED4398C" w:rsidR="00236568" w:rsidRDefault="00492C76" w:rsidP="00492C76">
      <w:pPr>
        <w:pStyle w:val="RegSingleTxtG2"/>
        <w:numPr>
          <w:ilvl w:val="0"/>
          <w:numId w:val="0"/>
        </w:numPr>
        <w:ind w:left="1134" w:firstLine="567"/>
      </w:pPr>
      <w:r>
        <w:rPr>
          <w:szCs w:val="28"/>
        </w:rPr>
        <w:t>(a)</w:t>
      </w:r>
      <w:r>
        <w:rPr>
          <w:szCs w:val="28"/>
        </w:rPr>
        <w:tab/>
      </w:r>
      <w:r w:rsidR="00236568">
        <w:t>Are globally</w:t>
      </w:r>
      <w:r w:rsidR="00236568" w:rsidRPr="004928E0">
        <w:t xml:space="preserve"> applicable</w:t>
      </w:r>
      <w:r w:rsidR="00236568">
        <w:t xml:space="preserve"> with a view to informing an analysis of relevant global trends;</w:t>
      </w:r>
    </w:p>
    <w:p w14:paraId="203652AC" w14:textId="00768B8C" w:rsidR="00236568" w:rsidRPr="00DD0DA2" w:rsidRDefault="00492C76" w:rsidP="00492C76">
      <w:pPr>
        <w:pStyle w:val="RegSingleTxtG2"/>
        <w:numPr>
          <w:ilvl w:val="0"/>
          <w:numId w:val="0"/>
        </w:numPr>
        <w:ind w:left="1134" w:firstLine="567"/>
      </w:pPr>
      <w:r w:rsidRPr="00DD0DA2">
        <w:rPr>
          <w:szCs w:val="28"/>
        </w:rPr>
        <w:t>(b)</w:t>
      </w:r>
      <w:r w:rsidRPr="00DD0DA2">
        <w:rPr>
          <w:szCs w:val="28"/>
        </w:rPr>
        <w:tab/>
      </w:r>
      <w:r w:rsidR="00236568">
        <w:t xml:space="preserve">Constitute a menu that </w:t>
      </w:r>
      <w:r w:rsidR="00236568" w:rsidRPr="00CF3908">
        <w:t>capture</w:t>
      </w:r>
      <w:r w:rsidR="00236568">
        <w:t>s</w:t>
      </w:r>
      <w:r w:rsidR="00236568" w:rsidRPr="00CF3908">
        <w:t xml:space="preserve"> </w:t>
      </w:r>
      <w:r w:rsidR="00236568">
        <w:t>various contexts of adaptation action,</w:t>
      </w:r>
      <w:r w:rsidR="00236568" w:rsidRPr="004928E0">
        <w:t xml:space="preserve"> </w:t>
      </w:r>
      <w:r w:rsidR="00236568">
        <w:t>enabling Parties to</w:t>
      </w:r>
      <w:r w:rsidR="00236568" w:rsidRPr="004928E0">
        <w:t xml:space="preserve"> choose </w:t>
      </w:r>
      <w:r w:rsidR="00236568">
        <w:t>which indicators</w:t>
      </w:r>
      <w:r w:rsidR="00236568" w:rsidRPr="004928E0">
        <w:t xml:space="preserve"> they will report on </w:t>
      </w:r>
      <w:r w:rsidR="00236568">
        <w:t>in the light of their</w:t>
      </w:r>
      <w:r w:rsidR="00236568" w:rsidRPr="004928E0">
        <w:t xml:space="preserve"> national circumstances</w:t>
      </w:r>
      <w:r w:rsidR="00236568">
        <w:t>;</w:t>
      </w:r>
    </w:p>
    <w:p w14:paraId="5F0E508C" w14:textId="3453732E" w:rsidR="00236568" w:rsidRDefault="00492C76" w:rsidP="00492C76">
      <w:pPr>
        <w:pStyle w:val="RegSingleTxtG2"/>
        <w:numPr>
          <w:ilvl w:val="0"/>
          <w:numId w:val="0"/>
        </w:numPr>
        <w:ind w:left="1134" w:firstLine="567"/>
      </w:pPr>
      <w:r>
        <w:rPr>
          <w:szCs w:val="28"/>
        </w:rPr>
        <w:t>(c)</w:t>
      </w:r>
      <w:r>
        <w:rPr>
          <w:szCs w:val="28"/>
        </w:rPr>
        <w:tab/>
      </w:r>
      <w:r w:rsidR="00236568">
        <w:t>Are designed</w:t>
      </w:r>
      <w:r w:rsidR="00236568" w:rsidRPr="0044266D">
        <w:t xml:space="preserve"> </w:t>
      </w:r>
      <w:r w:rsidR="00236568">
        <w:t xml:space="preserve">to enable assessment of progress towards achieving the different components of the targets </w:t>
      </w:r>
      <w:r w:rsidR="00236568">
        <w:rPr>
          <w:rFonts w:eastAsia="Times New Roman"/>
          <w:color w:val="000000"/>
        </w:rPr>
        <w:t xml:space="preserve">referred to in paragraphs 9–10 of decision </w:t>
      </w:r>
      <w:hyperlink r:id="rId49" w:history="1">
        <w:r w:rsidR="00236568" w:rsidRPr="00514C67">
          <w:rPr>
            <w:rStyle w:val="Hyperlink"/>
            <w:rFonts w:eastAsia="Times New Roman"/>
          </w:rPr>
          <w:t>2/CMA.5</w:t>
        </w:r>
      </w:hyperlink>
      <w:r w:rsidR="00236568">
        <w:t xml:space="preserve">; </w:t>
      </w:r>
    </w:p>
    <w:p w14:paraId="4334F050" w14:textId="135EBBB3" w:rsidR="00236568" w:rsidRPr="00F45464" w:rsidRDefault="00492C76" w:rsidP="00492C76">
      <w:pPr>
        <w:pStyle w:val="RegSingleTxtG"/>
        <w:numPr>
          <w:ilvl w:val="0"/>
          <w:numId w:val="0"/>
        </w:numPr>
        <w:ind w:left="1134"/>
      </w:pPr>
      <w:r w:rsidRPr="00F45464">
        <w:t>21.</w:t>
      </w:r>
      <w:r w:rsidRPr="00F45464">
        <w:tab/>
      </w:r>
      <w:r w:rsidR="00236568" w:rsidRPr="1E008741">
        <w:rPr>
          <w:i/>
          <w:iCs/>
        </w:rPr>
        <w:t>Further decides</w:t>
      </w:r>
      <w:r w:rsidR="00236568">
        <w:t xml:space="preserve"> that the final outcome of the United Arab Emirates–Belém work programme should include</w:t>
      </w:r>
      <w:r w:rsidR="00236568" w:rsidRPr="00F45464">
        <w:t>, where applicable</w:t>
      </w:r>
      <w:r w:rsidR="00236568">
        <w:t>:</w:t>
      </w:r>
    </w:p>
    <w:p w14:paraId="60F404A7" w14:textId="0F999E68" w:rsidR="00236568" w:rsidRDefault="00492C76" w:rsidP="00492C76">
      <w:pPr>
        <w:pStyle w:val="RegSingleTxtG2"/>
        <w:numPr>
          <w:ilvl w:val="0"/>
          <w:numId w:val="0"/>
        </w:numPr>
        <w:ind w:left="1134" w:firstLine="567"/>
      </w:pPr>
      <w:r>
        <w:rPr>
          <w:szCs w:val="28"/>
        </w:rPr>
        <w:t>(a)</w:t>
      </w:r>
      <w:r>
        <w:rPr>
          <w:szCs w:val="28"/>
        </w:rPr>
        <w:tab/>
      </w:r>
      <w:r w:rsidR="00236568">
        <w:t>I</w:t>
      </w:r>
      <w:r w:rsidR="00236568" w:rsidRPr="00222CD1">
        <w:t>nformation on the intended purpose of</w:t>
      </w:r>
      <w:r w:rsidR="00236568">
        <w:t xml:space="preserve"> and</w:t>
      </w:r>
      <w:r w:rsidR="00236568" w:rsidRPr="00222CD1">
        <w:t xml:space="preserve"> potential data sources </w:t>
      </w:r>
      <w:r w:rsidR="00236568">
        <w:t xml:space="preserve">for each of the indicators referred to in paragraph 26(b) below, </w:t>
      </w:r>
      <w:r w:rsidR="00236568" w:rsidRPr="00222CD1">
        <w:t>a</w:t>
      </w:r>
      <w:r w:rsidR="00236568">
        <w:t>s well as the</w:t>
      </w:r>
      <w:r w:rsidR="00236568" w:rsidRPr="00222CD1">
        <w:t xml:space="preserve"> mechanisms needed to develop data standards</w:t>
      </w:r>
      <w:r w:rsidR="00236568">
        <w:t xml:space="preserve"> for each indicator;</w:t>
      </w:r>
    </w:p>
    <w:p w14:paraId="0C636179" w14:textId="49063E87" w:rsidR="00236568" w:rsidRDefault="00492C76" w:rsidP="00492C76">
      <w:pPr>
        <w:pStyle w:val="RegSingleTxtG2"/>
        <w:numPr>
          <w:ilvl w:val="0"/>
          <w:numId w:val="0"/>
        </w:numPr>
        <w:ind w:left="1134" w:firstLine="567"/>
      </w:pPr>
      <w:r>
        <w:rPr>
          <w:szCs w:val="28"/>
        </w:rPr>
        <w:t>(b)</w:t>
      </w:r>
      <w:r>
        <w:rPr>
          <w:szCs w:val="28"/>
        </w:rPr>
        <w:tab/>
      </w:r>
      <w:r w:rsidR="00236568">
        <w:t>O</w:t>
      </w:r>
      <w:r w:rsidR="00236568" w:rsidRPr="00DA03D7">
        <w:t xml:space="preserve">utcome and output </w:t>
      </w:r>
      <w:r w:rsidR="00236568">
        <w:t>indicators for the thematic targets;</w:t>
      </w:r>
    </w:p>
    <w:p w14:paraId="5B9F1A86" w14:textId="47D81E11" w:rsidR="00236568" w:rsidRDefault="00492C76" w:rsidP="00492C76">
      <w:pPr>
        <w:pStyle w:val="RegSingleTxtG2"/>
        <w:numPr>
          <w:ilvl w:val="0"/>
          <w:numId w:val="0"/>
        </w:numPr>
        <w:ind w:left="1134" w:firstLine="567"/>
      </w:pPr>
      <w:r>
        <w:rPr>
          <w:szCs w:val="28"/>
        </w:rPr>
        <w:t>(c)</w:t>
      </w:r>
      <w:r>
        <w:rPr>
          <w:szCs w:val="28"/>
        </w:rPr>
        <w:tab/>
      </w:r>
      <w:r w:rsidR="00236568">
        <w:t>Q</w:t>
      </w:r>
      <w:r w:rsidR="00236568" w:rsidRPr="000D73D0">
        <w:t>ualitative, quantitative, input, output, outcome, impact and process indicators, including existing and new ones</w:t>
      </w:r>
      <w:r w:rsidR="00236568">
        <w:t>;</w:t>
      </w:r>
    </w:p>
    <w:p w14:paraId="01C97008" w14:textId="5CC68B3A" w:rsidR="00236568" w:rsidRDefault="00492C76" w:rsidP="00492C76">
      <w:pPr>
        <w:pStyle w:val="RegSingleTxtG2"/>
        <w:numPr>
          <w:ilvl w:val="0"/>
          <w:numId w:val="0"/>
        </w:numPr>
        <w:ind w:left="1134" w:firstLine="567"/>
      </w:pPr>
      <w:r>
        <w:rPr>
          <w:szCs w:val="28"/>
        </w:rPr>
        <w:t>(d)</w:t>
      </w:r>
      <w:r>
        <w:rPr>
          <w:szCs w:val="28"/>
        </w:rPr>
        <w:tab/>
      </w:r>
      <w:r w:rsidR="00236568">
        <w:t xml:space="preserve">Indicators that capture information pertaining to, inter alia, </w:t>
      </w:r>
      <w:r w:rsidR="00236568" w:rsidRPr="00635F19">
        <w:t xml:space="preserve">social inclusion, </w:t>
      </w:r>
      <w:r w:rsidR="00236568">
        <w:t>Indigenous</w:t>
      </w:r>
      <w:r w:rsidR="00236568" w:rsidRPr="00635F19">
        <w:t xml:space="preserve"> </w:t>
      </w:r>
      <w:r w:rsidR="00236568">
        <w:t>P</w:t>
      </w:r>
      <w:r w:rsidR="00236568" w:rsidRPr="00635F19">
        <w:t xml:space="preserve">eoples, participatory processes, human rights, </w:t>
      </w:r>
      <w:r w:rsidR="00236568">
        <w:t>gender equality, migrants,</w:t>
      </w:r>
      <w:r w:rsidR="00236568" w:rsidRPr="00635F19">
        <w:t xml:space="preserve"> children and young people</w:t>
      </w:r>
      <w:r w:rsidR="00236568">
        <w:t>, and persons with disabilities;</w:t>
      </w:r>
    </w:p>
    <w:p w14:paraId="27DBA538" w14:textId="21C9FB9D" w:rsidR="00236568" w:rsidRDefault="00492C76" w:rsidP="00492C76">
      <w:pPr>
        <w:pStyle w:val="RegSingleTxtG2"/>
        <w:numPr>
          <w:ilvl w:val="0"/>
          <w:numId w:val="0"/>
        </w:numPr>
        <w:ind w:left="1134" w:firstLine="567"/>
      </w:pPr>
      <w:r>
        <w:rPr>
          <w:szCs w:val="28"/>
        </w:rPr>
        <w:t>(e)</w:t>
      </w:r>
      <w:r>
        <w:rPr>
          <w:szCs w:val="28"/>
        </w:rPr>
        <w:tab/>
      </w:r>
      <w:r w:rsidR="00236568">
        <w:t>Indicators that are relevant to specific ecosystems,</w:t>
      </w:r>
      <w:r w:rsidR="00236568">
        <w:rPr>
          <w:rStyle w:val="FootnoteReference"/>
        </w:rPr>
        <w:footnoteReference w:id="20"/>
      </w:r>
      <w:r w:rsidR="00236568">
        <w:t xml:space="preserve"> and highlight them, where appropriate, to Parties with similar geographical conditions;</w:t>
      </w:r>
    </w:p>
    <w:p w14:paraId="305E25AC" w14:textId="6BB88B6E" w:rsidR="00236568" w:rsidRDefault="00492C76" w:rsidP="00492C76">
      <w:pPr>
        <w:pStyle w:val="RegSingleTxtG2"/>
        <w:numPr>
          <w:ilvl w:val="0"/>
          <w:numId w:val="0"/>
        </w:numPr>
        <w:ind w:left="1134" w:firstLine="567"/>
      </w:pPr>
      <w:r>
        <w:rPr>
          <w:szCs w:val="28"/>
        </w:rPr>
        <w:t>(f)</w:t>
      </w:r>
      <w:r>
        <w:rPr>
          <w:szCs w:val="28"/>
        </w:rPr>
        <w:tab/>
      </w:r>
      <w:r w:rsidR="00236568">
        <w:t>I</w:t>
      </w:r>
      <w:r w:rsidR="00236568" w:rsidRPr="00891623">
        <w:t xml:space="preserve">ndicators that </w:t>
      </w:r>
      <w:r w:rsidR="00236568">
        <w:t>reflect</w:t>
      </w:r>
      <w:r w:rsidR="00236568" w:rsidRPr="00891623">
        <w:t xml:space="preserve"> the unique vulnerabilities </w:t>
      </w:r>
      <w:r w:rsidR="00236568">
        <w:t xml:space="preserve">of children </w:t>
      </w:r>
      <w:r w:rsidR="00236568" w:rsidRPr="00891623">
        <w:t>to climate change impacts across the thematic target</w:t>
      </w:r>
      <w:r w:rsidR="00236568">
        <w:t>s</w:t>
      </w:r>
      <w:r w:rsidR="00236568" w:rsidRPr="00891623">
        <w:t xml:space="preserve"> and</w:t>
      </w:r>
      <w:r w:rsidR="00236568">
        <w:t>, potentially,</w:t>
      </w:r>
      <w:r w:rsidR="00236568" w:rsidRPr="00891623">
        <w:t xml:space="preserve"> cross-cutting indicators related to education and the health of children and </w:t>
      </w:r>
      <w:r w:rsidR="00236568">
        <w:t>young people;</w:t>
      </w:r>
    </w:p>
    <w:p w14:paraId="26D7F72D" w14:textId="73E678E3" w:rsidR="00236568" w:rsidRDefault="00492C76" w:rsidP="00492C76">
      <w:pPr>
        <w:pStyle w:val="RegSingleTxtG2"/>
        <w:numPr>
          <w:ilvl w:val="0"/>
          <w:numId w:val="0"/>
        </w:numPr>
        <w:ind w:left="1134" w:firstLine="567"/>
      </w:pPr>
      <w:r>
        <w:rPr>
          <w:szCs w:val="28"/>
        </w:rPr>
        <w:t>(g)</w:t>
      </w:r>
      <w:r>
        <w:rPr>
          <w:szCs w:val="28"/>
        </w:rPr>
        <w:tab/>
      </w:r>
      <w:r w:rsidR="00236568">
        <w:t>Quantitative and qualitative indicators for enabling factors for the implementation of adaptation action, including means of implementation;</w:t>
      </w:r>
    </w:p>
    <w:p w14:paraId="46323BF5" w14:textId="492D8F7D" w:rsidR="00236568" w:rsidRDefault="00492C76" w:rsidP="00492C76">
      <w:pPr>
        <w:pStyle w:val="RegSingleTxtG"/>
        <w:numPr>
          <w:ilvl w:val="0"/>
          <w:numId w:val="0"/>
        </w:numPr>
        <w:ind w:left="1134"/>
      </w:pPr>
      <w:r>
        <w:t>22.</w:t>
      </w:r>
      <w:r>
        <w:tab/>
      </w:r>
      <w:r w:rsidR="00236568" w:rsidRPr="64ED722B">
        <w:rPr>
          <w:i/>
          <w:iCs/>
        </w:rPr>
        <w:t>Decides</w:t>
      </w:r>
      <w:r w:rsidR="00236568">
        <w:t xml:space="preserve"> that the final outcome of the United Arab Emirates–Belém </w:t>
      </w:r>
      <w:r w:rsidR="00236568" w:rsidRPr="003D73A3">
        <w:t>work programme</w:t>
      </w:r>
      <w:r w:rsidR="00236568">
        <w:t xml:space="preserve"> should constitute a source</w:t>
      </w:r>
      <w:r w:rsidR="00236568" w:rsidRPr="004B1318">
        <w:t xml:space="preserve"> of input</w:t>
      </w:r>
      <w:r w:rsidR="00236568">
        <w:t>,</w:t>
      </w:r>
      <w:r w:rsidR="00236568">
        <w:rPr>
          <w:rStyle w:val="FootnoteReference"/>
        </w:rPr>
        <w:footnoteReference w:id="21"/>
      </w:r>
      <w:r w:rsidR="00236568" w:rsidRPr="004B1318">
        <w:t xml:space="preserve"> including </w:t>
      </w:r>
      <w:r w:rsidR="00236568">
        <w:t>through</w:t>
      </w:r>
      <w:r w:rsidR="00236568" w:rsidRPr="004B1318">
        <w:t xml:space="preserve"> reporting by </w:t>
      </w:r>
      <w:r w:rsidR="00236568">
        <w:t>Pa</w:t>
      </w:r>
      <w:r w:rsidR="00236568" w:rsidRPr="004B1318">
        <w:t>rties</w:t>
      </w:r>
      <w:r w:rsidR="00236568">
        <w:t>, for</w:t>
      </w:r>
      <w:r w:rsidR="00236568" w:rsidRPr="004B1318">
        <w:t xml:space="preserve"> the technical phase of </w:t>
      </w:r>
      <w:r w:rsidR="00236568">
        <w:t xml:space="preserve">the </w:t>
      </w:r>
      <w:r w:rsidR="00236568" w:rsidRPr="004B1318">
        <w:t>global stocktake</w:t>
      </w:r>
      <w:r w:rsidR="00236568" w:rsidDel="00825E74">
        <w:t xml:space="preserve"> </w:t>
      </w:r>
      <w:r w:rsidR="00236568">
        <w:t xml:space="preserve">by specifying </w:t>
      </w:r>
      <w:r w:rsidR="00236568" w:rsidRPr="003628DD" w:rsidDel="00825E74">
        <w:t xml:space="preserve">a way to structure and inform the assessment of progress </w:t>
      </w:r>
      <w:r w:rsidR="00236568">
        <w:t>i</w:t>
      </w:r>
      <w:r w:rsidR="00236568" w:rsidRPr="003628DD" w:rsidDel="00825E74">
        <w:t>n adaptation</w:t>
      </w:r>
      <w:r w:rsidR="00236568">
        <w:t>;</w:t>
      </w:r>
    </w:p>
    <w:p w14:paraId="10331234" w14:textId="2B49CC40" w:rsidR="00236568" w:rsidRPr="00D8578E" w:rsidRDefault="00492C76" w:rsidP="00492C76">
      <w:pPr>
        <w:pStyle w:val="RegSingleTxtG"/>
        <w:numPr>
          <w:ilvl w:val="0"/>
          <w:numId w:val="0"/>
        </w:numPr>
        <w:ind w:left="1134"/>
      </w:pPr>
      <w:r w:rsidRPr="00D8578E">
        <w:t>23.</w:t>
      </w:r>
      <w:r w:rsidRPr="00D8578E">
        <w:tab/>
      </w:r>
      <w:r w:rsidR="00236568" w:rsidRPr="00655A4B">
        <w:rPr>
          <w:i/>
          <w:iCs/>
        </w:rPr>
        <w:t xml:space="preserve">Confirms </w:t>
      </w:r>
      <w:r w:rsidR="00236568" w:rsidRPr="00D8578E">
        <w:t>that</w:t>
      </w:r>
      <w:r w:rsidR="00236568">
        <w:t xml:space="preserve"> the</w:t>
      </w:r>
      <w:r w:rsidR="00236568" w:rsidRPr="00D8578E">
        <w:t xml:space="preserve"> indicators </w:t>
      </w:r>
      <w:r w:rsidR="00236568">
        <w:t xml:space="preserve">under the United Arab Emirates–Belém work programme </w:t>
      </w:r>
      <w:r w:rsidR="00236568" w:rsidRPr="00D8578E">
        <w:t xml:space="preserve">should allow </w:t>
      </w:r>
      <w:r w:rsidR="00236568">
        <w:t>for</w:t>
      </w:r>
      <w:r w:rsidR="00236568" w:rsidRPr="00D8578E">
        <w:t xml:space="preserve"> the aggregation of information to support </w:t>
      </w:r>
      <w:r w:rsidR="00236568">
        <w:t xml:space="preserve">the </w:t>
      </w:r>
      <w:r w:rsidR="00236568" w:rsidRPr="00D8578E">
        <w:t xml:space="preserve">global stocktake and </w:t>
      </w:r>
      <w:r w:rsidR="00236568">
        <w:t xml:space="preserve">that </w:t>
      </w:r>
      <w:r w:rsidR="00236568" w:rsidRPr="00D8578E">
        <w:t xml:space="preserve">the assessment </w:t>
      </w:r>
      <w:r w:rsidR="00236568">
        <w:t xml:space="preserve">of progress in adaptation </w:t>
      </w:r>
      <w:r w:rsidR="00236568" w:rsidRPr="00D8578E">
        <w:t xml:space="preserve">based on </w:t>
      </w:r>
      <w:r w:rsidR="00236568">
        <w:t>the</w:t>
      </w:r>
      <w:r w:rsidR="00236568" w:rsidRPr="00D8578E">
        <w:t xml:space="preserve"> indicators should be for</w:t>
      </w:r>
      <w:r w:rsidR="00236568">
        <w:t xml:space="preserve"> all countries, including the </w:t>
      </w:r>
      <w:r w:rsidR="00236568" w:rsidRPr="003E5FDA">
        <w:t>least developed countries</w:t>
      </w:r>
      <w:r w:rsidR="00236568">
        <w:t xml:space="preserve"> and </w:t>
      </w:r>
      <w:r w:rsidR="00236568" w:rsidRPr="003E5FDA">
        <w:t>small island developing States</w:t>
      </w:r>
      <w:r w:rsidR="00236568">
        <w:t>;</w:t>
      </w:r>
    </w:p>
    <w:p w14:paraId="124E1375" w14:textId="1EFB571E" w:rsidR="00236568" w:rsidRPr="00586D7E" w:rsidRDefault="00492C76" w:rsidP="00492C76">
      <w:pPr>
        <w:pStyle w:val="RegSingleTxtG"/>
        <w:numPr>
          <w:ilvl w:val="0"/>
          <w:numId w:val="0"/>
        </w:numPr>
        <w:ind w:left="1134"/>
      </w:pPr>
      <w:r w:rsidRPr="00586D7E">
        <w:lastRenderedPageBreak/>
        <w:t>24.</w:t>
      </w:r>
      <w:r w:rsidRPr="00586D7E">
        <w:tab/>
      </w:r>
      <w:r w:rsidR="00236568" w:rsidRPr="00996B29">
        <w:rPr>
          <w:i/>
          <w:iCs/>
        </w:rPr>
        <w:t>Reaffirms</w:t>
      </w:r>
      <w:r w:rsidR="00236568">
        <w:t xml:space="preserve"> that efforts made by Parties </w:t>
      </w:r>
      <w:r w:rsidR="00236568" w:rsidRPr="00CF3908">
        <w:t>to</w:t>
      </w:r>
      <w:r w:rsidR="00236568">
        <w:t>wards achieving the targets</w:t>
      </w:r>
      <w:r w:rsidR="00236568" w:rsidRPr="000A1A2B">
        <w:rPr>
          <w:rFonts w:eastAsia="Times New Roman"/>
          <w:color w:val="000000"/>
        </w:rPr>
        <w:t xml:space="preserve"> </w:t>
      </w:r>
      <w:r w:rsidR="00236568">
        <w:rPr>
          <w:rFonts w:eastAsia="Times New Roman"/>
          <w:color w:val="000000"/>
        </w:rPr>
        <w:t xml:space="preserve">referred to in paragraphs 9–10 of decision </w:t>
      </w:r>
      <w:hyperlink r:id="rId50" w:history="1">
        <w:r w:rsidR="00236568" w:rsidRPr="00514C67">
          <w:rPr>
            <w:rStyle w:val="Hyperlink"/>
            <w:rFonts w:eastAsia="Times New Roman"/>
          </w:rPr>
          <w:t>2/CMA.5</w:t>
        </w:r>
      </w:hyperlink>
      <w:r w:rsidR="00236568">
        <w:t xml:space="preserve"> shall be made in a manner that is country-driven, voluntary and in accordance with national circumstances, take into account sustainable development and poverty eradication, and not constitute a basis for comparison between Parties</w:t>
      </w:r>
      <w:r w:rsidR="00236568">
        <w:rPr>
          <w:rStyle w:val="FootnoteReference"/>
        </w:rPr>
        <w:footnoteReference w:id="22"/>
      </w:r>
      <w:r w:rsidR="00236568">
        <w:t xml:space="preserve"> and </w:t>
      </w:r>
      <w:r w:rsidR="00236568">
        <w:rPr>
          <w:i/>
          <w:iCs/>
        </w:rPr>
        <w:t>e</w:t>
      </w:r>
      <w:r w:rsidR="00236568" w:rsidRPr="008136C7">
        <w:rPr>
          <w:i/>
          <w:iCs/>
        </w:rPr>
        <w:t>mphasizes</w:t>
      </w:r>
      <w:r w:rsidR="00236568" w:rsidRPr="00586D7E">
        <w:t xml:space="preserve"> that reporting on the indicators is voluntary</w:t>
      </w:r>
      <w:r w:rsidR="00236568">
        <w:t>;</w:t>
      </w:r>
    </w:p>
    <w:p w14:paraId="584D3CAE" w14:textId="5B4FC9BE" w:rsidR="00236568" w:rsidRDefault="00492C76" w:rsidP="00492C76">
      <w:pPr>
        <w:pStyle w:val="RegSingleTxtG"/>
        <w:numPr>
          <w:ilvl w:val="0"/>
          <w:numId w:val="0"/>
        </w:numPr>
        <w:ind w:left="1134"/>
      </w:pPr>
      <w:r>
        <w:t>25.</w:t>
      </w:r>
      <w:r>
        <w:tab/>
      </w:r>
      <w:r w:rsidR="00236568" w:rsidRPr="00655A4B">
        <w:rPr>
          <w:i/>
          <w:iCs/>
        </w:rPr>
        <w:t>Urges</w:t>
      </w:r>
      <w:r w:rsidR="00236568" w:rsidRPr="00A072AE">
        <w:t xml:space="preserve"> the establishment of a clear timeline for outputs from the experts referred to in paragraph </w:t>
      </w:r>
      <w:r w:rsidR="00236568">
        <w:t>1 above;</w:t>
      </w:r>
    </w:p>
    <w:p w14:paraId="261DBC80" w14:textId="7E3F3E8E" w:rsidR="00236568" w:rsidRDefault="00492C76" w:rsidP="00492C76">
      <w:pPr>
        <w:pStyle w:val="RegSingleTxtG"/>
        <w:numPr>
          <w:ilvl w:val="0"/>
          <w:numId w:val="0"/>
        </w:numPr>
        <w:ind w:left="1134"/>
      </w:pPr>
      <w:r>
        <w:t>26.</w:t>
      </w:r>
      <w:r>
        <w:tab/>
      </w:r>
      <w:r w:rsidR="00236568" w:rsidRPr="360792FD">
        <w:rPr>
          <w:i/>
          <w:iCs/>
        </w:rPr>
        <w:t>Requests</w:t>
      </w:r>
      <w:r w:rsidR="00236568">
        <w:t xml:space="preserve"> the Chairs of the subsidiary bodies to invite the experts referred to in paragraph 1 above to:</w:t>
      </w:r>
    </w:p>
    <w:p w14:paraId="5DD53372" w14:textId="2BE7FF70" w:rsidR="00236568" w:rsidRDefault="00492C76" w:rsidP="00492C76">
      <w:pPr>
        <w:pStyle w:val="RegSingleTxtG2"/>
        <w:numPr>
          <w:ilvl w:val="0"/>
          <w:numId w:val="0"/>
        </w:numPr>
        <w:ind w:left="1134" w:firstLine="567"/>
      </w:pPr>
      <w:r>
        <w:rPr>
          <w:szCs w:val="28"/>
        </w:rPr>
        <w:t>(a)</w:t>
      </w:r>
      <w:r>
        <w:rPr>
          <w:szCs w:val="28"/>
        </w:rPr>
        <w:tab/>
      </w:r>
      <w:r w:rsidR="00236568">
        <w:t>Commence their work on further</w:t>
      </w:r>
      <w:r w:rsidR="00236568" w:rsidRPr="0062499C">
        <w:t xml:space="preserve"> refin</w:t>
      </w:r>
      <w:r w:rsidR="00236568">
        <w:t>ing</w:t>
      </w:r>
      <w:r w:rsidR="00236568" w:rsidRPr="0062499C">
        <w:t xml:space="preserve"> the </w:t>
      </w:r>
      <w:r w:rsidR="00236568">
        <w:t>indicators</w:t>
      </w:r>
      <w:r w:rsidR="00236568" w:rsidRPr="0062499C">
        <w:t xml:space="preserve">, addressing gaps and </w:t>
      </w:r>
      <w:r w:rsidR="00236568">
        <w:t xml:space="preserve">developing new indicators, as needed, </w:t>
      </w:r>
      <w:r w:rsidR="00236568" w:rsidRPr="0062499C">
        <w:t xml:space="preserve">immediately after </w:t>
      </w:r>
      <w:r w:rsidR="00236568">
        <w:t xml:space="preserve">the sixth session of the Conference of the Parties serving as the meeting of the Parties to the Paris Agreement; </w:t>
      </w:r>
    </w:p>
    <w:p w14:paraId="5723780D" w14:textId="2A481F5D" w:rsidR="00236568" w:rsidRDefault="00492C76" w:rsidP="00492C76">
      <w:pPr>
        <w:pStyle w:val="RegSingleTxtG2"/>
        <w:numPr>
          <w:ilvl w:val="0"/>
          <w:numId w:val="0"/>
        </w:numPr>
        <w:ind w:left="1134" w:firstLine="567"/>
      </w:pPr>
      <w:r>
        <w:rPr>
          <w:szCs w:val="28"/>
        </w:rPr>
        <w:t>(b)</w:t>
      </w:r>
      <w:r>
        <w:rPr>
          <w:szCs w:val="28"/>
        </w:rPr>
        <w:tab/>
      </w:r>
      <w:r w:rsidR="00236568">
        <w:t xml:space="preserve">Produce a consolidated list of indicator options for Parties, including metadata, where available, and a progress report, to be published no later than four weeks prior to the sixty-second sessions of the subsidiary bodies for consideration at those sessions; </w:t>
      </w:r>
    </w:p>
    <w:p w14:paraId="06C16A2F" w14:textId="746037C3" w:rsidR="00236568" w:rsidRDefault="00492C76" w:rsidP="00492C76">
      <w:pPr>
        <w:pStyle w:val="RegSingleTxtG2"/>
        <w:numPr>
          <w:ilvl w:val="0"/>
          <w:numId w:val="0"/>
        </w:numPr>
        <w:ind w:left="1134" w:firstLine="567"/>
      </w:pPr>
      <w:r>
        <w:rPr>
          <w:szCs w:val="28"/>
        </w:rPr>
        <w:t>(c)</w:t>
      </w:r>
      <w:r>
        <w:rPr>
          <w:szCs w:val="28"/>
        </w:rPr>
        <w:tab/>
      </w:r>
      <w:r w:rsidR="00236568">
        <w:t xml:space="preserve">Finalize </w:t>
      </w:r>
      <w:r w:rsidR="00236568" w:rsidRPr="00CF3908">
        <w:t xml:space="preserve">and submit </w:t>
      </w:r>
      <w:r w:rsidR="00236568">
        <w:t>their inputs to the technical reports,</w:t>
      </w:r>
      <w:r w:rsidR="00236568">
        <w:rPr>
          <w:rStyle w:val="FootnoteReference"/>
        </w:rPr>
        <w:footnoteReference w:id="23"/>
      </w:r>
      <w:r w:rsidR="00236568">
        <w:t xml:space="preserve"> including their recommendations on the use of indicators, to the secretariat</w:t>
      </w:r>
      <w:r w:rsidR="00236568" w:rsidRPr="00BF52F1">
        <w:t xml:space="preserve"> </w:t>
      </w:r>
      <w:r w:rsidR="00236568">
        <w:t>in time to enable the issuance of the reports no later than four weeks prior to the sixty-second sessions of the subsidiary bodies</w:t>
      </w:r>
      <w:r w:rsidR="00236568" w:rsidRPr="00BF52F1">
        <w:t xml:space="preserve"> to allow adequate </w:t>
      </w:r>
      <w:r w:rsidR="00236568">
        <w:t>time for</w:t>
      </w:r>
      <w:r w:rsidR="00236568" w:rsidRPr="00BF52F1">
        <w:t xml:space="preserve"> review by</w:t>
      </w:r>
      <w:r w:rsidR="00236568">
        <w:t xml:space="preserve"> Parties and </w:t>
      </w:r>
      <w:r w:rsidR="00236568" w:rsidRPr="00CF3908">
        <w:t>publi</w:t>
      </w:r>
      <w:r w:rsidR="00236568">
        <w:t xml:space="preserve">cation prior to the workshop </w:t>
      </w:r>
      <w:r w:rsidR="00236568" w:rsidRPr="008752B1">
        <w:t xml:space="preserve">to be held in conjunction with </w:t>
      </w:r>
      <w:r w:rsidR="00236568">
        <w:t>the sixty-second sessions of the subsidiary bodies;</w:t>
      </w:r>
      <w:r w:rsidR="00236568">
        <w:rPr>
          <w:rStyle w:val="FootnoteReference"/>
        </w:rPr>
        <w:footnoteReference w:id="24"/>
      </w:r>
    </w:p>
    <w:p w14:paraId="45135049" w14:textId="3D836255" w:rsidR="00236568" w:rsidRDefault="00492C76" w:rsidP="00492C76">
      <w:pPr>
        <w:pStyle w:val="RegSingleTxtG"/>
        <w:numPr>
          <w:ilvl w:val="0"/>
          <w:numId w:val="0"/>
        </w:numPr>
        <w:ind w:left="1134"/>
      </w:pPr>
      <w:r>
        <w:t>27.</w:t>
      </w:r>
      <w:r>
        <w:tab/>
      </w:r>
      <w:r w:rsidR="00236568" w:rsidRPr="05BADCD0">
        <w:rPr>
          <w:i/>
          <w:iCs/>
        </w:rPr>
        <w:t>Also requests</w:t>
      </w:r>
      <w:r w:rsidR="00236568">
        <w:t xml:space="preserve"> the secretariat to publish the outputs referred to in paragraph 26(b–c) above prior to the sixty-second sessions of the subsidiary bodies;</w:t>
      </w:r>
    </w:p>
    <w:p w14:paraId="10FBD7BD" w14:textId="02457418" w:rsidR="00236568" w:rsidRDefault="00492C76" w:rsidP="00492C76">
      <w:pPr>
        <w:pStyle w:val="RegSingleTxtG"/>
        <w:numPr>
          <w:ilvl w:val="0"/>
          <w:numId w:val="0"/>
        </w:numPr>
        <w:ind w:left="1134"/>
      </w:pPr>
      <w:r>
        <w:t>28.</w:t>
      </w:r>
      <w:r>
        <w:tab/>
      </w:r>
      <w:r w:rsidR="00236568" w:rsidRPr="005752BB">
        <w:rPr>
          <w:i/>
          <w:iCs/>
        </w:rPr>
        <w:t>Recalls</w:t>
      </w:r>
      <w:r w:rsidR="00236568">
        <w:t xml:space="preserve"> paragraph 38 of decision </w:t>
      </w:r>
      <w:hyperlink r:id="rId51" w:history="1">
        <w:r w:rsidR="00236568" w:rsidRPr="00514C67">
          <w:rPr>
            <w:rStyle w:val="Hyperlink"/>
          </w:rPr>
          <w:t>2/CMA.5</w:t>
        </w:r>
      </w:hyperlink>
      <w:r w:rsidR="00236568">
        <w:t xml:space="preserve"> and </w:t>
      </w:r>
      <w:r w:rsidR="00236568" w:rsidRPr="05BADCD0">
        <w:rPr>
          <w:i/>
          <w:iCs/>
        </w:rPr>
        <w:t>affirms</w:t>
      </w:r>
      <w:r w:rsidR="00236568">
        <w:t xml:space="preserve"> that the agenda item on matters relating to the global goal on adaptation is a standing agenda item and will continue to be included in the agendas for the sixty-fourth (June 2026) and subsequent sessions of the subsidiary bodies and the eighth (November 2026) and subsequent sessions of the Conference of the Parties serving as the meeting of the Parties to the Paris Agreement, unless otherwise specified by the</w:t>
      </w:r>
      <w:r w:rsidR="00236568" w:rsidRPr="00B0514A">
        <w:t xml:space="preserve"> </w:t>
      </w:r>
      <w:r w:rsidR="00236568">
        <w:t>Conference of the Parties serving as the meeting of the Parties to the Paris Agreement;</w:t>
      </w:r>
    </w:p>
    <w:p w14:paraId="2890319F" w14:textId="0821584F" w:rsidR="00236568" w:rsidRPr="00CF3908" w:rsidRDefault="00492C76" w:rsidP="00492C76">
      <w:pPr>
        <w:pStyle w:val="RegSingleTxtG"/>
        <w:numPr>
          <w:ilvl w:val="0"/>
          <w:numId w:val="0"/>
        </w:numPr>
        <w:ind w:left="1134"/>
      </w:pPr>
      <w:r w:rsidRPr="00CF3908">
        <w:t>29.</w:t>
      </w:r>
      <w:r w:rsidRPr="00CF3908">
        <w:tab/>
      </w:r>
      <w:r w:rsidR="00236568" w:rsidRPr="00712FA7">
        <w:rPr>
          <w:i/>
          <w:iCs/>
        </w:rPr>
        <w:t>Decides</w:t>
      </w:r>
      <w:r w:rsidR="00236568">
        <w:t xml:space="preserve"> to launch the Baku Adaptation Road Map with the aim of advancing progress in line with Article 7, paragraph 1, of the Paris Agreement and supporting the implementation of the elements outlined in paragraph 38 of decision </w:t>
      </w:r>
      <w:hyperlink r:id="rId52" w:history="1">
        <w:r w:rsidR="00236568" w:rsidRPr="00514C67">
          <w:rPr>
            <w:rStyle w:val="Hyperlink"/>
          </w:rPr>
          <w:t>2/CMA.5</w:t>
        </w:r>
      </w:hyperlink>
      <w:r w:rsidR="00236568">
        <w:t xml:space="preserve"> and </w:t>
      </w:r>
      <w:r w:rsidR="00236568" w:rsidRPr="00A4259C">
        <w:rPr>
          <w:i/>
          <w:iCs/>
        </w:rPr>
        <w:t>requests</w:t>
      </w:r>
      <w:r w:rsidR="00236568">
        <w:t xml:space="preserve"> the subsidiary bodies to develop modalities for work under the Road Map;</w:t>
      </w:r>
    </w:p>
    <w:p w14:paraId="3ECC70EF" w14:textId="776F6923" w:rsidR="00236568" w:rsidRDefault="00492C76" w:rsidP="00492C76">
      <w:pPr>
        <w:pStyle w:val="RegSingleTxtG"/>
        <w:numPr>
          <w:ilvl w:val="0"/>
          <w:numId w:val="0"/>
        </w:numPr>
        <w:ind w:left="1134"/>
      </w:pPr>
      <w:r>
        <w:t>30.</w:t>
      </w:r>
      <w:r>
        <w:tab/>
      </w:r>
      <w:r w:rsidR="00236568" w:rsidRPr="0F4A2712">
        <w:rPr>
          <w:i/>
          <w:iCs/>
        </w:rPr>
        <w:t>Establishes</w:t>
      </w:r>
      <w:r w:rsidR="00236568">
        <w:t xml:space="preserve"> the Baku high-level dialogue on adaptation, to be convened on the margins of each session of the </w:t>
      </w:r>
      <w:r w:rsidR="00236568" w:rsidRPr="00115076">
        <w:rPr>
          <w:color w:val="000000"/>
        </w:rPr>
        <w:t>Conference of the Parties serving as the meeting of the Parties to the Paris Agreement</w:t>
      </w:r>
      <w:r w:rsidR="00236568">
        <w:t xml:space="preserve"> by the President of that session and the President of the previous session with the aim of identifying ways of enhancing the implementation of the United Arab Emirates Framework for Global Climate Resilience;</w:t>
      </w:r>
    </w:p>
    <w:p w14:paraId="4415684D" w14:textId="182C52C1" w:rsidR="00236568" w:rsidRDefault="00492C76" w:rsidP="00492C76">
      <w:pPr>
        <w:pStyle w:val="RegSingleTxtG"/>
        <w:numPr>
          <w:ilvl w:val="0"/>
          <w:numId w:val="0"/>
        </w:numPr>
        <w:ind w:left="1134"/>
      </w:pPr>
      <w:r>
        <w:t>31.</w:t>
      </w:r>
      <w:r>
        <w:tab/>
      </w:r>
      <w:r w:rsidR="00236568" w:rsidRPr="00D87F94">
        <w:rPr>
          <w:i/>
          <w:iCs/>
        </w:rPr>
        <w:t>Requests</w:t>
      </w:r>
      <w:r w:rsidR="00236568">
        <w:t xml:space="preserve"> the President of the Conference of the Parties serving as the meeting of the Parties to the Paris Agreement to report on the outcomes of the dialogue referred to in paragraph </w:t>
      </w:r>
      <w:r w:rsidR="00236568" w:rsidRPr="00CF3908">
        <w:t>3</w:t>
      </w:r>
      <w:r w:rsidR="00236568">
        <w:t>0 above at the relevant session of the Conference of the Parties serving as the meeting of the Parties to the Paris Agreement;</w:t>
      </w:r>
    </w:p>
    <w:p w14:paraId="044F25E5" w14:textId="6028CC23" w:rsidR="00236568" w:rsidRPr="00DD5A57" w:rsidRDefault="00492C76" w:rsidP="00492C76">
      <w:pPr>
        <w:pStyle w:val="RegSingleTxtG"/>
        <w:numPr>
          <w:ilvl w:val="0"/>
          <w:numId w:val="0"/>
        </w:numPr>
        <w:ind w:left="1134"/>
      </w:pPr>
      <w:r w:rsidRPr="00DD5A57">
        <w:t>32.</w:t>
      </w:r>
      <w:r w:rsidRPr="00DD5A57">
        <w:tab/>
      </w:r>
      <w:r w:rsidR="00236568" w:rsidRPr="0BA7ED9F">
        <w:rPr>
          <w:i/>
          <w:iCs/>
        </w:rPr>
        <w:t>Note</w:t>
      </w:r>
      <w:r w:rsidR="00236568" w:rsidRPr="00DD5A57">
        <w:t>s that a limited number of submissions</w:t>
      </w:r>
      <w:r w:rsidR="00236568" w:rsidRPr="00DD5A57">
        <w:rPr>
          <w:rStyle w:val="FootnoteReference"/>
        </w:rPr>
        <w:footnoteReference w:id="25"/>
      </w:r>
      <w:r w:rsidR="00236568" w:rsidRPr="00DD5A57">
        <w:t xml:space="preserve"> </w:t>
      </w:r>
      <w:r w:rsidR="00236568">
        <w:t>on</w:t>
      </w:r>
      <w:r w:rsidR="00236568" w:rsidRPr="00DD5A57">
        <w:t xml:space="preserve"> matters related to paragraph</w:t>
      </w:r>
      <w:r w:rsidR="00236568">
        <w:t> </w:t>
      </w:r>
      <w:r w:rsidR="00236568" w:rsidRPr="00DD5A57">
        <w:t xml:space="preserve">38 of decision </w:t>
      </w:r>
      <w:hyperlink r:id="rId53" w:history="1">
        <w:r w:rsidR="00236568" w:rsidRPr="00514C67">
          <w:rPr>
            <w:rStyle w:val="Hyperlink"/>
          </w:rPr>
          <w:t>2/CMA.5</w:t>
        </w:r>
      </w:hyperlink>
      <w:r w:rsidR="00236568" w:rsidRPr="00DD5A57">
        <w:t xml:space="preserve"> were received prior to </w:t>
      </w:r>
      <w:r w:rsidR="00236568">
        <w:t>the sixty-first sessions of the subsidiary bodies</w:t>
      </w:r>
      <w:r w:rsidR="00236568" w:rsidRPr="00DD5A57">
        <w:t xml:space="preserve"> and </w:t>
      </w:r>
      <w:r w:rsidR="00236568" w:rsidRPr="005818D1">
        <w:rPr>
          <w:i/>
          <w:iCs/>
        </w:rPr>
        <w:t>invites</w:t>
      </w:r>
      <w:r w:rsidR="00236568" w:rsidRPr="00DD5A57">
        <w:t xml:space="preserve"> Parties to submit views </w:t>
      </w:r>
      <w:r w:rsidR="00236568">
        <w:t>on those matters and on</w:t>
      </w:r>
      <w:r w:rsidR="00236568" w:rsidRPr="00CF3908">
        <w:t xml:space="preserve"> the </w:t>
      </w:r>
      <w:r w:rsidR="00236568">
        <w:t>modalities for</w:t>
      </w:r>
      <w:r w:rsidR="00236568" w:rsidRPr="00CF3908">
        <w:t xml:space="preserve"> </w:t>
      </w:r>
      <w:r w:rsidR="00236568">
        <w:t xml:space="preserve">work under </w:t>
      </w:r>
      <w:r w:rsidR="00236568" w:rsidRPr="00CF3908">
        <w:t>the Baku Adaptation Road</w:t>
      </w:r>
      <w:r w:rsidR="00236568">
        <w:t xml:space="preserve"> M</w:t>
      </w:r>
      <w:r w:rsidR="00236568" w:rsidRPr="00CF3908">
        <w:t xml:space="preserve">ap </w:t>
      </w:r>
      <w:r w:rsidR="00236568" w:rsidRPr="00DD5A57">
        <w:t>via the submission portal</w:t>
      </w:r>
      <w:r w:rsidR="00236568">
        <w:rPr>
          <w:rStyle w:val="FootnoteReference"/>
        </w:rPr>
        <w:footnoteReference w:id="26"/>
      </w:r>
      <w:r w:rsidR="00236568" w:rsidRPr="00DD5A57">
        <w:t xml:space="preserve"> by 31 March 2025</w:t>
      </w:r>
      <w:r w:rsidR="00236568">
        <w:t>;</w:t>
      </w:r>
    </w:p>
    <w:p w14:paraId="6B6D8673" w14:textId="30985CB1" w:rsidR="00236568" w:rsidRDefault="00492C76" w:rsidP="00492C76">
      <w:pPr>
        <w:pStyle w:val="RegSingleTxtG"/>
        <w:numPr>
          <w:ilvl w:val="0"/>
          <w:numId w:val="0"/>
        </w:numPr>
        <w:ind w:left="1134"/>
      </w:pPr>
      <w:r>
        <w:lastRenderedPageBreak/>
        <w:t>33.</w:t>
      </w:r>
      <w:r>
        <w:tab/>
      </w:r>
      <w:r w:rsidR="00236568" w:rsidRPr="008E7EE7">
        <w:rPr>
          <w:i/>
          <w:iCs/>
        </w:rPr>
        <w:t xml:space="preserve">Emphasizes </w:t>
      </w:r>
      <w:r w:rsidR="00236568" w:rsidRPr="73732CE4">
        <w:t xml:space="preserve">the importance of the exchange of knowledge, experience </w:t>
      </w:r>
      <w:r w:rsidR="00236568">
        <w:t xml:space="preserve">and </w:t>
      </w:r>
      <w:r w:rsidR="00236568" w:rsidRPr="73732CE4">
        <w:t xml:space="preserve">information and sharing </w:t>
      </w:r>
      <w:r w:rsidR="00236568">
        <w:t>of</w:t>
      </w:r>
      <w:r w:rsidR="00236568" w:rsidRPr="73732CE4">
        <w:t xml:space="preserve"> </w:t>
      </w:r>
      <w:r w:rsidR="00236568">
        <w:t xml:space="preserve">best </w:t>
      </w:r>
      <w:r w:rsidR="00236568" w:rsidRPr="73732CE4">
        <w:t>practices pertaining to the targets</w:t>
      </w:r>
      <w:r w:rsidR="00236568" w:rsidRPr="1B9CDF99">
        <w:rPr>
          <w:rFonts w:eastAsia="Times New Roman"/>
          <w:color w:val="000000" w:themeColor="text1"/>
        </w:rPr>
        <w:t xml:space="preserve"> referred to in paragraphs 9–10 of decision </w:t>
      </w:r>
      <w:hyperlink r:id="rId54">
        <w:r w:rsidR="00236568" w:rsidRPr="1B9CDF99">
          <w:rPr>
            <w:rStyle w:val="Hyperlink"/>
            <w:rFonts w:eastAsia="Times New Roman"/>
          </w:rPr>
          <w:t>2/CMA.5</w:t>
        </w:r>
      </w:hyperlink>
      <w:r w:rsidR="00236568" w:rsidRPr="73732CE4">
        <w:t xml:space="preserve">, including through the work of the </w:t>
      </w:r>
      <w:r w:rsidR="00236568">
        <w:t>Adaptation Committee</w:t>
      </w:r>
      <w:r w:rsidR="00236568" w:rsidRPr="73732CE4">
        <w:t>,</w:t>
      </w:r>
      <w:r w:rsidR="00236568">
        <w:t xml:space="preserve"> the Least Developed Countries Expert Group,</w:t>
      </w:r>
      <w:r w:rsidR="00236568" w:rsidRPr="73732CE4">
        <w:t xml:space="preserve"> </w:t>
      </w:r>
      <w:r w:rsidR="00236568">
        <w:t xml:space="preserve">the </w:t>
      </w:r>
      <w:r w:rsidR="00236568" w:rsidRPr="00983CB1">
        <w:t>Facilitative Working Group</w:t>
      </w:r>
      <w:r w:rsidR="00236568">
        <w:t xml:space="preserve"> </w:t>
      </w:r>
      <w:r w:rsidR="00236568" w:rsidRPr="00983CB1">
        <w:t>of the Local Communities and Indigenous Peoples Platform</w:t>
      </w:r>
      <w:r w:rsidR="00236568" w:rsidRPr="73732CE4">
        <w:t xml:space="preserve"> and other </w:t>
      </w:r>
      <w:r w:rsidR="00236568">
        <w:t>constituted bodies</w:t>
      </w:r>
      <w:r w:rsidR="00236568" w:rsidRPr="73732CE4">
        <w:t xml:space="preserve">, and </w:t>
      </w:r>
      <w:r w:rsidR="00236568">
        <w:t>the Nairobi work programme on impacts, vulnerability and adaptation to climate change</w:t>
      </w:r>
      <w:r w:rsidR="00236568" w:rsidRPr="73732CE4">
        <w:t xml:space="preserve">, </w:t>
      </w:r>
      <w:r w:rsidR="00236568">
        <w:t xml:space="preserve">and </w:t>
      </w:r>
      <w:r w:rsidR="00236568" w:rsidRPr="73732CE4">
        <w:t xml:space="preserve">at </w:t>
      </w:r>
      <w:r w:rsidR="00236568">
        <w:t>other</w:t>
      </w:r>
      <w:r w:rsidR="00236568" w:rsidRPr="73732CE4">
        <w:t xml:space="preserve"> adaptation for</w:t>
      </w:r>
      <w:r w:rsidR="00236568">
        <w:t>ums;</w:t>
      </w:r>
    </w:p>
    <w:p w14:paraId="63CBD5D2" w14:textId="709C2084" w:rsidR="00236568" w:rsidRDefault="00492C76" w:rsidP="00492C76">
      <w:pPr>
        <w:pStyle w:val="RegSingleTxtG"/>
        <w:numPr>
          <w:ilvl w:val="0"/>
          <w:numId w:val="0"/>
        </w:numPr>
        <w:ind w:left="1134"/>
      </w:pPr>
      <w:r>
        <w:t>34.</w:t>
      </w:r>
      <w:r>
        <w:tab/>
      </w:r>
      <w:r w:rsidR="00236568" w:rsidRPr="6D5ABD0F">
        <w:rPr>
          <w:i/>
          <w:iCs/>
        </w:rPr>
        <w:t>Calls</w:t>
      </w:r>
      <w:r w:rsidR="00236568">
        <w:t xml:space="preserve"> </w:t>
      </w:r>
      <w:r w:rsidR="00236568" w:rsidRPr="00722031">
        <w:rPr>
          <w:i/>
          <w:iCs/>
        </w:rPr>
        <w:t>on</w:t>
      </w:r>
      <w:r w:rsidR="00236568">
        <w:t xml:space="preserve"> Parties to update their adaptation communications and prepare their biennial transparency reports </w:t>
      </w:r>
      <w:r w:rsidR="00236568" w:rsidRPr="006632D7">
        <w:t>taking into account</w:t>
      </w:r>
      <w:r w:rsidR="00236568">
        <w:t xml:space="preserve"> the United Arab Emirates Framework for Global Climate Resilience and </w:t>
      </w:r>
      <w:r w:rsidR="00236568" w:rsidRPr="007A2F0F">
        <w:rPr>
          <w:i/>
          <w:iCs/>
        </w:rPr>
        <w:t>requests</w:t>
      </w:r>
      <w:r w:rsidR="00236568">
        <w:t xml:space="preserve"> the secretariat to review progress towards achieving the targets</w:t>
      </w:r>
      <w:r w:rsidR="00236568" w:rsidRPr="00955AC3">
        <w:rPr>
          <w:rFonts w:eastAsia="Times New Roman"/>
          <w:color w:val="000000"/>
        </w:rPr>
        <w:t xml:space="preserve"> </w:t>
      </w:r>
      <w:r w:rsidR="00236568">
        <w:rPr>
          <w:rFonts w:eastAsia="Times New Roman"/>
          <w:color w:val="000000"/>
        </w:rPr>
        <w:t xml:space="preserve">referred to in paragraphs 9–10 of decision </w:t>
      </w:r>
      <w:hyperlink r:id="rId55" w:history="1">
        <w:r w:rsidR="00236568" w:rsidRPr="00514C67">
          <w:rPr>
            <w:rStyle w:val="Hyperlink"/>
            <w:rFonts w:eastAsia="Times New Roman"/>
          </w:rPr>
          <w:t>2/CMA.5</w:t>
        </w:r>
      </w:hyperlink>
      <w:r w:rsidR="00236568">
        <w:t xml:space="preserve"> and report on its findings in the synthesis report to be prepared as part of the second global stocktake;</w:t>
      </w:r>
      <w:r w:rsidR="00236568">
        <w:rPr>
          <w:rStyle w:val="FootnoteReference"/>
        </w:rPr>
        <w:footnoteReference w:id="27"/>
      </w:r>
      <w:r w:rsidR="00236568">
        <w:t xml:space="preserve"> </w:t>
      </w:r>
    </w:p>
    <w:p w14:paraId="1DD6D6CC" w14:textId="0FDB7174" w:rsidR="00236568" w:rsidRDefault="00492C76" w:rsidP="00492C76">
      <w:pPr>
        <w:pStyle w:val="RegSingleTxtG"/>
        <w:numPr>
          <w:ilvl w:val="0"/>
          <w:numId w:val="0"/>
        </w:numPr>
        <w:ind w:left="1134"/>
      </w:pPr>
      <w:r>
        <w:t>35.</w:t>
      </w:r>
      <w:r>
        <w:tab/>
      </w:r>
      <w:r w:rsidR="00236568" w:rsidRPr="00AC5B7C">
        <w:rPr>
          <w:i/>
          <w:iCs/>
        </w:rPr>
        <w:t>Recognizes</w:t>
      </w:r>
      <w:r w:rsidR="00236568">
        <w:t xml:space="preserve"> the importance of </w:t>
      </w:r>
      <w:r w:rsidR="00236568" w:rsidRPr="002F5146">
        <w:t xml:space="preserve">building on the best available science, including </w:t>
      </w:r>
      <w:r w:rsidR="00236568">
        <w:t>by collaborating</w:t>
      </w:r>
      <w:r w:rsidR="00236568" w:rsidRPr="002F5146">
        <w:t xml:space="preserve"> with the Intergovernmental Panel on Climate Change and other organizations, </w:t>
      </w:r>
      <w:r w:rsidR="00236568">
        <w:t>f</w:t>
      </w:r>
      <w:r w:rsidR="00236568" w:rsidRPr="002F5146">
        <w:t>o</w:t>
      </w:r>
      <w:r w:rsidR="00236568">
        <w:t>r</w:t>
      </w:r>
      <w:r w:rsidR="00236568" w:rsidRPr="002F5146">
        <w:t xml:space="preserve"> </w:t>
      </w:r>
      <w:r w:rsidR="00236568">
        <w:t>providing</w:t>
      </w:r>
      <w:r w:rsidR="00236568" w:rsidRPr="002F5146">
        <w:t xml:space="preserve"> information relevant to facilitating </w:t>
      </w:r>
      <w:r w:rsidR="00236568">
        <w:t xml:space="preserve">the </w:t>
      </w:r>
      <w:r w:rsidR="00236568" w:rsidRPr="002F5146">
        <w:t>implementation of the United Arab Emirates Framework for Global Climate Resilience, including in relation to the targets</w:t>
      </w:r>
      <w:r w:rsidR="00236568">
        <w:t xml:space="preserve"> </w:t>
      </w:r>
      <w:r w:rsidR="00236568">
        <w:rPr>
          <w:rFonts w:eastAsia="Times New Roman"/>
          <w:color w:val="000000"/>
        </w:rPr>
        <w:t xml:space="preserve">referred to in paragraphs 9–10 of decision </w:t>
      </w:r>
      <w:hyperlink r:id="rId56" w:history="1">
        <w:r w:rsidR="00236568" w:rsidRPr="00514C67">
          <w:rPr>
            <w:rStyle w:val="Hyperlink"/>
            <w:rFonts w:eastAsia="Times New Roman"/>
          </w:rPr>
          <w:t>2/CMA.5</w:t>
        </w:r>
      </w:hyperlink>
      <w:r w:rsidR="00236568" w:rsidRPr="002F5146">
        <w:t xml:space="preserve">; </w:t>
      </w:r>
      <w:r w:rsidR="00236568">
        <w:t>f</w:t>
      </w:r>
      <w:r w:rsidR="00236568" w:rsidRPr="002F5146">
        <w:t>o</w:t>
      </w:r>
      <w:r w:rsidR="00236568">
        <w:t>r</w:t>
      </w:r>
      <w:r w:rsidR="00236568" w:rsidRPr="002F5146">
        <w:t xml:space="preserve"> developing indicators, metrics and methodologies; and </w:t>
      </w:r>
      <w:r w:rsidR="00236568">
        <w:t>f</w:t>
      </w:r>
      <w:r w:rsidR="00236568" w:rsidRPr="002F5146">
        <w:t>o</w:t>
      </w:r>
      <w:r w:rsidR="00236568">
        <w:t>r</w:t>
      </w:r>
      <w:r w:rsidR="00236568" w:rsidRPr="002F5146">
        <w:t xml:space="preserve"> identifying adaptation capacity gaps</w:t>
      </w:r>
      <w:r w:rsidR="00236568">
        <w:t xml:space="preserve"> and</w:t>
      </w:r>
      <w:r w:rsidR="00236568" w:rsidRPr="002F5146">
        <w:t xml:space="preserve"> challenges and the needs of developing countries</w:t>
      </w:r>
      <w:r w:rsidR="00236568">
        <w:t>;</w:t>
      </w:r>
    </w:p>
    <w:p w14:paraId="55FB0D1A" w14:textId="73D00EFA" w:rsidR="00236568" w:rsidRPr="00B944DD" w:rsidRDefault="00492C76" w:rsidP="00492C76">
      <w:pPr>
        <w:pStyle w:val="RegSingleTxtG"/>
        <w:numPr>
          <w:ilvl w:val="0"/>
          <w:numId w:val="0"/>
        </w:numPr>
        <w:ind w:left="1134"/>
      </w:pPr>
      <w:r w:rsidRPr="00B944DD">
        <w:t>36.</w:t>
      </w:r>
      <w:r w:rsidRPr="00B944DD">
        <w:tab/>
      </w:r>
      <w:r w:rsidR="00236568" w:rsidRPr="6AC0A2E2">
        <w:rPr>
          <w:i/>
          <w:iCs/>
        </w:rPr>
        <w:t>Welcomes</w:t>
      </w:r>
      <w:r w:rsidR="00236568" w:rsidRPr="00B944DD">
        <w:t xml:space="preserve"> </w:t>
      </w:r>
      <w:r w:rsidR="00236568">
        <w:t>the</w:t>
      </w:r>
      <w:r w:rsidR="00236568" w:rsidRPr="00B944DD">
        <w:t xml:space="preserve"> decision</w:t>
      </w:r>
      <w:r w:rsidR="00236568">
        <w:t xml:space="preserve"> of the </w:t>
      </w:r>
      <w:r w:rsidR="00236568" w:rsidRPr="002F5146">
        <w:t>Intergovernmental Panel on Climate Change</w:t>
      </w:r>
      <w:r w:rsidR="00236568" w:rsidRPr="00CF3908">
        <w:t xml:space="preserve"> </w:t>
      </w:r>
      <w:r w:rsidR="00236568">
        <w:t>in which it</w:t>
      </w:r>
      <w:r w:rsidR="00236568" w:rsidRPr="00B944DD">
        <w:t xml:space="preserve"> agreed on a distinct product revising and updating </w:t>
      </w:r>
      <w:r w:rsidR="00236568">
        <w:t>its</w:t>
      </w:r>
      <w:r w:rsidR="00236568" w:rsidRPr="00B944DD">
        <w:t xml:space="preserve"> 1994 </w:t>
      </w:r>
      <w:r w:rsidR="00236568" w:rsidRPr="7AC55AC9">
        <w:rPr>
          <w:i/>
          <w:iCs/>
        </w:rPr>
        <w:t xml:space="preserve">IPCC </w:t>
      </w:r>
      <w:r w:rsidR="00236568" w:rsidRPr="12001EBF">
        <w:rPr>
          <w:i/>
          <w:iCs/>
        </w:rPr>
        <w:t xml:space="preserve">Technical Guidelines </w:t>
      </w:r>
      <w:r w:rsidR="00236568" w:rsidRPr="1EBA7D2F">
        <w:rPr>
          <w:i/>
          <w:iCs/>
        </w:rPr>
        <w:t xml:space="preserve">for </w:t>
      </w:r>
      <w:r w:rsidR="00236568" w:rsidRPr="071D3BEF">
        <w:rPr>
          <w:i/>
          <w:iCs/>
        </w:rPr>
        <w:t>Assessing</w:t>
      </w:r>
      <w:r w:rsidR="00236568" w:rsidRPr="6FFD351B">
        <w:rPr>
          <w:i/>
          <w:iCs/>
        </w:rPr>
        <w:t xml:space="preserve"> </w:t>
      </w:r>
      <w:r w:rsidR="00236568" w:rsidRPr="6E012B48">
        <w:rPr>
          <w:i/>
          <w:iCs/>
        </w:rPr>
        <w:t>Climate Change</w:t>
      </w:r>
      <w:r w:rsidR="00236568" w:rsidRPr="7AC55AC9">
        <w:rPr>
          <w:i/>
          <w:iCs/>
        </w:rPr>
        <w:t xml:space="preserve"> Impacts</w:t>
      </w:r>
      <w:r w:rsidR="00236568" w:rsidRPr="049B15A2">
        <w:rPr>
          <w:i/>
          <w:iCs/>
        </w:rPr>
        <w:t xml:space="preserve"> </w:t>
      </w:r>
      <w:r w:rsidR="00236568" w:rsidRPr="6A4570D7">
        <w:rPr>
          <w:i/>
          <w:iCs/>
        </w:rPr>
        <w:t xml:space="preserve">and </w:t>
      </w:r>
      <w:r w:rsidR="00236568" w:rsidRPr="1822D8E7">
        <w:rPr>
          <w:i/>
          <w:iCs/>
        </w:rPr>
        <w:t>Adaptations</w:t>
      </w:r>
      <w:r w:rsidR="00236568" w:rsidRPr="00B944DD">
        <w:t>, including adaptation indicators, metrics and methodologies to be scoped, developed</w:t>
      </w:r>
      <w:r w:rsidR="00236568">
        <w:t xml:space="preserve"> and</w:t>
      </w:r>
      <w:r w:rsidR="00236568" w:rsidRPr="00B944DD">
        <w:t xml:space="preserve"> reviewed and </w:t>
      </w:r>
      <w:r w:rsidR="00236568">
        <w:t>that</w:t>
      </w:r>
      <w:r w:rsidR="00236568" w:rsidRPr="00B944DD">
        <w:t xml:space="preserve"> should be considered for approval and acceptance in conjunction with the </w:t>
      </w:r>
      <w:r w:rsidR="00236568">
        <w:t xml:space="preserve">contribution of </w:t>
      </w:r>
      <w:r w:rsidR="00236568" w:rsidRPr="00B944DD">
        <w:t xml:space="preserve">Working Group II and published as a separate product in its </w:t>
      </w:r>
      <w:r w:rsidR="00236568">
        <w:t>seventh</w:t>
      </w:r>
      <w:r w:rsidR="00236568" w:rsidRPr="00CF3908">
        <w:t xml:space="preserve"> </w:t>
      </w:r>
      <w:r w:rsidR="00236568">
        <w:t>a</w:t>
      </w:r>
      <w:r w:rsidR="00236568" w:rsidRPr="00B944DD">
        <w:t>ssessment cycle</w:t>
      </w:r>
      <w:r w:rsidR="00236568">
        <w:t>;</w:t>
      </w:r>
      <w:r w:rsidR="00236568">
        <w:rPr>
          <w:rStyle w:val="FootnoteReference"/>
        </w:rPr>
        <w:footnoteReference w:id="28"/>
      </w:r>
    </w:p>
    <w:p w14:paraId="1B3272BE" w14:textId="7E934BCE" w:rsidR="00236568" w:rsidRPr="00B944DD" w:rsidRDefault="00492C76" w:rsidP="00492C76">
      <w:pPr>
        <w:pStyle w:val="RegSingleTxtG"/>
        <w:numPr>
          <w:ilvl w:val="0"/>
          <w:numId w:val="0"/>
        </w:numPr>
        <w:ind w:left="1134"/>
      </w:pPr>
      <w:r w:rsidRPr="00B944DD">
        <w:t>37.</w:t>
      </w:r>
      <w:r w:rsidRPr="00B944DD">
        <w:tab/>
      </w:r>
      <w:r w:rsidR="00236568" w:rsidRPr="00AC5B7C">
        <w:rPr>
          <w:i/>
          <w:iCs/>
        </w:rPr>
        <w:t>Invites</w:t>
      </w:r>
      <w:r w:rsidR="00236568" w:rsidRPr="009F33B3">
        <w:t xml:space="preserve"> the </w:t>
      </w:r>
      <w:r w:rsidR="00236568">
        <w:t>Chair of the Subsidiary Body for Scientific and Technological Advice</w:t>
      </w:r>
      <w:r w:rsidR="00236568" w:rsidRPr="009F33B3">
        <w:t xml:space="preserve"> </w:t>
      </w:r>
      <w:r w:rsidR="00236568">
        <w:t>to organize</w:t>
      </w:r>
      <w:r w:rsidR="00236568" w:rsidRPr="009F33B3">
        <w:t xml:space="preserve">, in collaboration with the </w:t>
      </w:r>
      <w:r w:rsidR="00236568" w:rsidRPr="002F5146">
        <w:t>Intergovernmental Panel on Climate Change</w:t>
      </w:r>
      <w:r w:rsidR="00236568" w:rsidRPr="009F33B3">
        <w:t xml:space="preserve">, a special event </w:t>
      </w:r>
      <w:r w:rsidR="00236568">
        <w:t xml:space="preserve">to be held </w:t>
      </w:r>
      <w:r w:rsidR="00236568" w:rsidRPr="009F33B3">
        <w:t xml:space="preserve">at </w:t>
      </w:r>
      <w:r w:rsidR="00236568">
        <w:t>the sixty-second sessions of the subsidiary bodies</w:t>
      </w:r>
      <w:r w:rsidR="00236568" w:rsidRPr="009F33B3">
        <w:t xml:space="preserve"> to provide an update on the ongoing work of Working Group </w:t>
      </w:r>
      <w:r w:rsidR="00236568">
        <w:t>II of the Intergovernmental Panel on Climate Change;</w:t>
      </w:r>
    </w:p>
    <w:p w14:paraId="7968A3C2" w14:textId="3FF39476" w:rsidR="00236568" w:rsidRDefault="00492C76" w:rsidP="00492C76">
      <w:pPr>
        <w:pStyle w:val="RegSingleTxtG"/>
        <w:numPr>
          <w:ilvl w:val="0"/>
          <w:numId w:val="0"/>
        </w:numPr>
        <w:ind w:left="1134"/>
        <w:rPr>
          <w:rFonts w:eastAsia="Times New Roman"/>
        </w:rPr>
      </w:pPr>
      <w:r>
        <w:rPr>
          <w:rFonts w:eastAsia="Times New Roman"/>
        </w:rPr>
        <w:t>38.</w:t>
      </w:r>
      <w:r>
        <w:rPr>
          <w:rFonts w:eastAsia="Times New Roman"/>
        </w:rPr>
        <w:tab/>
      </w:r>
      <w:r w:rsidR="00236568" w:rsidRPr="681354CA">
        <w:rPr>
          <w:i/>
          <w:iCs/>
        </w:rPr>
        <w:t>D</w:t>
      </w:r>
      <w:r w:rsidR="00236568" w:rsidRPr="681354CA">
        <w:rPr>
          <w:rFonts w:eastAsia="Times New Roman"/>
          <w:i/>
          <w:iCs/>
        </w:rPr>
        <w:t>ecides</w:t>
      </w:r>
      <w:r w:rsidR="00236568" w:rsidRPr="681354CA">
        <w:rPr>
          <w:rFonts w:eastAsia="Times New Roman"/>
        </w:rPr>
        <w:t xml:space="preserve"> to undertake the review </w:t>
      </w:r>
      <w:r w:rsidR="00236568" w:rsidRPr="0B819057">
        <w:rPr>
          <w:rFonts w:eastAsia="Times New Roman"/>
        </w:rPr>
        <w:t xml:space="preserve">of the </w:t>
      </w:r>
      <w:r w:rsidR="00236568">
        <w:rPr>
          <w:rFonts w:eastAsia="Times New Roman"/>
        </w:rPr>
        <w:t>United Arab Emirates</w:t>
      </w:r>
      <w:r w:rsidR="00236568" w:rsidRPr="0B819057">
        <w:rPr>
          <w:rFonts w:eastAsia="Times New Roman"/>
        </w:rPr>
        <w:t xml:space="preserve"> Framework for Global Climate Resilience</w:t>
      </w:r>
      <w:r w:rsidR="00236568">
        <w:rPr>
          <w:rStyle w:val="FootnoteReference"/>
          <w:rFonts w:eastAsia="Times New Roman"/>
        </w:rPr>
        <w:footnoteReference w:id="29"/>
      </w:r>
      <w:r w:rsidR="00236568" w:rsidRPr="79E97489">
        <w:rPr>
          <w:rFonts w:eastAsia="Times New Roman"/>
        </w:rPr>
        <w:t xml:space="preserve"> </w:t>
      </w:r>
      <w:r w:rsidR="00236568" w:rsidRPr="681354CA">
        <w:rPr>
          <w:rFonts w:eastAsia="Times New Roman"/>
        </w:rPr>
        <w:t xml:space="preserve">after the second global stocktake and to initiate consideration of the terms of reference for the review after the completion of the </w:t>
      </w:r>
      <w:r w:rsidR="00236568">
        <w:t>United Arab Emirates–Belém</w:t>
      </w:r>
      <w:r w:rsidR="00236568" w:rsidRPr="681354CA">
        <w:rPr>
          <w:rFonts w:eastAsia="Times New Roman"/>
        </w:rPr>
        <w:t xml:space="preserve"> work programme</w:t>
      </w:r>
      <w:r w:rsidR="00236568" w:rsidRPr="0B819057">
        <w:rPr>
          <w:rFonts w:eastAsia="Times New Roman"/>
        </w:rPr>
        <w:t>;</w:t>
      </w:r>
    </w:p>
    <w:p w14:paraId="3E5F4748" w14:textId="658F27B7" w:rsidR="00236568" w:rsidRPr="00DD5A57" w:rsidRDefault="00492C76" w:rsidP="00492C76">
      <w:pPr>
        <w:pStyle w:val="RegSingleTxtG"/>
        <w:numPr>
          <w:ilvl w:val="0"/>
          <w:numId w:val="0"/>
        </w:numPr>
        <w:ind w:left="1134"/>
        <w:rPr>
          <w:rFonts w:eastAsia="Times New Roman"/>
        </w:rPr>
      </w:pPr>
      <w:r w:rsidRPr="00DD5A57">
        <w:rPr>
          <w:rFonts w:eastAsia="Times New Roman"/>
        </w:rPr>
        <w:t>39.</w:t>
      </w:r>
      <w:r w:rsidRPr="00DD5A57">
        <w:rPr>
          <w:rFonts w:eastAsia="Times New Roman"/>
        </w:rPr>
        <w:tab/>
      </w:r>
      <w:r w:rsidR="00236568" w:rsidRPr="00DD5A57">
        <w:rPr>
          <w:i/>
          <w:iCs/>
        </w:rPr>
        <w:t xml:space="preserve">Requests </w:t>
      </w:r>
      <w:r w:rsidR="00236568" w:rsidRPr="00DD5A57">
        <w:t xml:space="preserve">the </w:t>
      </w:r>
      <w:r w:rsidR="00236568">
        <w:t>s</w:t>
      </w:r>
      <w:r w:rsidR="00236568" w:rsidRPr="00DD5A57">
        <w:t xml:space="preserve">ubsidiary </w:t>
      </w:r>
      <w:r w:rsidR="00236568">
        <w:t>bodies</w:t>
      </w:r>
      <w:r w:rsidR="00236568" w:rsidRPr="00DD5A57">
        <w:t xml:space="preserve"> to continue consideration of paragraph 38 of decision</w:t>
      </w:r>
      <w:r w:rsidR="00E26E43">
        <w:t> </w:t>
      </w:r>
      <w:hyperlink r:id="rId57" w:history="1">
        <w:r w:rsidR="00236568" w:rsidRPr="00514C67">
          <w:rPr>
            <w:rStyle w:val="Hyperlink"/>
          </w:rPr>
          <w:t>2/CMA.5</w:t>
        </w:r>
      </w:hyperlink>
      <w:r w:rsidR="00236568">
        <w:t>,</w:t>
      </w:r>
      <w:r w:rsidR="00236568" w:rsidRPr="00DD5A57">
        <w:t xml:space="preserve"> focusing on matters related to</w:t>
      </w:r>
      <w:r w:rsidR="00236568">
        <w:t>, inter alia,</w:t>
      </w:r>
      <w:r w:rsidR="00236568" w:rsidRPr="00DD5A57">
        <w:t xml:space="preserve"> paragraph 38(a–e) of decision </w:t>
      </w:r>
      <w:hyperlink r:id="rId58" w:history="1">
        <w:r w:rsidR="00236568" w:rsidRPr="00514C67">
          <w:rPr>
            <w:rStyle w:val="Hyperlink"/>
          </w:rPr>
          <w:t>2/CMA.5</w:t>
        </w:r>
      </w:hyperlink>
      <w:r w:rsidR="00236568">
        <w:t>,</w:t>
      </w:r>
      <w:r w:rsidR="00236568" w:rsidRPr="00DD5A57">
        <w:t xml:space="preserve"> at </w:t>
      </w:r>
      <w:r w:rsidR="00236568">
        <w:t>their sixty-second sessions</w:t>
      </w:r>
      <w:r w:rsidR="00236568" w:rsidRPr="7C08B4F0">
        <w:rPr>
          <w:rFonts w:eastAsia="Times New Roman"/>
        </w:rPr>
        <w:t>;</w:t>
      </w:r>
    </w:p>
    <w:p w14:paraId="683E6E18" w14:textId="4280E2F2" w:rsidR="00236568" w:rsidRDefault="00492C76" w:rsidP="00492C76">
      <w:pPr>
        <w:pStyle w:val="RegSingleTxtG"/>
        <w:numPr>
          <w:ilvl w:val="0"/>
          <w:numId w:val="0"/>
        </w:numPr>
        <w:ind w:left="1134"/>
      </w:pPr>
      <w:r>
        <w:t>40.</w:t>
      </w:r>
      <w:r>
        <w:tab/>
      </w:r>
      <w:r w:rsidR="00236568" w:rsidRPr="00DD5A57">
        <w:rPr>
          <w:i/>
          <w:iCs/>
        </w:rPr>
        <w:t>Recognizes</w:t>
      </w:r>
      <w:r w:rsidR="00236568" w:rsidRPr="00830719">
        <w:rPr>
          <w:i/>
          <w:iCs/>
        </w:rPr>
        <w:t xml:space="preserve"> </w:t>
      </w:r>
      <w:r w:rsidR="00236568" w:rsidRPr="00DD5A57">
        <w:t xml:space="preserve">that both incremental and transformational adaptation approaches are essential for </w:t>
      </w:r>
      <w:r w:rsidR="00236568" w:rsidRPr="006B1D94">
        <w:t>protect</w:t>
      </w:r>
      <w:r w:rsidR="00236568">
        <w:t>ing the well-being</w:t>
      </w:r>
      <w:r w:rsidR="00236568" w:rsidRPr="006B1D94">
        <w:t xml:space="preserve"> </w:t>
      </w:r>
      <w:r w:rsidR="00236568">
        <w:t>of</w:t>
      </w:r>
      <w:r w:rsidR="00236568" w:rsidRPr="006B1D94">
        <w:t xml:space="preserve"> people and </w:t>
      </w:r>
      <w:r w:rsidR="00236568">
        <w:t xml:space="preserve">the </w:t>
      </w:r>
      <w:r w:rsidR="00236568" w:rsidRPr="006B1D94">
        <w:t>planet</w:t>
      </w:r>
      <w:r w:rsidR="00236568">
        <w:t>, for saving</w:t>
      </w:r>
      <w:r w:rsidR="00236568" w:rsidRPr="006B1D94">
        <w:t xml:space="preserve"> lives and livelihoods</w:t>
      </w:r>
      <w:r w:rsidR="00236568">
        <w:t xml:space="preserve"> and for </w:t>
      </w:r>
      <w:r w:rsidR="00236568" w:rsidRPr="00DD5A57">
        <w:t xml:space="preserve">implementing the United Arab Emirates Framework for Global Climate Resilience </w:t>
      </w:r>
      <w:r w:rsidR="00236568">
        <w:t>with a view to</w:t>
      </w:r>
      <w:r w:rsidR="00236568" w:rsidRPr="00DD5A57">
        <w:t xml:space="preserve"> achieving the global goal on adaptation</w:t>
      </w:r>
      <w:r w:rsidR="00236568">
        <w:t>;</w:t>
      </w:r>
    </w:p>
    <w:p w14:paraId="3E127FDC" w14:textId="437033D2" w:rsidR="00236568" w:rsidRPr="00830719" w:rsidRDefault="00492C76" w:rsidP="00492C76">
      <w:pPr>
        <w:pStyle w:val="RegSingleTxtG"/>
        <w:numPr>
          <w:ilvl w:val="0"/>
          <w:numId w:val="0"/>
        </w:numPr>
        <w:ind w:left="1134"/>
        <w:rPr>
          <w:i/>
          <w:iCs/>
        </w:rPr>
      </w:pPr>
      <w:r w:rsidRPr="00830719">
        <w:t>41.</w:t>
      </w:r>
      <w:r w:rsidRPr="00830719">
        <w:tab/>
      </w:r>
      <w:r w:rsidR="00236568" w:rsidRPr="66D55D30">
        <w:rPr>
          <w:i/>
          <w:iCs/>
        </w:rPr>
        <w:t>Takes note</w:t>
      </w:r>
      <w:r w:rsidR="00236568" w:rsidRPr="00830719">
        <w:rPr>
          <w:i/>
          <w:iCs/>
        </w:rPr>
        <w:t xml:space="preserve"> </w:t>
      </w:r>
      <w:r w:rsidR="00236568">
        <w:t xml:space="preserve">of the technical paper prepared by the secretariat on </w:t>
      </w:r>
      <w:r w:rsidR="00236568" w:rsidRPr="00B77C19">
        <w:t>transformational adaptation</w:t>
      </w:r>
      <w:r w:rsidR="00236568">
        <w:rPr>
          <w:rStyle w:val="FootnoteReference"/>
        </w:rPr>
        <w:footnoteReference w:id="30"/>
      </w:r>
      <w:r w:rsidR="00236568">
        <w:t xml:space="preserve"> and </w:t>
      </w:r>
      <w:r w:rsidR="00236568" w:rsidRPr="00386F15">
        <w:rPr>
          <w:i/>
          <w:iCs/>
        </w:rPr>
        <w:t>requests</w:t>
      </w:r>
      <w:r w:rsidR="00236568" w:rsidRPr="00386F15">
        <w:t xml:space="preserve"> the subsidiary bodies</w:t>
      </w:r>
      <w:r w:rsidR="00236568" w:rsidRPr="008D7572">
        <w:t xml:space="preserve"> </w:t>
      </w:r>
      <w:r w:rsidR="00236568">
        <w:t>to c</w:t>
      </w:r>
      <w:r w:rsidR="00236568" w:rsidRPr="008D7572">
        <w:t xml:space="preserve">ontinue </w:t>
      </w:r>
      <w:r w:rsidR="00236568">
        <w:t>consideration thereof at</w:t>
      </w:r>
      <w:r w:rsidR="00236568" w:rsidRPr="008D7572">
        <w:t xml:space="preserve"> </w:t>
      </w:r>
      <w:r w:rsidR="00236568">
        <w:t>their sixty-second sessions;</w:t>
      </w:r>
    </w:p>
    <w:p w14:paraId="66BFFF66" w14:textId="59AFAC42" w:rsidR="00236568" w:rsidRPr="008D7572" w:rsidRDefault="00492C76" w:rsidP="00492C76">
      <w:pPr>
        <w:pStyle w:val="RegSingleTxtG"/>
        <w:numPr>
          <w:ilvl w:val="0"/>
          <w:numId w:val="0"/>
        </w:numPr>
        <w:ind w:left="1134"/>
      </w:pPr>
      <w:r w:rsidRPr="008D7572">
        <w:t>42.</w:t>
      </w:r>
      <w:r w:rsidRPr="008D7572">
        <w:tab/>
      </w:r>
      <w:r w:rsidR="00F142AC">
        <w:rPr>
          <w:i/>
          <w:iCs/>
        </w:rPr>
        <w:t>Also r</w:t>
      </w:r>
      <w:r w:rsidR="00236568" w:rsidRPr="60819B8E">
        <w:rPr>
          <w:i/>
          <w:iCs/>
        </w:rPr>
        <w:t>equests</w:t>
      </w:r>
      <w:r w:rsidR="00236568" w:rsidRPr="00830719">
        <w:rPr>
          <w:i/>
          <w:iCs/>
        </w:rPr>
        <w:t xml:space="preserve"> </w:t>
      </w:r>
      <w:r w:rsidR="00236568">
        <w:t xml:space="preserve">the secretariat </w:t>
      </w:r>
      <w:r w:rsidR="00236568" w:rsidRPr="008D7572">
        <w:t xml:space="preserve">to prepare a reader-friendly summary of the </w:t>
      </w:r>
      <w:r w:rsidR="00236568">
        <w:t xml:space="preserve">technical paper </w:t>
      </w:r>
      <w:r w:rsidR="00236568" w:rsidRPr="008D7572">
        <w:t>referred</w:t>
      </w:r>
      <w:r w:rsidR="00236568">
        <w:t xml:space="preserve"> to in paragraph 41 above and make it available </w:t>
      </w:r>
      <w:r w:rsidR="00236568" w:rsidRPr="008D7572">
        <w:t xml:space="preserve">in all six </w:t>
      </w:r>
      <w:r w:rsidR="00236568">
        <w:t xml:space="preserve">official languages of the United </w:t>
      </w:r>
      <w:r w:rsidR="00236568" w:rsidRPr="00DD5A57">
        <w:t>Nations by April 2025</w:t>
      </w:r>
      <w:r w:rsidR="00236568">
        <w:t>;</w:t>
      </w:r>
    </w:p>
    <w:p w14:paraId="1A58C892" w14:textId="7B1B198A" w:rsidR="00E906A9" w:rsidRDefault="00492C76" w:rsidP="00492C76">
      <w:pPr>
        <w:pStyle w:val="RegSingleTxtG"/>
        <w:numPr>
          <w:ilvl w:val="0"/>
          <w:numId w:val="0"/>
        </w:numPr>
        <w:ind w:left="1134"/>
      </w:pPr>
      <w:r>
        <w:t>43.</w:t>
      </w:r>
      <w:r>
        <w:tab/>
      </w:r>
      <w:r w:rsidR="00236568" w:rsidRPr="523364AE">
        <w:rPr>
          <w:i/>
          <w:iCs/>
        </w:rPr>
        <w:t xml:space="preserve">Takes note </w:t>
      </w:r>
      <w:r w:rsidR="00236568">
        <w:t>of the estimated budgetary implications of the activities to be undertaken by the secretariat referred to in paragraphs 13, 37 and</w:t>
      </w:r>
      <w:r w:rsidR="00236568" w:rsidDel="008E7EE7">
        <w:t xml:space="preserve"> </w:t>
      </w:r>
      <w:r w:rsidR="00236568">
        <w:t>42 above;</w:t>
      </w:r>
    </w:p>
    <w:p w14:paraId="5E81D554" w14:textId="77E72FA1" w:rsidR="00236568" w:rsidRDefault="00492C76" w:rsidP="00492C76">
      <w:pPr>
        <w:pStyle w:val="RegSingleTxtG"/>
        <w:numPr>
          <w:ilvl w:val="0"/>
          <w:numId w:val="0"/>
        </w:numPr>
        <w:ind w:left="1134"/>
      </w:pPr>
      <w:r>
        <w:lastRenderedPageBreak/>
        <w:t>44.</w:t>
      </w:r>
      <w:r>
        <w:tab/>
      </w:r>
      <w:r w:rsidR="00236568" w:rsidRPr="00E906A9">
        <w:rPr>
          <w:i/>
          <w:iCs/>
        </w:rPr>
        <w:t>Requests</w:t>
      </w:r>
      <w:r w:rsidR="00236568">
        <w:t xml:space="preserve"> that the actions of the secretariat called for in this decision be undertaken subject to the availability of financial resources.</w:t>
      </w:r>
    </w:p>
    <w:p w14:paraId="0DCB6335" w14:textId="699A13D1" w:rsidR="00E906A9" w:rsidRDefault="00AE6210" w:rsidP="00E906A9">
      <w:pPr>
        <w:pStyle w:val="RegSingleTxtG"/>
        <w:numPr>
          <w:ilvl w:val="0"/>
          <w:numId w:val="0"/>
        </w:numPr>
        <w:spacing w:after="0"/>
        <w:ind w:left="1134"/>
        <w:jc w:val="right"/>
        <w:rPr>
          <w:i/>
          <w:iCs/>
        </w:rPr>
      </w:pPr>
      <w:r>
        <w:rPr>
          <w:i/>
          <w:iCs/>
        </w:rPr>
        <w:t>Resumed 11</w:t>
      </w:r>
      <w:r w:rsidRPr="00AE6210">
        <w:rPr>
          <w:i/>
          <w:iCs/>
          <w:vertAlign w:val="superscript"/>
        </w:rPr>
        <w:t>th</w:t>
      </w:r>
      <w:r w:rsidR="00E906A9">
        <w:rPr>
          <w:i/>
          <w:iCs/>
        </w:rPr>
        <w:t xml:space="preserve"> plenary meeting</w:t>
      </w:r>
    </w:p>
    <w:p w14:paraId="6635AFA0" w14:textId="3CD18459" w:rsidR="00E906A9" w:rsidRDefault="00AE6210" w:rsidP="00E906A9">
      <w:pPr>
        <w:pStyle w:val="RegSingleTxtG"/>
        <w:numPr>
          <w:ilvl w:val="0"/>
          <w:numId w:val="0"/>
        </w:numPr>
        <w:spacing w:after="0"/>
        <w:ind w:left="1134"/>
        <w:jc w:val="right"/>
      </w:pPr>
      <w:r>
        <w:rPr>
          <w:i/>
          <w:iCs/>
        </w:rPr>
        <w:t>2</w:t>
      </w:r>
      <w:r w:rsidR="0023508B">
        <w:rPr>
          <w:i/>
          <w:iCs/>
        </w:rPr>
        <w:t>4</w:t>
      </w:r>
      <w:r w:rsidR="00E906A9">
        <w:rPr>
          <w:i/>
          <w:iCs/>
        </w:rPr>
        <w:t xml:space="preserve"> November 2024</w:t>
      </w:r>
    </w:p>
    <w:p w14:paraId="03C17D56" w14:textId="77777777" w:rsidR="00E906A9" w:rsidRDefault="00E906A9" w:rsidP="00492C76">
      <w:pPr>
        <w:pStyle w:val="RegHChG"/>
        <w:numPr>
          <w:ilvl w:val="0"/>
          <w:numId w:val="0"/>
        </w:numPr>
        <w:ind w:left="1135" w:hanging="454"/>
      </w:pPr>
    </w:p>
    <w:p w14:paraId="30F200D8" w14:textId="1A1D7A3D" w:rsidR="00E906A9" w:rsidRDefault="00492C76" w:rsidP="00492C76">
      <w:pPr>
        <w:pStyle w:val="RegHChG"/>
        <w:numPr>
          <w:ilvl w:val="0"/>
          <w:numId w:val="0"/>
        </w:numPr>
        <w:tabs>
          <w:tab w:val="left" w:pos="1135"/>
        </w:tabs>
        <w:ind w:left="1135" w:hanging="454"/>
        <w:sectPr w:rsidR="00E906A9" w:rsidSect="00C86F14">
          <w:headerReference w:type="even" r:id="rId59"/>
          <w:headerReference w:type="default" r:id="rId60"/>
          <w:footerReference w:type="even" r:id="rId61"/>
          <w:footerReference w:type="default" r:id="rId62"/>
          <w:footnotePr>
            <w:numRestart w:val="eachSect"/>
          </w:footnotePr>
          <w:pgSz w:w="11906" w:h="16838" w:code="9"/>
          <w:pgMar w:top="1417" w:right="1134" w:bottom="1134" w:left="1134" w:header="850" w:footer="567" w:gutter="0"/>
          <w:cols w:space="708"/>
          <w:docGrid w:linePitch="360"/>
        </w:sectPr>
      </w:pPr>
      <w:r>
        <w:t>I.</w:t>
      </w:r>
      <w:r>
        <w:tab/>
      </w:r>
    </w:p>
    <w:p w14:paraId="78857D47" w14:textId="047E99DA" w:rsidR="00E906A9" w:rsidRDefault="00E906A9" w:rsidP="00492C76">
      <w:pPr>
        <w:pStyle w:val="RegHChG"/>
        <w:numPr>
          <w:ilvl w:val="0"/>
          <w:numId w:val="0"/>
        </w:numPr>
        <w:ind w:left="1135" w:hanging="454"/>
      </w:pPr>
      <w:bookmarkStart w:id="19" w:name="decision4"/>
      <w:r>
        <w:lastRenderedPageBreak/>
        <w:t>Decision 4/CMA.6</w:t>
      </w:r>
    </w:p>
    <w:bookmarkEnd w:id="19"/>
    <w:p w14:paraId="674A5093" w14:textId="3BC67F73" w:rsidR="00FC281D" w:rsidRPr="00677E16" w:rsidRDefault="00FC281D" w:rsidP="00922061">
      <w:pPr>
        <w:pStyle w:val="HChG"/>
        <w:ind w:firstLine="0"/>
        <w:rPr>
          <w:b w:val="0"/>
        </w:rPr>
      </w:pPr>
      <w:r w:rsidRPr="00677E16">
        <w:t>Matters relating to cooperative approaches referred to in Article</w:t>
      </w:r>
      <w:r w:rsidRPr="00E24B58">
        <w:t> 6, paragraph 2, of the Paris Agreement</w:t>
      </w:r>
    </w:p>
    <w:p w14:paraId="2901F789" w14:textId="54D1AA46" w:rsidR="00FC281D" w:rsidRPr="00677E16" w:rsidRDefault="009D4651" w:rsidP="009D4651">
      <w:pPr>
        <w:pStyle w:val="RegSingleTxtG"/>
        <w:numPr>
          <w:ilvl w:val="0"/>
          <w:numId w:val="0"/>
        </w:numPr>
        <w:spacing w:before="180"/>
        <w:ind w:left="1134"/>
        <w:rPr>
          <w:i/>
        </w:rPr>
      </w:pPr>
      <w:r>
        <w:rPr>
          <w:i/>
        </w:rPr>
        <w:tab/>
      </w:r>
      <w:r w:rsidR="00FC281D" w:rsidRPr="00677E16">
        <w:rPr>
          <w:i/>
        </w:rPr>
        <w:t>The Conference of the Parties serving as the meeting of the Parties to the Paris Agreement</w:t>
      </w:r>
      <w:r w:rsidR="00FC281D" w:rsidRPr="00677E16">
        <w:t>,</w:t>
      </w:r>
      <w:r w:rsidR="00FC281D" w:rsidRPr="00677E16">
        <w:rPr>
          <w:i/>
        </w:rPr>
        <w:t xml:space="preserve"> </w:t>
      </w:r>
    </w:p>
    <w:p w14:paraId="4B821E55" w14:textId="05E78751" w:rsidR="00FC281D" w:rsidRPr="00677E16" w:rsidRDefault="009D4651" w:rsidP="009D4651">
      <w:pPr>
        <w:pStyle w:val="RegSingleTxtG"/>
        <w:numPr>
          <w:ilvl w:val="0"/>
          <w:numId w:val="0"/>
        </w:numPr>
        <w:spacing w:before="180"/>
        <w:ind w:left="1134"/>
      </w:pPr>
      <w:r>
        <w:rPr>
          <w:i/>
        </w:rPr>
        <w:tab/>
      </w:r>
      <w:r w:rsidR="00FC281D" w:rsidRPr="00677E16">
        <w:rPr>
          <w:i/>
        </w:rPr>
        <w:t xml:space="preserve">Recalling </w:t>
      </w:r>
      <w:r w:rsidR="00FC281D" w:rsidRPr="00677E16">
        <w:t xml:space="preserve">decision </w:t>
      </w:r>
      <w:hyperlink r:id="rId63" w:history="1">
        <w:r w:rsidR="00FC281D" w:rsidRPr="00514C67">
          <w:rPr>
            <w:rStyle w:val="Hyperlink"/>
          </w:rPr>
          <w:t>2/CMA.3</w:t>
        </w:r>
      </w:hyperlink>
      <w:r w:rsidR="00FC281D" w:rsidRPr="00677E16">
        <w:t xml:space="preserve"> and its annex,</w:t>
      </w:r>
    </w:p>
    <w:p w14:paraId="59D27B5E" w14:textId="527F45A0" w:rsidR="00FC281D" w:rsidRPr="00677E16" w:rsidRDefault="00FC281D" w:rsidP="009D4651">
      <w:pPr>
        <w:pStyle w:val="RegSingleTxtG"/>
        <w:numPr>
          <w:ilvl w:val="0"/>
          <w:numId w:val="0"/>
        </w:numPr>
        <w:spacing w:before="180"/>
        <w:ind w:left="1134"/>
      </w:pPr>
      <w:r w:rsidRPr="00677E16">
        <w:rPr>
          <w:i/>
        </w:rPr>
        <w:tab/>
        <w:t>Also recalling</w:t>
      </w:r>
      <w:r w:rsidRPr="00677E16">
        <w:t xml:space="preserve"> decision </w:t>
      </w:r>
      <w:hyperlink r:id="rId64" w:history="1">
        <w:r w:rsidRPr="00514C67">
          <w:rPr>
            <w:rStyle w:val="Hyperlink"/>
          </w:rPr>
          <w:t>6/CMA.4</w:t>
        </w:r>
      </w:hyperlink>
      <w:r w:rsidRPr="00677E16">
        <w:t xml:space="preserve"> and its annexes, </w:t>
      </w:r>
    </w:p>
    <w:p w14:paraId="7AD3B2D7" w14:textId="7FF2A128" w:rsidR="00FC281D" w:rsidRPr="00982720" w:rsidRDefault="00492C76" w:rsidP="00492C76">
      <w:pPr>
        <w:pStyle w:val="RegSingleTxtG"/>
        <w:numPr>
          <w:ilvl w:val="0"/>
          <w:numId w:val="0"/>
        </w:numPr>
        <w:ind w:left="1134"/>
      </w:pPr>
      <w:r w:rsidRPr="00982720">
        <w:t>1.</w:t>
      </w:r>
      <w:r w:rsidRPr="00982720">
        <w:tab/>
      </w:r>
      <w:r w:rsidR="00FC281D" w:rsidRPr="00982720">
        <w:rPr>
          <w:i/>
          <w:iCs/>
        </w:rPr>
        <w:t>Welcomes</w:t>
      </w:r>
      <w:r w:rsidR="00FC281D" w:rsidRPr="00982720">
        <w:t xml:space="preserve"> the report by the secretariat on its mandated tasks related to implement</w:t>
      </w:r>
      <w:r w:rsidR="00FC281D">
        <w:t>ing</w:t>
      </w:r>
      <w:r w:rsidR="00FC281D" w:rsidRPr="00982720">
        <w:t xml:space="preserve"> the guidance on cooperative approaches referred to in Article 6, paragraph 2, of the Paris Agreement and in decisions </w:t>
      </w:r>
      <w:hyperlink r:id="rId65" w:history="1">
        <w:r w:rsidR="00FC281D" w:rsidRPr="00514C67">
          <w:rPr>
            <w:rStyle w:val="Hyperlink"/>
          </w:rPr>
          <w:t>2/CMA.3</w:t>
        </w:r>
      </w:hyperlink>
      <w:r w:rsidR="00FC281D" w:rsidRPr="00982720">
        <w:t xml:space="preserve"> and </w:t>
      </w:r>
      <w:hyperlink r:id="rId66" w:history="1">
        <w:r w:rsidR="00FC281D" w:rsidRPr="00514C67">
          <w:rPr>
            <w:rStyle w:val="Hyperlink"/>
          </w:rPr>
          <w:t>6/CMA.4</w:t>
        </w:r>
      </w:hyperlink>
      <w:r w:rsidR="00FC281D" w:rsidRPr="00982720">
        <w:t>;</w:t>
      </w:r>
      <w:r w:rsidR="00FC281D">
        <w:rPr>
          <w:rStyle w:val="FootnoteReference"/>
        </w:rPr>
        <w:footnoteReference w:id="31"/>
      </w:r>
    </w:p>
    <w:p w14:paraId="2680DF50" w14:textId="6BA04E8E" w:rsidR="00FC281D" w:rsidRPr="00982720" w:rsidRDefault="00492C76" w:rsidP="00492C76">
      <w:pPr>
        <w:pStyle w:val="RegHChG"/>
        <w:numPr>
          <w:ilvl w:val="0"/>
          <w:numId w:val="0"/>
        </w:numPr>
        <w:tabs>
          <w:tab w:val="left" w:pos="1135"/>
          <w:tab w:val="left" w:pos="1701"/>
        </w:tabs>
        <w:ind w:left="1135" w:hanging="454"/>
        <w:jc w:val="both"/>
      </w:pPr>
      <w:r w:rsidRPr="00982720">
        <w:t>I.</w:t>
      </w:r>
      <w:r w:rsidRPr="00982720">
        <w:tab/>
      </w:r>
      <w:r w:rsidR="00FC281D" w:rsidRPr="00922061">
        <w:t>Authorization</w:t>
      </w:r>
    </w:p>
    <w:p w14:paraId="3903C79F" w14:textId="4DD47BDB" w:rsidR="00FC281D" w:rsidRPr="00982720" w:rsidRDefault="00492C76" w:rsidP="00492C76">
      <w:pPr>
        <w:pStyle w:val="RegH1G"/>
        <w:numPr>
          <w:ilvl w:val="0"/>
          <w:numId w:val="0"/>
        </w:numPr>
        <w:tabs>
          <w:tab w:val="left" w:pos="1135"/>
        </w:tabs>
        <w:ind w:left="1135" w:hanging="454"/>
      </w:pPr>
      <w:r w:rsidRPr="00982720">
        <w:t>A.</w:t>
      </w:r>
      <w:r w:rsidRPr="00982720">
        <w:tab/>
      </w:r>
      <w:r w:rsidR="00FC281D" w:rsidRPr="00982720">
        <w:t xml:space="preserve">Process </w:t>
      </w:r>
      <w:r w:rsidR="00FC281D">
        <w:t xml:space="preserve">for </w:t>
      </w:r>
      <w:r w:rsidR="00FC281D" w:rsidRPr="00982720">
        <w:t xml:space="preserve">and timing of </w:t>
      </w:r>
      <w:r w:rsidR="00FC281D">
        <w:t xml:space="preserve">the </w:t>
      </w:r>
      <w:r w:rsidR="00FC281D" w:rsidRPr="00982720">
        <w:t>authorization</w:t>
      </w:r>
    </w:p>
    <w:p w14:paraId="610DE425" w14:textId="3B1C7580" w:rsidR="00FC281D" w:rsidRPr="00A22775" w:rsidRDefault="00492C76" w:rsidP="00492C76">
      <w:pPr>
        <w:pStyle w:val="RegSingleTxtG"/>
        <w:numPr>
          <w:ilvl w:val="0"/>
          <w:numId w:val="0"/>
        </w:numPr>
        <w:ind w:left="1134"/>
      </w:pPr>
      <w:r w:rsidRPr="00A22775">
        <w:t>2.</w:t>
      </w:r>
      <w:r w:rsidRPr="00A22775">
        <w:tab/>
      </w:r>
      <w:r w:rsidR="00FC281D">
        <w:rPr>
          <w:i/>
          <w:iCs/>
        </w:rPr>
        <w:t>Notes</w:t>
      </w:r>
      <w:r w:rsidR="00FC281D" w:rsidRPr="75D72C05">
        <w:rPr>
          <w:i/>
          <w:iCs/>
        </w:rPr>
        <w:t xml:space="preserve"> </w:t>
      </w:r>
      <w:r w:rsidR="00FC281D">
        <w:t xml:space="preserve">that the authorization of the use of internationally transferred mitigation outcomes from a cooperative approach is the authorization referred to in decision </w:t>
      </w:r>
      <w:hyperlink r:id="rId67" w:history="1">
        <w:r w:rsidR="00FC281D" w:rsidRPr="00514C67">
          <w:rPr>
            <w:rStyle w:val="Hyperlink"/>
          </w:rPr>
          <w:t>2/CMA.3</w:t>
        </w:r>
      </w:hyperlink>
      <w:r w:rsidR="00FC281D">
        <w:t>, annex, paragraph 18, a copy of which is submitted as per paragraph 18(g) of the annex to that decision;</w:t>
      </w:r>
    </w:p>
    <w:p w14:paraId="6CF640EC" w14:textId="02380B77" w:rsidR="00FC281D" w:rsidRPr="00982720" w:rsidRDefault="00492C76" w:rsidP="00492C76">
      <w:pPr>
        <w:pStyle w:val="RegSingleTxtG"/>
        <w:numPr>
          <w:ilvl w:val="0"/>
          <w:numId w:val="0"/>
        </w:numPr>
        <w:ind w:left="1134"/>
      </w:pPr>
      <w:r w:rsidRPr="00982720">
        <w:t>3.</w:t>
      </w:r>
      <w:r w:rsidRPr="00982720">
        <w:tab/>
      </w:r>
      <w:r w:rsidR="00FC281D">
        <w:rPr>
          <w:i/>
          <w:iCs/>
        </w:rPr>
        <w:t>Also n</w:t>
      </w:r>
      <w:r w:rsidR="00FC281D" w:rsidRPr="75D72C05">
        <w:rPr>
          <w:i/>
          <w:iCs/>
        </w:rPr>
        <w:t xml:space="preserve">otes </w:t>
      </w:r>
      <w:r w:rsidR="00FC281D">
        <w:t>that</w:t>
      </w:r>
      <w:r w:rsidR="00FC281D" w:rsidRPr="000F042F">
        <w:t xml:space="preserve"> there are three </w:t>
      </w:r>
      <w:r w:rsidR="00FC281D">
        <w:t>components</w:t>
      </w:r>
      <w:r w:rsidR="00FC281D" w:rsidRPr="000F042F">
        <w:t xml:space="preserve"> </w:t>
      </w:r>
      <w:r w:rsidR="00FC281D" w:rsidRPr="00DC26FE">
        <w:rPr>
          <w:rStyle w:val="normaltextrun"/>
        </w:rPr>
        <w:t>of</w:t>
      </w:r>
      <w:r w:rsidR="00FC281D" w:rsidRPr="000F042F">
        <w:t xml:space="preserve"> authorization</w:t>
      </w:r>
      <w:r w:rsidR="00FC281D">
        <w:t>,</w:t>
      </w:r>
      <w:r w:rsidR="00FC281D" w:rsidRPr="00C36D15">
        <w:t xml:space="preserve"> </w:t>
      </w:r>
      <w:r w:rsidR="00FC281D">
        <w:t>as applicable:</w:t>
      </w:r>
      <w:r w:rsidR="00FC281D" w:rsidRPr="000F042F">
        <w:t xml:space="preserve"> authorization of the cooperative approach, authorization of internationally transferred mitigation outcomes and authorization of entities</w:t>
      </w:r>
      <w:r w:rsidR="00FC281D" w:rsidRPr="006107F1">
        <w:t>;</w:t>
      </w:r>
    </w:p>
    <w:p w14:paraId="3E2583A3" w14:textId="47F7A314" w:rsidR="00FC281D" w:rsidRPr="00982720" w:rsidRDefault="00492C76" w:rsidP="00492C76">
      <w:pPr>
        <w:pStyle w:val="RegSingleTxtG"/>
        <w:numPr>
          <w:ilvl w:val="0"/>
          <w:numId w:val="0"/>
        </w:numPr>
        <w:ind w:left="1134"/>
      </w:pPr>
      <w:r w:rsidRPr="00982720">
        <w:t>4.</w:t>
      </w:r>
      <w:r w:rsidRPr="00982720">
        <w:tab/>
      </w:r>
      <w:r w:rsidR="00FC281D">
        <w:rPr>
          <w:i/>
          <w:iCs/>
        </w:rPr>
        <w:t>Further</w:t>
      </w:r>
      <w:r w:rsidR="00FC281D" w:rsidRPr="00982720">
        <w:rPr>
          <w:i/>
          <w:iCs/>
        </w:rPr>
        <w:t xml:space="preserve"> notes</w:t>
      </w:r>
      <w:r w:rsidR="00FC281D" w:rsidRPr="00982720">
        <w:t xml:space="preserve"> that</w:t>
      </w:r>
      <w:r w:rsidR="00FC281D" w:rsidRPr="00982720" w:rsidDel="009A7EAB">
        <w:t xml:space="preserve"> participating Party arrangements for authorizing the use of </w:t>
      </w:r>
      <w:r w:rsidR="00FC281D" w:rsidRPr="00982720">
        <w:t xml:space="preserve">mitigation outcomes referred to in decision </w:t>
      </w:r>
      <w:hyperlink r:id="rId68" w:history="1">
        <w:r w:rsidR="00FC281D" w:rsidRPr="00514C67">
          <w:rPr>
            <w:rStyle w:val="Hyperlink"/>
          </w:rPr>
          <w:t>2/CMA.3</w:t>
        </w:r>
      </w:hyperlink>
      <w:r w:rsidR="00FC281D" w:rsidRPr="00982720">
        <w:t>, annex, paragraph 4</w:t>
      </w:r>
      <w:r w:rsidR="00FC281D">
        <w:t>(c)</w:t>
      </w:r>
      <w:r w:rsidR="00FC281D" w:rsidRPr="00982720">
        <w:t xml:space="preserve">, may involve </w:t>
      </w:r>
      <w:r w:rsidR="00FC281D">
        <w:t xml:space="preserve">a single consolidated </w:t>
      </w:r>
      <w:r w:rsidR="00FC281D" w:rsidRPr="000F042F">
        <w:t>authorization process</w:t>
      </w:r>
      <w:r w:rsidR="00FC281D" w:rsidRPr="00982720">
        <w:t xml:space="preserve"> </w:t>
      </w:r>
      <w:r w:rsidR="00FC281D">
        <w:t xml:space="preserve">that addresses, or </w:t>
      </w:r>
      <w:r w:rsidR="00FC281D" w:rsidRPr="00982720">
        <w:t xml:space="preserve">sequential processes that </w:t>
      </w:r>
      <w:r w:rsidR="00FC281D" w:rsidRPr="000F042F">
        <w:t xml:space="preserve">entirely and </w:t>
      </w:r>
      <w:r w:rsidR="00FC281D" w:rsidRPr="00982720">
        <w:t xml:space="preserve">collectively address, </w:t>
      </w:r>
      <w:r w:rsidR="00FC281D" w:rsidRPr="00FD724D">
        <w:rPr>
          <w:iCs/>
        </w:rPr>
        <w:t>inter alia</w:t>
      </w:r>
      <w:r w:rsidR="00FC281D" w:rsidRPr="00982720">
        <w:t xml:space="preserve"> and as appropriate, </w:t>
      </w:r>
      <w:r w:rsidR="00FC281D" w:rsidRPr="000F042F">
        <w:t xml:space="preserve">the information </w:t>
      </w:r>
      <w:r w:rsidR="00FC281D">
        <w:t xml:space="preserve">referred to </w:t>
      </w:r>
      <w:r w:rsidR="00FC281D" w:rsidRPr="000F042F">
        <w:t>in</w:t>
      </w:r>
      <w:r w:rsidR="00FC281D" w:rsidRPr="00982720">
        <w:t xml:space="preserve"> </w:t>
      </w:r>
      <w:r w:rsidR="00FC281D">
        <w:t>paragraph 5 below</w:t>
      </w:r>
      <w:r w:rsidR="00FC281D" w:rsidRPr="00982720">
        <w:t>;</w:t>
      </w:r>
    </w:p>
    <w:p w14:paraId="4037DF41" w14:textId="46BC7C41" w:rsidR="00FC281D" w:rsidRPr="00982720" w:rsidRDefault="00492C76" w:rsidP="00492C76">
      <w:pPr>
        <w:pStyle w:val="RegH1G"/>
        <w:numPr>
          <w:ilvl w:val="0"/>
          <w:numId w:val="0"/>
        </w:numPr>
        <w:tabs>
          <w:tab w:val="left" w:pos="1135"/>
        </w:tabs>
        <w:ind w:left="1135" w:hanging="454"/>
      </w:pPr>
      <w:r w:rsidRPr="00982720">
        <w:t>B.</w:t>
      </w:r>
      <w:r w:rsidRPr="00982720">
        <w:tab/>
      </w:r>
      <w:r w:rsidR="00FC281D" w:rsidRPr="00982720">
        <w:t>Content of the authorization</w:t>
      </w:r>
    </w:p>
    <w:p w14:paraId="3A7C8EB0" w14:textId="547FD288" w:rsidR="00FC281D" w:rsidRPr="00982720" w:rsidRDefault="00492C76" w:rsidP="00492C76">
      <w:pPr>
        <w:pStyle w:val="RegSingleTxtG"/>
        <w:numPr>
          <w:ilvl w:val="0"/>
          <w:numId w:val="0"/>
        </w:numPr>
        <w:ind w:left="1134"/>
      </w:pPr>
      <w:r w:rsidRPr="00982720">
        <w:t>5.</w:t>
      </w:r>
      <w:r w:rsidRPr="00982720">
        <w:tab/>
      </w:r>
      <w:r w:rsidR="00FC281D" w:rsidRPr="00982720">
        <w:rPr>
          <w:i/>
        </w:rPr>
        <w:t>Decides</w:t>
      </w:r>
      <w:r w:rsidR="00FC281D" w:rsidRPr="00982720">
        <w:t xml:space="preserve"> that</w:t>
      </w:r>
      <w:r w:rsidR="00FC281D">
        <w:t xml:space="preserve"> each </w:t>
      </w:r>
      <w:r w:rsidR="00FC281D" w:rsidRPr="00982720">
        <w:t>participating Party shall include in the authorization</w:t>
      </w:r>
      <w:r w:rsidR="00FC281D" w:rsidRPr="00677E16">
        <w:t xml:space="preserve"> of</w:t>
      </w:r>
      <w:r w:rsidR="00FC281D" w:rsidRPr="00982720">
        <w:t xml:space="preserve"> use of </w:t>
      </w:r>
      <w:r w:rsidR="00FC281D">
        <w:t xml:space="preserve">the </w:t>
      </w:r>
      <w:r w:rsidR="00FC281D" w:rsidRPr="00982720">
        <w:t>internationally transferred mitigation outcomes from each cooperative approach the following elements:</w:t>
      </w:r>
    </w:p>
    <w:p w14:paraId="577ADA1E" w14:textId="2F7C7421" w:rsidR="00FC281D" w:rsidRPr="00982720" w:rsidRDefault="00492C76" w:rsidP="00492C76">
      <w:pPr>
        <w:pStyle w:val="RegSingleTxtG2"/>
        <w:numPr>
          <w:ilvl w:val="0"/>
          <w:numId w:val="0"/>
        </w:numPr>
        <w:tabs>
          <w:tab w:val="left" w:pos="1702"/>
        </w:tabs>
        <w:ind w:left="1134" w:firstLine="567"/>
      </w:pPr>
      <w:r w:rsidRPr="00982720">
        <w:rPr>
          <w:szCs w:val="28"/>
        </w:rPr>
        <w:t>(a)</w:t>
      </w:r>
      <w:r w:rsidRPr="00982720">
        <w:rPr>
          <w:szCs w:val="28"/>
        </w:rPr>
        <w:tab/>
      </w:r>
      <w:r w:rsidR="00FC281D">
        <w:t>A u</w:t>
      </w:r>
      <w:r w:rsidR="00FC281D" w:rsidRPr="00982720">
        <w:t xml:space="preserve">nique identifier </w:t>
      </w:r>
      <w:r w:rsidR="00FC281D">
        <w:t>for</w:t>
      </w:r>
      <w:r w:rsidR="00FC281D" w:rsidRPr="00982720">
        <w:t xml:space="preserve"> the cooperative approach, obtained from the centralized accounting and reporting platform, where available; </w:t>
      </w:r>
    </w:p>
    <w:p w14:paraId="1F0E851F" w14:textId="43D72392" w:rsidR="00FC281D" w:rsidRPr="00982720" w:rsidRDefault="00492C76" w:rsidP="00492C76">
      <w:pPr>
        <w:pStyle w:val="RegSingleTxtG2"/>
        <w:numPr>
          <w:ilvl w:val="0"/>
          <w:numId w:val="0"/>
        </w:numPr>
        <w:tabs>
          <w:tab w:val="left" w:pos="1702"/>
        </w:tabs>
        <w:ind w:left="1134" w:firstLine="567"/>
      </w:pPr>
      <w:r w:rsidRPr="00982720">
        <w:rPr>
          <w:szCs w:val="28"/>
        </w:rPr>
        <w:t>(b)</w:t>
      </w:r>
      <w:r w:rsidRPr="00982720">
        <w:rPr>
          <w:szCs w:val="28"/>
        </w:rPr>
        <w:tab/>
      </w:r>
      <w:r w:rsidR="00FC281D">
        <w:t>The n</w:t>
      </w:r>
      <w:r w:rsidR="00FC281D" w:rsidRPr="00982720">
        <w:t>ame(s) of the participating Party(ies) and/or entities</w:t>
      </w:r>
      <w:r w:rsidR="00FC281D">
        <w:t>, if known, covered by the authorization</w:t>
      </w:r>
      <w:r w:rsidR="00FC281D" w:rsidRPr="00982720">
        <w:t>;</w:t>
      </w:r>
    </w:p>
    <w:p w14:paraId="0B15B009" w14:textId="315FD0B9" w:rsidR="00FC281D" w:rsidRPr="00982720" w:rsidRDefault="00492C76" w:rsidP="00492C76">
      <w:pPr>
        <w:pStyle w:val="RegSingleTxtG2"/>
        <w:numPr>
          <w:ilvl w:val="0"/>
          <w:numId w:val="0"/>
        </w:numPr>
        <w:tabs>
          <w:tab w:val="left" w:pos="1702"/>
        </w:tabs>
        <w:ind w:left="1134" w:firstLine="567"/>
      </w:pPr>
      <w:r w:rsidRPr="00982720">
        <w:rPr>
          <w:szCs w:val="28"/>
        </w:rPr>
        <w:t>(c)</w:t>
      </w:r>
      <w:r w:rsidRPr="00982720">
        <w:rPr>
          <w:szCs w:val="28"/>
        </w:rPr>
        <w:tab/>
      </w:r>
      <w:r w:rsidR="00FC281D">
        <w:t>The d</w:t>
      </w:r>
      <w:r w:rsidR="00FC281D" w:rsidRPr="00982720">
        <w:t>ate and duration of the authorization</w:t>
      </w:r>
      <w:r w:rsidR="00FC281D">
        <w:t>, i</w:t>
      </w:r>
      <w:r w:rsidR="00FC281D" w:rsidRPr="00B77D45">
        <w:t xml:space="preserve">ncluding the final date for mitigation outcomes to be issued, or to be used or cancelled, </w:t>
      </w:r>
      <w:r w:rsidR="00FC281D" w:rsidRPr="006107F1">
        <w:t>in connection with</w:t>
      </w:r>
      <w:r w:rsidR="00FC281D" w:rsidRPr="00B77D45">
        <w:t xml:space="preserve"> the first transfer specified by the Party as per decision </w:t>
      </w:r>
      <w:hyperlink r:id="rId69" w:history="1">
        <w:r w:rsidR="00FC281D" w:rsidRPr="00514C67">
          <w:rPr>
            <w:rStyle w:val="Hyperlink"/>
          </w:rPr>
          <w:t>2/CMA.3</w:t>
        </w:r>
      </w:hyperlink>
      <w:r w:rsidR="00FC281D" w:rsidRPr="00B77D45">
        <w:t>, annex, paragraph 2</w:t>
      </w:r>
      <w:r w:rsidR="00FC281D">
        <w:t>(b), as applicable</w:t>
      </w:r>
      <w:r w:rsidR="00FC281D" w:rsidRPr="00982720">
        <w:rPr>
          <w:rFonts w:asciiTheme="majorBidi" w:hAnsiTheme="majorBidi" w:cstheme="majorBidi"/>
        </w:rPr>
        <w:t>;</w:t>
      </w:r>
    </w:p>
    <w:p w14:paraId="5A0EFE78" w14:textId="2E2A8C94" w:rsidR="00FC281D" w:rsidRPr="00982720" w:rsidRDefault="00492C76" w:rsidP="00492C76">
      <w:pPr>
        <w:pStyle w:val="RegSingleTxtG2"/>
        <w:numPr>
          <w:ilvl w:val="0"/>
          <w:numId w:val="0"/>
        </w:numPr>
        <w:tabs>
          <w:tab w:val="left" w:pos="1702"/>
        </w:tabs>
        <w:ind w:left="1134" w:firstLine="567"/>
      </w:pPr>
      <w:r w:rsidRPr="00982720">
        <w:rPr>
          <w:szCs w:val="28"/>
        </w:rPr>
        <w:t>(d)</w:t>
      </w:r>
      <w:r w:rsidRPr="00982720">
        <w:rPr>
          <w:szCs w:val="28"/>
        </w:rPr>
        <w:tab/>
      </w:r>
      <w:r w:rsidR="00FC281D">
        <w:t>The specification</w:t>
      </w:r>
      <w:r w:rsidR="00FC281D" w:rsidRPr="00982720">
        <w:t xml:space="preserve"> of </w:t>
      </w:r>
      <w:r w:rsidR="00FC281D">
        <w:t>the</w:t>
      </w:r>
      <w:r w:rsidR="00FC281D" w:rsidRPr="00982720">
        <w:t xml:space="preserve"> first transfer of the mitigation outcome</w:t>
      </w:r>
      <w:r w:rsidR="00FC281D">
        <w:t>,</w:t>
      </w:r>
      <w:r w:rsidR="00FC281D" w:rsidRPr="00982720">
        <w:t xml:space="preserve"> as specified by participating Parties, as per decision </w:t>
      </w:r>
      <w:hyperlink r:id="rId70" w:history="1">
        <w:r w:rsidR="00FC281D" w:rsidRPr="00514C67">
          <w:rPr>
            <w:rStyle w:val="Hyperlink"/>
          </w:rPr>
          <w:t>2/CMA.3</w:t>
        </w:r>
      </w:hyperlink>
      <w:r w:rsidR="00FC281D" w:rsidRPr="00982720">
        <w:t>, annex, paragraph 2</w:t>
      </w:r>
      <w:r w:rsidR="00FC281D">
        <w:t>(b)</w:t>
      </w:r>
      <w:r w:rsidR="00FC281D" w:rsidRPr="00982720">
        <w:rPr>
          <w:rFonts w:asciiTheme="majorBidi" w:hAnsiTheme="majorBidi" w:cstheme="majorBidi"/>
        </w:rPr>
        <w:t>;</w:t>
      </w:r>
    </w:p>
    <w:p w14:paraId="0C451A16" w14:textId="2968A264" w:rsidR="00FC281D" w:rsidRPr="00982720" w:rsidRDefault="00492C76" w:rsidP="00492C76">
      <w:pPr>
        <w:pStyle w:val="RegSingleTxtG2"/>
        <w:numPr>
          <w:ilvl w:val="0"/>
          <w:numId w:val="0"/>
        </w:numPr>
        <w:tabs>
          <w:tab w:val="left" w:pos="1702"/>
        </w:tabs>
        <w:ind w:left="1134" w:firstLine="567"/>
      </w:pPr>
      <w:r w:rsidRPr="00982720">
        <w:rPr>
          <w:szCs w:val="28"/>
        </w:rPr>
        <w:t>(e)</w:t>
      </w:r>
      <w:r w:rsidRPr="00982720">
        <w:rPr>
          <w:szCs w:val="28"/>
        </w:rPr>
        <w:tab/>
      </w:r>
      <w:r w:rsidR="00FC281D" w:rsidRPr="00982720">
        <w:t>The uses covered by the authorization</w:t>
      </w:r>
      <w:r w:rsidR="00FC281D">
        <w:t>,</w:t>
      </w:r>
      <w:r w:rsidR="00FC281D" w:rsidRPr="00982720">
        <w:t xml:space="preserve"> consistent with</w:t>
      </w:r>
      <w:r w:rsidR="00FC281D">
        <w:t xml:space="preserve"> decision</w:t>
      </w:r>
      <w:r w:rsidR="00FC281D" w:rsidRPr="00982720">
        <w:t xml:space="preserve"> </w:t>
      </w:r>
      <w:hyperlink r:id="rId71" w:history="1">
        <w:r w:rsidR="00FC281D" w:rsidRPr="00514C67">
          <w:rPr>
            <w:rStyle w:val="Hyperlink"/>
          </w:rPr>
          <w:t>2/CMA.3</w:t>
        </w:r>
      </w:hyperlink>
      <w:r w:rsidR="00FC281D" w:rsidRPr="00982720">
        <w:t>, annex, paragraph 1(d) and (f);</w:t>
      </w:r>
    </w:p>
    <w:p w14:paraId="52068553" w14:textId="2EEF3247" w:rsidR="00FC281D" w:rsidRPr="00982720" w:rsidRDefault="00492C76" w:rsidP="00492C76">
      <w:pPr>
        <w:pStyle w:val="RegSingleTxtG2"/>
        <w:numPr>
          <w:ilvl w:val="0"/>
          <w:numId w:val="0"/>
        </w:numPr>
        <w:tabs>
          <w:tab w:val="left" w:pos="1702"/>
        </w:tabs>
        <w:ind w:left="1134" w:firstLine="567"/>
      </w:pPr>
      <w:r w:rsidRPr="00982720">
        <w:rPr>
          <w:szCs w:val="28"/>
        </w:rPr>
        <w:lastRenderedPageBreak/>
        <w:t>(f)</w:t>
      </w:r>
      <w:r w:rsidRPr="00982720">
        <w:rPr>
          <w:szCs w:val="28"/>
        </w:rPr>
        <w:tab/>
      </w:r>
      <w:r w:rsidR="00FC281D">
        <w:t>The i</w:t>
      </w:r>
      <w:r w:rsidR="00FC281D" w:rsidRPr="006107F1">
        <w:t>dentification</w:t>
      </w:r>
      <w:r w:rsidR="00FC281D">
        <w:t xml:space="preserve"> of or cross-reference to </w:t>
      </w:r>
      <w:r w:rsidR="00FC281D" w:rsidRPr="00982720">
        <w:t xml:space="preserve">underlying </w:t>
      </w:r>
      <w:r w:rsidR="00FC281D" w:rsidRPr="006107F1">
        <w:t>regulations, frameworks</w:t>
      </w:r>
      <w:r w:rsidR="00FC281D">
        <w:t>, standards</w:t>
      </w:r>
      <w:r w:rsidR="00FC281D" w:rsidRPr="006107F1">
        <w:t xml:space="preserve"> or</w:t>
      </w:r>
      <w:r w:rsidR="00FC281D">
        <w:t xml:space="preserve"> procedures</w:t>
      </w:r>
      <w:r w:rsidR="00FC281D" w:rsidRPr="00982720">
        <w:t xml:space="preserve">, including any specific methodologies underpinning the cooperative approach; </w:t>
      </w:r>
    </w:p>
    <w:p w14:paraId="5F3597FE" w14:textId="53CB0798" w:rsidR="00FC281D" w:rsidRPr="00982720" w:rsidRDefault="00492C76" w:rsidP="00492C76">
      <w:pPr>
        <w:pStyle w:val="RegSingleTxtG2"/>
        <w:numPr>
          <w:ilvl w:val="0"/>
          <w:numId w:val="0"/>
        </w:numPr>
        <w:tabs>
          <w:tab w:val="left" w:pos="1702"/>
        </w:tabs>
        <w:ind w:left="1134" w:firstLine="567"/>
      </w:pPr>
      <w:r w:rsidRPr="00982720">
        <w:rPr>
          <w:szCs w:val="28"/>
        </w:rPr>
        <w:t>(g)</w:t>
      </w:r>
      <w:r w:rsidRPr="00982720">
        <w:rPr>
          <w:szCs w:val="28"/>
        </w:rPr>
        <w:tab/>
      </w:r>
      <w:r w:rsidR="00FC281D" w:rsidRPr="005B5671">
        <w:t xml:space="preserve">Where changes to the authorization </w:t>
      </w:r>
      <w:r w:rsidR="00FC281D">
        <w:t xml:space="preserve">may </w:t>
      </w:r>
      <w:r w:rsidR="00FC281D" w:rsidRPr="005B5671">
        <w:t>occur, information on the circumstances in which such changes may occur and a description of the</w:t>
      </w:r>
      <w:r w:rsidR="00FC281D" w:rsidRPr="00B4615E">
        <w:t xml:space="preserve"> </w:t>
      </w:r>
      <w:r w:rsidR="00FC281D" w:rsidRPr="00435666">
        <w:t>process for managing them</w:t>
      </w:r>
      <w:r w:rsidR="00FC281D" w:rsidRPr="005B5671">
        <w:t xml:space="preserve"> in a way that avoids double counting</w:t>
      </w:r>
      <w:r w:rsidR="00FC281D" w:rsidRPr="00982720">
        <w:t>;</w:t>
      </w:r>
    </w:p>
    <w:p w14:paraId="2614D91F" w14:textId="249719F1" w:rsidR="00FC281D" w:rsidRPr="00982720" w:rsidRDefault="00492C76" w:rsidP="00492C76">
      <w:pPr>
        <w:pStyle w:val="RegSingleTxtG2"/>
        <w:numPr>
          <w:ilvl w:val="0"/>
          <w:numId w:val="0"/>
        </w:numPr>
        <w:tabs>
          <w:tab w:val="left" w:pos="1702"/>
        </w:tabs>
        <w:ind w:left="1134" w:firstLine="567"/>
      </w:pPr>
      <w:r w:rsidRPr="00982720">
        <w:rPr>
          <w:szCs w:val="28"/>
        </w:rPr>
        <w:t>(h)</w:t>
      </w:r>
      <w:r w:rsidRPr="00982720">
        <w:rPr>
          <w:szCs w:val="28"/>
        </w:rPr>
        <w:tab/>
      </w:r>
      <w:r w:rsidR="00FC281D">
        <w:t>The q</w:t>
      </w:r>
      <w:r w:rsidR="00FC281D" w:rsidRPr="00982720">
        <w:t>uantity of internationally transferred mitigation outcomes, if applicable;</w:t>
      </w:r>
    </w:p>
    <w:p w14:paraId="08DA38AE" w14:textId="6DDF24E3" w:rsidR="00FC281D" w:rsidRPr="00982720" w:rsidRDefault="00492C76" w:rsidP="00492C76">
      <w:pPr>
        <w:pStyle w:val="RegSingleTxtG2"/>
        <w:numPr>
          <w:ilvl w:val="0"/>
          <w:numId w:val="0"/>
        </w:numPr>
        <w:tabs>
          <w:tab w:val="left" w:pos="1702"/>
        </w:tabs>
        <w:ind w:left="1134" w:firstLine="567"/>
      </w:pPr>
      <w:r w:rsidRPr="00982720">
        <w:rPr>
          <w:szCs w:val="28"/>
        </w:rPr>
        <w:t>(i)</w:t>
      </w:r>
      <w:r w:rsidRPr="00982720">
        <w:rPr>
          <w:szCs w:val="28"/>
        </w:rPr>
        <w:tab/>
      </w:r>
      <w:r w:rsidR="00FC281D" w:rsidRPr="00982720">
        <w:t xml:space="preserve">Identification of the registry the participating Party has, or has access to, for the purpose of tracking </w:t>
      </w:r>
      <w:r w:rsidR="00FC281D">
        <w:t>and</w:t>
      </w:r>
      <w:r w:rsidR="00FC281D" w:rsidRPr="00982720">
        <w:t xml:space="preserve"> record</w:t>
      </w:r>
      <w:r w:rsidR="00FC281D">
        <w:t xml:space="preserve">ing </w:t>
      </w:r>
      <w:r w:rsidR="00FC281D" w:rsidRPr="00982720">
        <w:t>internationally transferred mitigation outcomes;</w:t>
      </w:r>
    </w:p>
    <w:p w14:paraId="36BD2A74" w14:textId="4A1DA210" w:rsidR="00FC281D" w:rsidRPr="00982720" w:rsidRDefault="00492C76" w:rsidP="00492C76">
      <w:pPr>
        <w:pStyle w:val="RegSingleTxtG2"/>
        <w:numPr>
          <w:ilvl w:val="0"/>
          <w:numId w:val="0"/>
        </w:numPr>
        <w:tabs>
          <w:tab w:val="left" w:pos="1702"/>
        </w:tabs>
        <w:ind w:left="1134" w:firstLine="567"/>
      </w:pPr>
      <w:r w:rsidRPr="00982720">
        <w:rPr>
          <w:szCs w:val="28"/>
        </w:rPr>
        <w:t>(j)</w:t>
      </w:r>
      <w:r w:rsidRPr="00982720">
        <w:rPr>
          <w:szCs w:val="28"/>
        </w:rPr>
        <w:tab/>
      </w:r>
      <w:r w:rsidR="00FC281D" w:rsidRPr="00982720">
        <w:t xml:space="preserve">Identification of </w:t>
      </w:r>
      <w:r w:rsidR="00FC281D" w:rsidRPr="006107F1">
        <w:t xml:space="preserve">the </w:t>
      </w:r>
      <w:r w:rsidR="00FC281D" w:rsidRPr="00982720">
        <w:t xml:space="preserve">relevant registry(ies) in the underlying </w:t>
      </w:r>
      <w:r w:rsidR="00FC281D" w:rsidRPr="006107F1">
        <w:t>regulations, frameworks, standards</w:t>
      </w:r>
      <w:r w:rsidR="00FC281D" w:rsidRPr="00982720">
        <w:t xml:space="preserve"> or </w:t>
      </w:r>
      <w:r w:rsidR="00FC281D" w:rsidRPr="006107F1">
        <w:t>procedures</w:t>
      </w:r>
      <w:r w:rsidR="00FC281D" w:rsidRPr="00982720">
        <w:t xml:space="preserve"> that </w:t>
      </w:r>
      <w:r w:rsidR="00FC281D">
        <w:t xml:space="preserve">(1) </w:t>
      </w:r>
      <w:r w:rsidR="00FC281D" w:rsidRPr="00982720">
        <w:t xml:space="preserve">contain mitigation outcomes or inform their calculation by the participating Party(ies) and </w:t>
      </w:r>
      <w:r w:rsidR="00FC281D">
        <w:t xml:space="preserve">(2) </w:t>
      </w:r>
      <w:r w:rsidR="00FC281D" w:rsidRPr="00982720">
        <w:t xml:space="preserve">transparently track the status of underlying mitigation activities and outcomes </w:t>
      </w:r>
      <w:r w:rsidR="00FC281D">
        <w:t>as well as</w:t>
      </w:r>
      <w:r w:rsidR="00FC281D" w:rsidRPr="00982720">
        <w:t xml:space="preserve"> participation and transactions by entities, as applicable;</w:t>
      </w:r>
    </w:p>
    <w:p w14:paraId="1212634F" w14:textId="6D46A465" w:rsidR="00FC281D" w:rsidRPr="00982720" w:rsidRDefault="00492C76" w:rsidP="00492C76">
      <w:pPr>
        <w:pStyle w:val="RegSingleTxtG2"/>
        <w:numPr>
          <w:ilvl w:val="0"/>
          <w:numId w:val="0"/>
        </w:numPr>
        <w:tabs>
          <w:tab w:val="left" w:pos="1702"/>
        </w:tabs>
        <w:ind w:left="1134" w:firstLine="567"/>
      </w:pPr>
      <w:r w:rsidRPr="00982720">
        <w:rPr>
          <w:szCs w:val="28"/>
        </w:rPr>
        <w:t>(k)</w:t>
      </w:r>
      <w:r w:rsidRPr="00982720">
        <w:rPr>
          <w:szCs w:val="28"/>
        </w:rPr>
        <w:tab/>
      </w:r>
      <w:r w:rsidR="00FC281D">
        <w:t>The v</w:t>
      </w:r>
      <w:r w:rsidR="00FC281D" w:rsidRPr="00982720">
        <w:t>intage(s) covered by the authorization;</w:t>
      </w:r>
    </w:p>
    <w:p w14:paraId="667885E5" w14:textId="432B4018" w:rsidR="00FC281D" w:rsidRPr="00982720" w:rsidRDefault="00492C76" w:rsidP="00492C76">
      <w:pPr>
        <w:pStyle w:val="RegSingleTxtG2"/>
        <w:numPr>
          <w:ilvl w:val="0"/>
          <w:numId w:val="0"/>
        </w:numPr>
        <w:tabs>
          <w:tab w:val="left" w:pos="1702"/>
        </w:tabs>
        <w:ind w:left="1134" w:firstLine="567"/>
      </w:pPr>
      <w:r w:rsidRPr="00982720">
        <w:rPr>
          <w:szCs w:val="28"/>
        </w:rPr>
        <w:t>(l)</w:t>
      </w:r>
      <w:r w:rsidRPr="00982720">
        <w:rPr>
          <w:szCs w:val="28"/>
        </w:rPr>
        <w:tab/>
      </w:r>
      <w:r w:rsidR="00FC281D">
        <w:t>The m</w:t>
      </w:r>
      <w:r w:rsidR="00FC281D" w:rsidRPr="00982720">
        <w:t>etrics and units of measurement or conversion and the greenhouse gases covered by the authorization;</w:t>
      </w:r>
    </w:p>
    <w:p w14:paraId="38B584DF" w14:textId="1863AE87" w:rsidR="00FC281D" w:rsidRPr="00982720" w:rsidRDefault="00492C76" w:rsidP="00492C76">
      <w:pPr>
        <w:pStyle w:val="RegSingleTxtG2"/>
        <w:numPr>
          <w:ilvl w:val="0"/>
          <w:numId w:val="0"/>
        </w:numPr>
        <w:tabs>
          <w:tab w:val="left" w:pos="1702"/>
        </w:tabs>
        <w:ind w:left="1134" w:firstLine="567"/>
      </w:pPr>
      <w:r w:rsidRPr="00982720">
        <w:rPr>
          <w:szCs w:val="28"/>
        </w:rPr>
        <w:t>(m)</w:t>
      </w:r>
      <w:r w:rsidRPr="00982720">
        <w:rPr>
          <w:szCs w:val="28"/>
        </w:rPr>
        <w:tab/>
      </w:r>
      <w:r w:rsidR="00FC281D" w:rsidRPr="00982720">
        <w:t>The sector(s) covered, if applicable;</w:t>
      </w:r>
    </w:p>
    <w:p w14:paraId="26B74152" w14:textId="19A98BC4" w:rsidR="00FC281D" w:rsidRPr="00982720" w:rsidRDefault="00492C76" w:rsidP="00492C76">
      <w:pPr>
        <w:pStyle w:val="RegSingleTxtG2"/>
        <w:numPr>
          <w:ilvl w:val="0"/>
          <w:numId w:val="0"/>
        </w:numPr>
        <w:tabs>
          <w:tab w:val="left" w:pos="1702"/>
        </w:tabs>
        <w:ind w:left="1134" w:firstLine="567"/>
        <w:rPr>
          <w:i/>
        </w:rPr>
      </w:pPr>
      <w:r w:rsidRPr="00982720">
        <w:rPr>
          <w:szCs w:val="28"/>
        </w:rPr>
        <w:t>(n)</w:t>
      </w:r>
      <w:r w:rsidRPr="00982720">
        <w:rPr>
          <w:szCs w:val="28"/>
        </w:rPr>
        <w:tab/>
      </w:r>
      <w:r w:rsidR="00FC281D" w:rsidRPr="00982720">
        <w:t>The activity type(s) and/or activity(ies) covered, if applicable</w:t>
      </w:r>
      <w:r w:rsidR="00FC281D">
        <w:t>;</w:t>
      </w:r>
      <w:r w:rsidR="00FC281D" w:rsidRPr="00982720">
        <w:t xml:space="preserve"> </w:t>
      </w:r>
    </w:p>
    <w:p w14:paraId="5F51A640" w14:textId="168444E5" w:rsidR="00FC281D" w:rsidRPr="00982720" w:rsidRDefault="00492C76" w:rsidP="00492C76">
      <w:pPr>
        <w:pStyle w:val="RegH1G"/>
        <w:keepLines w:val="0"/>
        <w:numPr>
          <w:ilvl w:val="0"/>
          <w:numId w:val="0"/>
        </w:numPr>
        <w:tabs>
          <w:tab w:val="left" w:pos="1135"/>
        </w:tabs>
        <w:ind w:left="1135" w:hanging="454"/>
      </w:pPr>
      <w:bookmarkStart w:id="20" w:name="_Ref168578944"/>
      <w:r w:rsidRPr="00982720">
        <w:t>C.</w:t>
      </w:r>
      <w:r w:rsidRPr="00982720">
        <w:tab/>
      </w:r>
      <w:r w:rsidR="00FC281D" w:rsidRPr="00982720">
        <w:t>Format of the authorization</w:t>
      </w:r>
    </w:p>
    <w:p w14:paraId="5A63DFAE" w14:textId="13BB60FB" w:rsidR="00FC281D" w:rsidRPr="00982720" w:rsidRDefault="00492C76" w:rsidP="00492C76">
      <w:pPr>
        <w:pStyle w:val="RegSingleTxtG"/>
        <w:numPr>
          <w:ilvl w:val="0"/>
          <w:numId w:val="0"/>
        </w:numPr>
        <w:ind w:left="1134"/>
      </w:pPr>
      <w:r w:rsidRPr="00982720">
        <w:t>6.</w:t>
      </w:r>
      <w:r w:rsidRPr="00982720">
        <w:tab/>
      </w:r>
      <w:r w:rsidR="00FC281D" w:rsidRPr="00982720">
        <w:rPr>
          <w:i/>
          <w:iCs/>
        </w:rPr>
        <w:t>Requests</w:t>
      </w:r>
      <w:r w:rsidR="00FC281D" w:rsidRPr="00982720">
        <w:t xml:space="preserve"> the secretariat, as the administrator of the centralized accounting and reporting platform, to develop and publish a </w:t>
      </w:r>
      <w:r w:rsidR="00FC281D" w:rsidRPr="00982720" w:rsidDel="00CB4E21">
        <w:t xml:space="preserve">voluntary </w:t>
      </w:r>
      <w:r w:rsidR="00FC281D" w:rsidRPr="00982720">
        <w:t>standardized</w:t>
      </w:r>
      <w:r w:rsidR="00FC281D" w:rsidRPr="00982720" w:rsidDel="00CB4E21">
        <w:t xml:space="preserve"> </w:t>
      </w:r>
      <w:r w:rsidR="00FC281D" w:rsidRPr="00982720">
        <w:t xml:space="preserve">user-friendly template that </w:t>
      </w:r>
      <w:r w:rsidR="00FC281D" w:rsidRPr="006107F1">
        <w:t xml:space="preserve">each </w:t>
      </w:r>
      <w:r w:rsidR="00FC281D" w:rsidRPr="00982720">
        <w:t xml:space="preserve">participating </w:t>
      </w:r>
      <w:r w:rsidR="00FC281D" w:rsidRPr="006107F1">
        <w:t>Party</w:t>
      </w:r>
      <w:r w:rsidR="00FC281D" w:rsidRPr="00982720">
        <w:t xml:space="preserve"> may use to provide the information </w:t>
      </w:r>
      <w:bookmarkEnd w:id="20"/>
      <w:r w:rsidR="00FC281D" w:rsidRPr="00982720">
        <w:t>outlined in</w:t>
      </w:r>
      <w:r w:rsidR="00FC281D" w:rsidRPr="00982720" w:rsidDel="00B32952">
        <w:t xml:space="preserve"> </w:t>
      </w:r>
      <w:r w:rsidR="00FC281D" w:rsidRPr="00982720">
        <w:t xml:space="preserve">paragraph </w:t>
      </w:r>
      <w:r w:rsidR="00FC281D" w:rsidRPr="006107F1">
        <w:t>5</w:t>
      </w:r>
      <w:r w:rsidR="00FC281D">
        <w:t xml:space="preserve"> above</w:t>
      </w:r>
      <w:r w:rsidR="00FC281D" w:rsidRPr="00322AB0">
        <w:t xml:space="preserve">, either in the authorization </w:t>
      </w:r>
      <w:r w:rsidR="00FC281D">
        <w:t xml:space="preserve">referred to in paragraph </w:t>
      </w:r>
      <w:r w:rsidR="00FC281D" w:rsidRPr="006107F1">
        <w:t>2</w:t>
      </w:r>
      <w:r w:rsidR="00FC281D">
        <w:t xml:space="preserve"> above</w:t>
      </w:r>
      <w:r w:rsidR="00FC281D" w:rsidRPr="00322AB0">
        <w:t xml:space="preserve"> or in a document attached to </w:t>
      </w:r>
      <w:r w:rsidR="00FC281D">
        <w:t>that</w:t>
      </w:r>
      <w:r w:rsidR="00FC281D" w:rsidRPr="00322AB0">
        <w:t xml:space="preserve"> authorization</w:t>
      </w:r>
      <w:r w:rsidR="00FC281D" w:rsidRPr="00982720">
        <w:t>;</w:t>
      </w:r>
    </w:p>
    <w:p w14:paraId="44890EC5" w14:textId="578B3D4C" w:rsidR="00FC281D" w:rsidRPr="00982720" w:rsidRDefault="00492C76" w:rsidP="00492C76">
      <w:pPr>
        <w:pStyle w:val="RegH1G"/>
        <w:numPr>
          <w:ilvl w:val="0"/>
          <w:numId w:val="0"/>
        </w:numPr>
        <w:tabs>
          <w:tab w:val="left" w:pos="1135"/>
        </w:tabs>
        <w:ind w:left="1135" w:hanging="454"/>
      </w:pPr>
      <w:r w:rsidRPr="00982720">
        <w:t>D.</w:t>
      </w:r>
      <w:r w:rsidRPr="00982720">
        <w:tab/>
      </w:r>
      <w:r w:rsidR="00FC281D" w:rsidRPr="00982720">
        <w:t>Change to</w:t>
      </w:r>
      <w:r w:rsidR="00FC281D">
        <w:t xml:space="preserve"> </w:t>
      </w:r>
      <w:r w:rsidR="00FC281D" w:rsidRPr="00982720">
        <w:t>authorization</w:t>
      </w:r>
    </w:p>
    <w:p w14:paraId="59087F5F" w14:textId="4B8C1194" w:rsidR="00FC281D" w:rsidRPr="00D5592B" w:rsidRDefault="00492C76" w:rsidP="00492C76">
      <w:pPr>
        <w:pStyle w:val="RegSingleTxtG"/>
        <w:numPr>
          <w:ilvl w:val="0"/>
          <w:numId w:val="0"/>
        </w:numPr>
        <w:ind w:left="1134"/>
        <w:rPr>
          <w:b/>
          <w:bCs/>
          <w:i/>
          <w:iCs/>
          <w:sz w:val="18"/>
          <w:szCs w:val="18"/>
        </w:rPr>
      </w:pPr>
      <w:r w:rsidRPr="00D5592B">
        <w:rPr>
          <w:szCs w:val="18"/>
        </w:rPr>
        <w:t>7.</w:t>
      </w:r>
      <w:r w:rsidRPr="00D5592B">
        <w:rPr>
          <w:szCs w:val="18"/>
        </w:rPr>
        <w:tab/>
      </w:r>
      <w:r w:rsidR="00FC281D" w:rsidRPr="00982720">
        <w:rPr>
          <w:i/>
          <w:iCs/>
        </w:rPr>
        <w:t>Decides</w:t>
      </w:r>
      <w:r w:rsidR="00FC281D" w:rsidRPr="00982720">
        <w:t xml:space="preserve"> that any changes to authorization of the use of </w:t>
      </w:r>
      <w:r w:rsidR="00FC281D" w:rsidRPr="00982720">
        <w:rPr>
          <w:iCs/>
        </w:rPr>
        <w:t>internationally</w:t>
      </w:r>
      <w:r w:rsidR="00FC281D" w:rsidRPr="00982720">
        <w:t xml:space="preserve"> transferred mitigation outcomes from a cooperative approach shall not apply to, or affect</w:t>
      </w:r>
      <w:r w:rsidR="00FC281D">
        <w:t>,</w:t>
      </w:r>
      <w:r w:rsidR="00FC281D" w:rsidRPr="00982720">
        <w:t xml:space="preserve"> mitigation outcomes that </w:t>
      </w:r>
      <w:r w:rsidR="00FC281D" w:rsidRPr="006A1D49">
        <w:rPr>
          <w:iCs/>
        </w:rPr>
        <w:t>have</w:t>
      </w:r>
      <w:r w:rsidR="00FC281D" w:rsidRPr="00982720">
        <w:t xml:space="preserve"> already been first transferred, unless </w:t>
      </w:r>
      <w:r w:rsidR="00FC281D">
        <w:t xml:space="preserve">otherwise specified by </w:t>
      </w:r>
      <w:r w:rsidR="00FC281D" w:rsidRPr="00982720">
        <w:t xml:space="preserve">the Parties participating in the cooperative approach </w:t>
      </w:r>
      <w:r w:rsidR="00FC281D">
        <w:t>in</w:t>
      </w:r>
      <w:r w:rsidR="00FC281D" w:rsidRPr="00982720">
        <w:t xml:space="preserve"> </w:t>
      </w:r>
      <w:r w:rsidR="005B05CA">
        <w:t xml:space="preserve">the </w:t>
      </w:r>
      <w:r w:rsidR="00FC281D" w:rsidRPr="00982720">
        <w:t xml:space="preserve">applicable terms and </w:t>
      </w:r>
      <w:r w:rsidR="00FC281D">
        <w:t>conditions</w:t>
      </w:r>
      <w:r w:rsidR="00FC281D" w:rsidRPr="00982720">
        <w:t xml:space="preserve"> </w:t>
      </w:r>
      <w:r w:rsidR="00FC281D">
        <w:t>of</w:t>
      </w:r>
      <w:r w:rsidR="00FC281D" w:rsidRPr="00982720">
        <w:t xml:space="preserve"> the authorization that specify the circumstances for such changes and the process for managing them</w:t>
      </w:r>
      <w:r w:rsidR="00FC281D">
        <w:t xml:space="preserve">, </w:t>
      </w:r>
      <w:r w:rsidR="00FC281D" w:rsidRPr="00606E07">
        <w:t>in order to ensure the avoidance of double counting</w:t>
      </w:r>
      <w:r w:rsidR="004D69FF">
        <w:t>,</w:t>
      </w:r>
      <w:r w:rsidR="004D69FF" w:rsidRPr="00435666">
        <w:t xml:space="preserve"> as referenced in paragraph </w:t>
      </w:r>
      <w:r w:rsidR="004D69FF">
        <w:t>5</w:t>
      </w:r>
      <w:r w:rsidR="004D69FF" w:rsidRPr="00435666">
        <w:t>(g) above</w:t>
      </w:r>
      <w:r w:rsidR="00FC281D" w:rsidRPr="00982720">
        <w:t>;</w:t>
      </w:r>
    </w:p>
    <w:p w14:paraId="360B3741" w14:textId="68D842EB" w:rsidR="00FC281D" w:rsidRPr="00435666" w:rsidRDefault="00492C76" w:rsidP="00492C76">
      <w:pPr>
        <w:pStyle w:val="RegSingleTxtG"/>
        <w:numPr>
          <w:ilvl w:val="0"/>
          <w:numId w:val="0"/>
        </w:numPr>
        <w:ind w:left="1134"/>
      </w:pPr>
      <w:r w:rsidRPr="00435666">
        <w:t>8.</w:t>
      </w:r>
      <w:r w:rsidRPr="00435666">
        <w:tab/>
      </w:r>
      <w:r w:rsidR="00FC281D" w:rsidRPr="006107F1">
        <w:rPr>
          <w:i/>
          <w:iCs/>
        </w:rPr>
        <w:t>Also decides</w:t>
      </w:r>
      <w:r w:rsidR="00FC281D" w:rsidRPr="00435666">
        <w:t xml:space="preserve"> that changes </w:t>
      </w:r>
      <w:r w:rsidR="00FC281D">
        <w:t xml:space="preserve">to authorization </w:t>
      </w:r>
      <w:r w:rsidR="00FC281D" w:rsidRPr="006107F1">
        <w:t>shall</w:t>
      </w:r>
      <w:r w:rsidR="00FC281D" w:rsidRPr="00435666">
        <w:t xml:space="preserve"> be consistent with the terms and </w:t>
      </w:r>
      <w:r w:rsidR="00FC281D">
        <w:t>conditions</w:t>
      </w:r>
      <w:r w:rsidR="00FC281D" w:rsidRPr="00435666">
        <w:t xml:space="preserve"> </w:t>
      </w:r>
      <w:r w:rsidR="00FC281D">
        <w:t>of</w:t>
      </w:r>
      <w:r w:rsidR="00FC281D" w:rsidRPr="00435666">
        <w:t xml:space="preserve"> the authorization that specify the circumstances for such changes and the process for managing them</w:t>
      </w:r>
      <w:r w:rsidR="00FC281D">
        <w:t>,</w:t>
      </w:r>
      <w:r w:rsidR="00FC281D" w:rsidRPr="00435666">
        <w:t xml:space="preserve"> as referenced in paragraph </w:t>
      </w:r>
      <w:r w:rsidR="00FC281D">
        <w:t>5</w:t>
      </w:r>
      <w:r w:rsidR="00FC281D" w:rsidRPr="00435666">
        <w:t>(g) above;</w:t>
      </w:r>
    </w:p>
    <w:p w14:paraId="675386FC" w14:textId="09BE693F" w:rsidR="00FC281D" w:rsidRPr="00982720" w:rsidRDefault="00492C76" w:rsidP="00492C76">
      <w:pPr>
        <w:pStyle w:val="RegSingleTxtG"/>
        <w:numPr>
          <w:ilvl w:val="0"/>
          <w:numId w:val="0"/>
        </w:numPr>
        <w:ind w:left="1134"/>
      </w:pPr>
      <w:r w:rsidRPr="00982720">
        <w:t>9.</w:t>
      </w:r>
      <w:r w:rsidRPr="00982720">
        <w:tab/>
      </w:r>
      <w:r w:rsidR="00FC281D" w:rsidRPr="006107F1">
        <w:rPr>
          <w:i/>
          <w:iCs/>
        </w:rPr>
        <w:t>Further decides</w:t>
      </w:r>
      <w:r w:rsidR="00FC281D" w:rsidRPr="00982720">
        <w:t xml:space="preserve"> that </w:t>
      </w:r>
      <w:r w:rsidR="00FC281D">
        <w:t xml:space="preserve">each </w:t>
      </w:r>
      <w:r w:rsidR="00FC281D" w:rsidRPr="00982720">
        <w:t>participating Part</w:t>
      </w:r>
      <w:r w:rsidR="00FC281D">
        <w:t>y</w:t>
      </w:r>
      <w:r w:rsidR="00FC281D" w:rsidRPr="00982720">
        <w:t xml:space="preserve"> shall </w:t>
      </w:r>
      <w:r w:rsidR="00FC281D">
        <w:t xml:space="preserve">apply robust accounting to </w:t>
      </w:r>
      <w:r w:rsidR="00FC281D" w:rsidRPr="00982720">
        <w:t xml:space="preserve">ensure that any changes to authorization of the use of </w:t>
      </w:r>
      <w:r w:rsidR="00FC281D" w:rsidRPr="007A72C6">
        <w:t>internationally</w:t>
      </w:r>
      <w:r w:rsidR="00FC281D" w:rsidRPr="00982720">
        <w:t xml:space="preserve"> transferred mitigation outcomes from a cooperative approach do not lead to double counting;</w:t>
      </w:r>
    </w:p>
    <w:p w14:paraId="0A6E719A" w14:textId="5005CE0B" w:rsidR="00FC281D" w:rsidRPr="00982720" w:rsidRDefault="00492C76" w:rsidP="00492C76">
      <w:pPr>
        <w:pStyle w:val="RegH1G"/>
        <w:numPr>
          <w:ilvl w:val="0"/>
          <w:numId w:val="0"/>
        </w:numPr>
        <w:tabs>
          <w:tab w:val="left" w:pos="1135"/>
        </w:tabs>
        <w:ind w:left="1135" w:hanging="454"/>
      </w:pPr>
      <w:r w:rsidRPr="00982720">
        <w:t>E.</w:t>
      </w:r>
      <w:r w:rsidRPr="00982720">
        <w:tab/>
      </w:r>
      <w:r w:rsidR="00FC281D" w:rsidRPr="00982720">
        <w:t>Transparency of information about</w:t>
      </w:r>
      <w:r w:rsidR="00FC281D">
        <w:t xml:space="preserve"> the</w:t>
      </w:r>
      <w:r w:rsidR="00FC281D" w:rsidRPr="00982720">
        <w:t xml:space="preserve"> authorization</w:t>
      </w:r>
    </w:p>
    <w:p w14:paraId="4A08E4AE" w14:textId="2710F14D" w:rsidR="00FC281D" w:rsidRPr="00982720" w:rsidRDefault="00492C76" w:rsidP="00492C76">
      <w:pPr>
        <w:pStyle w:val="RegSingleTxtG"/>
        <w:numPr>
          <w:ilvl w:val="0"/>
          <w:numId w:val="0"/>
        </w:numPr>
        <w:ind w:left="1134"/>
      </w:pPr>
      <w:r w:rsidRPr="00982720">
        <w:t>10.</w:t>
      </w:r>
      <w:r w:rsidRPr="00982720">
        <w:tab/>
      </w:r>
      <w:r w:rsidR="00FC281D" w:rsidRPr="00982720">
        <w:rPr>
          <w:i/>
        </w:rPr>
        <w:t>Clarifies</w:t>
      </w:r>
      <w:r w:rsidR="00FC281D" w:rsidRPr="00982720">
        <w:t xml:space="preserve"> that, as per decision </w:t>
      </w:r>
      <w:hyperlink r:id="rId72" w:history="1">
        <w:r w:rsidR="00FC281D" w:rsidRPr="00514C67">
          <w:rPr>
            <w:rStyle w:val="Hyperlink"/>
          </w:rPr>
          <w:t>2/CMA.3</w:t>
        </w:r>
      </w:hyperlink>
      <w:r w:rsidR="00FC281D" w:rsidRPr="00982720">
        <w:t xml:space="preserve">, annex, paragraph 35, the centralized </w:t>
      </w:r>
      <w:r w:rsidR="00FC281D" w:rsidRPr="00FD724D">
        <w:rPr>
          <w:iCs/>
        </w:rPr>
        <w:t>accounting</w:t>
      </w:r>
      <w:r w:rsidR="00FC281D" w:rsidRPr="0005728C">
        <w:rPr>
          <w:iCs/>
        </w:rPr>
        <w:t xml:space="preserve"> a</w:t>
      </w:r>
      <w:r w:rsidR="00FC281D" w:rsidRPr="00982720">
        <w:t xml:space="preserve">nd reporting platform will provide a public repository for </w:t>
      </w:r>
      <w:r w:rsidR="00FC281D" w:rsidRPr="006107F1">
        <w:t xml:space="preserve">each </w:t>
      </w:r>
      <w:r w:rsidR="00FC281D" w:rsidRPr="00982720">
        <w:t xml:space="preserve">participating </w:t>
      </w:r>
      <w:r w:rsidR="00FC281D" w:rsidRPr="006107F1">
        <w:t>Party’s</w:t>
      </w:r>
      <w:r w:rsidR="00FC281D" w:rsidRPr="00982720">
        <w:t xml:space="preserve"> statements and/or copies of authorization, </w:t>
      </w:r>
      <w:r w:rsidR="00FC281D" w:rsidRPr="00E04C3D">
        <w:rPr>
          <w:iCs/>
        </w:rPr>
        <w:t>including</w:t>
      </w:r>
      <w:r w:rsidR="00FC281D" w:rsidRPr="00982720">
        <w:t xml:space="preserve"> any changes or updates made to their authorization;</w:t>
      </w:r>
    </w:p>
    <w:p w14:paraId="5239C8D7" w14:textId="25B83689" w:rsidR="00FC281D" w:rsidRPr="00982720" w:rsidRDefault="00492C76" w:rsidP="00492C76">
      <w:pPr>
        <w:pStyle w:val="RegHChG"/>
        <w:numPr>
          <w:ilvl w:val="0"/>
          <w:numId w:val="0"/>
        </w:numPr>
        <w:tabs>
          <w:tab w:val="left" w:pos="1135"/>
          <w:tab w:val="left" w:pos="1701"/>
        </w:tabs>
        <w:ind w:left="1135" w:hanging="454"/>
        <w:jc w:val="both"/>
        <w:rPr>
          <w:b w:val="0"/>
        </w:rPr>
      </w:pPr>
      <w:r w:rsidRPr="00982720">
        <w:lastRenderedPageBreak/>
        <w:t>II.</w:t>
      </w:r>
      <w:r w:rsidRPr="00982720">
        <w:tab/>
      </w:r>
      <w:r w:rsidR="00FC281D" w:rsidRPr="00982720">
        <w:t xml:space="preserve">Application of first transfer </w:t>
      </w:r>
    </w:p>
    <w:p w14:paraId="0DDAD3F3" w14:textId="100833CF" w:rsidR="00FC281D" w:rsidRPr="00982720" w:rsidRDefault="00492C76" w:rsidP="00492C76">
      <w:pPr>
        <w:pStyle w:val="RegSingleTxtG"/>
        <w:numPr>
          <w:ilvl w:val="0"/>
          <w:numId w:val="0"/>
        </w:numPr>
        <w:ind w:left="1134"/>
      </w:pPr>
      <w:r w:rsidRPr="00982720">
        <w:t>11.</w:t>
      </w:r>
      <w:r w:rsidRPr="00982720">
        <w:tab/>
      </w:r>
      <w:r w:rsidR="00FC281D">
        <w:rPr>
          <w:i/>
        </w:rPr>
        <w:t>C</w:t>
      </w:r>
      <w:r w:rsidR="00FC281D" w:rsidRPr="00982720">
        <w:rPr>
          <w:i/>
        </w:rPr>
        <w:t>larifies</w:t>
      </w:r>
      <w:r w:rsidR="00FC281D" w:rsidRPr="00982720">
        <w:t xml:space="preserve"> that mitigation outcomes can only be first transferred </w:t>
      </w:r>
      <w:r w:rsidR="00FC281D" w:rsidRPr="006107F1">
        <w:t>if</w:t>
      </w:r>
      <w:r w:rsidR="00FC281D" w:rsidRPr="00982720">
        <w:t xml:space="preserve"> they have been authorized by the first transferring Party</w:t>
      </w:r>
      <w:r w:rsidR="00FC281D">
        <w:t>;</w:t>
      </w:r>
      <w:r w:rsidR="00FC281D" w:rsidRPr="00982720">
        <w:t xml:space="preserve"> </w:t>
      </w:r>
    </w:p>
    <w:p w14:paraId="1F01BDB6" w14:textId="4F2D1840" w:rsidR="00FC281D" w:rsidRPr="00982720" w:rsidRDefault="00492C76" w:rsidP="00492C76">
      <w:pPr>
        <w:pStyle w:val="RegSingleTxtG"/>
        <w:numPr>
          <w:ilvl w:val="0"/>
          <w:numId w:val="0"/>
        </w:numPr>
        <w:ind w:left="1134"/>
      </w:pPr>
      <w:r w:rsidRPr="00982720">
        <w:t>12.</w:t>
      </w:r>
      <w:r w:rsidRPr="00982720">
        <w:tab/>
      </w:r>
      <w:r w:rsidR="00FC281D" w:rsidRPr="00982720">
        <w:rPr>
          <w:i/>
        </w:rPr>
        <w:t>Decides</w:t>
      </w:r>
      <w:r w:rsidR="00FC281D" w:rsidRPr="00982720">
        <w:t xml:space="preserve"> that</w:t>
      </w:r>
      <w:r w:rsidR="00FC281D">
        <w:t>,</w:t>
      </w:r>
      <w:r w:rsidR="00FC281D" w:rsidRPr="00982720">
        <w:t xml:space="preserve"> </w:t>
      </w:r>
      <w:r w:rsidR="00FC281D">
        <w:t xml:space="preserve">where </w:t>
      </w:r>
      <w:r w:rsidR="00FC281D" w:rsidRPr="00982720">
        <w:t>the first transfer</w:t>
      </w:r>
      <w:r w:rsidR="00FC281D">
        <w:t>ring Party has authorized the use</w:t>
      </w:r>
      <w:r w:rsidR="00FC281D" w:rsidRPr="00982720">
        <w:t xml:space="preserve"> of </w:t>
      </w:r>
      <w:r w:rsidR="00FC281D">
        <w:t xml:space="preserve">the same </w:t>
      </w:r>
      <w:r w:rsidR="00FC281D" w:rsidRPr="00982720">
        <w:t xml:space="preserve">mitigation outcome towards achievement of nationally determined contributions </w:t>
      </w:r>
      <w:r w:rsidR="00FC281D">
        <w:t>or</w:t>
      </w:r>
      <w:r w:rsidR="00FC281D" w:rsidRPr="00982720">
        <w:t xml:space="preserve"> towards other international mitigation purposes</w:t>
      </w:r>
      <w:r w:rsidR="00FC281D">
        <w:t>,</w:t>
      </w:r>
      <w:r w:rsidR="00FC281D" w:rsidRPr="00982720">
        <w:t xml:space="preserve"> </w:t>
      </w:r>
      <w:r w:rsidR="00FC281D">
        <w:t xml:space="preserve">the first transfer </w:t>
      </w:r>
      <w:r w:rsidR="00FC281D" w:rsidRPr="00982720">
        <w:t xml:space="preserve">shall be </w:t>
      </w:r>
      <w:r w:rsidR="00FC281D">
        <w:t>recorded</w:t>
      </w:r>
      <w:r w:rsidR="00FC281D" w:rsidRPr="00982720">
        <w:t xml:space="preserve"> for the earlier of:</w:t>
      </w:r>
    </w:p>
    <w:p w14:paraId="20D7BDF2" w14:textId="3B4E8ABC" w:rsidR="00FC281D" w:rsidRPr="00982720" w:rsidRDefault="00492C76" w:rsidP="00492C76">
      <w:pPr>
        <w:pStyle w:val="RegSingleTxtG2"/>
        <w:numPr>
          <w:ilvl w:val="0"/>
          <w:numId w:val="0"/>
        </w:numPr>
        <w:tabs>
          <w:tab w:val="left" w:pos="1702"/>
        </w:tabs>
        <w:ind w:left="1134" w:firstLine="567"/>
      </w:pPr>
      <w:r w:rsidRPr="00982720">
        <w:rPr>
          <w:szCs w:val="28"/>
        </w:rPr>
        <w:t>(a)</w:t>
      </w:r>
      <w:r w:rsidRPr="00982720">
        <w:rPr>
          <w:szCs w:val="28"/>
        </w:rPr>
        <w:tab/>
      </w:r>
      <w:r w:rsidR="00FC281D" w:rsidRPr="00982720">
        <w:t>The first international transfer of the mitigation outcome, pursuant to decision</w:t>
      </w:r>
      <w:r w:rsidR="003547BF">
        <w:t> </w:t>
      </w:r>
      <w:hyperlink r:id="rId73" w:history="1">
        <w:r w:rsidR="00FC281D" w:rsidRPr="00514C67">
          <w:rPr>
            <w:rStyle w:val="Hyperlink"/>
          </w:rPr>
          <w:t>2/CMA.3</w:t>
        </w:r>
      </w:hyperlink>
      <w:r w:rsidR="00FC281D" w:rsidRPr="00982720">
        <w:t>, annex, paragraph 2(a);</w:t>
      </w:r>
    </w:p>
    <w:p w14:paraId="0F9EA3B1" w14:textId="478458C6" w:rsidR="00FC281D" w:rsidRPr="00982720" w:rsidRDefault="00492C76" w:rsidP="00492C76">
      <w:pPr>
        <w:pStyle w:val="RegSingleTxtG2"/>
        <w:numPr>
          <w:ilvl w:val="0"/>
          <w:numId w:val="0"/>
        </w:numPr>
        <w:tabs>
          <w:tab w:val="left" w:pos="1702"/>
        </w:tabs>
        <w:ind w:left="1134" w:firstLine="567"/>
      </w:pPr>
      <w:r w:rsidRPr="00982720">
        <w:rPr>
          <w:szCs w:val="28"/>
        </w:rPr>
        <w:t>(b)</w:t>
      </w:r>
      <w:r w:rsidRPr="00982720">
        <w:rPr>
          <w:szCs w:val="28"/>
        </w:rPr>
        <w:tab/>
      </w:r>
      <w:r w:rsidR="00FC281D" w:rsidRPr="00982720">
        <w:t>The first transfer of the mitigation outcome</w:t>
      </w:r>
      <w:r w:rsidR="00FC281D">
        <w:t>,</w:t>
      </w:r>
      <w:r w:rsidR="00FC281D" w:rsidRPr="00982720">
        <w:t xml:space="preserve"> as specified by the first transferring Party, pursuant to decision </w:t>
      </w:r>
      <w:hyperlink r:id="rId74" w:history="1">
        <w:r w:rsidR="00FC281D" w:rsidRPr="00514C67">
          <w:rPr>
            <w:rStyle w:val="Hyperlink"/>
          </w:rPr>
          <w:t>2/CMA.3</w:t>
        </w:r>
      </w:hyperlink>
      <w:r w:rsidR="00FC281D" w:rsidRPr="00982720">
        <w:t>, annex, paragraph 2(b);</w:t>
      </w:r>
    </w:p>
    <w:p w14:paraId="53FA684F" w14:textId="003334FC" w:rsidR="00FC281D" w:rsidRPr="00982720" w:rsidRDefault="00492C76" w:rsidP="00492C76">
      <w:pPr>
        <w:pStyle w:val="RegSingleTxtG"/>
        <w:numPr>
          <w:ilvl w:val="0"/>
          <w:numId w:val="0"/>
        </w:numPr>
        <w:ind w:left="1134"/>
      </w:pPr>
      <w:r w:rsidRPr="00982720">
        <w:t>13.</w:t>
      </w:r>
      <w:r w:rsidRPr="00982720">
        <w:tab/>
      </w:r>
      <w:r w:rsidR="00FC281D" w:rsidRPr="003E2460">
        <w:rPr>
          <w:i/>
          <w:iCs/>
        </w:rPr>
        <w:t>Clarifies</w:t>
      </w:r>
      <w:r w:rsidR="00FC281D" w:rsidRPr="00982720">
        <w:t xml:space="preserve"> that</w:t>
      </w:r>
      <w:r w:rsidR="00FC281D">
        <w:t>,</w:t>
      </w:r>
      <w:r w:rsidR="00FC281D" w:rsidRPr="00982720">
        <w:t xml:space="preserve"> where a mitigation outcome has been authorized for use for other international mitigation purposes and the first transfer is specified by the first transferring Party as being the issuance or the use or cancellation of the mitigation outcome in accordance with decision </w:t>
      </w:r>
      <w:hyperlink r:id="rId75" w:history="1">
        <w:r w:rsidR="00FC281D" w:rsidRPr="00514C67">
          <w:rPr>
            <w:rStyle w:val="Hyperlink"/>
          </w:rPr>
          <w:t>2/CMA.3</w:t>
        </w:r>
      </w:hyperlink>
      <w:r w:rsidR="00FC281D" w:rsidRPr="00982720">
        <w:t>, annex, paragraph 2(b), the first transferring Party shall ensure it has robust arrangements in place to be notified of the issuance, or the use or cancellation, in respect of the authorized mitigation outcome</w:t>
      </w:r>
      <w:r w:rsidR="00FC281D">
        <w:t>,</w:t>
      </w:r>
      <w:r w:rsidR="00FC281D" w:rsidRPr="00982720">
        <w:t xml:space="preserve"> as specified by the first transferring Party, in order to ensure the application of corresponding adjustments consistent</w:t>
      </w:r>
      <w:r w:rsidR="00FC281D">
        <w:t>ly</w:t>
      </w:r>
      <w:r w:rsidR="00FC281D" w:rsidRPr="00982720">
        <w:t xml:space="preserve"> with decision</w:t>
      </w:r>
      <w:r w:rsidR="00D87C54">
        <w:t xml:space="preserve"> </w:t>
      </w:r>
      <w:hyperlink r:id="rId76" w:history="1">
        <w:r w:rsidR="00FC281D" w:rsidRPr="00514C67">
          <w:rPr>
            <w:rStyle w:val="Hyperlink"/>
          </w:rPr>
          <w:t>2/CMA.3</w:t>
        </w:r>
      </w:hyperlink>
      <w:r w:rsidR="00FC281D">
        <w:t>;</w:t>
      </w:r>
      <w:r w:rsidR="00FC281D" w:rsidRPr="00982720">
        <w:t xml:space="preserve"> </w:t>
      </w:r>
    </w:p>
    <w:p w14:paraId="48808294" w14:textId="0AF8A734" w:rsidR="00FC281D" w:rsidRPr="00982720" w:rsidRDefault="00492C76" w:rsidP="00492C76">
      <w:pPr>
        <w:pStyle w:val="RegSingleTxtG"/>
        <w:numPr>
          <w:ilvl w:val="0"/>
          <w:numId w:val="0"/>
        </w:numPr>
        <w:ind w:left="1134"/>
      </w:pPr>
      <w:r w:rsidRPr="00982720">
        <w:t>14.</w:t>
      </w:r>
      <w:r w:rsidRPr="00982720">
        <w:tab/>
      </w:r>
      <w:r w:rsidR="00FC281D" w:rsidRPr="00982720">
        <w:rPr>
          <w:i/>
        </w:rPr>
        <w:t>Decides</w:t>
      </w:r>
      <w:r w:rsidR="00FC281D" w:rsidRPr="00982720">
        <w:t xml:space="preserve"> that</w:t>
      </w:r>
      <w:r w:rsidR="00FC281D">
        <w:t>,</w:t>
      </w:r>
      <w:r w:rsidR="00FC281D" w:rsidRPr="00982720">
        <w:t xml:space="preserve"> where a mitigation outcome has been authorized for use for other international mitigation purposes pursuant </w:t>
      </w:r>
      <w:r w:rsidR="00FC281D">
        <w:t xml:space="preserve">to </w:t>
      </w:r>
      <w:r w:rsidR="00FC281D" w:rsidRPr="00982720">
        <w:t xml:space="preserve">decision </w:t>
      </w:r>
      <w:hyperlink r:id="rId77" w:history="1">
        <w:r w:rsidR="00FC281D" w:rsidRPr="00514C67">
          <w:rPr>
            <w:rStyle w:val="Hyperlink"/>
          </w:rPr>
          <w:t>2/CMA.3</w:t>
        </w:r>
      </w:hyperlink>
      <w:r w:rsidR="00FC281D">
        <w:t>,</w:t>
      </w:r>
      <w:r w:rsidR="00FC281D" w:rsidRPr="00982720">
        <w:t xml:space="preserve"> annex, paragraph 2(b), the first transfer of the mitigation outcome shall be </w:t>
      </w:r>
      <w:r w:rsidR="00FC281D">
        <w:t>recorded</w:t>
      </w:r>
      <w:r w:rsidR="00FC281D" w:rsidRPr="00982720">
        <w:t xml:space="preserve"> no later than 31 December of the year prior to the submission of the biennial transparency report referred to in decision</w:t>
      </w:r>
      <w:r w:rsidR="00D87C54">
        <w:t xml:space="preserve"> </w:t>
      </w:r>
      <w:hyperlink r:id="rId78" w:history="1">
        <w:r w:rsidR="00FC281D" w:rsidRPr="00514C67">
          <w:rPr>
            <w:rStyle w:val="Hyperlink"/>
          </w:rPr>
          <w:t>2/CMA.3</w:t>
        </w:r>
      </w:hyperlink>
      <w:r w:rsidR="00FC281D">
        <w:t>, annex, paragraph 12,</w:t>
      </w:r>
      <w:r w:rsidR="00FC281D" w:rsidRPr="00982720">
        <w:t xml:space="preserve"> for the </w:t>
      </w:r>
      <w:r w:rsidR="00FC281D">
        <w:t>nationally determined contribution</w:t>
      </w:r>
      <w:r w:rsidR="00FC281D" w:rsidRPr="00982720">
        <w:t xml:space="preserve"> period in which the mitigation outcome occurred</w:t>
      </w:r>
      <w:r w:rsidR="00FC281D">
        <w:t>;</w:t>
      </w:r>
      <w:r w:rsidR="00FC281D" w:rsidRPr="00982720">
        <w:t xml:space="preserve"> </w:t>
      </w:r>
    </w:p>
    <w:p w14:paraId="051E467B" w14:textId="42106B7E" w:rsidR="00FC281D" w:rsidRPr="00982720" w:rsidRDefault="00492C76" w:rsidP="00492C76">
      <w:pPr>
        <w:pStyle w:val="RegSingleTxtG"/>
        <w:numPr>
          <w:ilvl w:val="0"/>
          <w:numId w:val="0"/>
        </w:numPr>
        <w:ind w:left="1134"/>
      </w:pPr>
      <w:r w:rsidRPr="00982720">
        <w:t>15.</w:t>
      </w:r>
      <w:r w:rsidRPr="00982720">
        <w:tab/>
      </w:r>
      <w:r w:rsidR="00FC281D">
        <w:rPr>
          <w:i/>
        </w:rPr>
        <w:t>Also d</w:t>
      </w:r>
      <w:r w:rsidR="00FC281D" w:rsidRPr="00982720">
        <w:rPr>
          <w:i/>
        </w:rPr>
        <w:t>ecides</w:t>
      </w:r>
      <w:r w:rsidR="00FC281D" w:rsidRPr="00982720">
        <w:t xml:space="preserve"> that each participating Party shall </w:t>
      </w:r>
      <w:r w:rsidR="00FC281D" w:rsidRPr="00C41B74">
        <w:t xml:space="preserve">specify how it defines </w:t>
      </w:r>
      <w:r w:rsidR="00FC281D" w:rsidRPr="00982720">
        <w:t xml:space="preserve">first transfer pursuant to decision </w:t>
      </w:r>
      <w:hyperlink r:id="rId79" w:history="1">
        <w:r w:rsidR="00FC281D" w:rsidRPr="00514C67">
          <w:rPr>
            <w:rStyle w:val="Hyperlink"/>
          </w:rPr>
          <w:t>2/CMA.3</w:t>
        </w:r>
      </w:hyperlink>
      <w:r w:rsidR="00FC281D" w:rsidRPr="00982720">
        <w:t xml:space="preserve">, annex, paragraph 2(b), consistently for a given cooperative approach, while noting that </w:t>
      </w:r>
      <w:r w:rsidR="00FC281D" w:rsidRPr="00C41B74">
        <w:t xml:space="preserve">it </w:t>
      </w:r>
      <w:r w:rsidR="00FC281D">
        <w:t xml:space="preserve">may </w:t>
      </w:r>
      <w:r w:rsidR="00FC281D" w:rsidRPr="006107F1">
        <w:t>choose to</w:t>
      </w:r>
      <w:r w:rsidR="00FC281D">
        <w:t xml:space="preserve"> </w:t>
      </w:r>
      <w:r w:rsidR="00FC281D" w:rsidRPr="00C41B74">
        <w:t xml:space="preserve">define </w:t>
      </w:r>
      <w:r w:rsidR="00FC281D">
        <w:t>“</w:t>
      </w:r>
      <w:r w:rsidR="00FC281D" w:rsidRPr="00982720">
        <w:t>first transfer</w:t>
      </w:r>
      <w:r w:rsidR="00FC281D">
        <w:t>”</w:t>
      </w:r>
      <w:r w:rsidR="00FC281D" w:rsidRPr="00982720">
        <w:t xml:space="preserve"> </w:t>
      </w:r>
      <w:r w:rsidR="00FC281D" w:rsidRPr="006107F1">
        <w:t>differently</w:t>
      </w:r>
      <w:r w:rsidR="00FC281D" w:rsidRPr="00982720">
        <w:t xml:space="preserve"> for </w:t>
      </w:r>
      <w:r w:rsidR="00FC281D" w:rsidRPr="006107F1">
        <w:t>different</w:t>
      </w:r>
      <w:r w:rsidR="00FC281D" w:rsidRPr="00982720">
        <w:t xml:space="preserve"> cooperative </w:t>
      </w:r>
      <w:r w:rsidR="00FC281D" w:rsidRPr="006107F1">
        <w:t>approaches</w:t>
      </w:r>
      <w:r w:rsidR="00FC281D" w:rsidRPr="00982720">
        <w:t xml:space="preserve"> in which the Party participates</w:t>
      </w:r>
      <w:r w:rsidR="00FC281D">
        <w:t>;</w:t>
      </w:r>
    </w:p>
    <w:p w14:paraId="75828092" w14:textId="20504269" w:rsidR="00FC281D" w:rsidRPr="00982720" w:rsidRDefault="00492C76" w:rsidP="00492C76">
      <w:pPr>
        <w:pStyle w:val="RegSingleTxtG"/>
        <w:numPr>
          <w:ilvl w:val="0"/>
          <w:numId w:val="0"/>
        </w:numPr>
        <w:ind w:left="1134"/>
      </w:pPr>
      <w:r w:rsidRPr="00982720">
        <w:t>16.</w:t>
      </w:r>
      <w:r w:rsidRPr="00982720">
        <w:tab/>
      </w:r>
      <w:r w:rsidR="00FC281D">
        <w:rPr>
          <w:i/>
        </w:rPr>
        <w:t>Further d</w:t>
      </w:r>
      <w:r w:rsidR="00FC281D" w:rsidRPr="00982720">
        <w:rPr>
          <w:i/>
        </w:rPr>
        <w:t>ecides</w:t>
      </w:r>
      <w:r w:rsidR="00FC281D" w:rsidRPr="00982720">
        <w:t xml:space="preserve"> that</w:t>
      </w:r>
      <w:r w:rsidR="00FC281D">
        <w:t>,</w:t>
      </w:r>
      <w:r w:rsidR="00FC281D" w:rsidRPr="00982720">
        <w:t xml:space="preserve"> where </w:t>
      </w:r>
      <w:r w:rsidR="00FC281D">
        <w:t xml:space="preserve">applicable, when </w:t>
      </w:r>
      <w:r w:rsidR="00FC281D" w:rsidRPr="00982720">
        <w:t xml:space="preserve">authorized mitigation outcomes are transferred to </w:t>
      </w:r>
      <w:r w:rsidR="00FC281D">
        <w:t xml:space="preserve">the Adaptation Fund to </w:t>
      </w:r>
      <w:r w:rsidR="00FC281D" w:rsidRPr="00982720">
        <w:t xml:space="preserve">voluntarily contribute resources for adaptation, pursuant to decision </w:t>
      </w:r>
      <w:hyperlink r:id="rId80" w:history="1">
        <w:r w:rsidR="00FC281D" w:rsidRPr="00514C67">
          <w:rPr>
            <w:rStyle w:val="Hyperlink"/>
          </w:rPr>
          <w:t>2/CMA.3</w:t>
        </w:r>
      </w:hyperlink>
      <w:r w:rsidR="00FC281D" w:rsidRPr="00982720">
        <w:t xml:space="preserve">, annex, paragraph 37, such transfers shall be </w:t>
      </w:r>
      <w:r w:rsidR="00FC281D">
        <w:t>recorded</w:t>
      </w:r>
      <w:r w:rsidR="00FC281D" w:rsidRPr="00982720">
        <w:t xml:space="preserve"> as a first transfer, </w:t>
      </w:r>
      <w:r w:rsidR="00FC281D" w:rsidRPr="006107F1">
        <w:t xml:space="preserve">consistent with that Party’s authorization, </w:t>
      </w:r>
      <w:r w:rsidR="00FC281D" w:rsidRPr="00982720">
        <w:t>except where the mitigation outcomes have already been first transferred</w:t>
      </w:r>
      <w:r w:rsidR="00FC281D">
        <w:t>;</w:t>
      </w:r>
    </w:p>
    <w:p w14:paraId="2A8B6178" w14:textId="0D2D5CDD" w:rsidR="00FC281D" w:rsidRPr="00982720" w:rsidRDefault="00492C76" w:rsidP="00492C76">
      <w:pPr>
        <w:pStyle w:val="RegSingleTxtG"/>
        <w:numPr>
          <w:ilvl w:val="0"/>
          <w:numId w:val="0"/>
        </w:numPr>
        <w:ind w:left="1134"/>
      </w:pPr>
      <w:r w:rsidRPr="00982720">
        <w:t>17.</w:t>
      </w:r>
      <w:r w:rsidRPr="00982720">
        <w:tab/>
      </w:r>
      <w:r w:rsidR="00FC281D" w:rsidRPr="00982720">
        <w:rPr>
          <w:i/>
        </w:rPr>
        <w:t>Decides</w:t>
      </w:r>
      <w:r w:rsidR="00FC281D" w:rsidRPr="00982720">
        <w:t xml:space="preserve"> that</w:t>
      </w:r>
      <w:r w:rsidR="00FC281D">
        <w:t>,</w:t>
      </w:r>
      <w:r w:rsidR="00FC281D" w:rsidRPr="00982720">
        <w:t xml:space="preserve"> where </w:t>
      </w:r>
      <w:r w:rsidR="00FC281D">
        <w:t>applicable, when</w:t>
      </w:r>
      <w:r w:rsidR="00FC281D" w:rsidRPr="00982720">
        <w:t xml:space="preserve"> authorized mitigation outcomes are cancelled to deliver overall mitigation in global emissions, pursuant to decision </w:t>
      </w:r>
      <w:hyperlink r:id="rId81" w:history="1">
        <w:r w:rsidR="00FC281D" w:rsidRPr="00514C67">
          <w:rPr>
            <w:rStyle w:val="Hyperlink"/>
          </w:rPr>
          <w:t>2/CMA.3</w:t>
        </w:r>
      </w:hyperlink>
      <w:r w:rsidR="00FC281D" w:rsidRPr="00982720">
        <w:t xml:space="preserve">, annex, paragraph 39, such cancellations shall be </w:t>
      </w:r>
      <w:r w:rsidR="00FC281D">
        <w:t>recorded</w:t>
      </w:r>
      <w:r w:rsidR="00FC281D" w:rsidRPr="00982720">
        <w:t xml:space="preserve"> as a first transfer, </w:t>
      </w:r>
      <w:r w:rsidR="00FC281D" w:rsidRPr="006107F1">
        <w:t xml:space="preserve">consistent with that Party’s authorization, </w:t>
      </w:r>
      <w:r w:rsidR="00FC281D" w:rsidRPr="00982720">
        <w:t>except where the mitigation outcomes have already been first transferred</w:t>
      </w:r>
      <w:r w:rsidR="00FC281D">
        <w:t>;</w:t>
      </w:r>
      <w:r w:rsidR="00FC281D" w:rsidRPr="00982720">
        <w:t xml:space="preserve"> </w:t>
      </w:r>
    </w:p>
    <w:p w14:paraId="4026F8F5" w14:textId="0DA1A46B" w:rsidR="00FC281D" w:rsidRPr="00982720" w:rsidRDefault="00492C76" w:rsidP="00492C76">
      <w:pPr>
        <w:pStyle w:val="RegHChG"/>
        <w:numPr>
          <w:ilvl w:val="0"/>
          <w:numId w:val="0"/>
        </w:numPr>
        <w:tabs>
          <w:tab w:val="left" w:pos="1135"/>
          <w:tab w:val="left" w:pos="1701"/>
        </w:tabs>
        <w:ind w:left="1135" w:hanging="454"/>
        <w:jc w:val="both"/>
        <w:rPr>
          <w:b w:val="0"/>
        </w:rPr>
      </w:pPr>
      <w:r w:rsidRPr="00982720">
        <w:t>III.</w:t>
      </w:r>
      <w:r w:rsidRPr="00982720">
        <w:tab/>
      </w:r>
      <w:r w:rsidR="00FC281D">
        <w:t xml:space="preserve">Supplementary elements </w:t>
      </w:r>
      <w:r w:rsidR="00FC281D" w:rsidRPr="00982720">
        <w:t xml:space="preserve">on </w:t>
      </w:r>
      <w:r w:rsidR="00FC281D">
        <w:t xml:space="preserve">information included in </w:t>
      </w:r>
      <w:r w:rsidR="00FC281D" w:rsidRPr="00982720">
        <w:t>initial reports</w:t>
      </w:r>
    </w:p>
    <w:p w14:paraId="3229A9F8" w14:textId="38B18755" w:rsidR="00FC281D" w:rsidRPr="0032008E" w:rsidRDefault="00492C76" w:rsidP="00492C76">
      <w:pPr>
        <w:pStyle w:val="RegSingleTxtG"/>
        <w:numPr>
          <w:ilvl w:val="0"/>
          <w:numId w:val="0"/>
        </w:numPr>
        <w:ind w:left="1134"/>
      </w:pPr>
      <w:r w:rsidRPr="0032008E">
        <w:t>18.</w:t>
      </w:r>
      <w:r w:rsidRPr="0032008E">
        <w:tab/>
      </w:r>
      <w:r w:rsidR="00FC281D">
        <w:rPr>
          <w:i/>
          <w:iCs/>
        </w:rPr>
        <w:t>Requests</w:t>
      </w:r>
      <w:r w:rsidR="00FC281D">
        <w:t xml:space="preserve"> each participating Party to </w:t>
      </w:r>
      <w:r w:rsidR="00FC281D" w:rsidRPr="006107F1">
        <w:t>incorporate</w:t>
      </w:r>
      <w:r w:rsidR="00FC281D">
        <w:t xml:space="preserve"> the elements contained in annex I when providing information in its initial report and any updated initial reports, as referred to in decision </w:t>
      </w:r>
      <w:hyperlink r:id="rId82" w:history="1">
        <w:r w:rsidR="00FC281D" w:rsidRPr="00514C67">
          <w:rPr>
            <w:rStyle w:val="Hyperlink"/>
          </w:rPr>
          <w:t>2/CMA.3</w:t>
        </w:r>
      </w:hyperlink>
      <w:r w:rsidR="00FC281D">
        <w:t>, annex, paragraphs 18–19, as relevant;</w:t>
      </w:r>
    </w:p>
    <w:p w14:paraId="036A5634" w14:textId="48DF46F2" w:rsidR="00FC281D" w:rsidRPr="000B7187" w:rsidRDefault="00492C76" w:rsidP="00492C76">
      <w:pPr>
        <w:pStyle w:val="RegHChG"/>
        <w:numPr>
          <w:ilvl w:val="0"/>
          <w:numId w:val="0"/>
        </w:numPr>
        <w:tabs>
          <w:tab w:val="left" w:pos="1135"/>
          <w:tab w:val="left" w:pos="1701"/>
        </w:tabs>
        <w:ind w:left="1135" w:hanging="454"/>
        <w:jc w:val="both"/>
        <w:rPr>
          <w:b w:val="0"/>
          <w:bCs/>
          <w:i/>
          <w:iCs/>
          <w:szCs w:val="28"/>
        </w:rPr>
      </w:pPr>
      <w:r w:rsidRPr="000B7187">
        <w:rPr>
          <w:bCs/>
          <w:iCs/>
          <w:szCs w:val="28"/>
        </w:rPr>
        <w:t>IV.</w:t>
      </w:r>
      <w:r w:rsidRPr="000B7187">
        <w:rPr>
          <w:bCs/>
          <w:iCs/>
          <w:szCs w:val="28"/>
        </w:rPr>
        <w:tab/>
      </w:r>
      <w:r w:rsidR="00FC281D" w:rsidRPr="000B7187">
        <w:rPr>
          <w:bCs/>
          <w:szCs w:val="28"/>
        </w:rPr>
        <w:t>Agreed electronic format</w:t>
      </w:r>
      <w:r w:rsidR="00FC281D" w:rsidRPr="000B7187">
        <w:rPr>
          <w:bCs/>
          <w:i/>
          <w:iCs/>
          <w:szCs w:val="28"/>
        </w:rPr>
        <w:t xml:space="preserve"> </w:t>
      </w:r>
    </w:p>
    <w:p w14:paraId="2179CAD4" w14:textId="067EC885" w:rsidR="00FC281D" w:rsidRPr="00982720" w:rsidRDefault="00492C76" w:rsidP="00492C76">
      <w:pPr>
        <w:pStyle w:val="RegSingleTxtG"/>
        <w:numPr>
          <w:ilvl w:val="0"/>
          <w:numId w:val="0"/>
        </w:numPr>
        <w:ind w:left="1134"/>
      </w:pPr>
      <w:r w:rsidRPr="00982720">
        <w:t>19.</w:t>
      </w:r>
      <w:r w:rsidRPr="00982720">
        <w:tab/>
      </w:r>
      <w:r w:rsidR="00FC281D" w:rsidRPr="00982720">
        <w:rPr>
          <w:i/>
          <w:iCs/>
        </w:rPr>
        <w:t>Request</w:t>
      </w:r>
      <w:r w:rsidR="00FC281D">
        <w:rPr>
          <w:i/>
          <w:iCs/>
        </w:rPr>
        <w:t>s</w:t>
      </w:r>
      <w:r w:rsidR="00FC281D" w:rsidRPr="00982720">
        <w:rPr>
          <w:i/>
          <w:iCs/>
        </w:rPr>
        <w:t xml:space="preserve"> </w:t>
      </w:r>
      <w:r w:rsidR="00FC281D" w:rsidRPr="00982720">
        <w:t xml:space="preserve">participating Parties to use the updated draft agreed electronic format referred to in decision </w:t>
      </w:r>
      <w:hyperlink r:id="rId83" w:history="1">
        <w:r w:rsidR="00FC281D" w:rsidRPr="00514C67">
          <w:rPr>
            <w:rStyle w:val="Hyperlink"/>
          </w:rPr>
          <w:t>2/CMA.3</w:t>
        </w:r>
      </w:hyperlink>
      <w:r w:rsidR="00FC281D">
        <w:t xml:space="preserve">, </w:t>
      </w:r>
      <w:r w:rsidR="00FC281D" w:rsidRPr="00982720">
        <w:t>annex, chapter IV.B, as contained in annex</w:t>
      </w:r>
      <w:r w:rsidR="00FC281D">
        <w:t xml:space="preserve"> II,</w:t>
      </w:r>
      <w:r w:rsidR="00FC281D" w:rsidRPr="00982720">
        <w:t xml:space="preserve"> in their submission of the annual information </w:t>
      </w:r>
      <w:r w:rsidR="00FC281D">
        <w:t xml:space="preserve">referred to </w:t>
      </w:r>
      <w:r w:rsidR="00FC281D" w:rsidRPr="00982720">
        <w:t>in th</w:t>
      </w:r>
      <w:r w:rsidR="00FC281D">
        <w:t>e</w:t>
      </w:r>
      <w:r w:rsidR="00FC281D" w:rsidRPr="00982720">
        <w:t xml:space="preserve"> </w:t>
      </w:r>
      <w:r w:rsidR="00FC281D">
        <w:t xml:space="preserve">same </w:t>
      </w:r>
      <w:r w:rsidR="00FC281D" w:rsidRPr="00982720">
        <w:t>decision</w:t>
      </w:r>
      <w:r w:rsidR="00FC281D" w:rsidRPr="00982720" w:rsidDel="00982720">
        <w:t>;</w:t>
      </w:r>
    </w:p>
    <w:p w14:paraId="5866FADC" w14:textId="4CC396D8" w:rsidR="00FC281D" w:rsidRPr="00982720" w:rsidRDefault="00492C76" w:rsidP="00492C76">
      <w:pPr>
        <w:pStyle w:val="RegSingleTxtG"/>
        <w:numPr>
          <w:ilvl w:val="0"/>
          <w:numId w:val="0"/>
        </w:numPr>
        <w:ind w:left="1134"/>
      </w:pPr>
      <w:r w:rsidRPr="00982720">
        <w:lastRenderedPageBreak/>
        <w:t>20.</w:t>
      </w:r>
      <w:r w:rsidRPr="00982720">
        <w:tab/>
      </w:r>
      <w:r w:rsidR="00FC281D">
        <w:rPr>
          <w:i/>
          <w:iCs/>
        </w:rPr>
        <w:t>Also r</w:t>
      </w:r>
      <w:r w:rsidR="00FC281D" w:rsidRPr="00982720">
        <w:rPr>
          <w:i/>
          <w:iCs/>
        </w:rPr>
        <w:t>equests</w:t>
      </w:r>
      <w:r w:rsidR="00FC281D" w:rsidRPr="00982720">
        <w:t xml:space="preserve"> the secretariat to prepare a technical paper on the updated draft</w:t>
      </w:r>
      <w:r w:rsidR="00FC281D">
        <w:t xml:space="preserve"> </w:t>
      </w:r>
      <w:r w:rsidR="00FC281D" w:rsidRPr="00982720">
        <w:t xml:space="preserve">agreed electronic format </w:t>
      </w:r>
      <w:r w:rsidR="00FC281D">
        <w:t>on the basis of</w:t>
      </w:r>
      <w:r w:rsidR="00FC281D" w:rsidRPr="00982720">
        <w:t xml:space="preserve"> experience in performing automated consistency checks of Parties’ submissions </w:t>
      </w:r>
      <w:r w:rsidR="00FC281D">
        <w:t>of</w:t>
      </w:r>
      <w:r w:rsidR="00FC281D" w:rsidRPr="00982720">
        <w:t xml:space="preserve"> annual information, </w:t>
      </w:r>
      <w:r w:rsidR="00FC281D">
        <w:t xml:space="preserve">with the paper to </w:t>
      </w:r>
      <w:r w:rsidR="00FC281D" w:rsidRPr="00982720">
        <w:t>includ</w:t>
      </w:r>
      <w:r w:rsidR="00FC281D">
        <w:t>e</w:t>
      </w:r>
      <w:r w:rsidR="00FC281D" w:rsidRPr="00982720">
        <w:t xml:space="preserve"> recommendations for the technical improvement </w:t>
      </w:r>
      <w:r w:rsidR="00FC281D">
        <w:t>of</w:t>
      </w:r>
      <w:r w:rsidR="00FC281D" w:rsidRPr="00982720">
        <w:t xml:space="preserve"> the updated draft agreed electronic format, </w:t>
      </w:r>
      <w:r w:rsidR="00F26BFE" w:rsidRPr="00671A86">
        <w:t>referred to in paragraph 19 above</w:t>
      </w:r>
      <w:r w:rsidR="00FC281D" w:rsidRPr="00982720">
        <w:t xml:space="preserve">, </w:t>
      </w:r>
      <w:r w:rsidR="00FC281D" w:rsidRPr="00982720">
        <w:rPr>
          <w:iCs/>
        </w:rPr>
        <w:t>for consideration</w:t>
      </w:r>
      <w:r w:rsidR="00FC281D" w:rsidRPr="00525046">
        <w:rPr>
          <w:iCs/>
        </w:rPr>
        <w:t xml:space="preserve"> </w:t>
      </w:r>
      <w:r w:rsidR="00FC281D" w:rsidRPr="00982720">
        <w:rPr>
          <w:iCs/>
        </w:rPr>
        <w:t xml:space="preserve">by the Conference of the Parties serving as the meeting of the Parties to the Paris Agreement </w:t>
      </w:r>
      <w:r w:rsidR="00FC281D" w:rsidRPr="00982720">
        <w:t>at its tenth session (</w:t>
      </w:r>
      <w:r w:rsidR="00FC281D" w:rsidRPr="006107F1">
        <w:t xml:space="preserve">November </w:t>
      </w:r>
      <w:r w:rsidR="00FC281D" w:rsidRPr="00982720">
        <w:t xml:space="preserve">2028); </w:t>
      </w:r>
    </w:p>
    <w:p w14:paraId="01B2AD95" w14:textId="1F99078E" w:rsidR="00FC281D" w:rsidRPr="00982720" w:rsidRDefault="00492C76" w:rsidP="00492C76">
      <w:pPr>
        <w:pStyle w:val="RegSingleTxtG"/>
        <w:numPr>
          <w:ilvl w:val="0"/>
          <w:numId w:val="0"/>
        </w:numPr>
        <w:ind w:left="1134"/>
      </w:pPr>
      <w:r w:rsidRPr="00982720">
        <w:t>21.</w:t>
      </w:r>
      <w:r w:rsidRPr="00982720">
        <w:tab/>
      </w:r>
      <w:r w:rsidR="00FC281D" w:rsidRPr="00982720">
        <w:rPr>
          <w:i/>
          <w:iCs/>
        </w:rPr>
        <w:t>Further requests</w:t>
      </w:r>
      <w:r w:rsidR="00FC281D" w:rsidRPr="00982720">
        <w:t xml:space="preserve"> the secretariat to design and implement a capacity-building work prog</w:t>
      </w:r>
      <w:r w:rsidR="00FC281D">
        <w:t>r</w:t>
      </w:r>
      <w:r w:rsidR="00FC281D" w:rsidRPr="00982720">
        <w:t>amme to assist developing countries, particularly the least developed countries and small island developing States, in their endeavour</w:t>
      </w:r>
      <w:r w:rsidR="00FC281D">
        <w:t>s to use</w:t>
      </w:r>
      <w:r w:rsidR="00FC281D" w:rsidRPr="00982720" w:rsidDel="00CC36AB">
        <w:t xml:space="preserve"> </w:t>
      </w:r>
      <w:r w:rsidR="00FC281D" w:rsidRPr="00982720">
        <w:t xml:space="preserve">the draft agreed electronic format </w:t>
      </w:r>
      <w:r w:rsidR="002E1597">
        <w:t>referred to in paragraph 19 above</w:t>
      </w:r>
      <w:r w:rsidR="00FC281D" w:rsidRPr="00982720">
        <w:t xml:space="preserve"> for</w:t>
      </w:r>
      <w:r w:rsidR="00FC281D" w:rsidRPr="00982720" w:rsidDel="00EA6847">
        <w:t xml:space="preserve"> </w:t>
      </w:r>
      <w:r w:rsidR="00FC281D" w:rsidRPr="00982720">
        <w:t xml:space="preserve">submission of the annual information referred to in decision </w:t>
      </w:r>
      <w:hyperlink r:id="rId84" w:history="1">
        <w:r w:rsidR="00FC281D" w:rsidRPr="00514C67">
          <w:rPr>
            <w:rStyle w:val="Hyperlink"/>
          </w:rPr>
          <w:t>2/CMA.3</w:t>
        </w:r>
      </w:hyperlink>
      <w:r w:rsidR="00FC281D">
        <w:t xml:space="preserve">, </w:t>
      </w:r>
      <w:r w:rsidR="00FC281D" w:rsidRPr="00982720">
        <w:t>annex, chapter</w:t>
      </w:r>
      <w:r w:rsidR="00FC281D">
        <w:t> </w:t>
      </w:r>
      <w:r w:rsidR="00FC281D" w:rsidRPr="00982720">
        <w:t>IV.B;</w:t>
      </w:r>
    </w:p>
    <w:p w14:paraId="3EB9D092" w14:textId="4A22440A" w:rsidR="00FC281D" w:rsidRPr="00982720" w:rsidRDefault="00492C76" w:rsidP="00492C76">
      <w:pPr>
        <w:pStyle w:val="RegSingleTxtG"/>
        <w:numPr>
          <w:ilvl w:val="0"/>
          <w:numId w:val="0"/>
        </w:numPr>
        <w:ind w:left="1134"/>
        <w:rPr>
          <w:iCs/>
        </w:rPr>
      </w:pPr>
      <w:r w:rsidRPr="00982720">
        <w:t>22.</w:t>
      </w:r>
      <w:r w:rsidRPr="00982720">
        <w:tab/>
      </w:r>
      <w:r w:rsidR="00FC281D" w:rsidRPr="00982720">
        <w:rPr>
          <w:i/>
        </w:rPr>
        <w:t xml:space="preserve">Decides </w:t>
      </w:r>
      <w:r w:rsidR="00FC281D" w:rsidRPr="00982720">
        <w:rPr>
          <w:iCs/>
        </w:rPr>
        <w:t>that the centralized account</w:t>
      </w:r>
      <w:r w:rsidR="00FC281D">
        <w:rPr>
          <w:iCs/>
        </w:rPr>
        <w:t>ing</w:t>
      </w:r>
      <w:r w:rsidR="00FC281D" w:rsidRPr="00982720">
        <w:rPr>
          <w:iCs/>
        </w:rPr>
        <w:t xml:space="preserve"> and reporting platform shall enable the generation of summary tables and disaggregated tables </w:t>
      </w:r>
      <w:r w:rsidR="00FC281D">
        <w:rPr>
          <w:iCs/>
        </w:rPr>
        <w:t>using, as input,</w:t>
      </w:r>
      <w:r w:rsidR="00FC281D" w:rsidRPr="00982720">
        <w:rPr>
          <w:iCs/>
        </w:rPr>
        <w:t xml:space="preserve"> non-confidential information submitted by Parties in their </w:t>
      </w:r>
      <w:r w:rsidR="00FC281D" w:rsidRPr="00982720">
        <w:t>updated draft agreed electronic format</w:t>
      </w:r>
      <w:r w:rsidR="00FC281D" w:rsidRPr="006107F1">
        <w:t>, including</w:t>
      </w:r>
      <w:r w:rsidR="00FC281D">
        <w:t xml:space="preserve"> </w:t>
      </w:r>
      <w:r w:rsidR="00FC281D" w:rsidRPr="006107F1">
        <w:t xml:space="preserve">information on </w:t>
      </w:r>
      <w:r w:rsidR="00FC281D" w:rsidRPr="006107F1">
        <w:rPr>
          <w:lang w:val="en-AU"/>
        </w:rPr>
        <w:t>authorization, first transfer, transfer, acquisition, use towards nationally determined contributions, authorization for use towards other international mitigation purposes, and voluntary cancellation</w:t>
      </w:r>
      <w:r w:rsidR="00FC281D" w:rsidRPr="006107F1">
        <w:t>, and contribution of resources for adaptation and any delivery of overall mitigation in global emissions, as applicable</w:t>
      </w:r>
      <w:r w:rsidR="00FC281D" w:rsidRPr="00982720">
        <w:t>;</w:t>
      </w:r>
    </w:p>
    <w:p w14:paraId="798347A8" w14:textId="0AE9E5D1" w:rsidR="00FC281D" w:rsidRPr="00B43031" w:rsidRDefault="00492C76" w:rsidP="00492C76">
      <w:pPr>
        <w:pStyle w:val="RegHChG"/>
        <w:numPr>
          <w:ilvl w:val="0"/>
          <w:numId w:val="0"/>
        </w:numPr>
        <w:tabs>
          <w:tab w:val="left" w:pos="1135"/>
          <w:tab w:val="left" w:pos="1701"/>
        </w:tabs>
        <w:ind w:left="1135" w:hanging="454"/>
        <w:jc w:val="both"/>
        <w:rPr>
          <w:b w:val="0"/>
          <w:bCs/>
          <w:szCs w:val="28"/>
        </w:rPr>
      </w:pPr>
      <w:r w:rsidRPr="00B43031">
        <w:rPr>
          <w:bCs/>
          <w:szCs w:val="28"/>
        </w:rPr>
        <w:t>V.</w:t>
      </w:r>
      <w:r w:rsidRPr="00B43031">
        <w:rPr>
          <w:bCs/>
          <w:szCs w:val="28"/>
        </w:rPr>
        <w:tab/>
      </w:r>
      <w:r w:rsidR="00FC281D" w:rsidRPr="00B43031">
        <w:rPr>
          <w:bCs/>
          <w:szCs w:val="28"/>
        </w:rPr>
        <w:t xml:space="preserve">Tables for submitting annual information as part of the regular information </w:t>
      </w:r>
    </w:p>
    <w:p w14:paraId="3C60E7FA" w14:textId="783E5904" w:rsidR="00FC281D" w:rsidRPr="00982720" w:rsidRDefault="00492C76" w:rsidP="00492C76">
      <w:pPr>
        <w:pStyle w:val="RegSingleTxtG"/>
        <w:numPr>
          <w:ilvl w:val="0"/>
          <w:numId w:val="0"/>
        </w:numPr>
        <w:ind w:left="1134"/>
        <w:rPr>
          <w:iCs/>
        </w:rPr>
      </w:pPr>
      <w:r w:rsidRPr="00982720">
        <w:t>23.</w:t>
      </w:r>
      <w:r w:rsidRPr="00982720">
        <w:tab/>
      </w:r>
      <w:r w:rsidR="00FC281D" w:rsidRPr="002E5596">
        <w:rPr>
          <w:i/>
        </w:rPr>
        <w:tab/>
        <w:t>Clarifies</w:t>
      </w:r>
      <w:r w:rsidR="00FC281D" w:rsidRPr="002E5596">
        <w:rPr>
          <w:iCs/>
        </w:rPr>
        <w:t xml:space="preserve"> that the tables for submitting annual information as part of the regular information will be </w:t>
      </w:r>
      <w:r w:rsidR="00FC281D">
        <w:rPr>
          <w:iCs/>
        </w:rPr>
        <w:t xml:space="preserve">automatically </w:t>
      </w:r>
      <w:r w:rsidR="00FC281D" w:rsidRPr="002E5596">
        <w:rPr>
          <w:iCs/>
        </w:rPr>
        <w:t xml:space="preserve">generated and pre-filled </w:t>
      </w:r>
      <w:r w:rsidR="00FC281D">
        <w:rPr>
          <w:iCs/>
        </w:rPr>
        <w:t>on</w:t>
      </w:r>
      <w:r w:rsidR="00FC281D" w:rsidRPr="002E5596">
        <w:rPr>
          <w:iCs/>
        </w:rPr>
        <w:t xml:space="preserve"> the </w:t>
      </w:r>
      <w:r w:rsidR="00FC281D" w:rsidRPr="00CB6E42">
        <w:rPr>
          <w:iCs/>
        </w:rPr>
        <w:t>centralized accounting and reporting platform</w:t>
      </w:r>
      <w:r w:rsidR="00FC281D" w:rsidRPr="00B83335">
        <w:rPr>
          <w:iCs/>
        </w:rPr>
        <w:t xml:space="preserve"> </w:t>
      </w:r>
      <w:r w:rsidR="00FC281D">
        <w:rPr>
          <w:iCs/>
        </w:rPr>
        <w:t>using</w:t>
      </w:r>
      <w:r w:rsidR="00FC281D" w:rsidRPr="002E5596">
        <w:rPr>
          <w:iCs/>
        </w:rPr>
        <w:t xml:space="preserve"> information previously submitted </w:t>
      </w:r>
      <w:r w:rsidR="00FC281D">
        <w:rPr>
          <w:iCs/>
        </w:rPr>
        <w:t>in</w:t>
      </w:r>
      <w:r w:rsidR="00FC281D" w:rsidRPr="002E5596">
        <w:rPr>
          <w:iCs/>
        </w:rPr>
        <w:t xml:space="preserve"> the </w:t>
      </w:r>
      <w:r w:rsidR="00FC281D">
        <w:rPr>
          <w:iCs/>
        </w:rPr>
        <w:t>agreed electronic format</w:t>
      </w:r>
      <w:r w:rsidR="00FC281D" w:rsidRPr="002E5596">
        <w:rPr>
          <w:iCs/>
        </w:rPr>
        <w:t xml:space="preserve">, as referred to in </w:t>
      </w:r>
      <w:hyperlink r:id="rId85" w:history="1">
        <w:r w:rsidR="00FC281D" w:rsidRPr="00514C67">
          <w:rPr>
            <w:rStyle w:val="Hyperlink"/>
            <w:iCs/>
          </w:rPr>
          <w:t>6/CMA.4</w:t>
        </w:r>
      </w:hyperlink>
      <w:r w:rsidR="00FC281D">
        <w:rPr>
          <w:iCs/>
        </w:rPr>
        <w:t>,</w:t>
      </w:r>
      <w:r w:rsidR="00FC281D" w:rsidRPr="00B83335">
        <w:rPr>
          <w:iCs/>
        </w:rPr>
        <w:t xml:space="preserve"> </w:t>
      </w:r>
      <w:r w:rsidR="00FC281D">
        <w:rPr>
          <w:iCs/>
        </w:rPr>
        <w:t>a</w:t>
      </w:r>
      <w:r w:rsidR="00FC281D" w:rsidRPr="002E5596">
        <w:rPr>
          <w:iCs/>
        </w:rPr>
        <w:t>nnex I, paragraph 27(e)</w:t>
      </w:r>
      <w:r w:rsidR="00FC281D" w:rsidRPr="00982720">
        <w:rPr>
          <w:iCs/>
        </w:rPr>
        <w:t>;</w:t>
      </w:r>
    </w:p>
    <w:p w14:paraId="6CB023AE" w14:textId="601DF49F" w:rsidR="00FC281D" w:rsidRPr="00FE7925" w:rsidRDefault="00492C76" w:rsidP="00492C76">
      <w:pPr>
        <w:pStyle w:val="RegSingleTxtG"/>
        <w:numPr>
          <w:ilvl w:val="0"/>
          <w:numId w:val="0"/>
        </w:numPr>
        <w:ind w:left="1134"/>
        <w:rPr>
          <w:iCs/>
        </w:rPr>
      </w:pPr>
      <w:r w:rsidRPr="00FE7925">
        <w:t>24.</w:t>
      </w:r>
      <w:r w:rsidRPr="00FE7925">
        <w:tab/>
      </w:r>
      <w:r w:rsidR="00FC281D">
        <w:rPr>
          <w:i/>
          <w:iCs/>
        </w:rPr>
        <w:t>E</w:t>
      </w:r>
      <w:r w:rsidR="00FC281D" w:rsidRPr="00FE7925">
        <w:rPr>
          <w:i/>
          <w:iCs/>
        </w:rPr>
        <w:t>ncourages</w:t>
      </w:r>
      <w:r w:rsidR="00FC281D" w:rsidRPr="00FE7925">
        <w:t xml:space="preserve"> </w:t>
      </w:r>
      <w:r w:rsidR="00FC281D" w:rsidRPr="00B472A0">
        <w:t xml:space="preserve">Parties </w:t>
      </w:r>
      <w:r w:rsidR="00FC281D">
        <w:t>to</w:t>
      </w:r>
      <w:r w:rsidR="00FC281D" w:rsidRPr="00B472A0">
        <w:t xml:space="preserve"> use the tables referred to in </w:t>
      </w:r>
      <w:r w:rsidR="00FC281D">
        <w:t>paragraph 23 above</w:t>
      </w:r>
      <w:r w:rsidR="00FC281D" w:rsidRPr="00B472A0">
        <w:t xml:space="preserve"> to fulfil their reporting requirements referred to in decision </w:t>
      </w:r>
      <w:hyperlink r:id="rId86" w:history="1">
        <w:r w:rsidR="00FC281D" w:rsidRPr="00514C67">
          <w:rPr>
            <w:rStyle w:val="Hyperlink"/>
          </w:rPr>
          <w:t>2/CMA.3</w:t>
        </w:r>
      </w:hyperlink>
      <w:r w:rsidR="00FC281D" w:rsidRPr="00B472A0">
        <w:t xml:space="preserve">, annex, paragraph 23(j), </w:t>
      </w:r>
      <w:r w:rsidR="00FC281D">
        <w:t>and</w:t>
      </w:r>
      <w:r w:rsidR="00FC281D" w:rsidRPr="00B472A0">
        <w:t xml:space="preserve"> include </w:t>
      </w:r>
      <w:r w:rsidR="00FC281D">
        <w:t>them</w:t>
      </w:r>
      <w:r w:rsidR="00FC281D" w:rsidRPr="00B472A0">
        <w:t xml:space="preserve"> in an annex to the biennial transparency report (</w:t>
      </w:r>
      <w:r w:rsidR="00FC281D">
        <w:t>r</w:t>
      </w:r>
      <w:r w:rsidR="00FC281D" w:rsidRPr="00B83335">
        <w:t xml:space="preserve">egular </w:t>
      </w:r>
      <w:r w:rsidR="00FC281D">
        <w:t>i</w:t>
      </w:r>
      <w:r w:rsidR="00FC281D" w:rsidRPr="00B83335">
        <w:t>nformation</w:t>
      </w:r>
      <w:r w:rsidR="00FC281D" w:rsidRPr="00B472A0">
        <w:t>);</w:t>
      </w:r>
      <w:r w:rsidR="00FC281D">
        <w:rPr>
          <w:iCs/>
        </w:rPr>
        <w:t xml:space="preserve"> </w:t>
      </w:r>
    </w:p>
    <w:p w14:paraId="3C55BD74" w14:textId="51590B93" w:rsidR="00FC281D" w:rsidRPr="00B82420" w:rsidRDefault="00492C76" w:rsidP="00492C76">
      <w:pPr>
        <w:pStyle w:val="RegSingleTxtG"/>
        <w:numPr>
          <w:ilvl w:val="0"/>
          <w:numId w:val="0"/>
        </w:numPr>
        <w:ind w:left="1134"/>
        <w:rPr>
          <w:iCs/>
        </w:rPr>
      </w:pPr>
      <w:r w:rsidRPr="00B82420">
        <w:t>25.</w:t>
      </w:r>
      <w:r w:rsidRPr="00B82420">
        <w:tab/>
      </w:r>
      <w:r w:rsidR="00FC281D" w:rsidRPr="006107F1">
        <w:rPr>
          <w:i/>
          <w:iCs/>
        </w:rPr>
        <w:t>Recalls</w:t>
      </w:r>
      <w:r w:rsidR="00FC281D" w:rsidRPr="00B82420">
        <w:rPr>
          <w:i/>
          <w:iCs/>
        </w:rPr>
        <w:t xml:space="preserve"> </w:t>
      </w:r>
      <w:r w:rsidR="00FC281D" w:rsidRPr="00927AF1">
        <w:t xml:space="preserve">that </w:t>
      </w:r>
      <w:r w:rsidR="00FC281D">
        <w:t xml:space="preserve">each participating Party shall report information on </w:t>
      </w:r>
      <w:r w:rsidR="00FC281D" w:rsidRPr="006B6533">
        <w:t>any contribution</w:t>
      </w:r>
      <w:r w:rsidR="00FC281D">
        <w:t xml:space="preserve"> of resources for adaptation and any delivery of overall mitigation in global emissions, as referred to in decision </w:t>
      </w:r>
      <w:hyperlink r:id="rId87" w:history="1">
        <w:r w:rsidR="00FC281D" w:rsidRPr="00514C67">
          <w:rPr>
            <w:rStyle w:val="Hyperlink"/>
          </w:rPr>
          <w:t>2/CMA.3</w:t>
        </w:r>
      </w:hyperlink>
      <w:r w:rsidR="00FC281D">
        <w:t xml:space="preserve">, annex, paragraphs 38 and 40, in its regular information, the outline of which is set out in decision </w:t>
      </w:r>
      <w:hyperlink r:id="rId88" w:history="1">
        <w:r w:rsidR="00FC281D" w:rsidRPr="00514C67">
          <w:rPr>
            <w:rStyle w:val="Hyperlink"/>
          </w:rPr>
          <w:t>6/CMA.4</w:t>
        </w:r>
      </w:hyperlink>
      <w:r w:rsidR="00FC281D">
        <w:t>, annex VI;</w:t>
      </w:r>
    </w:p>
    <w:p w14:paraId="4051CCB4" w14:textId="3D827897" w:rsidR="00FC281D" w:rsidRPr="00982720" w:rsidRDefault="00492C76" w:rsidP="00492C76">
      <w:pPr>
        <w:pStyle w:val="RegHChG"/>
        <w:numPr>
          <w:ilvl w:val="0"/>
          <w:numId w:val="0"/>
        </w:numPr>
        <w:tabs>
          <w:tab w:val="left" w:pos="1135"/>
          <w:tab w:val="left" w:pos="1701"/>
        </w:tabs>
        <w:ind w:left="1135" w:hanging="454"/>
        <w:jc w:val="both"/>
        <w:rPr>
          <w:b w:val="0"/>
          <w:bCs/>
          <w:szCs w:val="28"/>
        </w:rPr>
      </w:pPr>
      <w:r w:rsidRPr="00982720">
        <w:rPr>
          <w:bCs/>
          <w:szCs w:val="28"/>
        </w:rPr>
        <w:t>VI.</w:t>
      </w:r>
      <w:r w:rsidRPr="00982720">
        <w:rPr>
          <w:bCs/>
          <w:szCs w:val="28"/>
        </w:rPr>
        <w:tab/>
      </w:r>
      <w:r w:rsidR="00FC281D" w:rsidRPr="00982720">
        <w:rPr>
          <w:bCs/>
          <w:szCs w:val="28"/>
        </w:rPr>
        <w:t>Sequencing and timing of reporting</w:t>
      </w:r>
    </w:p>
    <w:p w14:paraId="1D26ECC2" w14:textId="37A7DAD2" w:rsidR="00FC281D" w:rsidRPr="00982720" w:rsidRDefault="00492C76" w:rsidP="00492C76">
      <w:pPr>
        <w:pStyle w:val="RegSingleTxtG"/>
        <w:numPr>
          <w:ilvl w:val="0"/>
          <w:numId w:val="0"/>
        </w:numPr>
        <w:ind w:left="1134"/>
      </w:pPr>
      <w:r w:rsidRPr="00982720">
        <w:t>26.</w:t>
      </w:r>
      <w:r w:rsidRPr="00982720">
        <w:tab/>
      </w:r>
      <w:r w:rsidR="00FC281D" w:rsidRPr="00982720">
        <w:rPr>
          <w:i/>
        </w:rPr>
        <w:t>Notes</w:t>
      </w:r>
      <w:r w:rsidR="00FC281D" w:rsidRPr="00982720">
        <w:t xml:space="preserve"> that the submission of an initial report or updated initial report by </w:t>
      </w:r>
      <w:r w:rsidR="00FC281D" w:rsidRPr="00FE7925">
        <w:t>each</w:t>
      </w:r>
      <w:r w:rsidR="00FC281D" w:rsidRPr="00982720">
        <w:t xml:space="preserve"> participating Party in respect of a cooperative approach is a requirement for submitting, in an agreed electronic format, annual information on </w:t>
      </w:r>
      <w:r w:rsidR="00FC281D">
        <w:t xml:space="preserve">the </w:t>
      </w:r>
      <w:r w:rsidR="00FC281D" w:rsidRPr="00982720">
        <w:t>international transferred mitigation outcomes from that cooperative approach;</w:t>
      </w:r>
    </w:p>
    <w:p w14:paraId="7955A05F" w14:textId="3F6C4535" w:rsidR="00FC281D" w:rsidRPr="00982720" w:rsidRDefault="00492C76" w:rsidP="00492C76">
      <w:pPr>
        <w:pStyle w:val="RegSingleTxtG"/>
        <w:numPr>
          <w:ilvl w:val="0"/>
          <w:numId w:val="0"/>
        </w:numPr>
        <w:ind w:left="1134"/>
      </w:pPr>
      <w:r w:rsidRPr="00982720">
        <w:t>27.</w:t>
      </w:r>
      <w:r w:rsidRPr="00982720">
        <w:tab/>
      </w:r>
      <w:r w:rsidR="00FC281D" w:rsidRPr="00982720">
        <w:rPr>
          <w:b/>
          <w:bCs/>
        </w:rPr>
        <w:tab/>
      </w:r>
      <w:r w:rsidR="00FC281D" w:rsidRPr="00982720">
        <w:rPr>
          <w:i/>
          <w:iCs/>
        </w:rPr>
        <w:t>Clarifies</w:t>
      </w:r>
      <w:r w:rsidR="00FC281D" w:rsidRPr="00982720">
        <w:t xml:space="preserve"> that the initial report or updated initial report shall be submitted by </w:t>
      </w:r>
      <w:r w:rsidR="00FC281D" w:rsidRPr="00FE7925">
        <w:t>each</w:t>
      </w:r>
      <w:r w:rsidR="00FC281D" w:rsidRPr="00982720">
        <w:t xml:space="preserve"> participating Party prior to or in conjunction with that participating Party submitting the annual information in the agreed electronic format</w:t>
      </w:r>
      <w:r w:rsidR="00671A86" w:rsidRPr="0041653A">
        <w:t xml:space="preserve"> </w:t>
      </w:r>
      <w:r w:rsidR="00671A86" w:rsidRPr="00671A86">
        <w:t xml:space="preserve">referred to in paragraph 19 above </w:t>
      </w:r>
      <w:r w:rsidR="00FC281D" w:rsidRPr="00671A86">
        <w:t xml:space="preserve">and the annual information referred to in decision </w:t>
      </w:r>
      <w:hyperlink r:id="rId89" w:history="1">
        <w:r w:rsidR="00FC281D" w:rsidRPr="00514C67">
          <w:rPr>
            <w:rStyle w:val="Hyperlink"/>
          </w:rPr>
          <w:t>2/CMA.3</w:t>
        </w:r>
      </w:hyperlink>
      <w:r w:rsidR="00FC281D" w:rsidRPr="00671A86">
        <w:t xml:space="preserve">, annex, paragraph </w:t>
      </w:r>
      <w:r w:rsidR="00671A86" w:rsidRPr="00671A86">
        <w:t>2</w:t>
      </w:r>
      <w:r w:rsidR="00671A86">
        <w:t>3</w:t>
      </w:r>
      <w:r w:rsidR="00FC281D" w:rsidRPr="00671A86">
        <w:t>;</w:t>
      </w:r>
    </w:p>
    <w:p w14:paraId="64F64ACE" w14:textId="29B27CD8" w:rsidR="00FC281D" w:rsidRPr="00982720" w:rsidRDefault="00492C76" w:rsidP="00492C76">
      <w:pPr>
        <w:pStyle w:val="RegHChG"/>
        <w:numPr>
          <w:ilvl w:val="0"/>
          <w:numId w:val="0"/>
        </w:numPr>
        <w:tabs>
          <w:tab w:val="left" w:pos="1135"/>
          <w:tab w:val="left" w:pos="1701"/>
        </w:tabs>
        <w:ind w:left="1135" w:hanging="454"/>
        <w:rPr>
          <w:b w:val="0"/>
        </w:rPr>
      </w:pPr>
      <w:r w:rsidRPr="00982720">
        <w:t>VII.</w:t>
      </w:r>
      <w:r w:rsidRPr="00982720">
        <w:tab/>
      </w:r>
      <w:r w:rsidR="00FC281D" w:rsidRPr="00982720">
        <w:rPr>
          <w:bCs/>
          <w:szCs w:val="28"/>
        </w:rPr>
        <w:t xml:space="preserve">Process </w:t>
      </w:r>
      <w:r w:rsidR="00FC281D">
        <w:rPr>
          <w:bCs/>
          <w:szCs w:val="28"/>
        </w:rPr>
        <w:t>for</w:t>
      </w:r>
      <w:r w:rsidR="00FC281D" w:rsidRPr="00982720">
        <w:rPr>
          <w:bCs/>
          <w:szCs w:val="28"/>
        </w:rPr>
        <w:t xml:space="preserve"> </w:t>
      </w:r>
      <w:bookmarkStart w:id="21" w:name="_Hlk182526569"/>
      <w:r w:rsidR="00FC281D" w:rsidRPr="00982720" w:rsidDel="000832F1">
        <w:rPr>
          <w:bCs/>
          <w:szCs w:val="28"/>
        </w:rPr>
        <w:t>identifying</w:t>
      </w:r>
      <w:r w:rsidR="00FC281D" w:rsidRPr="00982720" w:rsidDel="006C6BEB">
        <w:rPr>
          <w:bCs/>
          <w:szCs w:val="28"/>
        </w:rPr>
        <w:t>, notifying</w:t>
      </w:r>
      <w:r w:rsidR="00FC281D" w:rsidRPr="00982720" w:rsidDel="000832F1">
        <w:rPr>
          <w:bCs/>
          <w:szCs w:val="28"/>
        </w:rPr>
        <w:t xml:space="preserve"> and </w:t>
      </w:r>
      <w:r w:rsidR="00FC281D" w:rsidRPr="00982720">
        <w:rPr>
          <w:bCs/>
          <w:szCs w:val="28"/>
        </w:rPr>
        <w:t xml:space="preserve">correcting </w:t>
      </w:r>
      <w:bookmarkEnd w:id="21"/>
      <w:r w:rsidR="00FC281D" w:rsidRPr="00982720">
        <w:rPr>
          <w:bCs/>
          <w:szCs w:val="28"/>
        </w:rPr>
        <w:t xml:space="preserve">inconsistencies </w:t>
      </w:r>
    </w:p>
    <w:p w14:paraId="57A0A90F" w14:textId="37F0BDEA" w:rsidR="00FC281D" w:rsidRPr="00452994" w:rsidRDefault="00492C76" w:rsidP="00492C76">
      <w:pPr>
        <w:pStyle w:val="RegH1G"/>
        <w:numPr>
          <w:ilvl w:val="0"/>
          <w:numId w:val="0"/>
        </w:numPr>
        <w:tabs>
          <w:tab w:val="left" w:pos="1135"/>
        </w:tabs>
        <w:ind w:left="1135" w:hanging="454"/>
      </w:pPr>
      <w:r w:rsidRPr="00452994">
        <w:t>A.</w:t>
      </w:r>
      <w:r w:rsidRPr="00452994">
        <w:tab/>
      </w:r>
      <w:r w:rsidR="00FC281D" w:rsidRPr="00452994">
        <w:t>Automated consistency checks of annual information</w:t>
      </w:r>
    </w:p>
    <w:p w14:paraId="498297B0" w14:textId="4D405459" w:rsidR="00FC281D" w:rsidRPr="004D2D01" w:rsidRDefault="00492C76" w:rsidP="00492C76">
      <w:pPr>
        <w:pStyle w:val="RegSingleTxtG"/>
        <w:numPr>
          <w:ilvl w:val="0"/>
          <w:numId w:val="0"/>
        </w:numPr>
        <w:ind w:left="1134"/>
      </w:pPr>
      <w:r w:rsidRPr="004D2D01">
        <w:t>28.</w:t>
      </w:r>
      <w:r w:rsidRPr="004D2D01">
        <w:tab/>
      </w:r>
      <w:r w:rsidR="00FC281D" w:rsidRPr="004D2D01">
        <w:rPr>
          <w:i/>
          <w:iCs/>
        </w:rPr>
        <w:t>Recalls</w:t>
      </w:r>
      <w:r w:rsidR="00FC281D" w:rsidRPr="004D2D01">
        <w:t xml:space="preserve"> that the Article 6 database shall enable the secretariat to perform automated consistency checks of submitted information, as per decision</w:t>
      </w:r>
      <w:r w:rsidR="00FC281D">
        <w:t>s</w:t>
      </w:r>
      <w:r w:rsidR="00FC281D" w:rsidRPr="004D2D01">
        <w:t xml:space="preserve"> </w:t>
      </w:r>
      <w:hyperlink r:id="rId90" w:history="1">
        <w:r w:rsidR="00FC281D" w:rsidRPr="00514C67">
          <w:rPr>
            <w:rStyle w:val="Hyperlink"/>
          </w:rPr>
          <w:t>2/CMA.3</w:t>
        </w:r>
      </w:hyperlink>
      <w:r w:rsidR="00FC281D" w:rsidRPr="004D2D01">
        <w:t>, annex, paragraph</w:t>
      </w:r>
      <w:r w:rsidR="00FC281D">
        <w:t> </w:t>
      </w:r>
      <w:r w:rsidR="00FC281D" w:rsidRPr="004D2D01">
        <w:t>33(a)</w:t>
      </w:r>
      <w:r w:rsidR="00FC281D">
        <w:t xml:space="preserve">, and decision </w:t>
      </w:r>
      <w:hyperlink r:id="rId91" w:history="1">
        <w:r w:rsidR="00FC281D" w:rsidRPr="00514C67">
          <w:rPr>
            <w:rStyle w:val="Hyperlink"/>
          </w:rPr>
          <w:t>6/CMA.4</w:t>
        </w:r>
      </w:hyperlink>
      <w:r w:rsidR="00FC281D">
        <w:t>, annex I, paragraphs 37–40</w:t>
      </w:r>
      <w:r w:rsidR="00FC281D" w:rsidRPr="004D2D01">
        <w:t>;</w:t>
      </w:r>
    </w:p>
    <w:p w14:paraId="320222B7" w14:textId="7F467696" w:rsidR="00FC281D" w:rsidRPr="00982720" w:rsidRDefault="00492C76" w:rsidP="00492C76">
      <w:pPr>
        <w:pStyle w:val="RegSingleTxtG"/>
        <w:numPr>
          <w:ilvl w:val="0"/>
          <w:numId w:val="0"/>
        </w:numPr>
        <w:ind w:left="1134"/>
      </w:pPr>
      <w:r w:rsidRPr="00982720">
        <w:lastRenderedPageBreak/>
        <w:t>29.</w:t>
      </w:r>
      <w:r w:rsidRPr="00982720">
        <w:tab/>
      </w:r>
      <w:r w:rsidR="00FC281D" w:rsidRPr="00982720">
        <w:rPr>
          <w:i/>
          <w:iCs/>
        </w:rPr>
        <w:t>Decides</w:t>
      </w:r>
      <w:r w:rsidR="00FC281D" w:rsidRPr="00982720">
        <w:t xml:space="preserve"> that the results of the consistency check</w:t>
      </w:r>
      <w:r w:rsidR="00FC281D">
        <w:t>s</w:t>
      </w:r>
      <w:r w:rsidR="00FC281D" w:rsidRPr="00982720">
        <w:t xml:space="preserve"> performed by the secretariat</w:t>
      </w:r>
      <w:r w:rsidR="00FC281D">
        <w:t xml:space="preserve">, referred to in paragraph </w:t>
      </w:r>
      <w:r w:rsidR="00FC281D" w:rsidRPr="006107F1">
        <w:t>28</w:t>
      </w:r>
      <w:r w:rsidR="00FC281D">
        <w:t xml:space="preserve"> above,</w:t>
      </w:r>
      <w:r w:rsidR="00FC281D" w:rsidRPr="00982720">
        <w:t xml:space="preserve"> will be made publicly available on the centralized accounting and reporting platform and show whether reported information </w:t>
      </w:r>
      <w:r w:rsidR="00FC281D">
        <w:t>submitted by</w:t>
      </w:r>
      <w:r w:rsidR="00FC281D" w:rsidRPr="00982720">
        <w:t xml:space="preserve"> a participating Party and/or between Parties participating in the same cooperative approach is:</w:t>
      </w:r>
    </w:p>
    <w:p w14:paraId="16FA8FEA" w14:textId="2D8FC35C" w:rsidR="00FC281D" w:rsidRPr="00982720" w:rsidRDefault="00492C76" w:rsidP="00492C76">
      <w:pPr>
        <w:pStyle w:val="RegSingleTxtG2"/>
        <w:numPr>
          <w:ilvl w:val="0"/>
          <w:numId w:val="0"/>
        </w:numPr>
        <w:tabs>
          <w:tab w:val="left" w:pos="1702"/>
        </w:tabs>
        <w:ind w:left="1134" w:firstLine="567"/>
      </w:pPr>
      <w:r w:rsidRPr="00982720">
        <w:rPr>
          <w:szCs w:val="28"/>
        </w:rPr>
        <w:t>(a)</w:t>
      </w:r>
      <w:r w:rsidRPr="00982720">
        <w:rPr>
          <w:szCs w:val="28"/>
        </w:rPr>
        <w:tab/>
      </w:r>
      <w:r w:rsidR="00FC281D" w:rsidRPr="00982720">
        <w:t>Consistent: no inconsistenc</w:t>
      </w:r>
      <w:r w:rsidR="00FC281D">
        <w:t>ies</w:t>
      </w:r>
      <w:r w:rsidR="00FC281D" w:rsidRPr="00982720">
        <w:t xml:space="preserve"> </w:t>
      </w:r>
      <w:r w:rsidR="00FC281D">
        <w:t xml:space="preserve">were </w:t>
      </w:r>
      <w:r w:rsidR="00FC281D" w:rsidRPr="00982720">
        <w:t xml:space="preserve">found in the </w:t>
      </w:r>
      <w:r w:rsidR="00FC281D">
        <w:t xml:space="preserve">submitted annual </w:t>
      </w:r>
      <w:r w:rsidR="00FC281D" w:rsidRPr="00982720">
        <w:t>information</w:t>
      </w:r>
      <w:r w:rsidR="00FC281D">
        <w:t>, to be marked as “C</w:t>
      </w:r>
      <w:r w:rsidR="00FC281D" w:rsidRPr="00982720">
        <w:t>hecked, no inconsistencies identified</w:t>
      </w:r>
      <w:r w:rsidR="00FC281D">
        <w:t>”</w:t>
      </w:r>
      <w:r w:rsidR="00FC281D" w:rsidRPr="00982720">
        <w:t>;</w:t>
      </w:r>
    </w:p>
    <w:p w14:paraId="256FB7C9" w14:textId="559AC54B" w:rsidR="00FC281D" w:rsidRPr="00982720" w:rsidRDefault="00492C76" w:rsidP="00492C76">
      <w:pPr>
        <w:pStyle w:val="RegSingleTxtG2"/>
        <w:numPr>
          <w:ilvl w:val="0"/>
          <w:numId w:val="0"/>
        </w:numPr>
        <w:tabs>
          <w:tab w:val="left" w:pos="1702"/>
        </w:tabs>
        <w:ind w:left="1134" w:firstLine="567"/>
      </w:pPr>
      <w:r w:rsidRPr="00982720">
        <w:rPr>
          <w:szCs w:val="28"/>
        </w:rPr>
        <w:t>(b)</w:t>
      </w:r>
      <w:r w:rsidRPr="00982720">
        <w:rPr>
          <w:szCs w:val="28"/>
        </w:rPr>
        <w:tab/>
      </w:r>
      <w:r w:rsidR="00FC281D" w:rsidRPr="00982720">
        <w:t>Inconsistent: inconsistencies</w:t>
      </w:r>
      <w:r w:rsidR="00FC281D">
        <w:t>,</w:t>
      </w:r>
      <w:r w:rsidR="00FC281D" w:rsidRPr="00982720">
        <w:t xml:space="preserve"> mismatches</w:t>
      </w:r>
      <w:r w:rsidR="00FC281D">
        <w:t xml:space="preserve"> or omissions in</w:t>
      </w:r>
      <w:r w:rsidR="00FC281D" w:rsidRPr="00982720">
        <w:t xml:space="preserve"> </w:t>
      </w:r>
      <w:r w:rsidR="00FC281D">
        <w:t>mandatory</w:t>
      </w:r>
      <w:r w:rsidR="00FC281D" w:rsidRPr="00982720">
        <w:t xml:space="preserve"> information </w:t>
      </w:r>
      <w:r w:rsidR="00FC281D">
        <w:t>were</w:t>
      </w:r>
      <w:r w:rsidR="00FC281D" w:rsidRPr="00982720">
        <w:t xml:space="preserve"> found in checks performed on the </w:t>
      </w:r>
      <w:r w:rsidR="00FC281D">
        <w:t>submitted</w:t>
      </w:r>
      <w:r w:rsidR="00FC281D" w:rsidRPr="00982720">
        <w:t xml:space="preserve"> </w:t>
      </w:r>
      <w:r w:rsidR="00FC281D">
        <w:t xml:space="preserve">annual </w:t>
      </w:r>
      <w:r w:rsidR="00FC281D" w:rsidRPr="00982720">
        <w:t>information</w:t>
      </w:r>
      <w:r w:rsidR="00FC281D">
        <w:t>, to be marked as “C</w:t>
      </w:r>
      <w:r w:rsidR="00FC281D" w:rsidRPr="00982720">
        <w:t>hecked, inconsistencies identified</w:t>
      </w:r>
      <w:r w:rsidR="00FC281D">
        <w:t>”</w:t>
      </w:r>
      <w:r w:rsidR="00FC281D" w:rsidRPr="00982720">
        <w:t>;</w:t>
      </w:r>
    </w:p>
    <w:p w14:paraId="49EA6133" w14:textId="705DB2A1" w:rsidR="00FC281D" w:rsidRPr="00982720" w:rsidRDefault="00492C76" w:rsidP="00492C76">
      <w:pPr>
        <w:pStyle w:val="RegSingleTxtG2"/>
        <w:numPr>
          <w:ilvl w:val="0"/>
          <w:numId w:val="0"/>
        </w:numPr>
        <w:tabs>
          <w:tab w:val="left" w:pos="1702"/>
        </w:tabs>
        <w:ind w:left="1134" w:firstLine="567"/>
      </w:pPr>
      <w:r w:rsidRPr="00982720">
        <w:rPr>
          <w:szCs w:val="28"/>
        </w:rPr>
        <w:t>(c)</w:t>
      </w:r>
      <w:r w:rsidRPr="00982720">
        <w:rPr>
          <w:szCs w:val="28"/>
        </w:rPr>
        <w:tab/>
      </w:r>
      <w:r w:rsidR="00FC281D" w:rsidRPr="00982720">
        <w:t>Not available: information required to perform the consistency check was not available</w:t>
      </w:r>
      <w:r w:rsidR="00FC281D">
        <w:t>, to be marked as “N</w:t>
      </w:r>
      <w:r w:rsidR="00FC281D" w:rsidRPr="00982720">
        <w:t>ull, information for check not available</w:t>
      </w:r>
      <w:r w:rsidR="00FC281D">
        <w:t>”</w:t>
      </w:r>
      <w:r w:rsidR="00FC281D" w:rsidRPr="00677E16">
        <w:t>;</w:t>
      </w:r>
    </w:p>
    <w:p w14:paraId="3F9FD0CC" w14:textId="62018BD1" w:rsidR="00FC281D" w:rsidRPr="00982720" w:rsidRDefault="00492C76" w:rsidP="00492C76">
      <w:pPr>
        <w:pStyle w:val="RegSingleTxtG"/>
        <w:numPr>
          <w:ilvl w:val="0"/>
          <w:numId w:val="0"/>
        </w:numPr>
        <w:ind w:left="1134"/>
      </w:pPr>
      <w:r w:rsidRPr="00982720">
        <w:t>30.</w:t>
      </w:r>
      <w:r w:rsidRPr="00982720">
        <w:tab/>
      </w:r>
      <w:r w:rsidR="00FC281D" w:rsidRPr="00982720">
        <w:rPr>
          <w:i/>
          <w:iCs/>
        </w:rPr>
        <w:t>Clarifies</w:t>
      </w:r>
      <w:r w:rsidR="00FC281D" w:rsidRPr="00982720">
        <w:t xml:space="preserve"> that the automated consistency check referred to </w:t>
      </w:r>
      <w:r w:rsidR="00FC281D" w:rsidRPr="00F50E90">
        <w:t>in paragraph</w:t>
      </w:r>
      <w:r w:rsidR="00FC281D">
        <w:t>s</w:t>
      </w:r>
      <w:r w:rsidR="00FC281D" w:rsidRPr="00F50E90">
        <w:t xml:space="preserve"> </w:t>
      </w:r>
      <w:r w:rsidR="00FC281D" w:rsidRPr="006107F1">
        <w:t>28–</w:t>
      </w:r>
      <w:r w:rsidR="00FC281D">
        <w:t>29</w:t>
      </w:r>
      <w:r w:rsidR="00FC281D" w:rsidRPr="00F50E90">
        <w:t xml:space="preserve"> above</w:t>
      </w:r>
      <w:r w:rsidR="00FC281D" w:rsidRPr="00982720">
        <w:t xml:space="preserve"> shall </w:t>
      </w:r>
      <w:r w:rsidR="00CF6312">
        <w:t xml:space="preserve">be </w:t>
      </w:r>
      <w:r w:rsidR="002501D7">
        <w:t>performed</w:t>
      </w:r>
      <w:r w:rsidR="00CF6312" w:rsidRPr="00982720">
        <w:t xml:space="preserve"> </w:t>
      </w:r>
      <w:r w:rsidR="00FC281D" w:rsidRPr="00982720">
        <w:t xml:space="preserve">regardless of the availability of relevant data, reports submitted and </w:t>
      </w:r>
      <w:r w:rsidR="00FC281D">
        <w:t xml:space="preserve">the </w:t>
      </w:r>
      <w:r w:rsidR="00FC281D" w:rsidRPr="00982720">
        <w:t xml:space="preserve">status of the Article 6 technical expert review and </w:t>
      </w:r>
      <w:r w:rsidR="00FC281D">
        <w:t xml:space="preserve">that </w:t>
      </w:r>
      <w:r w:rsidR="00FC281D" w:rsidRPr="00982720">
        <w:t xml:space="preserve">the results of the automated consistency check shall be marked with the appropriate notation denoting the status of the initial report, updated initial report, Article 6 technical expert review, and Article 6 technical expert review report, to be </w:t>
      </w:r>
      <w:r w:rsidR="00FC281D">
        <w:t>prepared</w:t>
      </w:r>
      <w:r w:rsidR="00FC281D" w:rsidRPr="00982720">
        <w:t xml:space="preserve"> by the secretariat; </w:t>
      </w:r>
    </w:p>
    <w:p w14:paraId="7119F1D5" w14:textId="059C8E08" w:rsidR="00FC281D" w:rsidRPr="00982720" w:rsidRDefault="00492C76" w:rsidP="00492C76">
      <w:pPr>
        <w:pStyle w:val="RegSingleTxtG"/>
        <w:numPr>
          <w:ilvl w:val="0"/>
          <w:numId w:val="0"/>
        </w:numPr>
        <w:ind w:left="1134"/>
      </w:pPr>
      <w:r w:rsidRPr="00982720">
        <w:t>31.</w:t>
      </w:r>
      <w:r w:rsidRPr="00982720">
        <w:tab/>
      </w:r>
      <w:r w:rsidR="00FC281D" w:rsidRPr="00982720">
        <w:rPr>
          <w:i/>
          <w:iCs/>
        </w:rPr>
        <w:t>Decides</w:t>
      </w:r>
      <w:r w:rsidR="00FC281D" w:rsidRPr="00982720">
        <w:t xml:space="preserve"> that to </w:t>
      </w:r>
      <w:r w:rsidR="00FC281D">
        <w:t>enhance</w:t>
      </w:r>
      <w:r w:rsidR="00FC281D" w:rsidRPr="00982720">
        <w:t xml:space="preserve"> transparency and </w:t>
      </w:r>
      <w:r w:rsidR="00FC281D">
        <w:t xml:space="preserve">facilitate </w:t>
      </w:r>
      <w:r w:rsidR="00FC281D" w:rsidRPr="00982720">
        <w:t>the Article 6 technical expert review teams in completi</w:t>
      </w:r>
      <w:r w:rsidR="00FC281D">
        <w:t>ng</w:t>
      </w:r>
      <w:r w:rsidR="00FC281D" w:rsidRPr="00982720">
        <w:t xml:space="preserve"> the Article 6 technical expert review</w:t>
      </w:r>
      <w:r w:rsidR="00FC281D">
        <w:t>s</w:t>
      </w:r>
      <w:r w:rsidR="00FC281D" w:rsidRPr="00982720">
        <w:t>, the Article 6 database will generate consistency check synthesis reports, user-friendly summary tables and disaggregated tables with information on inconsistencies found</w:t>
      </w:r>
      <w:r w:rsidR="003456AE">
        <w:t>, which</w:t>
      </w:r>
      <w:r w:rsidR="00FC281D" w:rsidRPr="00982720">
        <w:t xml:space="preserve"> shall be publicly displayed on the centralized accounting and reporting platform;</w:t>
      </w:r>
    </w:p>
    <w:p w14:paraId="0B5F5C69" w14:textId="3CE057FE" w:rsidR="00FC281D" w:rsidRPr="00982720" w:rsidRDefault="00492C76" w:rsidP="00492C76">
      <w:pPr>
        <w:pStyle w:val="RegSingleTxtG"/>
        <w:numPr>
          <w:ilvl w:val="0"/>
          <w:numId w:val="0"/>
        </w:numPr>
        <w:ind w:left="1134"/>
      </w:pPr>
      <w:r w:rsidRPr="00982720">
        <w:t>32.</w:t>
      </w:r>
      <w:r w:rsidRPr="00982720">
        <w:tab/>
      </w:r>
      <w:r w:rsidR="00FC281D" w:rsidRPr="00483D81">
        <w:rPr>
          <w:i/>
          <w:iCs/>
        </w:rPr>
        <w:t>Also</w:t>
      </w:r>
      <w:r w:rsidR="00FC281D">
        <w:rPr>
          <w:i/>
          <w:iCs/>
        </w:rPr>
        <w:t xml:space="preserve"> d</w:t>
      </w:r>
      <w:r w:rsidR="00FC281D" w:rsidRPr="00982720">
        <w:rPr>
          <w:i/>
          <w:iCs/>
        </w:rPr>
        <w:t>ecides</w:t>
      </w:r>
      <w:r w:rsidR="00FC281D" w:rsidRPr="00982720">
        <w:t xml:space="preserve"> that inconsistencies in relation to the consistency check referred to in decision</w:t>
      </w:r>
      <w:r w:rsidR="00FC281D">
        <w:t>s</w:t>
      </w:r>
      <w:r w:rsidR="00FC281D" w:rsidRPr="00982720">
        <w:t xml:space="preserve"> </w:t>
      </w:r>
      <w:hyperlink r:id="rId92" w:history="1">
        <w:r w:rsidR="00FC281D" w:rsidRPr="00514C67">
          <w:rPr>
            <w:rStyle w:val="Hyperlink"/>
          </w:rPr>
          <w:t>2/CMA.3</w:t>
        </w:r>
      </w:hyperlink>
      <w:r w:rsidR="00FC281D" w:rsidRPr="00982720">
        <w:t>, annex, paragraph 33(a)</w:t>
      </w:r>
      <w:r w:rsidR="00FC281D">
        <w:t xml:space="preserve">, and </w:t>
      </w:r>
      <w:hyperlink r:id="rId93" w:history="1">
        <w:r w:rsidR="00FC281D" w:rsidRPr="00514C67">
          <w:rPr>
            <w:rStyle w:val="Hyperlink"/>
          </w:rPr>
          <w:t>6/CMA.4</w:t>
        </w:r>
      </w:hyperlink>
      <w:r w:rsidR="00FC281D">
        <w:t>, annex I, paragraphs 37–40,</w:t>
      </w:r>
      <w:r w:rsidR="00FC281D" w:rsidRPr="00982720">
        <w:t xml:space="preserve"> shall be corrected by the relevant participating Party submitting revised agreed electronic formats until consistency is achieved and verified </w:t>
      </w:r>
      <w:r w:rsidR="00FC281D">
        <w:t>by</w:t>
      </w:r>
      <w:r w:rsidR="00FC281D" w:rsidRPr="00982720">
        <w:t xml:space="preserve"> </w:t>
      </w:r>
      <w:r w:rsidR="00FC281D">
        <w:t xml:space="preserve">the secretariat </w:t>
      </w:r>
      <w:r w:rsidR="00FC281D" w:rsidRPr="00982720">
        <w:t>perform</w:t>
      </w:r>
      <w:r w:rsidR="00FC281D">
        <w:t>ing</w:t>
      </w:r>
      <w:r w:rsidR="00FC281D" w:rsidRPr="00982720">
        <w:t xml:space="preserve"> another consistency check;</w:t>
      </w:r>
    </w:p>
    <w:p w14:paraId="6468EE80" w14:textId="49F0FB2A" w:rsidR="00FC281D" w:rsidRPr="00694758" w:rsidRDefault="00492C76" w:rsidP="00492C76">
      <w:pPr>
        <w:pStyle w:val="RegH1G"/>
        <w:numPr>
          <w:ilvl w:val="0"/>
          <w:numId w:val="0"/>
        </w:numPr>
        <w:tabs>
          <w:tab w:val="left" w:pos="1135"/>
        </w:tabs>
        <w:ind w:left="1135" w:hanging="454"/>
      </w:pPr>
      <w:r w:rsidRPr="00694758">
        <w:t>B.</w:t>
      </w:r>
      <w:r w:rsidRPr="00694758">
        <w:tab/>
      </w:r>
      <w:r w:rsidR="00FC281D" w:rsidRPr="00694758">
        <w:t xml:space="preserve">Article 6 technical expert reviews </w:t>
      </w:r>
    </w:p>
    <w:p w14:paraId="289293D8" w14:textId="7E4220CB" w:rsidR="00FC281D" w:rsidRPr="00982720" w:rsidRDefault="00492C76" w:rsidP="00492C76">
      <w:pPr>
        <w:pStyle w:val="RegSingleTxtG"/>
        <w:numPr>
          <w:ilvl w:val="0"/>
          <w:numId w:val="0"/>
        </w:numPr>
        <w:ind w:left="1134"/>
      </w:pPr>
      <w:r w:rsidRPr="00982720">
        <w:t>33.</w:t>
      </w:r>
      <w:r w:rsidRPr="00982720">
        <w:tab/>
      </w:r>
      <w:r w:rsidR="00FC281D" w:rsidRPr="00982720">
        <w:rPr>
          <w:i/>
          <w:iCs/>
        </w:rPr>
        <w:t>Clarifies</w:t>
      </w:r>
      <w:r w:rsidR="00FC281D" w:rsidRPr="00982720">
        <w:t xml:space="preserve"> that any omission of information, mismatches</w:t>
      </w:r>
      <w:r w:rsidR="00FC281D">
        <w:t xml:space="preserve"> in information</w:t>
      </w:r>
      <w:r w:rsidR="00FC281D" w:rsidRPr="00982720">
        <w:t>,</w:t>
      </w:r>
      <w:r w:rsidR="00FC281D">
        <w:t xml:space="preserve"> or</w:t>
      </w:r>
      <w:r w:rsidR="00FC281D" w:rsidRPr="00982720">
        <w:t xml:space="preserve"> contradictory or conflicting information </w:t>
      </w:r>
      <w:r w:rsidR="00FC281D">
        <w:t xml:space="preserve">found </w:t>
      </w:r>
      <w:r w:rsidR="00FC281D" w:rsidRPr="00982720">
        <w:t xml:space="preserve">in relation to the checks </w:t>
      </w:r>
      <w:r w:rsidR="00FC281D">
        <w:t xml:space="preserve">referred to in paragraph </w:t>
      </w:r>
      <w:r w:rsidR="00DD21C5">
        <w:t>28</w:t>
      </w:r>
      <w:r w:rsidR="00977F98">
        <w:t>–</w:t>
      </w:r>
      <w:r w:rsidR="00FC281D">
        <w:t>29 above</w:t>
      </w:r>
      <w:r w:rsidR="00FC281D" w:rsidRPr="00982720" w:rsidDel="00C35114">
        <w:t xml:space="preserve"> </w:t>
      </w:r>
      <w:r w:rsidR="00FC281D" w:rsidRPr="00982720">
        <w:t xml:space="preserve">should give </w:t>
      </w:r>
      <w:r w:rsidR="00FC281D">
        <w:t>rise</w:t>
      </w:r>
      <w:r w:rsidR="00FC281D" w:rsidRPr="00982720">
        <w:t xml:space="preserve"> to an inconsistency</w:t>
      </w:r>
      <w:r w:rsidR="00FC281D">
        <w:t>;</w:t>
      </w:r>
    </w:p>
    <w:p w14:paraId="1A3E9C2A" w14:textId="70BC2E1E" w:rsidR="00FC281D" w:rsidRPr="00982720" w:rsidRDefault="00492C76" w:rsidP="00492C76">
      <w:pPr>
        <w:pStyle w:val="RegSingleTxtG"/>
        <w:numPr>
          <w:ilvl w:val="0"/>
          <w:numId w:val="0"/>
        </w:numPr>
        <w:ind w:left="1134"/>
      </w:pPr>
      <w:r w:rsidRPr="00982720">
        <w:t>34.</w:t>
      </w:r>
      <w:r w:rsidRPr="00982720">
        <w:tab/>
      </w:r>
      <w:r w:rsidR="00FC281D" w:rsidRPr="00982720">
        <w:rPr>
          <w:i/>
          <w:iCs/>
        </w:rPr>
        <w:t>Decides</w:t>
      </w:r>
      <w:r w:rsidR="00FC281D" w:rsidRPr="00982720">
        <w:t xml:space="preserve"> that, should no inconsistencies be identified during the Article 6 </w:t>
      </w:r>
      <w:r w:rsidR="00FC281D">
        <w:t>technical expert review</w:t>
      </w:r>
      <w:r w:rsidR="00FC281D" w:rsidRPr="00982720">
        <w:t>, the relevant information will be marked as “No inconsistencies identified”;</w:t>
      </w:r>
    </w:p>
    <w:p w14:paraId="6EF9B0CD" w14:textId="57044307" w:rsidR="00FC281D" w:rsidRPr="00982720" w:rsidRDefault="00492C76" w:rsidP="00492C76">
      <w:pPr>
        <w:pStyle w:val="RegSingleTxtG"/>
        <w:numPr>
          <w:ilvl w:val="0"/>
          <w:numId w:val="0"/>
        </w:numPr>
        <w:ind w:left="1134"/>
      </w:pPr>
      <w:bookmarkStart w:id="22" w:name="_Ref182534580"/>
      <w:r w:rsidRPr="00982720">
        <w:t>35.</w:t>
      </w:r>
      <w:r w:rsidRPr="00982720">
        <w:tab/>
      </w:r>
      <w:r w:rsidR="00FC281D">
        <w:rPr>
          <w:i/>
          <w:iCs/>
        </w:rPr>
        <w:t>Also d</w:t>
      </w:r>
      <w:r w:rsidR="00FC281D" w:rsidRPr="00982720">
        <w:rPr>
          <w:i/>
          <w:iCs/>
        </w:rPr>
        <w:t>ecides</w:t>
      </w:r>
      <w:r w:rsidR="00FC281D" w:rsidRPr="00982720">
        <w:t xml:space="preserve"> that, should inconsistencies be identified during the Article 6 </w:t>
      </w:r>
      <w:r w:rsidR="00FC281D">
        <w:t>technical expert review</w:t>
      </w:r>
      <w:r w:rsidR="00FC281D" w:rsidRPr="00982720">
        <w:t>, the relevant information will be marked as “Inconsistencies identified” in accordance with a procedure developed by the secretariat in relation to</w:t>
      </w:r>
      <w:r w:rsidR="00FC281D">
        <w:t xml:space="preserve"> the</w:t>
      </w:r>
      <w:r w:rsidR="00FC281D" w:rsidRPr="00982720">
        <w:t>:</w:t>
      </w:r>
      <w:bookmarkEnd w:id="22"/>
    </w:p>
    <w:p w14:paraId="7C00957D" w14:textId="5A82625C" w:rsidR="00FC281D" w:rsidRPr="00982720" w:rsidRDefault="00492C76" w:rsidP="00492C76">
      <w:pPr>
        <w:tabs>
          <w:tab w:val="left" w:pos="1702"/>
        </w:tabs>
        <w:spacing w:after="120"/>
        <w:ind w:left="1134" w:right="1134" w:firstLine="567"/>
        <w:jc w:val="both"/>
      </w:pPr>
      <w:r w:rsidRPr="00982720">
        <w:rPr>
          <w:szCs w:val="28"/>
        </w:rPr>
        <w:t>(a)</w:t>
      </w:r>
      <w:r w:rsidRPr="00982720">
        <w:rPr>
          <w:szCs w:val="28"/>
        </w:rPr>
        <w:tab/>
      </w:r>
      <w:r w:rsidR="00FC281D">
        <w:t>R</w:t>
      </w:r>
      <w:r w:rsidR="00FC281D" w:rsidRPr="00902935">
        <w:t xml:space="preserve">eview of the consistency of the information, including on each cooperative approach, submitted by the participating Party in its initial report </w:t>
      </w:r>
      <w:r w:rsidR="00FC281D">
        <w:t xml:space="preserve">consistently </w:t>
      </w:r>
      <w:r w:rsidR="00FC281D" w:rsidRPr="00902935">
        <w:t xml:space="preserve">with </w:t>
      </w:r>
      <w:r w:rsidR="00FC281D">
        <w:t xml:space="preserve">the requirements of </w:t>
      </w:r>
      <w:r w:rsidR="00FC281D" w:rsidRPr="00902935">
        <w:t xml:space="preserve">decision </w:t>
      </w:r>
      <w:hyperlink r:id="rId94" w:history="1">
        <w:r w:rsidR="00FC281D" w:rsidRPr="00514C67">
          <w:rPr>
            <w:rStyle w:val="Hyperlink"/>
          </w:rPr>
          <w:t>2/CMA.3</w:t>
        </w:r>
      </w:hyperlink>
      <w:r w:rsidR="00FC281D" w:rsidRPr="00902935">
        <w:t>, annex, paragraph 18</w:t>
      </w:r>
      <w:r w:rsidR="00FC281D" w:rsidRPr="00982720">
        <w:t>;</w:t>
      </w:r>
      <w:r w:rsidR="00FC281D" w:rsidRPr="00982720">
        <w:rPr>
          <w:rStyle w:val="FootnoteReference"/>
        </w:rPr>
        <w:footnoteReference w:id="32"/>
      </w:r>
    </w:p>
    <w:p w14:paraId="3D73E7B4" w14:textId="35676BC0" w:rsidR="00FC281D" w:rsidRPr="00982720" w:rsidRDefault="00492C76" w:rsidP="00492C76">
      <w:pPr>
        <w:tabs>
          <w:tab w:val="left" w:pos="1702"/>
        </w:tabs>
        <w:spacing w:after="120"/>
        <w:ind w:left="1134" w:right="1134" w:firstLine="567"/>
        <w:jc w:val="both"/>
      </w:pPr>
      <w:bookmarkStart w:id="23" w:name="_Ref117455479"/>
      <w:r w:rsidRPr="00982720">
        <w:rPr>
          <w:szCs w:val="28"/>
        </w:rPr>
        <w:t>(b)</w:t>
      </w:r>
      <w:r w:rsidRPr="00982720">
        <w:rPr>
          <w:szCs w:val="28"/>
        </w:rPr>
        <w:tab/>
      </w:r>
      <w:r w:rsidR="00FC281D">
        <w:t>R</w:t>
      </w:r>
      <w:r w:rsidR="00FC281D" w:rsidRPr="00902935">
        <w:t xml:space="preserve">eview of the consistency of the information for each further cooperative approach submitted by the participating Party in an updated initial report </w:t>
      </w:r>
      <w:r w:rsidR="00FC281D">
        <w:t xml:space="preserve">consistently </w:t>
      </w:r>
      <w:r w:rsidR="00FC281D" w:rsidRPr="00902935">
        <w:t xml:space="preserve">with </w:t>
      </w:r>
      <w:r w:rsidR="00FC281D">
        <w:t>the requirements of</w:t>
      </w:r>
      <w:r w:rsidR="00FC281D" w:rsidRPr="005B5C82">
        <w:t xml:space="preserve"> </w:t>
      </w:r>
      <w:r w:rsidR="00FC281D" w:rsidRPr="00902935">
        <w:t xml:space="preserve">decision </w:t>
      </w:r>
      <w:hyperlink r:id="rId95" w:history="1">
        <w:r w:rsidR="00FC281D" w:rsidRPr="00514C67">
          <w:rPr>
            <w:rStyle w:val="Hyperlink"/>
          </w:rPr>
          <w:t>2/CMA.3</w:t>
        </w:r>
      </w:hyperlink>
      <w:r w:rsidR="00FC281D" w:rsidRPr="00902935">
        <w:t>, annex, paragraph 18(g–i</w:t>
      </w:r>
      <w:bookmarkEnd w:id="23"/>
      <w:r w:rsidR="00FC281D" w:rsidRPr="00525046">
        <w:t>)</w:t>
      </w:r>
      <w:r w:rsidR="00FC281D" w:rsidRPr="00982720">
        <w:t>;</w:t>
      </w:r>
      <w:r w:rsidR="00FC281D" w:rsidRPr="00982720">
        <w:rPr>
          <w:rStyle w:val="FootnoteReference"/>
        </w:rPr>
        <w:footnoteReference w:id="33"/>
      </w:r>
    </w:p>
    <w:p w14:paraId="228CB1A5" w14:textId="2ECE24D3" w:rsidR="00FC281D" w:rsidRPr="00982720" w:rsidRDefault="00492C76" w:rsidP="00492C76">
      <w:pPr>
        <w:tabs>
          <w:tab w:val="left" w:pos="1702"/>
        </w:tabs>
        <w:spacing w:after="120"/>
        <w:ind w:left="1134" w:right="1134" w:firstLine="567"/>
        <w:jc w:val="both"/>
      </w:pPr>
      <w:r w:rsidRPr="00982720">
        <w:rPr>
          <w:szCs w:val="28"/>
        </w:rPr>
        <w:t>(c)</w:t>
      </w:r>
      <w:r w:rsidRPr="00982720">
        <w:rPr>
          <w:szCs w:val="28"/>
        </w:rPr>
        <w:tab/>
      </w:r>
      <w:r w:rsidR="00FC281D">
        <w:t>R</w:t>
      </w:r>
      <w:r w:rsidR="00FC281D" w:rsidRPr="00902935">
        <w:t xml:space="preserve">eview of the consistency of the information </w:t>
      </w:r>
      <w:r w:rsidR="00FC281D">
        <w:t>submitted</w:t>
      </w:r>
      <w:r w:rsidR="00FC281D" w:rsidRPr="00902935">
        <w:t xml:space="preserve"> </w:t>
      </w:r>
      <w:r w:rsidR="00FC281D">
        <w:t xml:space="preserve">by the participating Party </w:t>
      </w:r>
      <w:r w:rsidR="00FC281D" w:rsidRPr="00902935">
        <w:t>in relation to its participation in cooperative approaches</w:t>
      </w:r>
      <w:r w:rsidR="00FC281D">
        <w:t>,</w:t>
      </w:r>
      <w:r w:rsidR="00FC281D" w:rsidRPr="00902935">
        <w:t xml:space="preserve"> submitted in its regular </w:t>
      </w:r>
      <w:r w:rsidR="00FC281D" w:rsidRPr="00902935">
        <w:lastRenderedPageBreak/>
        <w:t xml:space="preserve">information </w:t>
      </w:r>
      <w:r w:rsidR="00FC281D">
        <w:t xml:space="preserve">as an </w:t>
      </w:r>
      <w:r w:rsidR="00FC281D" w:rsidRPr="00902935">
        <w:t>annex</w:t>
      </w:r>
      <w:r w:rsidR="00FC281D" w:rsidRPr="00B5055A">
        <w:rPr>
          <w:rStyle w:val="FootnoteReference"/>
          <w:szCs w:val="18"/>
        </w:rPr>
        <w:footnoteReference w:id="34"/>
      </w:r>
      <w:r w:rsidR="00FC281D" w:rsidRPr="00902935">
        <w:t xml:space="preserve"> to the biennial transparency report </w:t>
      </w:r>
      <w:r w:rsidR="00FC281D">
        <w:t xml:space="preserve">consistently </w:t>
      </w:r>
      <w:r w:rsidR="00FC281D" w:rsidRPr="00902935">
        <w:t xml:space="preserve">with </w:t>
      </w:r>
      <w:r w:rsidR="00FC281D">
        <w:t xml:space="preserve">the requirements of </w:t>
      </w:r>
      <w:r w:rsidR="00FC281D" w:rsidRPr="00902935">
        <w:t xml:space="preserve">decision </w:t>
      </w:r>
      <w:hyperlink r:id="rId96" w:history="1">
        <w:r w:rsidR="00FC281D" w:rsidRPr="00514C67">
          <w:rPr>
            <w:rStyle w:val="Hyperlink"/>
          </w:rPr>
          <w:t>2/CMA.3</w:t>
        </w:r>
      </w:hyperlink>
      <w:r w:rsidR="00FC281D" w:rsidRPr="00902935">
        <w:t>, annex, paragraphs 21–23</w:t>
      </w:r>
      <w:r w:rsidR="00FC281D" w:rsidRPr="00982720">
        <w:t>;</w:t>
      </w:r>
      <w:r w:rsidR="00FC281D" w:rsidRPr="00982720">
        <w:rPr>
          <w:rStyle w:val="FootnoteReference"/>
        </w:rPr>
        <w:footnoteReference w:id="35"/>
      </w:r>
    </w:p>
    <w:p w14:paraId="0A87C4D6" w14:textId="53779CFB" w:rsidR="00FC281D" w:rsidRPr="00982720" w:rsidRDefault="00492C76" w:rsidP="00492C76">
      <w:pPr>
        <w:tabs>
          <w:tab w:val="left" w:pos="1702"/>
        </w:tabs>
        <w:spacing w:after="120"/>
        <w:ind w:left="1134" w:right="1134" w:firstLine="567"/>
        <w:jc w:val="both"/>
      </w:pPr>
      <w:r w:rsidRPr="00982720">
        <w:rPr>
          <w:szCs w:val="28"/>
        </w:rPr>
        <w:t>(d)</w:t>
      </w:r>
      <w:r w:rsidRPr="00982720">
        <w:rPr>
          <w:szCs w:val="28"/>
        </w:rPr>
        <w:tab/>
      </w:r>
      <w:r w:rsidR="00FC281D" w:rsidRPr="003E6E91">
        <w:t>Consideration</w:t>
      </w:r>
      <w:r w:rsidR="00FC281D" w:rsidRPr="00902935">
        <w:t xml:space="preserve"> of the results of the consistency check referred to in decision</w:t>
      </w:r>
      <w:r w:rsidR="00C66631">
        <w:t> </w:t>
      </w:r>
      <w:hyperlink r:id="rId97" w:history="1">
        <w:r w:rsidR="00FC281D" w:rsidRPr="00514C67">
          <w:rPr>
            <w:rStyle w:val="Hyperlink"/>
          </w:rPr>
          <w:t>2/CMA.3</w:t>
        </w:r>
      </w:hyperlink>
      <w:r w:rsidR="00FC281D" w:rsidRPr="00902935">
        <w:t xml:space="preserve">, annex, paragraph 33(a), performed by the secretariat on the information submitted by the participating Party for recording in the Article 6 database with respect to the requirements set out in decision </w:t>
      </w:r>
      <w:hyperlink r:id="rId98" w:history="1">
        <w:r w:rsidR="00FC281D" w:rsidRPr="00514C67">
          <w:rPr>
            <w:rStyle w:val="Hyperlink"/>
          </w:rPr>
          <w:t>2/CMA.3</w:t>
        </w:r>
      </w:hyperlink>
      <w:r w:rsidR="00FC281D" w:rsidRPr="00902935">
        <w:t xml:space="preserve">, annex, chapter IV (Reporting), including across participating Parties for each cooperative approach in which the Party under review </w:t>
      </w:r>
      <w:r w:rsidR="00FC281D">
        <w:t xml:space="preserve">is </w:t>
      </w:r>
      <w:r w:rsidR="00FC281D" w:rsidRPr="00902935">
        <w:t>participat</w:t>
      </w:r>
      <w:r w:rsidR="00FC281D">
        <w:t>ing</w:t>
      </w:r>
      <w:r w:rsidR="00FC281D" w:rsidRPr="00982720">
        <w:t>;</w:t>
      </w:r>
      <w:r w:rsidR="00FC281D" w:rsidRPr="00982720">
        <w:rPr>
          <w:rStyle w:val="FootnoteReference"/>
        </w:rPr>
        <w:footnoteReference w:id="36"/>
      </w:r>
    </w:p>
    <w:p w14:paraId="1596FA92" w14:textId="1C11019D" w:rsidR="00FC281D" w:rsidRPr="00982720" w:rsidRDefault="00492C76" w:rsidP="00492C76">
      <w:pPr>
        <w:pStyle w:val="RegSingleTxtG"/>
        <w:numPr>
          <w:ilvl w:val="0"/>
          <w:numId w:val="0"/>
        </w:numPr>
        <w:ind w:left="1134"/>
      </w:pPr>
      <w:r w:rsidRPr="00982720">
        <w:t>36.</w:t>
      </w:r>
      <w:r w:rsidRPr="00982720">
        <w:tab/>
      </w:r>
      <w:r w:rsidR="00FC281D">
        <w:rPr>
          <w:i/>
          <w:iCs/>
        </w:rPr>
        <w:t>Further d</w:t>
      </w:r>
      <w:r w:rsidR="00FC281D" w:rsidRPr="000F15ED">
        <w:rPr>
          <w:i/>
          <w:iCs/>
        </w:rPr>
        <w:t>ecides</w:t>
      </w:r>
      <w:r w:rsidR="00FC281D" w:rsidRPr="00A962FD">
        <w:t xml:space="preserve"> that</w:t>
      </w:r>
      <w:r w:rsidR="00FC281D">
        <w:t>,</w:t>
      </w:r>
      <w:r w:rsidR="00FC281D" w:rsidRPr="00A962FD">
        <w:t xml:space="preserve"> as part of the </w:t>
      </w:r>
      <w:r w:rsidR="00FC281D">
        <w:t>Article 6 technical expert review</w:t>
      </w:r>
      <w:r w:rsidR="00FC281D" w:rsidRPr="00A962FD">
        <w:t>,</w:t>
      </w:r>
      <w:r w:rsidR="00FC281D" w:rsidRPr="00982720">
        <w:t xml:space="preserve"> a Party </w:t>
      </w:r>
      <w:r w:rsidR="00FC281D">
        <w:t xml:space="preserve">may, </w:t>
      </w:r>
      <w:r w:rsidR="00FC281D" w:rsidRPr="00A962FD">
        <w:t>while making reasonable efforts to provide the informatio</w:t>
      </w:r>
      <w:r w:rsidR="00FC281D">
        <w:t>n</w:t>
      </w:r>
      <w:r w:rsidR="00FC281D" w:rsidRPr="00A962FD">
        <w:t xml:space="preserve"> requested by the </w:t>
      </w:r>
      <w:r w:rsidR="00FC281D">
        <w:t xml:space="preserve">Article 6 </w:t>
      </w:r>
      <w:r w:rsidR="00FC281D" w:rsidRPr="00A962FD">
        <w:t xml:space="preserve">technical review </w:t>
      </w:r>
      <w:r w:rsidR="00FC281D">
        <w:t>team</w:t>
      </w:r>
      <w:r w:rsidR="00FC281D" w:rsidRPr="00A962FD">
        <w:t xml:space="preserve">, provide </w:t>
      </w:r>
      <w:r w:rsidR="00FC281D">
        <w:t>a revised</w:t>
      </w:r>
      <w:r w:rsidR="00FC281D" w:rsidRPr="00A962FD">
        <w:t xml:space="preserve"> initial report prior to the </w:t>
      </w:r>
      <w:r w:rsidR="00FC281D">
        <w:t>end of the A</w:t>
      </w:r>
      <w:r w:rsidR="00FC281D" w:rsidRPr="00A962FD">
        <w:t xml:space="preserve">rticle 6 technical expert review </w:t>
      </w:r>
      <w:r w:rsidR="00671A86">
        <w:t>week</w:t>
      </w:r>
      <w:r w:rsidR="00FC281D">
        <w:t>;</w:t>
      </w:r>
    </w:p>
    <w:p w14:paraId="5C1768B0" w14:textId="62456A6F" w:rsidR="00FC281D" w:rsidRPr="00982720" w:rsidRDefault="00492C76" w:rsidP="00492C76">
      <w:pPr>
        <w:pStyle w:val="RegSingleTxtG"/>
        <w:numPr>
          <w:ilvl w:val="0"/>
          <w:numId w:val="0"/>
        </w:numPr>
        <w:ind w:left="1134"/>
      </w:pPr>
      <w:r w:rsidRPr="00982720">
        <w:t>37.</w:t>
      </w:r>
      <w:r w:rsidRPr="00982720">
        <w:tab/>
      </w:r>
      <w:r w:rsidR="00FC281D">
        <w:rPr>
          <w:i/>
        </w:rPr>
        <w:t>D</w:t>
      </w:r>
      <w:r w:rsidR="00FC281D" w:rsidRPr="00B54281">
        <w:rPr>
          <w:i/>
        </w:rPr>
        <w:t>ecides</w:t>
      </w:r>
      <w:r w:rsidR="00FC281D" w:rsidRPr="00982720">
        <w:t xml:space="preserve"> that the following information on the status of each of the reviews referred to in decision </w:t>
      </w:r>
      <w:hyperlink r:id="rId99" w:history="1">
        <w:r w:rsidR="00FC281D" w:rsidRPr="00514C67">
          <w:rPr>
            <w:rStyle w:val="Hyperlink"/>
          </w:rPr>
          <w:t>6/CMA.4</w:t>
        </w:r>
      </w:hyperlink>
      <w:r w:rsidR="00FC281D" w:rsidRPr="00982720">
        <w:t>, annex II, paragraph 11</w:t>
      </w:r>
      <w:r w:rsidR="00FC281D">
        <w:t>,</w:t>
      </w:r>
      <w:r w:rsidR="00FC281D" w:rsidRPr="00982720">
        <w:t xml:space="preserve"> shall be made publicly available and </w:t>
      </w:r>
      <w:r w:rsidR="00FC281D" w:rsidRPr="006107F1">
        <w:t>marked</w:t>
      </w:r>
      <w:r w:rsidR="00FC281D" w:rsidRPr="00982720">
        <w:t xml:space="preserve"> by the secretariat in the centralized accounting and reporting platform for each relevant cooperative approach and/or each relevant internationally transferred mitigation outcome:</w:t>
      </w:r>
    </w:p>
    <w:p w14:paraId="091803E1" w14:textId="25F27A2A" w:rsidR="00FC281D" w:rsidRPr="00982720" w:rsidRDefault="00492C76" w:rsidP="00492C76">
      <w:pPr>
        <w:pStyle w:val="RegSingleTxtG2"/>
        <w:numPr>
          <w:ilvl w:val="0"/>
          <w:numId w:val="0"/>
        </w:numPr>
        <w:tabs>
          <w:tab w:val="left" w:pos="1702"/>
        </w:tabs>
        <w:ind w:left="1134" w:firstLine="567"/>
      </w:pPr>
      <w:r w:rsidRPr="00982720">
        <w:rPr>
          <w:szCs w:val="28"/>
        </w:rPr>
        <w:t>(a)</w:t>
      </w:r>
      <w:r w:rsidRPr="00982720">
        <w:rPr>
          <w:szCs w:val="28"/>
        </w:rPr>
        <w:tab/>
      </w:r>
      <w:r w:rsidR="00FC281D" w:rsidRPr="00982720">
        <w:t>“Review pending”, when the report has not yet been published;</w:t>
      </w:r>
    </w:p>
    <w:p w14:paraId="79597D57" w14:textId="3D489E6C" w:rsidR="00FC281D" w:rsidRPr="00982720" w:rsidRDefault="00492C76" w:rsidP="00492C76">
      <w:pPr>
        <w:pStyle w:val="RegSingleTxtG2"/>
        <w:numPr>
          <w:ilvl w:val="0"/>
          <w:numId w:val="0"/>
        </w:numPr>
        <w:tabs>
          <w:tab w:val="left" w:pos="1702"/>
        </w:tabs>
        <w:ind w:left="1134" w:firstLine="567"/>
      </w:pPr>
      <w:r w:rsidRPr="00982720">
        <w:rPr>
          <w:szCs w:val="28"/>
        </w:rPr>
        <w:t>(b)</w:t>
      </w:r>
      <w:r w:rsidRPr="00982720">
        <w:rPr>
          <w:szCs w:val="28"/>
        </w:rPr>
        <w:tab/>
      </w:r>
      <w:r w:rsidR="00FC281D" w:rsidRPr="00982720">
        <w:t xml:space="preserve">“Review finalized </w:t>
      </w:r>
      <w:r w:rsidR="00FC281D">
        <w:t>and</w:t>
      </w:r>
      <w:r w:rsidR="00FC281D" w:rsidRPr="00982720">
        <w:t xml:space="preserve"> </w:t>
      </w:r>
      <w:r w:rsidR="00FC281D">
        <w:t xml:space="preserve">no </w:t>
      </w:r>
      <w:r w:rsidR="00FC281D" w:rsidRPr="00982720">
        <w:t>inconsistencies</w:t>
      </w:r>
      <w:r w:rsidR="00FC281D">
        <w:t xml:space="preserve"> identified</w:t>
      </w:r>
      <w:r w:rsidR="00FC281D" w:rsidRPr="00982720">
        <w:t>”, when the report has been published and no inconsistencies have been identified;</w:t>
      </w:r>
    </w:p>
    <w:p w14:paraId="792A720E" w14:textId="3EF7A383" w:rsidR="00FC281D" w:rsidRPr="00982720" w:rsidRDefault="00492C76" w:rsidP="00492C76">
      <w:pPr>
        <w:pStyle w:val="RegSingleTxtG2"/>
        <w:numPr>
          <w:ilvl w:val="0"/>
          <w:numId w:val="0"/>
        </w:numPr>
        <w:tabs>
          <w:tab w:val="left" w:pos="1702"/>
        </w:tabs>
        <w:ind w:left="1134" w:firstLine="567"/>
      </w:pPr>
      <w:r w:rsidRPr="00982720">
        <w:rPr>
          <w:szCs w:val="28"/>
        </w:rPr>
        <w:t>(c)</w:t>
      </w:r>
      <w:r w:rsidRPr="00982720">
        <w:rPr>
          <w:szCs w:val="28"/>
        </w:rPr>
        <w:tab/>
      </w:r>
      <w:r w:rsidR="00FC281D" w:rsidRPr="00982720">
        <w:t xml:space="preserve">“Review finalized </w:t>
      </w:r>
      <w:r w:rsidR="00FC281D">
        <w:t>and</w:t>
      </w:r>
      <w:r w:rsidR="00FC281D" w:rsidRPr="00982720">
        <w:t xml:space="preserve"> inconsistencies</w:t>
      </w:r>
      <w:r w:rsidR="00FC281D">
        <w:t xml:space="preserve"> identified</w:t>
      </w:r>
      <w:r w:rsidR="00FC281D" w:rsidRPr="00982720">
        <w:t xml:space="preserve">”, when the report has been published and at least one inconsistency has been identified but none of the identified inconsistencies </w:t>
      </w:r>
      <w:r w:rsidR="00FC281D">
        <w:t>are</w:t>
      </w:r>
      <w:r w:rsidR="00FC281D" w:rsidRPr="00982720">
        <w:t xml:space="preserve"> significant or persistent;</w:t>
      </w:r>
    </w:p>
    <w:p w14:paraId="6C66823D" w14:textId="6015CA1D" w:rsidR="00FC281D" w:rsidRPr="00982720" w:rsidRDefault="00492C76" w:rsidP="00492C76">
      <w:pPr>
        <w:pStyle w:val="RegSingleTxtG2"/>
        <w:numPr>
          <w:ilvl w:val="0"/>
          <w:numId w:val="0"/>
        </w:numPr>
        <w:tabs>
          <w:tab w:val="left" w:pos="1702"/>
        </w:tabs>
        <w:ind w:left="1134" w:firstLine="567"/>
      </w:pPr>
      <w:r w:rsidRPr="00982720">
        <w:rPr>
          <w:szCs w:val="28"/>
        </w:rPr>
        <w:t>(d)</w:t>
      </w:r>
      <w:r w:rsidRPr="00982720">
        <w:rPr>
          <w:szCs w:val="28"/>
        </w:rPr>
        <w:tab/>
      </w:r>
      <w:r w:rsidR="00FC281D" w:rsidRPr="00982720">
        <w:t xml:space="preserve">“Review finalized and significant inconsistencies identified”, when the report has been published and at least one significant inconsistency has been identified but none of the significant inconsistencies </w:t>
      </w:r>
      <w:r w:rsidR="00FC281D">
        <w:t xml:space="preserve">are </w:t>
      </w:r>
      <w:r w:rsidR="00FC281D" w:rsidRPr="00982720">
        <w:t>also identified as persistent;</w:t>
      </w:r>
    </w:p>
    <w:p w14:paraId="339F4171" w14:textId="60741350" w:rsidR="00FC281D" w:rsidRPr="00982720" w:rsidRDefault="00492C76" w:rsidP="00492C76">
      <w:pPr>
        <w:pStyle w:val="RegSingleTxtG2"/>
        <w:numPr>
          <w:ilvl w:val="0"/>
          <w:numId w:val="0"/>
        </w:numPr>
        <w:tabs>
          <w:tab w:val="left" w:pos="1702"/>
        </w:tabs>
        <w:ind w:left="1134" w:firstLine="567"/>
      </w:pPr>
      <w:r w:rsidRPr="00982720">
        <w:rPr>
          <w:szCs w:val="28"/>
        </w:rPr>
        <w:t>(e)</w:t>
      </w:r>
      <w:r w:rsidRPr="00982720">
        <w:rPr>
          <w:szCs w:val="28"/>
        </w:rPr>
        <w:tab/>
      </w:r>
      <w:r w:rsidR="00FC281D" w:rsidRPr="00982720">
        <w:t xml:space="preserve">“Review finalized and persistent inconsistencies identified”, when the report has been published and at least one persistent inconsistency has been identified but none of the persistent inconsistencies </w:t>
      </w:r>
      <w:r w:rsidR="00FC281D">
        <w:t>are</w:t>
      </w:r>
      <w:r w:rsidR="00FC281D" w:rsidRPr="00982720">
        <w:t xml:space="preserve"> also identified as significant;</w:t>
      </w:r>
    </w:p>
    <w:p w14:paraId="7F9E5973" w14:textId="235073B8" w:rsidR="00FC281D" w:rsidRPr="00982720" w:rsidRDefault="00492C76" w:rsidP="00492C76">
      <w:pPr>
        <w:pStyle w:val="RegSingleTxtG2"/>
        <w:numPr>
          <w:ilvl w:val="0"/>
          <w:numId w:val="0"/>
        </w:numPr>
        <w:tabs>
          <w:tab w:val="left" w:pos="1702"/>
        </w:tabs>
        <w:ind w:left="1134" w:firstLine="567"/>
      </w:pPr>
      <w:r w:rsidRPr="00982720">
        <w:rPr>
          <w:szCs w:val="28"/>
        </w:rPr>
        <w:t>(f)</w:t>
      </w:r>
      <w:r w:rsidRPr="00982720">
        <w:rPr>
          <w:szCs w:val="28"/>
        </w:rPr>
        <w:tab/>
      </w:r>
      <w:r w:rsidR="00FC281D" w:rsidRPr="00982720">
        <w:t>“Review finalized and significant inconsistencies and persistent inconsistencies identified”, when the report has been published and at least one persistent inconsistency and at least one significant inconsistency ha</w:t>
      </w:r>
      <w:r w:rsidR="00FC281D">
        <w:t>ve</w:t>
      </w:r>
      <w:r w:rsidR="00FC281D" w:rsidRPr="00982720">
        <w:t xml:space="preserve"> been identified but the persistent inconsistencies pertain to different matters than the significant inconsistencies;</w:t>
      </w:r>
    </w:p>
    <w:p w14:paraId="78DA82F7" w14:textId="185F83D0" w:rsidR="00FC281D" w:rsidRPr="00982720" w:rsidRDefault="00492C76" w:rsidP="00492C76">
      <w:pPr>
        <w:pStyle w:val="RegSingleTxtG2"/>
        <w:numPr>
          <w:ilvl w:val="0"/>
          <w:numId w:val="0"/>
        </w:numPr>
        <w:tabs>
          <w:tab w:val="left" w:pos="1702"/>
        </w:tabs>
        <w:ind w:left="1134" w:firstLine="567"/>
      </w:pPr>
      <w:r w:rsidRPr="00982720">
        <w:rPr>
          <w:szCs w:val="28"/>
        </w:rPr>
        <w:t>(g)</w:t>
      </w:r>
      <w:r w:rsidRPr="00982720">
        <w:rPr>
          <w:szCs w:val="28"/>
        </w:rPr>
        <w:tab/>
      </w:r>
      <w:r w:rsidR="00FC281D" w:rsidRPr="00982720">
        <w:t>“Review finalized and consistencies identified that are both significant and persistent”, when the report has been published and at least one inconsistency has been identified as both persistent and significant;</w:t>
      </w:r>
    </w:p>
    <w:p w14:paraId="71DF3709" w14:textId="4E972B28" w:rsidR="00FC281D" w:rsidRPr="00982720" w:rsidRDefault="00492C76" w:rsidP="00492C76">
      <w:pPr>
        <w:pStyle w:val="RegSingleTxtG"/>
        <w:numPr>
          <w:ilvl w:val="0"/>
          <w:numId w:val="0"/>
        </w:numPr>
        <w:ind w:left="1134"/>
      </w:pPr>
      <w:r w:rsidRPr="00982720">
        <w:t>38.</w:t>
      </w:r>
      <w:r w:rsidRPr="00982720">
        <w:tab/>
      </w:r>
      <w:r w:rsidR="00FC281D">
        <w:rPr>
          <w:i/>
          <w:iCs/>
        </w:rPr>
        <w:t>Also d</w:t>
      </w:r>
      <w:r w:rsidR="00FC281D" w:rsidRPr="00DF61A9">
        <w:rPr>
          <w:i/>
          <w:iCs/>
        </w:rPr>
        <w:t>ecides</w:t>
      </w:r>
      <w:r w:rsidR="00FC281D" w:rsidRPr="00982720">
        <w:t xml:space="preserve"> that significant and persistent inconsistencies </w:t>
      </w:r>
      <w:r w:rsidR="00FC281D">
        <w:t xml:space="preserve">identified in the Article 6 </w:t>
      </w:r>
      <w:r w:rsidR="00FC281D" w:rsidRPr="00982720">
        <w:t xml:space="preserve">technical expert review report shall be </w:t>
      </w:r>
      <w:r w:rsidR="00FC281D">
        <w:t>p</w:t>
      </w:r>
      <w:r w:rsidR="00FC281D" w:rsidRPr="00982720">
        <w:t xml:space="preserve">ublicly displayed on the centralized accounting and reporting platform </w:t>
      </w:r>
      <w:r w:rsidR="00FC281D">
        <w:t xml:space="preserve">as such, </w:t>
      </w:r>
      <w:r w:rsidR="00FC281D" w:rsidRPr="00FC044A">
        <w:t>and</w:t>
      </w:r>
      <w:r w:rsidR="00FC281D" w:rsidRPr="00982720">
        <w:t xml:space="preserve"> the duration </w:t>
      </w:r>
      <w:r w:rsidR="00FC281D">
        <w:t xml:space="preserve">of and any non-responsiveness </w:t>
      </w:r>
      <w:r w:rsidR="00FC281D" w:rsidRPr="00982720">
        <w:t xml:space="preserve">in relation to </w:t>
      </w:r>
      <w:r w:rsidR="00FC281D">
        <w:t xml:space="preserve">significant and persistent </w:t>
      </w:r>
      <w:r w:rsidR="00FC281D" w:rsidRPr="00982720">
        <w:t>inconsistencies</w:t>
      </w:r>
      <w:r w:rsidR="00FC281D">
        <w:t xml:space="preserve">, including whether they are </w:t>
      </w:r>
      <w:r w:rsidR="00FC281D" w:rsidRPr="00982720">
        <w:t xml:space="preserve">single-Party </w:t>
      </w:r>
      <w:r w:rsidR="00FC281D">
        <w:t>or</w:t>
      </w:r>
      <w:r w:rsidR="00FC281D" w:rsidRPr="00982720">
        <w:t xml:space="preserve"> cross</w:t>
      </w:r>
      <w:r w:rsidR="00FC281D">
        <w:noBreakHyphen/>
      </w:r>
      <w:r w:rsidR="00FC281D" w:rsidRPr="00982720">
        <w:t>Party inconsistencies</w:t>
      </w:r>
      <w:r w:rsidR="00FC281D">
        <w:t>, shall also be publicly displayed</w:t>
      </w:r>
      <w:r w:rsidR="00FC281D" w:rsidRPr="00982720">
        <w:t>;</w:t>
      </w:r>
    </w:p>
    <w:p w14:paraId="1B4F5779" w14:textId="3CD1903C" w:rsidR="00FC281D" w:rsidRPr="00694758" w:rsidRDefault="00492C76" w:rsidP="00492C76">
      <w:pPr>
        <w:pStyle w:val="RegH1G"/>
        <w:numPr>
          <w:ilvl w:val="0"/>
          <w:numId w:val="0"/>
        </w:numPr>
        <w:tabs>
          <w:tab w:val="left" w:pos="1135"/>
        </w:tabs>
        <w:ind w:left="1135" w:hanging="454"/>
      </w:pPr>
      <w:r w:rsidRPr="00694758">
        <w:t>C.</w:t>
      </w:r>
      <w:r w:rsidRPr="00694758">
        <w:tab/>
      </w:r>
      <w:r w:rsidR="00FC281D">
        <w:t>Addressing inconsistencies</w:t>
      </w:r>
      <w:r w:rsidR="00FC281D" w:rsidRPr="00694758">
        <w:t xml:space="preserve"> </w:t>
      </w:r>
    </w:p>
    <w:p w14:paraId="4DDB7288" w14:textId="1E0B914A" w:rsidR="00FC281D" w:rsidRDefault="00492C76" w:rsidP="00492C76">
      <w:pPr>
        <w:pStyle w:val="RegSingleTxtG"/>
        <w:numPr>
          <w:ilvl w:val="0"/>
          <w:numId w:val="0"/>
        </w:numPr>
        <w:ind w:left="1134"/>
      </w:pPr>
      <w:r>
        <w:t>39.</w:t>
      </w:r>
      <w:r>
        <w:tab/>
      </w:r>
      <w:r w:rsidR="00FC281D" w:rsidRPr="5ADDAF2A">
        <w:rPr>
          <w:i/>
          <w:iCs/>
        </w:rPr>
        <w:t>Decides</w:t>
      </w:r>
      <w:r w:rsidR="00FC281D">
        <w:t xml:space="preserve"> that, in accordance with decision </w:t>
      </w:r>
      <w:hyperlink r:id="rId100" w:history="1">
        <w:r w:rsidR="00FC281D" w:rsidRPr="00514C67">
          <w:rPr>
            <w:rStyle w:val="Hyperlink"/>
          </w:rPr>
          <w:t>1/CP.21</w:t>
        </w:r>
      </w:hyperlink>
      <w:r w:rsidR="00FC281D">
        <w:t xml:space="preserve">, paragraph 36, where the consistency check has identified inconsistencies, each participating Party shall make reasonable </w:t>
      </w:r>
      <w:r w:rsidR="00FC281D" w:rsidRPr="003F7055">
        <w:t>effort</w:t>
      </w:r>
      <w:r w:rsidR="00FC281D" w:rsidRPr="006107F1">
        <w:t>s</w:t>
      </w:r>
      <w:r w:rsidR="00FC281D">
        <w:t xml:space="preserve"> to resolve the inconsistencies and demonstrate</w:t>
      </w:r>
      <w:r w:rsidR="00FC281D" w:rsidRPr="00D558D6">
        <w:t xml:space="preserve"> </w:t>
      </w:r>
      <w:r w:rsidR="00FC281D">
        <w:t>their resolution as soon as possible;</w:t>
      </w:r>
    </w:p>
    <w:p w14:paraId="76C5A05F" w14:textId="069505C9" w:rsidR="00FC281D" w:rsidRPr="00982720" w:rsidRDefault="00492C76" w:rsidP="00492C76">
      <w:pPr>
        <w:pStyle w:val="RegSingleTxtG"/>
        <w:numPr>
          <w:ilvl w:val="0"/>
          <w:numId w:val="0"/>
        </w:numPr>
        <w:ind w:left="1134"/>
      </w:pPr>
      <w:r w:rsidRPr="00982720">
        <w:lastRenderedPageBreak/>
        <w:t>40.</w:t>
      </w:r>
      <w:r w:rsidRPr="00982720">
        <w:tab/>
      </w:r>
      <w:r w:rsidR="00FC281D" w:rsidRPr="00F0062D">
        <w:rPr>
          <w:i/>
          <w:iCs/>
        </w:rPr>
        <w:t>Requests</w:t>
      </w:r>
      <w:r w:rsidR="00FC281D">
        <w:t xml:space="preserve"> Parties not to use the internationally transferred mitigation outcomes that are identified as inconsistent </w:t>
      </w:r>
      <w:r w:rsidR="00FC281D" w:rsidRPr="006107F1">
        <w:t>in the consistency check</w:t>
      </w:r>
      <w:r w:rsidR="00FC281D">
        <w:t xml:space="preserve">, which would </w:t>
      </w:r>
      <w:r w:rsidR="00FC281D" w:rsidRPr="00346C82">
        <w:t xml:space="preserve">have an impact on the emissions </w:t>
      </w:r>
      <w:r w:rsidR="00FC281D" w:rsidRPr="00671A86">
        <w:t>balance</w:t>
      </w:r>
      <w:r w:rsidR="00671A86" w:rsidRPr="00671A86">
        <w:t xml:space="preserve"> and/or adjusted indicator</w:t>
      </w:r>
      <w:r w:rsidR="00FC281D">
        <w:t xml:space="preserve">, towards achievement of nationally determined contributions, </w:t>
      </w:r>
      <w:r w:rsidR="00FC281D" w:rsidRPr="00346C82">
        <w:t>in order to ensure the avoidance</w:t>
      </w:r>
      <w:r w:rsidR="00FC281D">
        <w:t xml:space="preserve"> of </w:t>
      </w:r>
      <w:r w:rsidR="00FC281D" w:rsidRPr="00346C82">
        <w:t>double counting</w:t>
      </w:r>
      <w:r w:rsidR="00FC281D">
        <w:t>;</w:t>
      </w:r>
    </w:p>
    <w:p w14:paraId="16A65BF8" w14:textId="511DFD8E" w:rsidR="00FC281D" w:rsidRPr="00982720" w:rsidRDefault="00492C76" w:rsidP="00492C76">
      <w:pPr>
        <w:pStyle w:val="RegSingleTxtG"/>
        <w:numPr>
          <w:ilvl w:val="0"/>
          <w:numId w:val="0"/>
        </w:numPr>
        <w:ind w:left="1134"/>
      </w:pPr>
      <w:r w:rsidRPr="00982720">
        <w:t>41.</w:t>
      </w:r>
      <w:r w:rsidRPr="00982720">
        <w:tab/>
      </w:r>
      <w:r w:rsidR="00FC281D">
        <w:rPr>
          <w:i/>
          <w:iCs/>
        </w:rPr>
        <w:t>D</w:t>
      </w:r>
      <w:r w:rsidR="00FC281D" w:rsidRPr="00B83335">
        <w:rPr>
          <w:i/>
          <w:iCs/>
        </w:rPr>
        <w:t>ecides</w:t>
      </w:r>
      <w:r w:rsidR="00FC281D" w:rsidRPr="008F2159">
        <w:t xml:space="preserve"> that the Article 6 technical expert review team shall, pursuant to decision</w:t>
      </w:r>
      <w:r w:rsidR="00F903CD">
        <w:t> </w:t>
      </w:r>
      <w:hyperlink r:id="rId101" w:history="1">
        <w:r w:rsidR="00FC281D" w:rsidRPr="00514C67">
          <w:rPr>
            <w:rStyle w:val="Hyperlink"/>
          </w:rPr>
          <w:t>6/CMA.4</w:t>
        </w:r>
      </w:hyperlink>
      <w:r w:rsidR="00FC281D" w:rsidRPr="008F2159">
        <w:t>, paragraph 14, determine whether an identified inconsistency is significant and/or persistent and</w:t>
      </w:r>
      <w:r w:rsidR="00FC281D">
        <w:t>,</w:t>
      </w:r>
      <w:r w:rsidR="00FC281D" w:rsidRPr="008F2159">
        <w:t xml:space="preserve"> </w:t>
      </w:r>
      <w:r w:rsidR="00FC281D">
        <w:t>if so, highlight</w:t>
      </w:r>
      <w:r w:rsidR="00FC281D" w:rsidRPr="008F2159">
        <w:t xml:space="preserve"> it</w:t>
      </w:r>
      <w:r w:rsidR="00FC281D" w:rsidRPr="00B83335">
        <w:t xml:space="preserve"> </w:t>
      </w:r>
      <w:r w:rsidR="00FC281D">
        <w:t>as such</w:t>
      </w:r>
      <w:r w:rsidR="00FC281D" w:rsidRPr="008F2159">
        <w:t xml:space="preserve"> in </w:t>
      </w:r>
      <w:r w:rsidR="00FC281D">
        <w:t>its</w:t>
      </w:r>
      <w:r w:rsidR="00FC281D" w:rsidRPr="008F2159">
        <w:t xml:space="preserve"> report</w:t>
      </w:r>
      <w:r w:rsidR="00FC281D">
        <w:t xml:space="preserve"> on the review</w:t>
      </w:r>
      <w:r w:rsidR="00FC281D" w:rsidRPr="008F2159">
        <w:t xml:space="preserve"> and </w:t>
      </w:r>
      <w:r w:rsidR="00FC281D" w:rsidRPr="00F66004">
        <w:rPr>
          <w:i/>
        </w:rPr>
        <w:t>encourages</w:t>
      </w:r>
      <w:r w:rsidR="00FC281D" w:rsidRPr="008F2159">
        <w:t xml:space="preserve"> the lead reviewer(s) of the team</w:t>
      </w:r>
      <w:r w:rsidR="00FC281D" w:rsidRPr="006107F1">
        <w:t>, through the secretariat,</w:t>
      </w:r>
      <w:r w:rsidR="00FC281D" w:rsidRPr="008F2159">
        <w:t xml:space="preserve"> to liaise with the Paris Agreement Implementation and Compliance Committee with respect to significant and persistent inconsistencies;</w:t>
      </w:r>
    </w:p>
    <w:p w14:paraId="0722EB86" w14:textId="37C66503" w:rsidR="00FC281D" w:rsidRPr="00982720" w:rsidRDefault="00492C76" w:rsidP="00492C76">
      <w:pPr>
        <w:pStyle w:val="RegSingleTxtG"/>
        <w:numPr>
          <w:ilvl w:val="0"/>
          <w:numId w:val="0"/>
        </w:numPr>
        <w:ind w:left="1134"/>
      </w:pPr>
      <w:r w:rsidRPr="00982720">
        <w:t>42.</w:t>
      </w:r>
      <w:r w:rsidRPr="00982720">
        <w:tab/>
      </w:r>
      <w:r w:rsidR="00FC281D">
        <w:rPr>
          <w:i/>
          <w:iCs/>
        </w:rPr>
        <w:t>D</w:t>
      </w:r>
      <w:r w:rsidR="00FC281D" w:rsidRPr="00BE6F8F">
        <w:rPr>
          <w:i/>
          <w:iCs/>
        </w:rPr>
        <w:t>ecides</w:t>
      </w:r>
      <w:r w:rsidR="00FC281D" w:rsidRPr="00982720">
        <w:t xml:space="preserve"> that</w:t>
      </w:r>
      <w:r w:rsidR="00FC281D">
        <w:t>,</w:t>
      </w:r>
      <w:r w:rsidR="00FC281D" w:rsidRPr="00982720">
        <w:rPr>
          <w:rFonts w:ascii="Calibri" w:eastAsia="Verdana" w:hAnsi="Calibri" w:cs="Calibri"/>
          <w:sz w:val="22"/>
          <w:szCs w:val="22"/>
        </w:rPr>
        <w:t xml:space="preserve"> </w:t>
      </w:r>
      <w:r w:rsidR="00FC281D" w:rsidRPr="00982720">
        <w:t xml:space="preserve">where a significant or persistent inconsistency </w:t>
      </w:r>
      <w:r w:rsidR="00FC281D">
        <w:t>has an impact on the emissions balance</w:t>
      </w:r>
      <w:r w:rsidR="00671A86">
        <w:t xml:space="preserve"> </w:t>
      </w:r>
      <w:r w:rsidR="00671A86" w:rsidRPr="00671A86">
        <w:t>and/or adjusted indicator</w:t>
      </w:r>
      <w:r w:rsidR="00FC281D">
        <w:t>, each participating Party shall address this</w:t>
      </w:r>
      <w:r w:rsidR="00FC281D" w:rsidRPr="00982720">
        <w:t xml:space="preserve"> </w:t>
      </w:r>
      <w:r w:rsidR="00FC281D">
        <w:t>inconsistency to ensure the avoidance of double counting and</w:t>
      </w:r>
      <w:r w:rsidR="00FC281D" w:rsidRPr="00982720">
        <w:t>:</w:t>
      </w:r>
    </w:p>
    <w:p w14:paraId="61B23085" w14:textId="369CC88C" w:rsidR="00FC281D" w:rsidRPr="00982720" w:rsidRDefault="00492C76" w:rsidP="00492C76">
      <w:pPr>
        <w:tabs>
          <w:tab w:val="left" w:pos="1702"/>
        </w:tabs>
        <w:spacing w:after="120"/>
        <w:ind w:left="1134" w:right="1134" w:firstLine="567"/>
        <w:jc w:val="both"/>
      </w:pPr>
      <w:r w:rsidRPr="00982720">
        <w:rPr>
          <w:szCs w:val="28"/>
        </w:rPr>
        <w:t>(a)</w:t>
      </w:r>
      <w:r w:rsidRPr="00982720">
        <w:rPr>
          <w:szCs w:val="28"/>
        </w:rPr>
        <w:tab/>
      </w:r>
      <w:r w:rsidR="00FC281D" w:rsidRPr="00982720">
        <w:t xml:space="preserve">The inconsistency shall be highlighted in </w:t>
      </w:r>
      <w:r w:rsidR="00FC281D">
        <w:t>the first</w:t>
      </w:r>
      <w:r w:rsidR="00FC281D" w:rsidRPr="00982720">
        <w:t xml:space="preserve"> section of the relevant Article</w:t>
      </w:r>
      <w:r w:rsidR="00FC281D">
        <w:t> </w:t>
      </w:r>
      <w:r w:rsidR="00FC281D" w:rsidRPr="00982720">
        <w:t>6 technical expert review report for consideration by the</w:t>
      </w:r>
      <w:r w:rsidR="00FC281D">
        <w:t xml:space="preserve"> </w:t>
      </w:r>
      <w:r w:rsidR="00FC281D" w:rsidRPr="00512605">
        <w:t>review team</w:t>
      </w:r>
      <w:r w:rsidR="00FC281D">
        <w:t>,</w:t>
      </w:r>
      <w:r w:rsidR="00FC281D" w:rsidRPr="00512605">
        <w:t xml:space="preserve"> </w:t>
      </w:r>
      <w:r w:rsidR="00FC281D">
        <w:t xml:space="preserve">on the Article 13 technical expert review, </w:t>
      </w:r>
      <w:r w:rsidR="00FC281D" w:rsidRPr="00512605">
        <w:t xml:space="preserve">as per decision </w:t>
      </w:r>
      <w:hyperlink r:id="rId102" w:history="1">
        <w:r w:rsidR="00FC281D" w:rsidRPr="00514C67">
          <w:rPr>
            <w:rStyle w:val="Hyperlink"/>
          </w:rPr>
          <w:t>18/CMA.1</w:t>
        </w:r>
      </w:hyperlink>
      <w:r w:rsidR="00FC281D" w:rsidRPr="00982720">
        <w:t>;</w:t>
      </w:r>
    </w:p>
    <w:p w14:paraId="0BFC4B0A" w14:textId="03B0F467" w:rsidR="00FC281D" w:rsidRPr="00982720" w:rsidRDefault="00492C76" w:rsidP="00492C76">
      <w:pPr>
        <w:tabs>
          <w:tab w:val="left" w:pos="1702"/>
        </w:tabs>
        <w:spacing w:after="120"/>
        <w:ind w:left="1134" w:right="1134" w:firstLine="567"/>
        <w:jc w:val="both"/>
      </w:pPr>
      <w:r w:rsidRPr="00982720">
        <w:rPr>
          <w:szCs w:val="28"/>
        </w:rPr>
        <w:t>(b)</w:t>
      </w:r>
      <w:r w:rsidRPr="00982720">
        <w:rPr>
          <w:szCs w:val="28"/>
        </w:rPr>
        <w:tab/>
      </w:r>
      <w:r w:rsidR="00FC281D">
        <w:t xml:space="preserve">The Conference of the Parties serving as the meeting of the Parties to the Paris </w:t>
      </w:r>
      <w:r w:rsidR="00FC281D" w:rsidRPr="006107F1">
        <w:t>Agreement</w:t>
      </w:r>
      <w:r w:rsidR="00FC281D" w:rsidRPr="00982720">
        <w:t xml:space="preserve"> will be explicitly notified </w:t>
      </w:r>
      <w:r w:rsidR="00FC281D">
        <w:t>of the inconsistency</w:t>
      </w:r>
      <w:r w:rsidR="00FC281D" w:rsidRPr="00982720">
        <w:t xml:space="preserve"> </w:t>
      </w:r>
      <w:r w:rsidR="00FC281D">
        <w:t>in</w:t>
      </w:r>
      <w:r w:rsidR="00FC281D" w:rsidRPr="00982720">
        <w:t xml:space="preserve"> the annual report </w:t>
      </w:r>
      <w:r w:rsidR="00FC281D">
        <w:t>of the secretariat referred to in</w:t>
      </w:r>
      <w:r w:rsidR="00FC281D" w:rsidRPr="00982720">
        <w:t xml:space="preserve"> decision </w:t>
      </w:r>
      <w:hyperlink r:id="rId103" w:history="1">
        <w:r w:rsidR="00FC281D" w:rsidRPr="00514C67">
          <w:rPr>
            <w:rStyle w:val="Hyperlink"/>
          </w:rPr>
          <w:t>2/CMA.3</w:t>
        </w:r>
      </w:hyperlink>
      <w:r w:rsidR="00FC281D">
        <w:t>, paragraph 13</w:t>
      </w:r>
      <w:r w:rsidR="00FC281D" w:rsidRPr="00982720">
        <w:t xml:space="preserve">; </w:t>
      </w:r>
    </w:p>
    <w:p w14:paraId="68D7879C" w14:textId="03202826" w:rsidR="00FC281D" w:rsidRPr="00982720" w:rsidRDefault="00492C76" w:rsidP="00492C76">
      <w:pPr>
        <w:tabs>
          <w:tab w:val="left" w:pos="1702"/>
        </w:tabs>
        <w:spacing w:after="120"/>
        <w:ind w:left="1134" w:right="1134" w:firstLine="567"/>
        <w:jc w:val="both"/>
      </w:pPr>
      <w:r w:rsidRPr="00982720">
        <w:rPr>
          <w:szCs w:val="28"/>
        </w:rPr>
        <w:t>(c)</w:t>
      </w:r>
      <w:r w:rsidRPr="00982720">
        <w:rPr>
          <w:szCs w:val="28"/>
        </w:rPr>
        <w:tab/>
      </w:r>
      <w:r w:rsidR="00FC281D" w:rsidRPr="00982720">
        <w:t xml:space="preserve">The secretariat shall give notice </w:t>
      </w:r>
      <w:r w:rsidR="00FC281D">
        <w:t xml:space="preserve">of the inconsistencies </w:t>
      </w:r>
      <w:r w:rsidR="00FC281D" w:rsidRPr="00982720">
        <w:t>to the Parties participating in the cooperative approach</w:t>
      </w:r>
      <w:r w:rsidR="00FC281D" w:rsidRPr="006107F1">
        <w:t xml:space="preserve"> and make the notice publicly available</w:t>
      </w:r>
      <w:r w:rsidR="00FC281D" w:rsidRPr="00982720">
        <w:t>;</w:t>
      </w:r>
    </w:p>
    <w:p w14:paraId="2F7A68BB" w14:textId="670D4515" w:rsidR="00FC281D" w:rsidRPr="00982720" w:rsidRDefault="00492C76" w:rsidP="00492C76">
      <w:pPr>
        <w:pStyle w:val="RegSingleTxtG"/>
        <w:numPr>
          <w:ilvl w:val="0"/>
          <w:numId w:val="0"/>
        </w:numPr>
        <w:ind w:left="1134"/>
      </w:pPr>
      <w:r w:rsidRPr="00982720">
        <w:t>43.</w:t>
      </w:r>
      <w:r w:rsidRPr="00982720">
        <w:tab/>
      </w:r>
      <w:r w:rsidR="00FC281D" w:rsidRPr="00982720">
        <w:rPr>
          <w:i/>
          <w:iCs/>
        </w:rPr>
        <w:t>Clarifies</w:t>
      </w:r>
      <w:r w:rsidR="00FC281D" w:rsidRPr="00982720">
        <w:t xml:space="preserve"> that a Party shall respond to </w:t>
      </w:r>
      <w:r w:rsidR="00FC281D" w:rsidRPr="00D71C63">
        <w:t xml:space="preserve">recommendations </w:t>
      </w:r>
      <w:r w:rsidR="00FC281D">
        <w:t xml:space="preserve">in the </w:t>
      </w:r>
      <w:r w:rsidR="00FC281D" w:rsidRPr="00F50E90">
        <w:t xml:space="preserve">Article 6 technical expert </w:t>
      </w:r>
      <w:r w:rsidR="00FC281D" w:rsidRPr="00B83335">
        <w:t>review report</w:t>
      </w:r>
      <w:r w:rsidR="00FC281D" w:rsidRPr="00D71C63">
        <w:t xml:space="preserve"> by</w:t>
      </w:r>
      <w:r w:rsidR="00FC281D" w:rsidRPr="00982720">
        <w:t xml:space="preserve"> addressing </w:t>
      </w:r>
      <w:r w:rsidR="00FC281D">
        <w:t>any</w:t>
      </w:r>
      <w:r w:rsidR="00FC281D" w:rsidRPr="00982720">
        <w:t xml:space="preserve"> inconsistenc</w:t>
      </w:r>
      <w:r w:rsidR="00FC281D">
        <w:t>ies</w:t>
      </w:r>
      <w:r w:rsidR="00FC281D" w:rsidRPr="00982720">
        <w:t xml:space="preserve"> and reporting back on how the</w:t>
      </w:r>
      <w:r w:rsidR="00FC281D">
        <w:t>y</w:t>
      </w:r>
      <w:r w:rsidR="00FC281D" w:rsidRPr="00982720">
        <w:t xml:space="preserve"> ha</w:t>
      </w:r>
      <w:r w:rsidR="00FC281D">
        <w:t>ve</w:t>
      </w:r>
      <w:r w:rsidR="00FC281D" w:rsidRPr="00982720">
        <w:t xml:space="preserve"> been addressed, taking into account the time frames established for the review process; </w:t>
      </w:r>
    </w:p>
    <w:p w14:paraId="0610877B" w14:textId="551A2514" w:rsidR="00FC281D" w:rsidRPr="00982720" w:rsidRDefault="00492C76" w:rsidP="00492C76">
      <w:pPr>
        <w:pStyle w:val="RegSingleTxtG"/>
        <w:numPr>
          <w:ilvl w:val="0"/>
          <w:numId w:val="0"/>
        </w:numPr>
        <w:ind w:left="1134"/>
      </w:pPr>
      <w:r w:rsidRPr="00982720">
        <w:t>44.</w:t>
      </w:r>
      <w:r w:rsidRPr="00982720">
        <w:tab/>
      </w:r>
      <w:r w:rsidR="00FC281D">
        <w:rPr>
          <w:i/>
          <w:iCs/>
        </w:rPr>
        <w:t>Also</w:t>
      </w:r>
      <w:r w:rsidR="00FC281D" w:rsidRPr="00131FCB">
        <w:rPr>
          <w:i/>
          <w:iCs/>
        </w:rPr>
        <w:t xml:space="preserve"> </w:t>
      </w:r>
      <w:r w:rsidR="00FC281D" w:rsidRPr="00FD724D">
        <w:rPr>
          <w:i/>
          <w:iCs/>
        </w:rPr>
        <w:t>clarifies</w:t>
      </w:r>
      <w:r w:rsidR="00FC281D" w:rsidRPr="00982720">
        <w:t xml:space="preserve"> that the inconsistencies identified by the Article 6 </w:t>
      </w:r>
      <w:r w:rsidR="00FC281D">
        <w:t>technical expert review team</w:t>
      </w:r>
      <w:r w:rsidR="00FC281D" w:rsidRPr="00982720">
        <w:t xml:space="preserve"> can be corrected and the recommendations of the </w:t>
      </w:r>
      <w:r w:rsidR="00FC281D" w:rsidRPr="006107F1">
        <w:t xml:space="preserve">Article 6 technical expert review </w:t>
      </w:r>
      <w:r w:rsidR="00FC281D">
        <w:t>team</w:t>
      </w:r>
      <w:r w:rsidR="00FC281D" w:rsidRPr="00982720">
        <w:t xml:space="preserve"> addressed in the </w:t>
      </w:r>
      <w:r w:rsidR="00FC281D">
        <w:t xml:space="preserve">Party’s </w:t>
      </w:r>
      <w:r w:rsidR="00FC281D" w:rsidRPr="00982720">
        <w:t xml:space="preserve">next </w:t>
      </w:r>
      <w:r w:rsidR="00FC281D">
        <w:t xml:space="preserve">updated initial </w:t>
      </w:r>
      <w:r w:rsidR="00FC281D" w:rsidRPr="006107F1">
        <w:t>report or submission of</w:t>
      </w:r>
      <w:r w:rsidR="00FC281D">
        <w:t xml:space="preserve"> regular</w:t>
      </w:r>
      <w:r w:rsidR="00FC281D" w:rsidRPr="00982720">
        <w:t xml:space="preserve"> </w:t>
      </w:r>
      <w:r w:rsidR="00FC281D" w:rsidRPr="006107F1">
        <w:t>information</w:t>
      </w:r>
      <w:r w:rsidR="00FC281D">
        <w:t>, whichever is submitted earlier;</w:t>
      </w:r>
    </w:p>
    <w:p w14:paraId="432A4057" w14:textId="352B3196" w:rsidR="00FC281D" w:rsidRPr="003F5D00" w:rsidRDefault="00492C76" w:rsidP="00492C76">
      <w:pPr>
        <w:pStyle w:val="RegHChG"/>
        <w:numPr>
          <w:ilvl w:val="0"/>
          <w:numId w:val="0"/>
        </w:numPr>
        <w:tabs>
          <w:tab w:val="left" w:pos="1135"/>
          <w:tab w:val="left" w:pos="1701"/>
        </w:tabs>
        <w:ind w:left="1135" w:hanging="454"/>
        <w:jc w:val="both"/>
        <w:rPr>
          <w:b w:val="0"/>
          <w:bCs/>
          <w:szCs w:val="28"/>
        </w:rPr>
      </w:pPr>
      <w:r w:rsidRPr="003F5D00">
        <w:rPr>
          <w:bCs/>
          <w:szCs w:val="28"/>
        </w:rPr>
        <w:t>VIII.</w:t>
      </w:r>
      <w:r w:rsidRPr="003F5D00">
        <w:rPr>
          <w:bCs/>
          <w:szCs w:val="28"/>
        </w:rPr>
        <w:tab/>
      </w:r>
      <w:r w:rsidR="00FC281D" w:rsidRPr="003F5D00">
        <w:rPr>
          <w:bCs/>
          <w:szCs w:val="28"/>
        </w:rPr>
        <w:t xml:space="preserve">Special circumstances of the least developed countries and small island developing States </w:t>
      </w:r>
    </w:p>
    <w:p w14:paraId="46F32E75" w14:textId="13B58139" w:rsidR="00FC281D" w:rsidRPr="00982720" w:rsidRDefault="00492C76" w:rsidP="00492C76">
      <w:pPr>
        <w:pStyle w:val="RegSingleTxtG"/>
        <w:numPr>
          <w:ilvl w:val="0"/>
          <w:numId w:val="0"/>
        </w:numPr>
        <w:ind w:left="1134"/>
      </w:pPr>
      <w:r w:rsidRPr="00982720">
        <w:t>45.</w:t>
      </w:r>
      <w:r w:rsidRPr="00982720">
        <w:tab/>
      </w:r>
      <w:r w:rsidR="00FC281D" w:rsidRPr="00982720">
        <w:rPr>
          <w:rFonts w:eastAsia="Arial"/>
          <w:i/>
        </w:rPr>
        <w:t xml:space="preserve">Recalls </w:t>
      </w:r>
      <w:r w:rsidR="00FC281D" w:rsidRPr="00982720">
        <w:rPr>
          <w:rFonts w:eastAsia="Arial"/>
          <w:iCs/>
        </w:rPr>
        <w:t xml:space="preserve">decision </w:t>
      </w:r>
      <w:hyperlink r:id="rId104" w:history="1">
        <w:r w:rsidR="00FC281D" w:rsidRPr="00514C67">
          <w:rPr>
            <w:rStyle w:val="Hyperlink"/>
            <w:rFonts w:eastAsia="Arial"/>
            <w:iCs/>
          </w:rPr>
          <w:t>2/CMA.3</w:t>
        </w:r>
      </w:hyperlink>
      <w:r w:rsidR="00FC281D" w:rsidRPr="00982720">
        <w:rPr>
          <w:rFonts w:eastAsia="Arial"/>
          <w:iCs/>
        </w:rPr>
        <w:t>, annex, paragraph 5, which states that</w:t>
      </w:r>
      <w:r w:rsidR="00FC281D" w:rsidRPr="00982720">
        <w:rPr>
          <w:rFonts w:eastAsia="Arial"/>
        </w:rPr>
        <w:t xml:space="preserve"> the special circumstances of </w:t>
      </w:r>
      <w:r w:rsidR="00FC281D">
        <w:rPr>
          <w:rFonts w:eastAsia="Arial"/>
        </w:rPr>
        <w:t xml:space="preserve">the </w:t>
      </w:r>
      <w:r w:rsidR="00FC281D" w:rsidRPr="00982720">
        <w:rPr>
          <w:rFonts w:eastAsia="Arial"/>
        </w:rPr>
        <w:t xml:space="preserve">least developed countries and small island developing States shall be recognized where guidance relates to </w:t>
      </w:r>
      <w:r w:rsidR="00FC281D">
        <w:t>nationally determined contributions</w:t>
      </w:r>
      <w:r w:rsidR="00FC281D" w:rsidRPr="00982720">
        <w:rPr>
          <w:rFonts w:eastAsia="Arial"/>
        </w:rPr>
        <w:t xml:space="preserve">, and other aspects of their special circumstances may be recognized in further decisions of the </w:t>
      </w:r>
      <w:r w:rsidR="00FC281D" w:rsidRPr="006107F1">
        <w:rPr>
          <w:rFonts w:eastAsia="Arial"/>
        </w:rPr>
        <w:t>C</w:t>
      </w:r>
      <w:r w:rsidR="00FC281D" w:rsidRPr="006107F1">
        <w:t xml:space="preserve">onference of the Parties serving as the meeting of the Parties to the Paris </w:t>
      </w:r>
      <w:r w:rsidR="00FC281D" w:rsidRPr="006107F1">
        <w:rPr>
          <w:rFonts w:eastAsia="Arial"/>
        </w:rPr>
        <w:t>Agreement</w:t>
      </w:r>
      <w:r w:rsidR="00FC281D" w:rsidRPr="00982720">
        <w:rPr>
          <w:rFonts w:eastAsia="Arial"/>
        </w:rPr>
        <w:t>;</w:t>
      </w:r>
    </w:p>
    <w:p w14:paraId="7A4A2B12" w14:textId="2BFFE9B5" w:rsidR="00FC281D" w:rsidRPr="00982720" w:rsidRDefault="00492C76" w:rsidP="00492C76">
      <w:pPr>
        <w:pStyle w:val="RegSingleTxtG"/>
        <w:numPr>
          <w:ilvl w:val="0"/>
          <w:numId w:val="0"/>
        </w:numPr>
        <w:ind w:left="1134"/>
      </w:pPr>
      <w:r w:rsidRPr="00982720">
        <w:t>46.</w:t>
      </w:r>
      <w:r w:rsidRPr="00982720">
        <w:tab/>
      </w:r>
      <w:r w:rsidR="00FC281D" w:rsidRPr="00982720">
        <w:rPr>
          <w:i/>
          <w:iCs/>
        </w:rPr>
        <w:t>Reiterates</w:t>
      </w:r>
      <w:r w:rsidR="00FC281D" w:rsidRPr="00982720">
        <w:t xml:space="preserve"> decision </w:t>
      </w:r>
      <w:hyperlink r:id="rId105" w:history="1">
        <w:r w:rsidR="00FC281D" w:rsidRPr="00514C67">
          <w:rPr>
            <w:rStyle w:val="Hyperlink"/>
          </w:rPr>
          <w:t>2/CMA.3</w:t>
        </w:r>
      </w:hyperlink>
      <w:r w:rsidR="00FC281D" w:rsidRPr="00982720">
        <w:t xml:space="preserve">, paragraph 12(c), </w:t>
      </w:r>
      <w:r w:rsidR="00FC281D">
        <w:t xml:space="preserve">in </w:t>
      </w:r>
      <w:r w:rsidR="00FC281D" w:rsidRPr="00982720">
        <w:t xml:space="preserve">which the secretariat </w:t>
      </w:r>
      <w:r w:rsidR="00FC281D">
        <w:t>was requested</w:t>
      </w:r>
      <w:r w:rsidR="00FC281D" w:rsidRPr="00982720">
        <w:t xml:space="preserve"> to design and, following consultation with Parties, implement a capacity-building programme to assist the least developed countries and small island developing States in meeting the participation requirements set out in decision </w:t>
      </w:r>
      <w:hyperlink r:id="rId106" w:history="1">
        <w:r w:rsidR="00FC281D" w:rsidRPr="00514C67">
          <w:rPr>
            <w:rStyle w:val="Hyperlink"/>
          </w:rPr>
          <w:t>2/CMA.3</w:t>
        </w:r>
      </w:hyperlink>
      <w:r w:rsidR="00FC281D" w:rsidRPr="00982720">
        <w:t xml:space="preserve">, </w:t>
      </w:r>
      <w:r w:rsidR="00FC281D">
        <w:t xml:space="preserve">annex, </w:t>
      </w:r>
      <w:r w:rsidR="00FC281D" w:rsidRPr="00982720">
        <w:t>chapter II;</w:t>
      </w:r>
    </w:p>
    <w:p w14:paraId="0A635950" w14:textId="1A117D48" w:rsidR="00FC281D" w:rsidRPr="00982720" w:rsidRDefault="00492C76" w:rsidP="00492C76">
      <w:pPr>
        <w:pStyle w:val="RegSingleTxtG"/>
        <w:numPr>
          <w:ilvl w:val="0"/>
          <w:numId w:val="0"/>
        </w:numPr>
        <w:ind w:left="1134"/>
      </w:pPr>
      <w:r w:rsidRPr="00982720">
        <w:t>47.</w:t>
      </w:r>
      <w:r w:rsidRPr="00982720">
        <w:tab/>
      </w:r>
      <w:r w:rsidR="00FC281D" w:rsidRPr="00982720">
        <w:rPr>
          <w:i/>
          <w:iCs/>
        </w:rPr>
        <w:t>Resolves</w:t>
      </w:r>
      <w:r w:rsidR="00FC281D" w:rsidRPr="00982720">
        <w:t xml:space="preserve"> to continue consideration</w:t>
      </w:r>
      <w:r w:rsidR="00FC281D">
        <w:t>,</w:t>
      </w:r>
      <w:r w:rsidR="00FC281D" w:rsidRPr="00982720">
        <w:t xml:space="preserve"> at its tenth session</w:t>
      </w:r>
      <w:r w:rsidR="00FC281D">
        <w:t>,</w:t>
      </w:r>
      <w:r w:rsidR="00FC281D" w:rsidRPr="00982720" w:rsidDel="00F0789B">
        <w:t xml:space="preserve"> </w:t>
      </w:r>
      <w:r w:rsidR="00FC281D" w:rsidRPr="006107F1">
        <w:t xml:space="preserve">of </w:t>
      </w:r>
      <w:r w:rsidR="00FC281D" w:rsidRPr="00982720">
        <w:t>the special circumstances of the least developed countries and small island developing States in the context of Article</w:t>
      </w:r>
      <w:r w:rsidR="00FC281D">
        <w:t> </w:t>
      </w:r>
      <w:r w:rsidR="00FC281D" w:rsidRPr="00982720">
        <w:t xml:space="preserve">6, paragraph 2, </w:t>
      </w:r>
      <w:r w:rsidR="00FC281D">
        <w:t xml:space="preserve">of the Paris Agreement, </w:t>
      </w:r>
      <w:r w:rsidR="00FC281D" w:rsidRPr="00982720">
        <w:t>without prejudice to decisions already adopted on the matter;</w:t>
      </w:r>
    </w:p>
    <w:p w14:paraId="20660AA3" w14:textId="208B4637" w:rsidR="00FC281D" w:rsidRPr="00982720" w:rsidRDefault="00492C76" w:rsidP="00492C76">
      <w:pPr>
        <w:pStyle w:val="RegSingleTxtG"/>
        <w:numPr>
          <w:ilvl w:val="0"/>
          <w:numId w:val="0"/>
        </w:numPr>
        <w:ind w:left="1134"/>
      </w:pPr>
      <w:r w:rsidRPr="00982720">
        <w:t>48.</w:t>
      </w:r>
      <w:r w:rsidRPr="00982720">
        <w:tab/>
      </w:r>
      <w:r w:rsidR="00FC281D" w:rsidRPr="00BF289D">
        <w:rPr>
          <w:i/>
          <w:iCs/>
        </w:rPr>
        <w:t>Also resolves</w:t>
      </w:r>
      <w:r w:rsidR="00FC281D">
        <w:t xml:space="preserve"> that, n</w:t>
      </w:r>
      <w:r w:rsidR="00FC281D" w:rsidRPr="005B089A">
        <w:t>otwithstanding</w:t>
      </w:r>
      <w:r w:rsidR="00FC281D" w:rsidRPr="00982720" w:rsidDel="003617A6">
        <w:t xml:space="preserve"> </w:t>
      </w:r>
      <w:r w:rsidR="00FC281D" w:rsidRPr="006B2C0E">
        <w:t xml:space="preserve">paragraph </w:t>
      </w:r>
      <w:r w:rsidR="00FC281D" w:rsidRPr="006107F1">
        <w:t>47</w:t>
      </w:r>
      <w:r w:rsidR="00FC281D" w:rsidRPr="006B2C0E">
        <w:t xml:space="preserve"> above</w:t>
      </w:r>
      <w:r w:rsidR="00FC281D" w:rsidRPr="00982720">
        <w:t xml:space="preserve">, </w:t>
      </w:r>
      <w:r w:rsidR="00FC281D">
        <w:t xml:space="preserve">the </w:t>
      </w:r>
      <w:r w:rsidR="00FC281D" w:rsidRPr="006107F1">
        <w:t>Conference of the Parties serving as the meeting of the Parties to the Paris Agreement</w:t>
      </w:r>
      <w:r w:rsidR="00FC281D" w:rsidRPr="00982720">
        <w:t xml:space="preserve"> may consider the special circumstances of the least developed countries and small island developing States in the context of Article 6, paragraph 2</w:t>
      </w:r>
      <w:r w:rsidR="00FC281D">
        <w:t>,</w:t>
      </w:r>
      <w:r w:rsidR="00FC281D" w:rsidRPr="00982720">
        <w:t xml:space="preserve"> </w:t>
      </w:r>
      <w:r w:rsidR="00FC281D">
        <w:t xml:space="preserve">of the Paris Agreement at a session </w:t>
      </w:r>
      <w:r w:rsidR="00FC281D" w:rsidRPr="00982720">
        <w:t>prior to its tenth session, as deemed appropriate;</w:t>
      </w:r>
    </w:p>
    <w:p w14:paraId="05B2C804" w14:textId="72F0F245" w:rsidR="00FC281D" w:rsidRPr="00982720" w:rsidRDefault="00492C76" w:rsidP="00492C76">
      <w:pPr>
        <w:pStyle w:val="RegHChG"/>
        <w:numPr>
          <w:ilvl w:val="0"/>
          <w:numId w:val="0"/>
        </w:numPr>
        <w:tabs>
          <w:tab w:val="left" w:pos="1135"/>
          <w:tab w:val="left" w:pos="1701"/>
        </w:tabs>
        <w:ind w:left="1135" w:hanging="454"/>
        <w:jc w:val="both"/>
        <w:rPr>
          <w:b w:val="0"/>
          <w:bCs/>
          <w:szCs w:val="28"/>
        </w:rPr>
      </w:pPr>
      <w:r w:rsidRPr="00982720">
        <w:rPr>
          <w:bCs/>
          <w:szCs w:val="28"/>
        </w:rPr>
        <w:lastRenderedPageBreak/>
        <w:t>IX.</w:t>
      </w:r>
      <w:r w:rsidRPr="00982720">
        <w:rPr>
          <w:bCs/>
          <w:szCs w:val="28"/>
        </w:rPr>
        <w:tab/>
      </w:r>
      <w:r w:rsidR="00FC281D" w:rsidRPr="003F5D00">
        <w:rPr>
          <w:bCs/>
          <w:szCs w:val="28"/>
        </w:rPr>
        <w:t xml:space="preserve">Further </w:t>
      </w:r>
      <w:r w:rsidR="00FC281D" w:rsidRPr="00982720">
        <w:rPr>
          <w:bCs/>
          <w:szCs w:val="28"/>
        </w:rPr>
        <w:t>guidance relating to tracking</w:t>
      </w:r>
    </w:p>
    <w:p w14:paraId="36AFE8CB" w14:textId="069DE899" w:rsidR="00FC281D" w:rsidRDefault="00492C76" w:rsidP="00492C76">
      <w:pPr>
        <w:pStyle w:val="RegH1G"/>
        <w:numPr>
          <w:ilvl w:val="0"/>
          <w:numId w:val="0"/>
        </w:numPr>
        <w:tabs>
          <w:tab w:val="left" w:pos="1135"/>
        </w:tabs>
        <w:ind w:left="1135" w:hanging="454"/>
      </w:pPr>
      <w:r>
        <w:t>A.</w:t>
      </w:r>
      <w:r>
        <w:tab/>
      </w:r>
      <w:r w:rsidR="00FC281D" w:rsidRPr="000554D5">
        <w:t>Interoperability</w:t>
      </w:r>
      <w:r w:rsidR="00FC281D">
        <w:rPr>
          <w:bCs/>
        </w:rPr>
        <w:t xml:space="preserve"> of registries</w:t>
      </w:r>
    </w:p>
    <w:p w14:paraId="15827516" w14:textId="14331449" w:rsidR="00FC281D" w:rsidRPr="00982720" w:rsidRDefault="00492C76" w:rsidP="00492C76">
      <w:pPr>
        <w:pStyle w:val="RegSingleTxtG"/>
        <w:numPr>
          <w:ilvl w:val="0"/>
          <w:numId w:val="0"/>
        </w:numPr>
        <w:ind w:left="1134"/>
      </w:pPr>
      <w:r w:rsidRPr="00982720">
        <w:t>49.</w:t>
      </w:r>
      <w:r w:rsidRPr="00982720">
        <w:tab/>
      </w:r>
      <w:r w:rsidR="00FC281D" w:rsidRPr="00982720">
        <w:rPr>
          <w:i/>
          <w:iCs/>
        </w:rPr>
        <w:t>Clarifies</w:t>
      </w:r>
      <w:r w:rsidR="00FC281D" w:rsidRPr="00982720">
        <w:t xml:space="preserve"> that </w:t>
      </w:r>
      <w:r w:rsidR="00FC281D">
        <w:t xml:space="preserve">the </w:t>
      </w:r>
      <w:r w:rsidR="00FC281D" w:rsidRPr="00982720">
        <w:t xml:space="preserve">connection </w:t>
      </w:r>
      <w:r w:rsidR="00FC281D">
        <w:t xml:space="preserve">of </w:t>
      </w:r>
      <w:r w:rsidR="00FC281D" w:rsidRPr="00982720">
        <w:t xml:space="preserve">the </w:t>
      </w:r>
      <w:r w:rsidR="00FC281D" w:rsidRPr="00E66ECA">
        <w:rPr>
          <w:rStyle w:val="normaltextrun"/>
        </w:rPr>
        <w:t xml:space="preserve">Article 6, </w:t>
      </w:r>
      <w:r w:rsidR="00FC281D" w:rsidRPr="00820931">
        <w:rPr>
          <w:rStyle w:val="normaltextrun"/>
        </w:rPr>
        <w:t>paragraph 4, mechanism registry</w:t>
      </w:r>
      <w:r w:rsidR="00FC281D" w:rsidRPr="00982720">
        <w:t xml:space="preserve"> </w:t>
      </w:r>
      <w:r w:rsidR="00FC281D">
        <w:t>and participating Party registries</w:t>
      </w:r>
      <w:r w:rsidR="00FC281D" w:rsidRPr="00982720">
        <w:t xml:space="preserve"> to the international registry shall enable the ability to pull and view data and information on holdings and the action history of authorized </w:t>
      </w:r>
      <w:r w:rsidR="00FC281D" w:rsidRPr="00807CDC">
        <w:t xml:space="preserve">Article 6, paragraph 4, emission </w:t>
      </w:r>
      <w:r w:rsidR="00FC281D" w:rsidRPr="006107F1">
        <w:t>reductions</w:t>
      </w:r>
      <w:r w:rsidR="00FC281D" w:rsidRPr="00982720">
        <w:t xml:space="preserve"> and enable the transfer of authorized </w:t>
      </w:r>
      <w:r w:rsidR="00FC281D" w:rsidRPr="00807CDC">
        <w:t>Article 6, paragraph</w:t>
      </w:r>
      <w:r w:rsidR="00FC281D">
        <w:t> </w:t>
      </w:r>
      <w:r w:rsidR="00FC281D" w:rsidRPr="00807CDC">
        <w:t xml:space="preserve">4, emission </w:t>
      </w:r>
      <w:r w:rsidR="00FC281D" w:rsidRPr="006107F1">
        <w:t xml:space="preserve">reductions as internationally transferred mitigation outcomes </w:t>
      </w:r>
      <w:r w:rsidR="00FC281D" w:rsidRPr="00982720">
        <w:t xml:space="preserve">to the international registry, </w:t>
      </w:r>
      <w:r w:rsidR="00FC281D" w:rsidRPr="00D71C63">
        <w:t>consistent with</w:t>
      </w:r>
      <w:r w:rsidR="00FC281D" w:rsidRPr="00982720">
        <w:t xml:space="preserve"> the interoperability arrangements applicable to all registries described in decision </w:t>
      </w:r>
      <w:hyperlink r:id="rId107" w:history="1">
        <w:r w:rsidR="00FC281D" w:rsidRPr="00514C67">
          <w:rPr>
            <w:rStyle w:val="Hyperlink"/>
          </w:rPr>
          <w:t>6/CMA.4</w:t>
        </w:r>
      </w:hyperlink>
      <w:r w:rsidR="00FC281D" w:rsidRPr="00982720">
        <w:t>, annex I, chapter I.B</w:t>
      </w:r>
      <w:r w:rsidR="00FC281D">
        <w:t xml:space="preserve">, and supporting the execution of functions listed in </w:t>
      </w:r>
      <w:r w:rsidR="00FC281D" w:rsidRPr="00982720">
        <w:t xml:space="preserve">decision </w:t>
      </w:r>
      <w:hyperlink r:id="rId108" w:history="1">
        <w:r w:rsidR="00FC281D" w:rsidRPr="00514C67">
          <w:rPr>
            <w:rStyle w:val="Hyperlink"/>
          </w:rPr>
          <w:t>2/CMA.3</w:t>
        </w:r>
      </w:hyperlink>
      <w:r w:rsidR="00FC281D" w:rsidRPr="00982720">
        <w:t xml:space="preserve">, annex, </w:t>
      </w:r>
      <w:r w:rsidR="00FC281D">
        <w:t>paragraph 29</w:t>
      </w:r>
      <w:r w:rsidR="00FC281D" w:rsidRPr="00982720">
        <w:t>;</w:t>
      </w:r>
    </w:p>
    <w:p w14:paraId="48D28F74" w14:textId="0485985F" w:rsidR="00FC281D" w:rsidRDefault="00492C76" w:rsidP="00492C76">
      <w:pPr>
        <w:pStyle w:val="RegH1G"/>
        <w:numPr>
          <w:ilvl w:val="0"/>
          <w:numId w:val="0"/>
        </w:numPr>
        <w:tabs>
          <w:tab w:val="left" w:pos="1135"/>
        </w:tabs>
        <w:ind w:left="1135" w:hanging="454"/>
        <w:rPr>
          <w:b w:val="0"/>
        </w:rPr>
      </w:pPr>
      <w:r>
        <w:t>B.</w:t>
      </w:r>
      <w:r>
        <w:tab/>
      </w:r>
      <w:r w:rsidR="00FC281D">
        <w:rPr>
          <w:bCs/>
          <w:szCs w:val="24"/>
        </w:rPr>
        <w:t>A</w:t>
      </w:r>
      <w:r w:rsidR="00FC281D">
        <w:rPr>
          <w:bCs/>
        </w:rPr>
        <w:t>dditional functionality</w:t>
      </w:r>
    </w:p>
    <w:p w14:paraId="50D63366" w14:textId="3C675337" w:rsidR="00FC281D" w:rsidRPr="00982720" w:rsidRDefault="00492C76" w:rsidP="00492C76">
      <w:pPr>
        <w:pStyle w:val="RegSingleTxtG"/>
        <w:numPr>
          <w:ilvl w:val="0"/>
          <w:numId w:val="0"/>
        </w:numPr>
        <w:ind w:left="1134"/>
        <w:rPr>
          <w:i/>
          <w:iCs/>
        </w:rPr>
      </w:pPr>
      <w:bookmarkStart w:id="24" w:name="_Ref183019316"/>
      <w:r w:rsidRPr="00982720">
        <w:t>50.</w:t>
      </w:r>
      <w:r w:rsidRPr="00982720">
        <w:tab/>
      </w:r>
      <w:r w:rsidR="00FC281D" w:rsidRPr="0078013E">
        <w:rPr>
          <w:i/>
          <w:iCs/>
        </w:rPr>
        <w:t xml:space="preserve">Requests </w:t>
      </w:r>
      <w:r w:rsidR="00FC281D" w:rsidRPr="0078013E">
        <w:t xml:space="preserve">the secretariat to provide, </w:t>
      </w:r>
      <w:r w:rsidR="00FC281D">
        <w:t xml:space="preserve">as an additional service </w:t>
      </w:r>
      <w:r w:rsidR="00FC281D" w:rsidRPr="0078013E">
        <w:t>for Parties that request it, registry services through which a Party may issue</w:t>
      </w:r>
      <w:r w:rsidR="00FC281D">
        <w:t xml:space="preserve"> </w:t>
      </w:r>
      <w:r w:rsidR="00FC281D" w:rsidRPr="0078013E">
        <w:t>mitigation outcomes as units</w:t>
      </w:r>
      <w:r w:rsidR="00FC281D">
        <w:t>,</w:t>
      </w:r>
      <w:r w:rsidR="00FC281D" w:rsidRPr="0078013E">
        <w:t xml:space="preserve"> the use of which it has authorized or intends to authorize</w:t>
      </w:r>
      <w:r w:rsidR="00FC281D">
        <w:t xml:space="preserve">, in order to support the participation of the Party in cooperative approaches and </w:t>
      </w:r>
      <w:r w:rsidR="00FC281D">
        <w:rPr>
          <w:i/>
          <w:iCs/>
        </w:rPr>
        <w:t>d</w:t>
      </w:r>
      <w:r w:rsidR="00FC281D" w:rsidRPr="0076760C">
        <w:rPr>
          <w:i/>
          <w:iCs/>
        </w:rPr>
        <w:t>ecides</w:t>
      </w:r>
      <w:r w:rsidR="00FC281D" w:rsidRPr="0078013E">
        <w:t xml:space="preserve"> that </w:t>
      </w:r>
      <w:bookmarkEnd w:id="24"/>
      <w:r w:rsidR="00FC281D">
        <w:t xml:space="preserve">these </w:t>
      </w:r>
      <w:r w:rsidR="00FC281D" w:rsidRPr="003B405D">
        <w:t>services</w:t>
      </w:r>
      <w:r w:rsidR="00FC281D">
        <w:t xml:space="preserve"> shall implement </w:t>
      </w:r>
      <w:r w:rsidR="00FC281D" w:rsidRPr="003B405D">
        <w:t xml:space="preserve">interoperability arrangements with the international registry as </w:t>
      </w:r>
      <w:r w:rsidR="00FC281D" w:rsidRPr="00B83335">
        <w:t>refer</w:t>
      </w:r>
      <w:r w:rsidR="00FC281D">
        <w:t>red</w:t>
      </w:r>
      <w:r w:rsidR="00FC281D" w:rsidRPr="00B83335">
        <w:t xml:space="preserve"> </w:t>
      </w:r>
      <w:r w:rsidR="00FC281D">
        <w:t>to</w:t>
      </w:r>
      <w:r w:rsidR="00FC281D" w:rsidRPr="003B405D">
        <w:t xml:space="preserve"> in decision</w:t>
      </w:r>
      <w:r w:rsidR="00F903CD">
        <w:t> </w:t>
      </w:r>
      <w:hyperlink r:id="rId109" w:history="1">
        <w:r w:rsidR="00FC281D" w:rsidRPr="00514C67">
          <w:rPr>
            <w:rStyle w:val="Hyperlink"/>
          </w:rPr>
          <w:t>6/CMA.4</w:t>
        </w:r>
      </w:hyperlink>
      <w:r w:rsidR="00FC281D" w:rsidRPr="003B405D">
        <w:t>, annex I, paragraph 24</w:t>
      </w:r>
      <w:r w:rsidR="00FC281D">
        <w:t xml:space="preserve">, and support the execution of functions listed in </w:t>
      </w:r>
      <w:r w:rsidR="00FC281D" w:rsidRPr="00982720">
        <w:t xml:space="preserve">decision </w:t>
      </w:r>
      <w:hyperlink r:id="rId110" w:history="1">
        <w:r w:rsidR="00FC281D" w:rsidRPr="00514C67">
          <w:rPr>
            <w:rStyle w:val="Hyperlink"/>
          </w:rPr>
          <w:t>2/CMA.3</w:t>
        </w:r>
      </w:hyperlink>
      <w:r w:rsidR="00FC281D" w:rsidRPr="00982720">
        <w:t xml:space="preserve">, annex, </w:t>
      </w:r>
      <w:r w:rsidR="00FC281D">
        <w:t>paragraph 29</w:t>
      </w:r>
      <w:r w:rsidR="00FC281D" w:rsidRPr="00982720">
        <w:t>;</w:t>
      </w:r>
    </w:p>
    <w:p w14:paraId="447EBD3A" w14:textId="601FBB75" w:rsidR="00FC281D" w:rsidRPr="00982720" w:rsidRDefault="00492C76" w:rsidP="00492C76">
      <w:pPr>
        <w:pStyle w:val="RegSingleTxtG"/>
        <w:numPr>
          <w:ilvl w:val="0"/>
          <w:numId w:val="0"/>
        </w:numPr>
        <w:ind w:left="1134"/>
        <w:rPr>
          <w:i/>
          <w:iCs/>
        </w:rPr>
      </w:pPr>
      <w:r w:rsidRPr="00982720">
        <w:t>51.</w:t>
      </w:r>
      <w:r w:rsidRPr="00982720">
        <w:tab/>
      </w:r>
      <w:r w:rsidR="00FC281D">
        <w:rPr>
          <w:i/>
          <w:iCs/>
        </w:rPr>
        <w:t>R</w:t>
      </w:r>
      <w:r w:rsidR="00FC281D" w:rsidRPr="0078013E">
        <w:rPr>
          <w:i/>
          <w:iCs/>
        </w:rPr>
        <w:t xml:space="preserve">equests </w:t>
      </w:r>
      <w:r w:rsidR="00FC281D" w:rsidRPr="0078013E">
        <w:t>the secretariat to provide</w:t>
      </w:r>
      <w:r w:rsidR="00FC281D">
        <w:t xml:space="preserve"> the </w:t>
      </w:r>
      <w:r w:rsidR="00FC281D" w:rsidRPr="00482B50">
        <w:t xml:space="preserve">registry services referred </w:t>
      </w:r>
      <w:r w:rsidR="00FC281D" w:rsidRPr="009D3C63">
        <w:t xml:space="preserve">to in paragraph 50 above within the same timeline as </w:t>
      </w:r>
      <w:r w:rsidR="00F53569">
        <w:t xml:space="preserve">that for </w:t>
      </w:r>
      <w:r w:rsidR="00FC281D" w:rsidRPr="009D3C63">
        <w:t>the development and implementation of the international registry;</w:t>
      </w:r>
    </w:p>
    <w:p w14:paraId="4D2E267F" w14:textId="55A96F4D" w:rsidR="00FC281D" w:rsidRPr="00982720" w:rsidRDefault="00492C76" w:rsidP="00492C76">
      <w:pPr>
        <w:pStyle w:val="RegSingleTxtG"/>
        <w:numPr>
          <w:ilvl w:val="0"/>
          <w:numId w:val="0"/>
        </w:numPr>
        <w:ind w:left="1134"/>
        <w:rPr>
          <w:i/>
          <w:iCs/>
        </w:rPr>
      </w:pPr>
      <w:r w:rsidRPr="00982720">
        <w:t>52.</w:t>
      </w:r>
      <w:r w:rsidRPr="00982720">
        <w:tab/>
      </w:r>
      <w:r w:rsidR="00FC281D" w:rsidRPr="009D3C63">
        <w:rPr>
          <w:i/>
          <w:iCs/>
        </w:rPr>
        <w:t>Clarifies</w:t>
      </w:r>
      <w:r w:rsidR="00FC281D" w:rsidRPr="009D3C63">
        <w:t xml:space="preserve"> that the registry services referred to in paragraph 50 above do not constitute an endorsement by the secretariat or by Parties to the Paris Agreement of the quality of any mitigation outcomes involved, including with respect to </w:t>
      </w:r>
      <w:r w:rsidR="00FC281D">
        <w:t xml:space="preserve">the environmental integrity of </w:t>
      </w:r>
      <w:r w:rsidR="00FC281D" w:rsidRPr="009D3C63">
        <w:t xml:space="preserve">those </w:t>
      </w:r>
      <w:r w:rsidR="00FC281D" w:rsidRPr="006107F1">
        <w:t>mitigation</w:t>
      </w:r>
      <w:r w:rsidR="00FC281D">
        <w:t xml:space="preserve"> </w:t>
      </w:r>
      <w:r w:rsidR="00FC281D" w:rsidRPr="009D3C63">
        <w:t>outcomes;</w:t>
      </w:r>
    </w:p>
    <w:p w14:paraId="7E87BA76" w14:textId="609BD78F" w:rsidR="00FC281D" w:rsidRPr="00D35E4E" w:rsidRDefault="00492C76" w:rsidP="00492C76">
      <w:pPr>
        <w:pStyle w:val="RegSingleTxtG"/>
        <w:numPr>
          <w:ilvl w:val="0"/>
          <w:numId w:val="0"/>
        </w:numPr>
        <w:ind w:left="1134"/>
        <w:rPr>
          <w:i/>
          <w:iCs/>
        </w:rPr>
      </w:pPr>
      <w:r w:rsidRPr="00D35E4E">
        <w:t>53.</w:t>
      </w:r>
      <w:r w:rsidRPr="00D35E4E">
        <w:tab/>
      </w:r>
      <w:r w:rsidR="00FC281D" w:rsidRPr="009D3C63">
        <w:rPr>
          <w:i/>
          <w:iCs/>
        </w:rPr>
        <w:t>Decides</w:t>
      </w:r>
      <w:r w:rsidR="00FC281D" w:rsidRPr="009D3C63">
        <w:t xml:space="preserve"> that neither the secretariat’s provision of the assistance referred to in </w:t>
      </w:r>
      <w:r w:rsidR="00FC281D">
        <w:t>paragraph</w:t>
      </w:r>
      <w:r w:rsidR="00FC281D" w:rsidRPr="009D3C63">
        <w:t xml:space="preserve"> 5</w:t>
      </w:r>
      <w:r w:rsidR="00FC281D">
        <w:t>4</w:t>
      </w:r>
      <w:r w:rsidR="00FC281D" w:rsidRPr="009D3C63">
        <w:t xml:space="preserve"> below nor its provision of registry services referred to in paragraph 50 above will involve</w:t>
      </w:r>
      <w:r w:rsidR="00FC281D" w:rsidRPr="000814F9">
        <w:t xml:space="preserve"> the establishment of any guidance for or supervision of national registries by the Conference of the Parties serving as the meeting of the Parties to the Paris Agreement</w:t>
      </w:r>
      <w:r w:rsidR="00FC281D">
        <w:t>;</w:t>
      </w:r>
    </w:p>
    <w:p w14:paraId="38094963" w14:textId="12D06ABF" w:rsidR="00FC281D" w:rsidRPr="00122C77" w:rsidRDefault="00492C76" w:rsidP="00492C76">
      <w:pPr>
        <w:pStyle w:val="RegH1G"/>
        <w:numPr>
          <w:ilvl w:val="0"/>
          <w:numId w:val="0"/>
        </w:numPr>
        <w:tabs>
          <w:tab w:val="left" w:pos="1135"/>
        </w:tabs>
        <w:ind w:left="1135" w:hanging="454"/>
      </w:pPr>
      <w:r w:rsidRPr="00122C77">
        <w:t>C.</w:t>
      </w:r>
      <w:r w:rsidRPr="00122C77">
        <w:tab/>
      </w:r>
      <w:r w:rsidR="00FC281D" w:rsidRPr="00122C77">
        <w:rPr>
          <w:bCs/>
        </w:rPr>
        <w:t>Capacity</w:t>
      </w:r>
      <w:r w:rsidR="00FC281D">
        <w:rPr>
          <w:bCs/>
        </w:rPr>
        <w:t>-</w:t>
      </w:r>
      <w:r w:rsidR="00FC281D" w:rsidRPr="00122C77">
        <w:t xml:space="preserve">building </w:t>
      </w:r>
      <w:r w:rsidR="00FC281D">
        <w:t>on registry infrastructure</w:t>
      </w:r>
    </w:p>
    <w:p w14:paraId="57513301" w14:textId="1D098F70" w:rsidR="00FC281D" w:rsidRPr="008B6A00" w:rsidRDefault="00492C76" w:rsidP="00492C76">
      <w:pPr>
        <w:pStyle w:val="RegSingleTxtG"/>
        <w:numPr>
          <w:ilvl w:val="0"/>
          <w:numId w:val="0"/>
        </w:numPr>
        <w:ind w:left="1134"/>
        <w:rPr>
          <w:i/>
          <w:iCs/>
        </w:rPr>
      </w:pPr>
      <w:r w:rsidRPr="008B6A00">
        <w:t>54.</w:t>
      </w:r>
      <w:r w:rsidRPr="008B6A00">
        <w:tab/>
      </w:r>
      <w:r w:rsidR="00FC281D" w:rsidRPr="009630AE">
        <w:rPr>
          <w:i/>
          <w:iCs/>
        </w:rPr>
        <w:t xml:space="preserve">Requests </w:t>
      </w:r>
      <w:r w:rsidR="00FC281D" w:rsidRPr="009630AE">
        <w:t>the secretariat to assist Parties, particularly developing country</w:t>
      </w:r>
      <w:r w:rsidR="00FC281D">
        <w:t xml:space="preserve"> </w:t>
      </w:r>
      <w:r w:rsidR="00FC281D" w:rsidRPr="009630AE">
        <w:t>Parties</w:t>
      </w:r>
      <w:r w:rsidR="00FC281D">
        <w:t xml:space="preserve">, at their request, </w:t>
      </w:r>
      <w:r w:rsidR="00FC281D" w:rsidRPr="009630AE">
        <w:t xml:space="preserve">to implement </w:t>
      </w:r>
      <w:r w:rsidR="00FC281D">
        <w:t xml:space="preserve">a </w:t>
      </w:r>
      <w:r w:rsidR="00FC281D" w:rsidRPr="009630AE">
        <w:t xml:space="preserve">national </w:t>
      </w:r>
      <w:r w:rsidR="00FC281D">
        <w:t>registry</w:t>
      </w:r>
      <w:r w:rsidR="00FC281D" w:rsidRPr="009630AE">
        <w:t xml:space="preserve"> for the generation</w:t>
      </w:r>
      <w:r w:rsidR="00FC281D">
        <w:t xml:space="preserve">, </w:t>
      </w:r>
      <w:r w:rsidR="00FC281D" w:rsidRPr="009630AE">
        <w:t xml:space="preserve">certification </w:t>
      </w:r>
      <w:r w:rsidR="00FC281D">
        <w:t xml:space="preserve">and issuance </w:t>
      </w:r>
      <w:r w:rsidR="00FC281D" w:rsidRPr="009630AE">
        <w:t xml:space="preserve">of </w:t>
      </w:r>
      <w:r w:rsidR="00FC281D">
        <w:t>mitigation outcomes</w:t>
      </w:r>
      <w:r w:rsidR="00FC281D" w:rsidRPr="009630AE">
        <w:t xml:space="preserve"> </w:t>
      </w:r>
      <w:r w:rsidR="00FC281D">
        <w:t xml:space="preserve">as units, </w:t>
      </w:r>
      <w:r w:rsidR="00FC281D" w:rsidRPr="0078013E">
        <w:t xml:space="preserve">the use of which </w:t>
      </w:r>
      <w:r w:rsidR="00FC281D">
        <w:t>they</w:t>
      </w:r>
      <w:r w:rsidR="00FC281D" w:rsidRPr="0078013E">
        <w:t xml:space="preserve"> intend to authorize</w:t>
      </w:r>
      <w:r w:rsidR="00FC281D">
        <w:t xml:space="preserve">, in order to support the participation of </w:t>
      </w:r>
      <w:r w:rsidR="00FC281D" w:rsidRPr="00B83335">
        <w:t>Part</w:t>
      </w:r>
      <w:r w:rsidR="00FC281D">
        <w:t>ies in cooperative approaches;</w:t>
      </w:r>
    </w:p>
    <w:p w14:paraId="611E979C" w14:textId="50671125" w:rsidR="00FC281D" w:rsidRPr="00982720" w:rsidRDefault="00492C76" w:rsidP="00492C76">
      <w:pPr>
        <w:pStyle w:val="RegHChG"/>
        <w:numPr>
          <w:ilvl w:val="0"/>
          <w:numId w:val="0"/>
        </w:numPr>
        <w:tabs>
          <w:tab w:val="left" w:pos="1135"/>
          <w:tab w:val="left" w:pos="1701"/>
        </w:tabs>
        <w:ind w:left="1135" w:hanging="454"/>
        <w:jc w:val="both"/>
        <w:rPr>
          <w:b w:val="0"/>
          <w:bCs/>
          <w:szCs w:val="28"/>
        </w:rPr>
      </w:pPr>
      <w:r w:rsidRPr="00982720">
        <w:rPr>
          <w:bCs/>
          <w:szCs w:val="28"/>
        </w:rPr>
        <w:t>X.</w:t>
      </w:r>
      <w:r w:rsidRPr="00982720">
        <w:rPr>
          <w:bCs/>
          <w:szCs w:val="28"/>
        </w:rPr>
        <w:tab/>
      </w:r>
      <w:r w:rsidR="00FC281D" w:rsidRPr="00C80273">
        <w:rPr>
          <w:bCs/>
          <w:szCs w:val="28"/>
        </w:rPr>
        <w:t>Other</w:t>
      </w:r>
      <w:r w:rsidR="00FC281D" w:rsidRPr="00982720">
        <w:rPr>
          <w:bCs/>
          <w:szCs w:val="28"/>
        </w:rPr>
        <w:t xml:space="preserve"> matters</w:t>
      </w:r>
    </w:p>
    <w:p w14:paraId="6DAB2B3D" w14:textId="741B24FE" w:rsidR="00FC281D" w:rsidRPr="00982720" w:rsidRDefault="00492C76" w:rsidP="00492C76">
      <w:pPr>
        <w:pStyle w:val="RegSingleTxtG"/>
        <w:numPr>
          <w:ilvl w:val="0"/>
          <w:numId w:val="0"/>
        </w:numPr>
        <w:ind w:left="1134"/>
      </w:pPr>
      <w:r w:rsidRPr="00982720">
        <w:t>55.</w:t>
      </w:r>
      <w:r w:rsidRPr="00982720">
        <w:tab/>
      </w:r>
      <w:r w:rsidR="00FC281D" w:rsidRPr="00982720">
        <w:rPr>
          <w:i/>
        </w:rPr>
        <w:t>Requests</w:t>
      </w:r>
      <w:r w:rsidR="00FC281D" w:rsidRPr="00982720">
        <w:rPr>
          <w:iCs/>
        </w:rPr>
        <w:t xml:space="preserve"> </w:t>
      </w:r>
      <w:r w:rsidR="00FC281D" w:rsidRPr="00982720">
        <w:t xml:space="preserve">Parties to urgently make voluntary contributions to the trust fund for supplementary activities in order to enable the full development, establishment and operation of the functions and components of the infrastructure </w:t>
      </w:r>
      <w:r w:rsidR="00FC281D">
        <w:t>for cooperative approaches</w:t>
      </w:r>
      <w:r w:rsidR="00FC281D" w:rsidRPr="00982720">
        <w:t xml:space="preserve"> and technical expert review under Article 6, paragraph 2</w:t>
      </w:r>
      <w:r w:rsidR="00FC281D">
        <w:t>, of the Paris Agreement</w:t>
      </w:r>
      <w:r w:rsidR="00FC281D" w:rsidRPr="00982720">
        <w:t>;</w:t>
      </w:r>
    </w:p>
    <w:p w14:paraId="5AA6AEC2" w14:textId="7D244940" w:rsidR="00FC281D" w:rsidRPr="00982720" w:rsidRDefault="00492C76" w:rsidP="00492C76">
      <w:pPr>
        <w:pStyle w:val="RegSingleTxtG"/>
        <w:numPr>
          <w:ilvl w:val="0"/>
          <w:numId w:val="0"/>
        </w:numPr>
        <w:ind w:left="1134"/>
      </w:pPr>
      <w:r w:rsidRPr="00982720">
        <w:t>56.</w:t>
      </w:r>
      <w:r w:rsidRPr="00982720">
        <w:tab/>
      </w:r>
      <w:r w:rsidR="00FC281D" w:rsidRPr="00982720">
        <w:rPr>
          <w:i/>
        </w:rPr>
        <w:t>Also requests</w:t>
      </w:r>
      <w:r w:rsidR="00FC281D" w:rsidRPr="00982720">
        <w:t xml:space="preserve"> the secretariat, as part of </w:t>
      </w:r>
      <w:r w:rsidR="00FC281D">
        <w:t>the</w:t>
      </w:r>
      <w:r w:rsidR="00FC281D" w:rsidRPr="00982720">
        <w:t xml:space="preserve"> capacity-building programme</w:t>
      </w:r>
      <w:r w:rsidR="00FC281D">
        <w:t xml:space="preserve"> referred to in decision </w:t>
      </w:r>
      <w:hyperlink r:id="rId111" w:history="1">
        <w:r w:rsidR="00FC281D" w:rsidRPr="00514C67">
          <w:rPr>
            <w:rStyle w:val="Hyperlink"/>
          </w:rPr>
          <w:t>2/CMA.3</w:t>
        </w:r>
      </w:hyperlink>
      <w:r w:rsidR="00FC281D">
        <w:t>, paragraph 12(</w:t>
      </w:r>
      <w:r w:rsidR="005A5EB6">
        <w:t>b</w:t>
      </w:r>
      <w:r w:rsidR="00FC281D">
        <w:t>)</w:t>
      </w:r>
      <w:r w:rsidR="00FC281D" w:rsidRPr="00982720">
        <w:t>, to organize</w:t>
      </w:r>
      <w:r w:rsidR="00FC281D">
        <w:t xml:space="preserve"> a dialogue</w:t>
      </w:r>
      <w:r w:rsidR="00FC281D" w:rsidRPr="00982720">
        <w:t xml:space="preserve">, </w:t>
      </w:r>
      <w:r w:rsidR="00FC281D">
        <w:t>to be held</w:t>
      </w:r>
      <w:r w:rsidR="00FC281D" w:rsidRPr="00982720">
        <w:t xml:space="preserve"> in conjunction with each </w:t>
      </w:r>
      <w:r w:rsidR="00FC281D">
        <w:t>session</w:t>
      </w:r>
      <w:r w:rsidR="00FC281D" w:rsidRPr="00982720">
        <w:t xml:space="preserve"> of the Subsidiary Body for Implementation, among interested participating Parties and observers to exchange information </w:t>
      </w:r>
      <w:r w:rsidR="00E54E3C">
        <w:t>on</w:t>
      </w:r>
      <w:r w:rsidR="00FC281D" w:rsidRPr="00982720">
        <w:t xml:space="preserve"> and </w:t>
      </w:r>
      <w:r w:rsidR="00FC281D" w:rsidRPr="00D71C63">
        <w:t>experience</w:t>
      </w:r>
      <w:r w:rsidR="00FC281D" w:rsidRPr="00982720">
        <w:t xml:space="preserve"> </w:t>
      </w:r>
      <w:r w:rsidR="00552E7B">
        <w:t>i</w:t>
      </w:r>
      <w:r w:rsidR="00FC281D" w:rsidRPr="00982720">
        <w:t>n how cooperative approaches in which they participate support ambition;</w:t>
      </w:r>
    </w:p>
    <w:p w14:paraId="478B1C05" w14:textId="074F029F" w:rsidR="00FC281D" w:rsidRPr="00982720" w:rsidRDefault="00492C76" w:rsidP="00492C76">
      <w:pPr>
        <w:pStyle w:val="RegSingleTxtG"/>
        <w:numPr>
          <w:ilvl w:val="0"/>
          <w:numId w:val="0"/>
        </w:numPr>
        <w:ind w:left="1134"/>
      </w:pPr>
      <w:r w:rsidRPr="00982720">
        <w:lastRenderedPageBreak/>
        <w:t>57.</w:t>
      </w:r>
      <w:r w:rsidRPr="00982720">
        <w:tab/>
      </w:r>
      <w:r w:rsidR="00FC281D">
        <w:rPr>
          <w:i/>
        </w:rPr>
        <w:t>Further requests</w:t>
      </w:r>
      <w:r w:rsidR="00FC281D">
        <w:rPr>
          <w:iCs/>
        </w:rPr>
        <w:t xml:space="preserve"> the secretariat to update the “</w:t>
      </w:r>
      <w:r w:rsidR="00FC281D" w:rsidRPr="005D7AFD">
        <w:rPr>
          <w:iCs/>
        </w:rPr>
        <w:t xml:space="preserve">Article 6.2 </w:t>
      </w:r>
      <w:r w:rsidR="00FC281D">
        <w:rPr>
          <w:iCs/>
        </w:rPr>
        <w:t>r</w:t>
      </w:r>
      <w:r w:rsidR="00FC281D" w:rsidRPr="005D7AFD">
        <w:rPr>
          <w:iCs/>
        </w:rPr>
        <w:t xml:space="preserve">eference manual for the accounting, reporting and review of cooperative </w:t>
      </w:r>
      <w:r w:rsidR="00FC281D" w:rsidRPr="00EB46D9">
        <w:rPr>
          <w:iCs/>
        </w:rPr>
        <w:t>approaches</w:t>
      </w:r>
      <w:r w:rsidR="00FC281D" w:rsidRPr="00B83335">
        <w:rPr>
          <w:iCs/>
        </w:rPr>
        <w:t>”</w:t>
      </w:r>
      <w:r w:rsidR="00FC281D">
        <w:rPr>
          <w:iCs/>
        </w:rPr>
        <w:t>,</w:t>
      </w:r>
      <w:r w:rsidR="00FC281D" w:rsidRPr="00B83335">
        <w:rPr>
          <w:rStyle w:val="FootnoteReference"/>
          <w:iCs/>
        </w:rPr>
        <w:footnoteReference w:id="37"/>
      </w:r>
      <w:r w:rsidR="00FC281D" w:rsidRPr="00B83335">
        <w:rPr>
          <w:iCs/>
        </w:rPr>
        <w:t xml:space="preserve"> </w:t>
      </w:r>
      <w:r w:rsidR="00FC281D">
        <w:rPr>
          <w:iCs/>
        </w:rPr>
        <w:t>which is available on the centralized accounting and reporting platform, to take into account this decision;</w:t>
      </w:r>
    </w:p>
    <w:p w14:paraId="3EBED9F6" w14:textId="3FCF1B16" w:rsidR="00FC281D" w:rsidRPr="00982720" w:rsidRDefault="00492C76" w:rsidP="00492C76">
      <w:pPr>
        <w:pStyle w:val="RegSingleTxtG"/>
        <w:numPr>
          <w:ilvl w:val="0"/>
          <w:numId w:val="0"/>
        </w:numPr>
        <w:ind w:left="1134"/>
      </w:pPr>
      <w:r w:rsidRPr="00982720">
        <w:t>58.</w:t>
      </w:r>
      <w:r w:rsidRPr="00982720">
        <w:tab/>
      </w:r>
      <w:r w:rsidR="00FC281D">
        <w:rPr>
          <w:i/>
        </w:rPr>
        <w:t xml:space="preserve">Decides </w:t>
      </w:r>
      <w:r w:rsidR="00FC281D">
        <w:rPr>
          <w:iCs/>
        </w:rPr>
        <w:t>to continue consideration of the remaining matters referred to in decision </w:t>
      </w:r>
      <w:hyperlink r:id="rId112" w:history="1">
        <w:r w:rsidR="00FC281D" w:rsidRPr="00514C67">
          <w:rPr>
            <w:rStyle w:val="Hyperlink"/>
            <w:iCs/>
          </w:rPr>
          <w:t>6/CMA.4</w:t>
        </w:r>
      </w:hyperlink>
      <w:r w:rsidR="00FC281D">
        <w:rPr>
          <w:iCs/>
        </w:rPr>
        <w:t>, paragraphs 16–17,</w:t>
      </w:r>
      <w:r w:rsidR="00FC281D" w:rsidRPr="00B83335">
        <w:rPr>
          <w:iCs/>
        </w:rPr>
        <w:t xml:space="preserve"> </w:t>
      </w:r>
      <w:r w:rsidR="00FC281D">
        <w:rPr>
          <w:iCs/>
        </w:rPr>
        <w:t>at</w:t>
      </w:r>
      <w:r w:rsidR="00FC281D" w:rsidRPr="00B83335">
        <w:rPr>
          <w:iCs/>
        </w:rPr>
        <w:t xml:space="preserve"> </w:t>
      </w:r>
      <w:r w:rsidR="00552E7B">
        <w:rPr>
          <w:iCs/>
        </w:rPr>
        <w:t>its</w:t>
      </w:r>
      <w:r w:rsidR="00552E7B" w:rsidRPr="00B83335">
        <w:rPr>
          <w:iCs/>
        </w:rPr>
        <w:t xml:space="preserve"> </w:t>
      </w:r>
      <w:r w:rsidR="00FC281D">
        <w:rPr>
          <w:iCs/>
        </w:rPr>
        <w:t>tenth session</w:t>
      </w:r>
      <w:r w:rsidR="00FC281D" w:rsidRPr="006107F1">
        <w:rPr>
          <w:iCs/>
        </w:rPr>
        <w:t>;</w:t>
      </w:r>
    </w:p>
    <w:p w14:paraId="1BD4E72A" w14:textId="649B95CF" w:rsidR="00AA5CBD" w:rsidRDefault="00492C76" w:rsidP="00492C76">
      <w:pPr>
        <w:pStyle w:val="RegSingleTxtG"/>
        <w:numPr>
          <w:ilvl w:val="0"/>
          <w:numId w:val="0"/>
        </w:numPr>
        <w:ind w:left="1134"/>
      </w:pPr>
      <w:r>
        <w:t>59.</w:t>
      </w:r>
      <w:r>
        <w:tab/>
      </w:r>
      <w:r w:rsidR="00FC281D" w:rsidRPr="00677E16">
        <w:rPr>
          <w:i/>
          <w:iCs/>
        </w:rPr>
        <w:t xml:space="preserve">Takes note </w:t>
      </w:r>
      <w:r w:rsidR="00FC281D" w:rsidRPr="00677E16">
        <w:t xml:space="preserve">of the estimated budgetary implications of the activities to be undertaken by the secretariat referred to in </w:t>
      </w:r>
      <w:r w:rsidR="00FC281D" w:rsidRPr="00677E16" w:rsidDel="000C7232">
        <w:t>this decision</w:t>
      </w:r>
      <w:r w:rsidR="00FC281D" w:rsidRPr="00677E16">
        <w:t>;</w:t>
      </w:r>
    </w:p>
    <w:p w14:paraId="582D9217" w14:textId="49D75318" w:rsidR="00AA5CBD" w:rsidRDefault="00492C76" w:rsidP="00492C76">
      <w:pPr>
        <w:pStyle w:val="RegSingleTxtG"/>
        <w:numPr>
          <w:ilvl w:val="0"/>
          <w:numId w:val="0"/>
        </w:numPr>
        <w:ind w:left="1134"/>
      </w:pPr>
      <w:r>
        <w:t>60.</w:t>
      </w:r>
      <w:r>
        <w:tab/>
      </w:r>
      <w:r w:rsidR="00FC281D" w:rsidRPr="00AA5CBD">
        <w:rPr>
          <w:i/>
          <w:iCs/>
        </w:rPr>
        <w:t>Requests</w:t>
      </w:r>
      <w:r w:rsidR="00FC281D" w:rsidRPr="00677E16">
        <w:t xml:space="preserve"> that the actions of the secretariat called for in this decision be undertaken subject to the availability of financial resources.</w:t>
      </w:r>
      <w:r w:rsidR="00AA5CBD">
        <w:br w:type="page"/>
      </w:r>
    </w:p>
    <w:p w14:paraId="4B75AB53" w14:textId="77777777" w:rsidR="003B4E09" w:rsidRDefault="003B4E09" w:rsidP="003B4E09">
      <w:pPr>
        <w:pStyle w:val="HChG"/>
      </w:pPr>
      <w:r>
        <w:lastRenderedPageBreak/>
        <w:t>Annex I</w:t>
      </w:r>
    </w:p>
    <w:p w14:paraId="7C3A7BDF" w14:textId="6CEE3CED" w:rsidR="003B4E09" w:rsidRDefault="003B4E09" w:rsidP="007F4347">
      <w:pPr>
        <w:pStyle w:val="HChG"/>
        <w:tabs>
          <w:tab w:val="clear" w:pos="851"/>
        </w:tabs>
        <w:ind w:left="1135" w:firstLine="0"/>
      </w:pPr>
      <w:r>
        <w:t xml:space="preserve">Table of </w:t>
      </w:r>
      <w:r w:rsidRPr="00C3320B">
        <w:t>supplementary elements of information in initial report</w:t>
      </w:r>
      <w:r w:rsidR="009D4EAB">
        <w:t>s</w:t>
      </w:r>
      <w:r w:rsidRPr="00C3320B">
        <w:t xml:space="preserve"> and any updated initial reports, as referred to in decision </w:t>
      </w:r>
      <w:r w:rsidRPr="008B57C2">
        <w:t>2/CMA.3</w:t>
      </w:r>
      <w:r w:rsidRPr="00C3320B">
        <w:t>, annex, paragraphs 18</w:t>
      </w:r>
      <w:r>
        <w:t>–</w:t>
      </w:r>
      <w:r w:rsidRPr="00C3320B">
        <w:t>19</w:t>
      </w:r>
    </w:p>
    <w:p w14:paraId="6AAF095A" w14:textId="2F7638A7" w:rsidR="003B4E09" w:rsidRDefault="003B4E09" w:rsidP="007F4347">
      <w:pPr>
        <w:pStyle w:val="FC2"/>
        <w:ind w:left="1135" w:right="-1"/>
        <w:rPr>
          <w:b/>
        </w:rPr>
      </w:pPr>
      <w:r w:rsidRPr="0010599B">
        <w:rPr>
          <w:b/>
        </w:rPr>
        <w:t xml:space="preserve">Supplementary elements of information in </w:t>
      </w:r>
      <w:r w:rsidR="009D4EAB">
        <w:rPr>
          <w:b/>
        </w:rPr>
        <w:t xml:space="preserve">the </w:t>
      </w:r>
      <w:r w:rsidRPr="0010599B">
        <w:rPr>
          <w:b/>
        </w:rPr>
        <w:t>initial report and any updated initial report</w:t>
      </w:r>
    </w:p>
    <w:tbl>
      <w:tblPr>
        <w:tblStyle w:val="TableGrid"/>
        <w:tblW w:w="8505"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52"/>
        <w:gridCol w:w="5953"/>
      </w:tblGrid>
      <w:tr w:rsidR="003B4E09" w:rsidRPr="00DB73AE" w14:paraId="5DE30CD5" w14:textId="77777777" w:rsidTr="00D2464E">
        <w:trPr>
          <w:trHeight w:val="240"/>
          <w:tblHeader/>
        </w:trPr>
        <w:tc>
          <w:tcPr>
            <w:tcW w:w="2552" w:type="dxa"/>
            <w:tcBorders>
              <w:top w:val="single" w:sz="4" w:space="0" w:color="auto"/>
              <w:bottom w:val="single" w:sz="12" w:space="0" w:color="auto"/>
            </w:tcBorders>
            <w:shd w:val="clear" w:color="auto" w:fill="auto"/>
            <w:vAlign w:val="bottom"/>
          </w:tcPr>
          <w:p w14:paraId="5806BEE6" w14:textId="56CDA640" w:rsidR="003B4E09" w:rsidRPr="0058765B" w:rsidRDefault="003B4E09" w:rsidP="0058765B">
            <w:pPr>
              <w:suppressAutoHyphens w:val="0"/>
              <w:snapToGrid w:val="0"/>
              <w:spacing w:before="40" w:after="40" w:line="180" w:lineRule="exact"/>
              <w:ind w:right="113"/>
              <w:rPr>
                <w:i/>
                <w:iCs/>
                <w:sz w:val="16"/>
                <w:szCs w:val="16"/>
              </w:rPr>
            </w:pPr>
            <w:r w:rsidRPr="0058765B">
              <w:rPr>
                <w:i/>
                <w:iCs/>
                <w:sz w:val="16"/>
                <w:szCs w:val="16"/>
              </w:rPr>
              <w:t xml:space="preserve">Relevant </w:t>
            </w:r>
            <w:r w:rsidR="00FF387C" w:rsidRPr="0058765B">
              <w:rPr>
                <w:i/>
                <w:iCs/>
                <w:sz w:val="16"/>
                <w:szCs w:val="16"/>
              </w:rPr>
              <w:t xml:space="preserve">paragraph </w:t>
            </w:r>
            <w:r w:rsidRPr="0058765B">
              <w:rPr>
                <w:i/>
                <w:iCs/>
                <w:sz w:val="16"/>
                <w:szCs w:val="16"/>
              </w:rPr>
              <w:t>of decision</w:t>
            </w:r>
            <w:r w:rsidR="0058765B" w:rsidRPr="0058765B">
              <w:rPr>
                <w:i/>
                <w:iCs/>
                <w:sz w:val="16"/>
                <w:szCs w:val="16"/>
              </w:rPr>
              <w:t> </w:t>
            </w:r>
            <w:hyperlink r:id="rId113" w:history="1">
              <w:r w:rsidRPr="0058765B">
                <w:rPr>
                  <w:rStyle w:val="Hyperlink"/>
                  <w:i/>
                  <w:iCs/>
                  <w:sz w:val="16"/>
                  <w:szCs w:val="16"/>
                </w:rPr>
                <w:t>2/CMA.3</w:t>
              </w:r>
            </w:hyperlink>
            <w:r w:rsidRPr="0058765B">
              <w:rPr>
                <w:i/>
                <w:iCs/>
                <w:sz w:val="16"/>
                <w:szCs w:val="16"/>
              </w:rPr>
              <w:t>, annex</w:t>
            </w:r>
          </w:p>
        </w:tc>
        <w:tc>
          <w:tcPr>
            <w:tcW w:w="5953" w:type="dxa"/>
            <w:tcBorders>
              <w:top w:val="single" w:sz="4" w:space="0" w:color="auto"/>
              <w:bottom w:val="single" w:sz="12" w:space="0" w:color="auto"/>
            </w:tcBorders>
            <w:shd w:val="clear" w:color="auto" w:fill="auto"/>
            <w:vAlign w:val="bottom"/>
          </w:tcPr>
          <w:p w14:paraId="15D66B67" w14:textId="77777777" w:rsidR="003B4E09" w:rsidRPr="00DB73AE" w:rsidRDefault="003B4E09" w:rsidP="0058765B">
            <w:pPr>
              <w:suppressAutoHyphens w:val="0"/>
              <w:snapToGrid w:val="0"/>
              <w:spacing w:before="40" w:after="40" w:line="180" w:lineRule="exact"/>
              <w:ind w:right="113"/>
              <w:rPr>
                <w:bCs/>
                <w:i/>
                <w:iCs/>
                <w:sz w:val="16"/>
                <w:szCs w:val="16"/>
              </w:rPr>
            </w:pPr>
            <w:r w:rsidRPr="00DB73AE">
              <w:rPr>
                <w:bCs/>
                <w:i/>
                <w:iCs/>
                <w:sz w:val="16"/>
                <w:szCs w:val="16"/>
              </w:rPr>
              <w:t>Supplementary elements of information</w:t>
            </w:r>
          </w:p>
        </w:tc>
      </w:tr>
      <w:tr w:rsidR="003B4E09" w:rsidRPr="00B43793" w14:paraId="325BEAAE" w14:textId="77777777" w:rsidTr="00D2464E">
        <w:trPr>
          <w:trHeight w:val="240"/>
        </w:trPr>
        <w:tc>
          <w:tcPr>
            <w:tcW w:w="2552" w:type="dxa"/>
            <w:vMerge w:val="restart"/>
            <w:tcBorders>
              <w:top w:val="single" w:sz="12" w:space="0" w:color="auto"/>
            </w:tcBorders>
            <w:shd w:val="clear" w:color="auto" w:fill="auto"/>
          </w:tcPr>
          <w:p w14:paraId="6A702CFB" w14:textId="1CE58CD5" w:rsidR="003B4E09" w:rsidRPr="00B77038" w:rsidRDefault="003B4E09" w:rsidP="0058765B">
            <w:pPr>
              <w:suppressAutoHyphens w:val="0"/>
              <w:snapToGrid w:val="0"/>
              <w:spacing w:before="40" w:after="80" w:line="220" w:lineRule="exact"/>
              <w:ind w:right="113"/>
            </w:pPr>
            <w:r w:rsidRPr="00B77038">
              <w:t xml:space="preserve">Decision </w:t>
            </w:r>
            <w:hyperlink r:id="rId114" w:history="1">
              <w:r w:rsidRPr="00514C67">
                <w:rPr>
                  <w:rStyle w:val="Hyperlink"/>
                </w:rPr>
                <w:t>2/CMA.3</w:t>
              </w:r>
            </w:hyperlink>
            <w:r w:rsidRPr="00B77038">
              <w:t>, annex, paragraph 18(c)</w:t>
            </w:r>
          </w:p>
        </w:tc>
        <w:tc>
          <w:tcPr>
            <w:tcW w:w="5953" w:type="dxa"/>
            <w:tcBorders>
              <w:top w:val="single" w:sz="12" w:space="0" w:color="auto"/>
            </w:tcBorders>
            <w:shd w:val="clear" w:color="auto" w:fill="auto"/>
          </w:tcPr>
          <w:p w14:paraId="6C7A7EB6" w14:textId="6AED8CE1" w:rsidR="003B4E09" w:rsidRPr="00B77038" w:rsidRDefault="003B4E09" w:rsidP="0058765B">
            <w:pPr>
              <w:suppressAutoHyphens w:val="0"/>
              <w:snapToGrid w:val="0"/>
              <w:spacing w:before="40" w:after="80" w:line="220" w:lineRule="exact"/>
              <w:ind w:right="113"/>
            </w:pPr>
            <w:r w:rsidRPr="00B77038">
              <w:t xml:space="preserve">How the method for applying corresponding adjustments aligns with decision </w:t>
            </w:r>
            <w:hyperlink r:id="rId115" w:history="1">
              <w:r w:rsidRPr="00514C67">
                <w:rPr>
                  <w:rStyle w:val="Hyperlink"/>
                </w:rPr>
                <w:t>2/CMA.3</w:t>
              </w:r>
            </w:hyperlink>
            <w:r w:rsidRPr="00B77038">
              <w:t>, annex, paragraph 7</w:t>
            </w:r>
          </w:p>
        </w:tc>
      </w:tr>
      <w:tr w:rsidR="003B4E09" w:rsidRPr="00B43793" w14:paraId="4EE3B1F1" w14:textId="77777777" w:rsidTr="79542A3B">
        <w:trPr>
          <w:trHeight w:val="240"/>
        </w:trPr>
        <w:tc>
          <w:tcPr>
            <w:tcW w:w="2552" w:type="dxa"/>
            <w:vMerge/>
          </w:tcPr>
          <w:p w14:paraId="0B46D1AE" w14:textId="77777777" w:rsidR="003B4E09" w:rsidRPr="00B77038" w:rsidRDefault="003B4E09" w:rsidP="0058765B">
            <w:pPr>
              <w:suppressAutoHyphens w:val="0"/>
              <w:snapToGrid w:val="0"/>
              <w:spacing w:before="40" w:after="80" w:line="220" w:lineRule="exact"/>
              <w:ind w:right="113"/>
            </w:pPr>
          </w:p>
        </w:tc>
        <w:tc>
          <w:tcPr>
            <w:tcW w:w="5953" w:type="dxa"/>
            <w:shd w:val="clear" w:color="auto" w:fill="auto"/>
          </w:tcPr>
          <w:p w14:paraId="36E6CA17" w14:textId="4684FCE2" w:rsidR="003B4E09" w:rsidRPr="00B77038" w:rsidRDefault="003B4E09" w:rsidP="0058765B">
            <w:pPr>
              <w:suppressAutoHyphens w:val="0"/>
              <w:snapToGrid w:val="0"/>
              <w:spacing w:before="40" w:after="80" w:line="220" w:lineRule="exact"/>
              <w:ind w:right="113"/>
            </w:pPr>
            <w:r w:rsidRPr="00B77038">
              <w:t xml:space="preserve">The methods used for establishing the indicative trajectory, trajectories or budget and the resulting trajectory, trajectories or budget and their relationship to the indicators referred to in decision </w:t>
            </w:r>
            <w:hyperlink r:id="rId116" w:history="1">
              <w:r w:rsidRPr="00514C67">
                <w:rPr>
                  <w:rStyle w:val="Hyperlink"/>
                </w:rPr>
                <w:t>18/CMA.1</w:t>
              </w:r>
            </w:hyperlink>
            <w:r w:rsidRPr="00B77038">
              <w:t>, annex, paragraph 65, to which corresponding adjustments will be applied</w:t>
            </w:r>
          </w:p>
        </w:tc>
      </w:tr>
      <w:tr w:rsidR="003B4E09" w:rsidRPr="00B43793" w14:paraId="50D45CB7" w14:textId="77777777" w:rsidTr="00D2464E">
        <w:trPr>
          <w:trHeight w:val="240"/>
        </w:trPr>
        <w:tc>
          <w:tcPr>
            <w:tcW w:w="2552" w:type="dxa"/>
            <w:vMerge w:val="restart"/>
            <w:shd w:val="clear" w:color="auto" w:fill="auto"/>
          </w:tcPr>
          <w:p w14:paraId="102E3F5F" w14:textId="2D587636" w:rsidR="003B4E09" w:rsidRPr="00B77038" w:rsidRDefault="003B4E09" w:rsidP="0058765B">
            <w:pPr>
              <w:suppressAutoHyphens w:val="0"/>
              <w:snapToGrid w:val="0"/>
              <w:spacing w:before="40" w:after="80" w:line="220" w:lineRule="exact"/>
              <w:ind w:right="113"/>
            </w:pPr>
            <w:r w:rsidRPr="00B77038">
              <w:t xml:space="preserve">Decision </w:t>
            </w:r>
            <w:hyperlink r:id="rId117" w:history="1">
              <w:r w:rsidRPr="00514C67">
                <w:rPr>
                  <w:rStyle w:val="Hyperlink"/>
                </w:rPr>
                <w:t>2/CMA.3</w:t>
              </w:r>
            </w:hyperlink>
            <w:r w:rsidRPr="00B77038">
              <w:t>, annex, paragraph 18(g)</w:t>
            </w:r>
          </w:p>
        </w:tc>
        <w:tc>
          <w:tcPr>
            <w:tcW w:w="5953" w:type="dxa"/>
            <w:shd w:val="clear" w:color="auto" w:fill="auto"/>
          </w:tcPr>
          <w:p w14:paraId="5941EAAA" w14:textId="77777777" w:rsidR="003B4E09" w:rsidRPr="00B77038" w:rsidRDefault="003B4E09" w:rsidP="0058765B">
            <w:pPr>
              <w:suppressAutoHyphens w:val="0"/>
              <w:snapToGrid w:val="0"/>
              <w:spacing w:before="40" w:after="80" w:line="220" w:lineRule="exact"/>
              <w:ind w:right="113"/>
            </w:pPr>
            <w:r w:rsidRPr="00B77038">
              <w:t xml:space="preserve">A description of any arrangements for authorizing using participating Parties and authorized entities, if applicable </w:t>
            </w:r>
          </w:p>
        </w:tc>
      </w:tr>
      <w:tr w:rsidR="003B4E09" w:rsidRPr="00B43793" w14:paraId="3F9F32DA" w14:textId="77777777" w:rsidTr="79542A3B">
        <w:trPr>
          <w:trHeight w:val="54"/>
        </w:trPr>
        <w:tc>
          <w:tcPr>
            <w:tcW w:w="2552" w:type="dxa"/>
            <w:vMerge/>
          </w:tcPr>
          <w:p w14:paraId="7DF5B3F7" w14:textId="77777777" w:rsidR="003B4E09" w:rsidRPr="00B77038" w:rsidRDefault="003B4E09" w:rsidP="0058765B">
            <w:pPr>
              <w:suppressAutoHyphens w:val="0"/>
              <w:snapToGrid w:val="0"/>
              <w:spacing w:before="40" w:after="80" w:line="220" w:lineRule="exact"/>
              <w:ind w:right="113"/>
            </w:pPr>
          </w:p>
        </w:tc>
        <w:tc>
          <w:tcPr>
            <w:tcW w:w="5953" w:type="dxa"/>
            <w:shd w:val="clear" w:color="auto" w:fill="auto"/>
          </w:tcPr>
          <w:p w14:paraId="5606029D" w14:textId="77777777" w:rsidR="003B4E09" w:rsidRPr="00B77038" w:rsidRDefault="003B4E09" w:rsidP="0058765B">
            <w:pPr>
              <w:suppressAutoHyphens w:val="0"/>
              <w:snapToGrid w:val="0"/>
              <w:spacing w:before="40" w:after="80" w:line="220" w:lineRule="exact"/>
              <w:ind w:right="113"/>
            </w:pPr>
            <w:r w:rsidRPr="00B77038">
              <w:t>The type of cooperative approach, if applicable</w:t>
            </w:r>
          </w:p>
        </w:tc>
      </w:tr>
      <w:tr w:rsidR="003B4E09" w:rsidRPr="00B43793" w14:paraId="274C02DD" w14:textId="77777777" w:rsidTr="00D2464E">
        <w:trPr>
          <w:trHeight w:val="240"/>
        </w:trPr>
        <w:tc>
          <w:tcPr>
            <w:tcW w:w="2552" w:type="dxa"/>
            <w:vMerge w:val="restart"/>
            <w:tcBorders>
              <w:top w:val="nil"/>
              <w:left w:val="nil"/>
              <w:bottom w:val="nil"/>
              <w:right w:val="nil"/>
            </w:tcBorders>
            <w:shd w:val="clear" w:color="auto" w:fill="auto"/>
          </w:tcPr>
          <w:p w14:paraId="596EABA9" w14:textId="35BBBD40" w:rsidR="003B4E09" w:rsidRPr="00B77038" w:rsidRDefault="003B4E09" w:rsidP="0058765B">
            <w:pPr>
              <w:suppressAutoHyphens w:val="0"/>
              <w:snapToGrid w:val="0"/>
              <w:spacing w:before="40" w:after="80" w:line="220" w:lineRule="exact"/>
              <w:ind w:right="113"/>
            </w:pPr>
            <w:r w:rsidRPr="00B77038">
              <w:rPr>
                <w:bCs/>
              </w:rPr>
              <w:t xml:space="preserve">Decision </w:t>
            </w:r>
            <w:hyperlink r:id="rId118" w:history="1">
              <w:r w:rsidRPr="00514C67">
                <w:rPr>
                  <w:rStyle w:val="Hyperlink"/>
                  <w:bCs/>
                </w:rPr>
                <w:t>2/CMA.3</w:t>
              </w:r>
            </w:hyperlink>
            <w:r w:rsidRPr="00B77038">
              <w:rPr>
                <w:bCs/>
              </w:rPr>
              <w:t>, annex, paragraph 18(h)(i)</w:t>
            </w:r>
          </w:p>
        </w:tc>
        <w:tc>
          <w:tcPr>
            <w:tcW w:w="5953" w:type="dxa"/>
            <w:tcBorders>
              <w:top w:val="nil"/>
              <w:left w:val="nil"/>
              <w:bottom w:val="nil"/>
              <w:right w:val="nil"/>
            </w:tcBorders>
            <w:shd w:val="clear" w:color="auto" w:fill="auto"/>
          </w:tcPr>
          <w:p w14:paraId="05BC63C4" w14:textId="77777777" w:rsidR="003B4E09" w:rsidRPr="00B77038" w:rsidRDefault="003B4E09" w:rsidP="0058765B">
            <w:pPr>
              <w:suppressAutoHyphens w:val="0"/>
              <w:snapToGrid w:val="0"/>
              <w:spacing w:before="40" w:after="80" w:line="220" w:lineRule="exact"/>
              <w:ind w:right="113"/>
            </w:pPr>
            <w:r w:rsidRPr="00B77038">
              <w:t>How the cooperative approach avoids locking in emission levels, technologies or practices that are inconsistent with achieving the long</w:t>
            </w:r>
            <w:r>
              <w:noBreakHyphen/>
            </w:r>
            <w:r w:rsidRPr="00B77038">
              <w:t>term goals of the Paris Agreement</w:t>
            </w:r>
          </w:p>
        </w:tc>
      </w:tr>
      <w:tr w:rsidR="003B4E09" w:rsidRPr="00B43793" w14:paraId="7882D98B" w14:textId="77777777" w:rsidTr="79542A3B">
        <w:trPr>
          <w:trHeight w:val="240"/>
        </w:trPr>
        <w:tc>
          <w:tcPr>
            <w:tcW w:w="2552" w:type="dxa"/>
            <w:vMerge/>
          </w:tcPr>
          <w:p w14:paraId="2A1695A7"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bottom w:val="nil"/>
              <w:right w:val="nil"/>
            </w:tcBorders>
            <w:shd w:val="clear" w:color="auto" w:fill="auto"/>
          </w:tcPr>
          <w:p w14:paraId="3F77F871" w14:textId="77777777" w:rsidR="003B4E09" w:rsidRPr="00B77038" w:rsidRDefault="003B4E09" w:rsidP="0058765B">
            <w:pPr>
              <w:suppressAutoHyphens w:val="0"/>
              <w:snapToGrid w:val="0"/>
              <w:spacing w:before="40" w:after="80" w:line="220" w:lineRule="exact"/>
              <w:ind w:right="113"/>
            </w:pPr>
            <w:r w:rsidRPr="00B77038">
              <w:t>How the mitigation outcomes from the cooperative approach are shared between the participating Parties</w:t>
            </w:r>
          </w:p>
        </w:tc>
      </w:tr>
      <w:tr w:rsidR="003B4E09" w:rsidRPr="00B43793" w14:paraId="39230C2F" w14:textId="77777777" w:rsidTr="79542A3B">
        <w:trPr>
          <w:trHeight w:val="240"/>
        </w:trPr>
        <w:tc>
          <w:tcPr>
            <w:tcW w:w="2552" w:type="dxa"/>
            <w:vMerge/>
          </w:tcPr>
          <w:p w14:paraId="4EE0A92C"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bottom w:val="nil"/>
              <w:right w:val="nil"/>
            </w:tcBorders>
            <w:shd w:val="clear" w:color="auto" w:fill="auto"/>
          </w:tcPr>
          <w:p w14:paraId="1BC6EA9B" w14:textId="77777777" w:rsidR="003B4E09" w:rsidRPr="00B77038" w:rsidRDefault="003B4E09" w:rsidP="0058765B">
            <w:pPr>
              <w:suppressAutoHyphens w:val="0"/>
              <w:snapToGrid w:val="0"/>
              <w:spacing w:before="40" w:after="80" w:line="220" w:lineRule="exact"/>
              <w:ind w:right="113"/>
            </w:pPr>
            <w:r w:rsidRPr="00B77038">
              <w:rPr>
                <w:bCs/>
              </w:rPr>
              <w:t>H</w:t>
            </w:r>
            <w:r w:rsidRPr="00B77038">
              <w:t xml:space="preserve">ow it is ensured that decision-making processes in an underlying policy or regulatory framework, and relevant activities, are transparent and inclusive, and whether they include </w:t>
            </w:r>
            <w:r w:rsidRPr="00B77038">
              <w:rPr>
                <w:bCs/>
              </w:rPr>
              <w:t>opportunities</w:t>
            </w:r>
            <w:r w:rsidRPr="00B77038">
              <w:t xml:space="preserve"> for public participation and scrutiny, including the standards and procedures for conducting </w:t>
            </w:r>
            <w:r w:rsidRPr="00B77038">
              <w:rPr>
                <w:bCs/>
              </w:rPr>
              <w:t>stakeholder</w:t>
            </w:r>
            <w:r w:rsidRPr="00B77038">
              <w:t xml:space="preserve"> consultation, including with civil society organizations, Indigenous Peoples and local communities</w:t>
            </w:r>
          </w:p>
        </w:tc>
      </w:tr>
      <w:tr w:rsidR="003B4E09" w:rsidRPr="00B43793" w14:paraId="2FD6AF60" w14:textId="77777777" w:rsidTr="79542A3B">
        <w:trPr>
          <w:trHeight w:val="240"/>
        </w:trPr>
        <w:tc>
          <w:tcPr>
            <w:tcW w:w="2552" w:type="dxa"/>
            <w:vMerge/>
          </w:tcPr>
          <w:p w14:paraId="109732AE"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bottom w:val="nil"/>
              <w:right w:val="nil"/>
            </w:tcBorders>
            <w:shd w:val="clear" w:color="auto" w:fill="auto"/>
          </w:tcPr>
          <w:p w14:paraId="137FFB41" w14:textId="77777777" w:rsidR="003B4E09" w:rsidRPr="00B77038" w:rsidRDefault="003B4E09" w:rsidP="0058765B">
            <w:pPr>
              <w:suppressAutoHyphens w:val="0"/>
              <w:snapToGrid w:val="0"/>
              <w:spacing w:before="40" w:after="80" w:line="220" w:lineRule="exact"/>
              <w:ind w:right="113"/>
            </w:pPr>
            <w:r w:rsidRPr="00B77038">
              <w:t>How participation in the cooperative approach and the combination of all cooperative approaches in which the Party participates contributes to the implementation of the Party’s nationally determined contribution and long-term low-emission development strategy, if it has submitted one, and the long-term goals of the Paris Agreement</w:t>
            </w:r>
          </w:p>
        </w:tc>
      </w:tr>
      <w:tr w:rsidR="003B4E09" w:rsidRPr="00B43793" w14:paraId="1A353D6B" w14:textId="77777777" w:rsidTr="00D2464E">
        <w:trPr>
          <w:trHeight w:val="357"/>
        </w:trPr>
        <w:tc>
          <w:tcPr>
            <w:tcW w:w="2552" w:type="dxa"/>
            <w:vMerge w:val="restart"/>
            <w:tcBorders>
              <w:top w:val="nil"/>
              <w:left w:val="nil"/>
              <w:right w:val="nil"/>
            </w:tcBorders>
            <w:shd w:val="clear" w:color="auto" w:fill="auto"/>
          </w:tcPr>
          <w:p w14:paraId="5A12C9A5" w14:textId="7E580C99" w:rsidR="003B4E09" w:rsidRPr="00B77038" w:rsidRDefault="003B4E09" w:rsidP="0058765B">
            <w:pPr>
              <w:suppressAutoHyphens w:val="0"/>
              <w:snapToGrid w:val="0"/>
              <w:spacing w:before="40" w:after="80" w:line="220" w:lineRule="exact"/>
              <w:ind w:right="113"/>
              <w:rPr>
                <w:bCs/>
              </w:rPr>
            </w:pPr>
            <w:r w:rsidRPr="00B77038">
              <w:rPr>
                <w:bCs/>
              </w:rPr>
              <w:t xml:space="preserve">Decision </w:t>
            </w:r>
            <w:hyperlink r:id="rId119" w:history="1">
              <w:r w:rsidRPr="00514C67">
                <w:rPr>
                  <w:rStyle w:val="Hyperlink"/>
                  <w:bCs/>
                </w:rPr>
                <w:t>2/CMA.3</w:t>
              </w:r>
            </w:hyperlink>
            <w:r w:rsidRPr="00B77038">
              <w:rPr>
                <w:bCs/>
              </w:rPr>
              <w:t>, annex, paragraph 18(h)(ii)</w:t>
            </w:r>
          </w:p>
        </w:tc>
        <w:tc>
          <w:tcPr>
            <w:tcW w:w="5953" w:type="dxa"/>
            <w:tcBorders>
              <w:top w:val="nil"/>
              <w:left w:val="nil"/>
              <w:bottom w:val="nil"/>
              <w:right w:val="nil"/>
            </w:tcBorders>
            <w:shd w:val="clear" w:color="auto" w:fill="auto"/>
          </w:tcPr>
          <w:p w14:paraId="1DCE9BA1" w14:textId="77777777" w:rsidR="003B4E09" w:rsidRPr="00B77038" w:rsidRDefault="003B4E09" w:rsidP="0058765B">
            <w:pPr>
              <w:suppressAutoHyphens w:val="0"/>
              <w:snapToGrid w:val="0"/>
              <w:spacing w:before="40" w:after="80" w:line="220" w:lineRule="exact"/>
              <w:ind w:right="113"/>
            </w:pPr>
            <w:r w:rsidRPr="00B77038">
              <w:t>How any baseline or reference levels have been established, including how the participating Party has taken into account its</w:t>
            </w:r>
            <w:r w:rsidRPr="00B77038" w:rsidDel="0097222E">
              <w:t xml:space="preserve"> </w:t>
            </w:r>
            <w:r w:rsidRPr="00B77038">
              <w:t>nationally determined contribution and long-term low-emission development strategy, if it has submitted one, as well as any relevant climate policies, laws, regulations or targets</w:t>
            </w:r>
          </w:p>
        </w:tc>
      </w:tr>
      <w:tr w:rsidR="003B4E09" w:rsidRPr="00B43793" w14:paraId="4E577A00" w14:textId="77777777" w:rsidTr="79542A3B">
        <w:trPr>
          <w:trHeight w:val="356"/>
        </w:trPr>
        <w:tc>
          <w:tcPr>
            <w:tcW w:w="2552" w:type="dxa"/>
            <w:vMerge/>
          </w:tcPr>
          <w:p w14:paraId="0781E1C1"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bottom w:val="nil"/>
              <w:right w:val="nil"/>
            </w:tcBorders>
            <w:shd w:val="clear" w:color="auto" w:fill="auto"/>
          </w:tcPr>
          <w:p w14:paraId="1CBE5F37" w14:textId="77777777" w:rsidR="003B4E09" w:rsidRPr="00B77038" w:rsidRDefault="003B4E09" w:rsidP="0058765B">
            <w:pPr>
              <w:suppressAutoHyphens w:val="0"/>
              <w:snapToGrid w:val="0"/>
              <w:spacing w:before="40" w:after="80" w:line="220" w:lineRule="exact"/>
              <w:ind w:right="113"/>
            </w:pPr>
            <w:r w:rsidRPr="00B77038">
              <w:t>How baseline and reference levels are established ensure they are conservative and below ‘business as usual’ emission projections, and information on what assumptions have been made</w:t>
            </w:r>
          </w:p>
        </w:tc>
      </w:tr>
      <w:tr w:rsidR="003B4E09" w:rsidRPr="00B43793" w14:paraId="1D5C18E4" w14:textId="77777777" w:rsidTr="79542A3B">
        <w:trPr>
          <w:trHeight w:val="240"/>
        </w:trPr>
        <w:tc>
          <w:tcPr>
            <w:tcW w:w="2552" w:type="dxa"/>
            <w:vMerge/>
          </w:tcPr>
          <w:p w14:paraId="0CF0349C"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bottom w:val="nil"/>
              <w:right w:val="nil"/>
            </w:tcBorders>
            <w:shd w:val="clear" w:color="auto" w:fill="auto"/>
          </w:tcPr>
          <w:p w14:paraId="761EF9A5" w14:textId="77777777" w:rsidR="003B4E09" w:rsidRPr="00B77038" w:rsidRDefault="003B4E09" w:rsidP="0058765B">
            <w:pPr>
              <w:suppressAutoHyphens w:val="0"/>
              <w:snapToGrid w:val="0"/>
              <w:spacing w:before="40" w:after="80" w:line="220" w:lineRule="exact"/>
              <w:ind w:right="113"/>
            </w:pPr>
            <w:r w:rsidRPr="00B77038">
              <w:t>The methodological approaches used for quantifying the mitigation outcomes derived from the cooperative approach</w:t>
            </w:r>
          </w:p>
        </w:tc>
      </w:tr>
      <w:tr w:rsidR="003B4E09" w:rsidRPr="00B43793" w14:paraId="0E51D709" w14:textId="77777777" w:rsidTr="79542A3B">
        <w:trPr>
          <w:trHeight w:val="240"/>
        </w:trPr>
        <w:tc>
          <w:tcPr>
            <w:tcW w:w="2552" w:type="dxa"/>
            <w:vMerge/>
          </w:tcPr>
          <w:p w14:paraId="7133B6AC"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bottom w:val="nil"/>
              <w:right w:val="nil"/>
            </w:tcBorders>
            <w:shd w:val="clear" w:color="auto" w:fill="auto"/>
          </w:tcPr>
          <w:p w14:paraId="67F3C823" w14:textId="77777777" w:rsidR="003B4E09" w:rsidRPr="00B77038" w:rsidRDefault="003B4E09" w:rsidP="0058765B">
            <w:pPr>
              <w:suppressAutoHyphens w:val="0"/>
              <w:snapToGrid w:val="0"/>
              <w:spacing w:before="40" w:after="80" w:line="220" w:lineRule="exact"/>
              <w:ind w:right="113"/>
            </w:pPr>
            <w:r w:rsidRPr="00B77038">
              <w:t>How uncertainties in the quantification of emission reductions and removals are assessed and how such uncertainties are taken into account</w:t>
            </w:r>
          </w:p>
        </w:tc>
      </w:tr>
      <w:tr w:rsidR="003B4E09" w:rsidRPr="00B43793" w14:paraId="36ACEB48" w14:textId="77777777" w:rsidTr="79542A3B">
        <w:tc>
          <w:tcPr>
            <w:tcW w:w="2552" w:type="dxa"/>
            <w:vMerge/>
          </w:tcPr>
          <w:p w14:paraId="74B33275"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left w:val="nil"/>
              <w:right w:val="nil"/>
            </w:tcBorders>
            <w:shd w:val="clear" w:color="auto" w:fill="auto"/>
          </w:tcPr>
          <w:p w14:paraId="19A3A991" w14:textId="77777777" w:rsidR="003B4E09" w:rsidRPr="00B77038" w:rsidRDefault="003B4E09" w:rsidP="0058765B">
            <w:pPr>
              <w:suppressAutoHyphens w:val="0"/>
              <w:snapToGrid w:val="0"/>
              <w:spacing w:before="40" w:after="80" w:line="220" w:lineRule="exact"/>
              <w:ind w:right="113"/>
            </w:pPr>
            <w:r w:rsidRPr="00B77038">
              <w:t xml:space="preserve">How </w:t>
            </w:r>
            <w:r w:rsidRPr="00B77038">
              <w:rPr>
                <w:bCs/>
              </w:rPr>
              <w:t>the risk of leakage is assessed, and prevented or minimized, and how any remaining leakage will be quantified and deducted in the quantification of mitigation outcomes</w:t>
            </w:r>
          </w:p>
        </w:tc>
      </w:tr>
      <w:tr w:rsidR="003B4E09" w:rsidRPr="00B43793" w14:paraId="6FA5B4A6" w14:textId="77777777" w:rsidTr="00D2464E">
        <w:trPr>
          <w:trHeight w:val="240"/>
        </w:trPr>
        <w:tc>
          <w:tcPr>
            <w:tcW w:w="2552" w:type="dxa"/>
            <w:tcBorders>
              <w:top w:val="nil"/>
            </w:tcBorders>
            <w:shd w:val="clear" w:color="auto" w:fill="auto"/>
          </w:tcPr>
          <w:p w14:paraId="22CAE733" w14:textId="12E84D4F" w:rsidR="003B4E09" w:rsidRPr="00B77038" w:rsidRDefault="003B4E09" w:rsidP="0058765B">
            <w:pPr>
              <w:suppressAutoHyphens w:val="0"/>
              <w:snapToGrid w:val="0"/>
              <w:spacing w:before="40" w:after="80" w:line="220" w:lineRule="exact"/>
              <w:ind w:right="113"/>
              <w:rPr>
                <w:bCs/>
              </w:rPr>
            </w:pPr>
            <w:r w:rsidRPr="00B77038">
              <w:rPr>
                <w:bCs/>
              </w:rPr>
              <w:t xml:space="preserve">Decision </w:t>
            </w:r>
            <w:hyperlink r:id="rId120" w:history="1">
              <w:r w:rsidRPr="00514C67">
                <w:rPr>
                  <w:rStyle w:val="Hyperlink"/>
                  <w:bCs/>
                </w:rPr>
                <w:t>2/CMA.3</w:t>
              </w:r>
            </w:hyperlink>
            <w:r w:rsidRPr="00B77038">
              <w:rPr>
                <w:bCs/>
              </w:rPr>
              <w:t>, annex, paragraph 18(h)(iii)</w:t>
            </w:r>
          </w:p>
        </w:tc>
        <w:tc>
          <w:tcPr>
            <w:tcW w:w="5953" w:type="dxa"/>
            <w:tcBorders>
              <w:top w:val="nil"/>
            </w:tcBorders>
            <w:shd w:val="clear" w:color="auto" w:fill="auto"/>
          </w:tcPr>
          <w:p w14:paraId="5D145249" w14:textId="77777777" w:rsidR="003B4E09" w:rsidRPr="00B77038" w:rsidRDefault="003B4E09" w:rsidP="0058765B">
            <w:pPr>
              <w:suppressAutoHyphens w:val="0"/>
              <w:snapToGrid w:val="0"/>
              <w:spacing w:before="40" w:after="80" w:line="220" w:lineRule="exact"/>
              <w:ind w:right="113"/>
            </w:pPr>
            <w:r w:rsidRPr="00B77038">
              <w:t xml:space="preserve">How the risk of non-permanence is assessed under the cooperative approach and minimized across several nationally determined contribution periods, including the frequency and timing of risk assessments, the methodological approaches used for those assessments, </w:t>
            </w:r>
            <w:r w:rsidRPr="00B77038">
              <w:lastRenderedPageBreak/>
              <w:t>the types of risk identified, the likelihood, scale and potential impacts of such risks, and the time-horizons considered</w:t>
            </w:r>
          </w:p>
        </w:tc>
      </w:tr>
      <w:tr w:rsidR="003B4E09" w:rsidRPr="00B43793" w14:paraId="05A2E8AA" w14:textId="77777777" w:rsidTr="00D2464E">
        <w:trPr>
          <w:trHeight w:val="240"/>
        </w:trPr>
        <w:tc>
          <w:tcPr>
            <w:tcW w:w="2552" w:type="dxa"/>
            <w:shd w:val="clear" w:color="auto" w:fill="auto"/>
          </w:tcPr>
          <w:p w14:paraId="4310475B" w14:textId="77777777" w:rsidR="003B4E09" w:rsidRPr="00B77038" w:rsidRDefault="003B4E09" w:rsidP="0058765B">
            <w:pPr>
              <w:suppressAutoHyphens w:val="0"/>
              <w:snapToGrid w:val="0"/>
              <w:spacing w:before="40" w:after="80" w:line="220" w:lineRule="exact"/>
              <w:ind w:right="113"/>
              <w:rPr>
                <w:bCs/>
              </w:rPr>
            </w:pPr>
          </w:p>
        </w:tc>
        <w:tc>
          <w:tcPr>
            <w:tcW w:w="5953" w:type="dxa"/>
            <w:tcBorders>
              <w:top w:val="nil"/>
            </w:tcBorders>
            <w:shd w:val="clear" w:color="auto" w:fill="auto"/>
          </w:tcPr>
          <w:p w14:paraId="628E3C0F" w14:textId="77777777" w:rsidR="003B4E09" w:rsidRPr="00B77038" w:rsidRDefault="003B4E09" w:rsidP="0058765B">
            <w:pPr>
              <w:suppressAutoHyphens w:val="0"/>
              <w:snapToGrid w:val="0"/>
              <w:spacing w:before="40" w:after="80" w:line="220" w:lineRule="exact"/>
              <w:ind w:right="113"/>
            </w:pPr>
            <w:r w:rsidRPr="00B77038">
              <w:rPr>
                <w:bCs/>
              </w:rPr>
              <w:t>How reversals are monitored and quantified, and when they occur, how they are addressed in full, including which methodological approaches are used to address reversals, how the responsibility for addressing reversals is assigned, the duration and frequency of monitoring for reversals, and the measures envisaged in case of failures in monitoring</w:t>
            </w:r>
          </w:p>
        </w:tc>
      </w:tr>
      <w:tr w:rsidR="003B4E09" w:rsidRPr="00B43793" w14:paraId="3DE59F2C" w14:textId="77777777" w:rsidTr="00D2464E">
        <w:trPr>
          <w:trHeight w:val="240"/>
        </w:trPr>
        <w:tc>
          <w:tcPr>
            <w:tcW w:w="2552" w:type="dxa"/>
            <w:tcBorders>
              <w:bottom w:val="nil"/>
            </w:tcBorders>
            <w:shd w:val="clear" w:color="auto" w:fill="auto"/>
          </w:tcPr>
          <w:p w14:paraId="55C473BC" w14:textId="74EA8FC3" w:rsidR="003B4E09" w:rsidRPr="00B77038" w:rsidRDefault="003B4E09" w:rsidP="0058765B">
            <w:pPr>
              <w:suppressAutoHyphens w:val="0"/>
              <w:snapToGrid w:val="0"/>
              <w:spacing w:before="40" w:after="80" w:line="220" w:lineRule="exact"/>
              <w:ind w:right="113"/>
              <w:rPr>
                <w:bCs/>
              </w:rPr>
            </w:pPr>
            <w:r w:rsidRPr="00B77038">
              <w:rPr>
                <w:bCs/>
              </w:rPr>
              <w:t xml:space="preserve">Decision </w:t>
            </w:r>
            <w:hyperlink r:id="rId121" w:history="1">
              <w:r w:rsidRPr="00514C67">
                <w:rPr>
                  <w:rStyle w:val="Hyperlink"/>
                  <w:bCs/>
                </w:rPr>
                <w:t>2/CMA.3</w:t>
              </w:r>
            </w:hyperlink>
            <w:r w:rsidRPr="00B77038">
              <w:rPr>
                <w:bCs/>
              </w:rPr>
              <w:t>, annex, paragraph 18(i)(v)</w:t>
            </w:r>
          </w:p>
        </w:tc>
        <w:tc>
          <w:tcPr>
            <w:tcW w:w="5953" w:type="dxa"/>
            <w:tcBorders>
              <w:bottom w:val="nil"/>
            </w:tcBorders>
            <w:shd w:val="clear" w:color="auto" w:fill="auto"/>
          </w:tcPr>
          <w:p w14:paraId="6C98D30E" w14:textId="5050AEB5" w:rsidR="003B4E09" w:rsidRPr="00B77038" w:rsidRDefault="003B4E09" w:rsidP="0058765B">
            <w:pPr>
              <w:suppressAutoHyphens w:val="0"/>
              <w:snapToGrid w:val="0"/>
              <w:spacing w:before="40" w:after="80" w:line="220" w:lineRule="exact"/>
              <w:ind w:right="113"/>
            </w:pPr>
            <w:r w:rsidRPr="00B77038">
              <w:t xml:space="preserve">Contribution of resources for adaptation as per decision </w:t>
            </w:r>
            <w:hyperlink r:id="rId122" w:history="1">
              <w:r w:rsidRPr="00514C67">
                <w:rPr>
                  <w:rStyle w:val="Hyperlink"/>
                </w:rPr>
                <w:t>2/CMA.3</w:t>
              </w:r>
            </w:hyperlink>
            <w:r w:rsidRPr="00B77038">
              <w:t>, annex, paragraphs 22(j) and 37, if applicable</w:t>
            </w:r>
          </w:p>
        </w:tc>
      </w:tr>
      <w:tr w:rsidR="003B4E09" w:rsidRPr="00B43793" w14:paraId="3B65BD50" w14:textId="77777777" w:rsidTr="00D2464E">
        <w:trPr>
          <w:trHeight w:val="240"/>
        </w:trPr>
        <w:tc>
          <w:tcPr>
            <w:tcW w:w="2552" w:type="dxa"/>
            <w:tcBorders>
              <w:top w:val="nil"/>
              <w:bottom w:val="single" w:sz="12" w:space="0" w:color="auto"/>
            </w:tcBorders>
            <w:shd w:val="clear" w:color="auto" w:fill="auto"/>
          </w:tcPr>
          <w:p w14:paraId="2D1821CB" w14:textId="659A114A" w:rsidR="003B4E09" w:rsidRPr="00B77038" w:rsidRDefault="003B4E09" w:rsidP="0058765B">
            <w:pPr>
              <w:suppressAutoHyphens w:val="0"/>
              <w:snapToGrid w:val="0"/>
              <w:spacing w:before="40" w:after="80" w:line="220" w:lineRule="exact"/>
              <w:ind w:right="113"/>
              <w:rPr>
                <w:bCs/>
              </w:rPr>
            </w:pPr>
            <w:r w:rsidRPr="00B77038">
              <w:rPr>
                <w:bCs/>
              </w:rPr>
              <w:t xml:space="preserve">Decision </w:t>
            </w:r>
            <w:hyperlink r:id="rId123" w:history="1">
              <w:r w:rsidRPr="00514C67">
                <w:rPr>
                  <w:rStyle w:val="Hyperlink"/>
                  <w:bCs/>
                </w:rPr>
                <w:t>2/CMA.3</w:t>
              </w:r>
            </w:hyperlink>
            <w:r w:rsidRPr="00B77038">
              <w:rPr>
                <w:bCs/>
              </w:rPr>
              <w:t>, annex, paragraph 18(i)(vi)</w:t>
            </w:r>
          </w:p>
        </w:tc>
        <w:tc>
          <w:tcPr>
            <w:tcW w:w="5953" w:type="dxa"/>
            <w:tcBorders>
              <w:top w:val="nil"/>
              <w:bottom w:val="single" w:sz="12" w:space="0" w:color="auto"/>
            </w:tcBorders>
            <w:shd w:val="clear" w:color="auto" w:fill="auto"/>
          </w:tcPr>
          <w:p w14:paraId="11D5352D" w14:textId="6A92D7EE" w:rsidR="003B4E09" w:rsidRPr="00B77038" w:rsidRDefault="003B4E09" w:rsidP="0058765B">
            <w:pPr>
              <w:suppressAutoHyphens w:val="0"/>
              <w:snapToGrid w:val="0"/>
              <w:spacing w:before="40" w:after="80" w:line="220" w:lineRule="exact"/>
              <w:ind w:right="113"/>
            </w:pPr>
            <w:r w:rsidRPr="00B77038">
              <w:rPr>
                <w:bCs/>
              </w:rPr>
              <w:t xml:space="preserve">Contribution to the delivery of overall mitigation in global emissions as per decision </w:t>
            </w:r>
            <w:hyperlink r:id="rId124" w:history="1">
              <w:r w:rsidRPr="00514C67">
                <w:rPr>
                  <w:rStyle w:val="Hyperlink"/>
                  <w:bCs/>
                </w:rPr>
                <w:t>2/CMA.3</w:t>
              </w:r>
            </w:hyperlink>
            <w:r w:rsidRPr="00B77038">
              <w:rPr>
                <w:bCs/>
              </w:rPr>
              <w:t>, annex, paragraphs 22(k) and 39, if applicable</w:t>
            </w:r>
          </w:p>
        </w:tc>
      </w:tr>
    </w:tbl>
    <w:p w14:paraId="57B4691C" w14:textId="7965D47D" w:rsidR="00CB20BB" w:rsidRDefault="00CB20BB" w:rsidP="007F4347">
      <w:pPr>
        <w:pStyle w:val="RegSingleTxtG"/>
        <w:numPr>
          <w:ilvl w:val="0"/>
          <w:numId w:val="0"/>
        </w:numPr>
      </w:pPr>
    </w:p>
    <w:p w14:paraId="0A2D5291" w14:textId="77777777" w:rsidR="00CB20BB" w:rsidRDefault="00CB20BB" w:rsidP="007F4347">
      <w:pPr>
        <w:pStyle w:val="RegSingleTxtG"/>
        <w:numPr>
          <w:ilvl w:val="0"/>
          <w:numId w:val="0"/>
        </w:numPr>
        <w:sectPr w:rsidR="00CB20BB" w:rsidSect="00C86F14">
          <w:headerReference w:type="even" r:id="rId125"/>
          <w:headerReference w:type="default" r:id="rId126"/>
          <w:footerReference w:type="even" r:id="rId127"/>
          <w:footerReference w:type="default" r:id="rId128"/>
          <w:headerReference w:type="first" r:id="rId129"/>
          <w:footerReference w:type="first" r:id="rId130"/>
          <w:footnotePr>
            <w:numRestart w:val="eachSect"/>
          </w:footnotePr>
          <w:pgSz w:w="11906" w:h="16838" w:code="9"/>
          <w:pgMar w:top="1417" w:right="1134" w:bottom="1134" w:left="1134" w:header="850" w:footer="567" w:gutter="0"/>
          <w:cols w:space="708"/>
          <w:docGrid w:linePitch="360"/>
        </w:sectPr>
      </w:pPr>
    </w:p>
    <w:p w14:paraId="433DA252" w14:textId="5A7950CE" w:rsidR="003C38D5" w:rsidRDefault="003C38D5" w:rsidP="008B57C2">
      <w:pPr>
        <w:pStyle w:val="HChG"/>
        <w:spacing w:before="120"/>
      </w:pPr>
      <w:r>
        <w:lastRenderedPageBreak/>
        <w:t>Annex II</w:t>
      </w:r>
    </w:p>
    <w:p w14:paraId="2E8901FA" w14:textId="5B139758" w:rsidR="003C38D5" w:rsidRPr="00982720" w:rsidRDefault="003C38D5" w:rsidP="003C38D5">
      <w:pPr>
        <w:pStyle w:val="HChG"/>
        <w:tabs>
          <w:tab w:val="clear" w:pos="851"/>
        </w:tabs>
        <w:ind w:firstLine="0"/>
      </w:pPr>
      <w:r w:rsidRPr="00982720">
        <w:t xml:space="preserve">Draft version of the agreed electronic format referred to in decision </w:t>
      </w:r>
      <w:r w:rsidRPr="00831721">
        <w:t>2/CMA.3</w:t>
      </w:r>
      <w:r w:rsidRPr="00982720">
        <w:t>, annex, chapter IV.B (</w:t>
      </w:r>
      <w:r w:rsidRPr="006107F1">
        <w:t>annual</w:t>
      </w:r>
      <w:r w:rsidRPr="00982720">
        <w:t xml:space="preserve"> information)</w:t>
      </w:r>
      <w:r w:rsidRPr="00AF386D">
        <w:rPr>
          <w:rStyle w:val="FootnoteReference"/>
          <w:sz w:val="24"/>
          <w:szCs w:val="28"/>
          <w:vertAlign w:val="baseline"/>
        </w:rPr>
        <w:footnoteReference w:customMarkFollows="1" w:id="38"/>
        <w:t>*</w:t>
      </w:r>
    </w:p>
    <w:p w14:paraId="591D93A8" w14:textId="77777777" w:rsidR="003C38D5" w:rsidRPr="006107F1" w:rsidRDefault="003C38D5" w:rsidP="003C38D5">
      <w:pPr>
        <w:ind w:right="1387"/>
        <w:jc w:val="right"/>
      </w:pPr>
      <w:r w:rsidRPr="006107F1">
        <w:t>[English only]</w:t>
      </w:r>
    </w:p>
    <w:p w14:paraId="5EB68AF1" w14:textId="6FB0A766" w:rsidR="003C38D5" w:rsidRPr="00F50E90" w:rsidRDefault="003C38D5" w:rsidP="003C38D5">
      <w:pPr>
        <w:tabs>
          <w:tab w:val="left" w:pos="1701"/>
        </w:tabs>
        <w:spacing w:after="120"/>
        <w:ind w:left="1134" w:right="1134"/>
      </w:pPr>
      <w:r w:rsidRPr="00D13C57">
        <w:t>An electronic version of the</w:t>
      </w:r>
      <w:r>
        <w:t xml:space="preserve"> draft version of the agreed electronic format</w:t>
      </w:r>
      <w:r w:rsidRPr="00D13C57">
        <w:t xml:space="preserve"> can </w:t>
      </w:r>
      <w:r w:rsidRPr="00506BA1">
        <w:t xml:space="preserve">be found </w:t>
      </w:r>
      <w:hyperlink r:id="rId131" w:history="1">
        <w:r w:rsidRPr="006107F1">
          <w:rPr>
            <w:rStyle w:val="Hyperlink"/>
          </w:rPr>
          <w:t>here</w:t>
        </w:r>
      </w:hyperlink>
      <w:r>
        <w:t>.</w:t>
      </w:r>
    </w:p>
    <w:tbl>
      <w:tblPr>
        <w:tblW w:w="11624" w:type="dxa"/>
        <w:tblInd w:w="1134" w:type="dxa"/>
        <w:tblLook w:val="04A0" w:firstRow="1" w:lastRow="0" w:firstColumn="1" w:lastColumn="0" w:noHBand="0" w:noVBand="1"/>
      </w:tblPr>
      <w:tblGrid>
        <w:gridCol w:w="4476"/>
        <w:gridCol w:w="7148"/>
      </w:tblGrid>
      <w:tr w:rsidR="003C38D5" w:rsidRPr="002D5721" w14:paraId="380A27A1" w14:textId="77777777" w:rsidTr="00D2464E">
        <w:trPr>
          <w:trHeight w:val="300"/>
        </w:trPr>
        <w:tc>
          <w:tcPr>
            <w:tcW w:w="4476" w:type="dxa"/>
            <w:tcBorders>
              <w:top w:val="nil"/>
              <w:left w:val="nil"/>
              <w:bottom w:val="single" w:sz="12" w:space="0" w:color="auto"/>
              <w:right w:val="nil"/>
            </w:tcBorders>
            <w:shd w:val="clear" w:color="000000" w:fill="FFFFFF"/>
            <w:noWrap/>
            <w:vAlign w:val="center"/>
            <w:hideMark/>
          </w:tcPr>
          <w:p w14:paraId="1BFD2382"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Table 1: Submission</w:t>
            </w:r>
          </w:p>
        </w:tc>
        <w:tc>
          <w:tcPr>
            <w:tcW w:w="7148" w:type="dxa"/>
            <w:tcBorders>
              <w:top w:val="nil"/>
              <w:left w:val="nil"/>
              <w:bottom w:val="single" w:sz="12" w:space="0" w:color="auto"/>
              <w:right w:val="nil"/>
            </w:tcBorders>
            <w:shd w:val="clear" w:color="000000" w:fill="FFFFFF"/>
            <w:noWrap/>
            <w:vAlign w:val="center"/>
            <w:hideMark/>
          </w:tcPr>
          <w:p w14:paraId="5947F18A"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 </w:t>
            </w:r>
          </w:p>
        </w:tc>
      </w:tr>
      <w:tr w:rsidR="003C38D5" w:rsidRPr="002D5721" w14:paraId="79372F19" w14:textId="77777777" w:rsidTr="00D2464E">
        <w:trPr>
          <w:trHeight w:val="300"/>
        </w:trPr>
        <w:tc>
          <w:tcPr>
            <w:tcW w:w="4476" w:type="dxa"/>
            <w:tcBorders>
              <w:top w:val="nil"/>
              <w:left w:val="nil"/>
              <w:bottom w:val="nil"/>
              <w:right w:val="nil"/>
            </w:tcBorders>
            <w:shd w:val="clear" w:color="000000" w:fill="FFFFFF"/>
            <w:noWrap/>
            <w:vAlign w:val="center"/>
            <w:hideMark/>
          </w:tcPr>
          <w:p w14:paraId="789F25EC"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Party</w:t>
            </w:r>
            <w:r w:rsidRPr="00B83335">
              <w:rPr>
                <w:rStyle w:val="EndnoteReference"/>
                <w:rFonts w:eastAsia="Times New Roman"/>
                <w:b/>
                <w:color w:val="262626"/>
              </w:rPr>
              <w:endnoteReference w:id="2"/>
            </w:r>
          </w:p>
        </w:tc>
        <w:tc>
          <w:tcPr>
            <w:tcW w:w="7148" w:type="dxa"/>
            <w:tcBorders>
              <w:top w:val="nil"/>
              <w:left w:val="nil"/>
              <w:bottom w:val="nil"/>
              <w:right w:val="nil"/>
            </w:tcBorders>
            <w:shd w:val="clear" w:color="000000" w:fill="FFFFFF"/>
            <w:noWrap/>
            <w:vAlign w:val="center"/>
            <w:hideMark/>
          </w:tcPr>
          <w:p w14:paraId="0C7ED828" w14:textId="77777777" w:rsidR="003C38D5" w:rsidRPr="00B83335" w:rsidRDefault="003C38D5" w:rsidP="00D2464E">
            <w:pPr>
              <w:suppressAutoHyphens w:val="0"/>
              <w:spacing w:line="240" w:lineRule="auto"/>
              <w:jc w:val="right"/>
              <w:rPr>
                <w:rFonts w:eastAsia="Times New Roman"/>
                <w:color w:val="262626"/>
              </w:rPr>
            </w:pPr>
            <w:r w:rsidRPr="00B83335">
              <w:rPr>
                <w:rFonts w:eastAsia="Times New Roman"/>
                <w:color w:val="262626"/>
              </w:rPr>
              <w:t>Party</w:t>
            </w:r>
          </w:p>
        </w:tc>
      </w:tr>
      <w:tr w:rsidR="003C38D5" w:rsidRPr="002D5721" w14:paraId="6503AB2B" w14:textId="77777777" w:rsidTr="00D2464E">
        <w:trPr>
          <w:trHeight w:val="288"/>
        </w:trPr>
        <w:tc>
          <w:tcPr>
            <w:tcW w:w="4476" w:type="dxa"/>
            <w:tcBorders>
              <w:top w:val="nil"/>
              <w:left w:val="nil"/>
              <w:bottom w:val="nil"/>
              <w:right w:val="nil"/>
            </w:tcBorders>
            <w:shd w:val="clear" w:color="000000" w:fill="FFFFFF"/>
            <w:noWrap/>
            <w:vAlign w:val="center"/>
            <w:hideMark/>
          </w:tcPr>
          <w:p w14:paraId="5516D79A"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Version</w:t>
            </w:r>
            <w:r w:rsidRPr="00B83335">
              <w:rPr>
                <w:rStyle w:val="EndnoteReference"/>
                <w:rFonts w:eastAsia="Times New Roman"/>
                <w:b/>
                <w:color w:val="FFFFFF" w:themeColor="background1"/>
              </w:rPr>
              <w:endnoteReference w:id="3"/>
            </w:r>
          </w:p>
        </w:tc>
        <w:tc>
          <w:tcPr>
            <w:tcW w:w="7148" w:type="dxa"/>
            <w:tcBorders>
              <w:top w:val="nil"/>
              <w:left w:val="nil"/>
              <w:bottom w:val="nil"/>
              <w:right w:val="nil"/>
            </w:tcBorders>
            <w:shd w:val="clear" w:color="000000" w:fill="FFFFFF"/>
            <w:noWrap/>
            <w:vAlign w:val="center"/>
            <w:hideMark/>
          </w:tcPr>
          <w:p w14:paraId="685A2328" w14:textId="77777777" w:rsidR="003C38D5" w:rsidRPr="00B83335" w:rsidRDefault="003C38D5" w:rsidP="00D2464E">
            <w:pPr>
              <w:suppressAutoHyphens w:val="0"/>
              <w:spacing w:line="240" w:lineRule="auto"/>
              <w:jc w:val="right"/>
              <w:rPr>
                <w:rFonts w:eastAsia="Times New Roman"/>
                <w:color w:val="262626"/>
              </w:rPr>
            </w:pPr>
            <w:r w:rsidRPr="00B83335">
              <w:rPr>
                <w:rFonts w:eastAsia="Times New Roman"/>
                <w:color w:val="262626"/>
              </w:rPr>
              <w:t>X.Y</w:t>
            </w:r>
          </w:p>
        </w:tc>
      </w:tr>
      <w:tr w:rsidR="003C38D5" w:rsidRPr="002D5721" w14:paraId="7E267BAE" w14:textId="77777777" w:rsidTr="00D2464E">
        <w:trPr>
          <w:trHeight w:val="288"/>
        </w:trPr>
        <w:tc>
          <w:tcPr>
            <w:tcW w:w="4476" w:type="dxa"/>
            <w:tcBorders>
              <w:top w:val="nil"/>
              <w:left w:val="nil"/>
              <w:bottom w:val="nil"/>
              <w:right w:val="nil"/>
            </w:tcBorders>
            <w:shd w:val="clear" w:color="000000" w:fill="FFFFFF"/>
            <w:noWrap/>
            <w:vAlign w:val="center"/>
            <w:hideMark/>
          </w:tcPr>
          <w:p w14:paraId="58CA7134"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Reported year</w:t>
            </w:r>
            <w:r w:rsidRPr="00B83335">
              <w:rPr>
                <w:rFonts w:eastAsia="Times New Roman"/>
                <w:b/>
                <w:color w:val="262626"/>
                <w:vertAlign w:val="superscript"/>
              </w:rPr>
              <w:t>b</w:t>
            </w:r>
          </w:p>
        </w:tc>
        <w:tc>
          <w:tcPr>
            <w:tcW w:w="7148" w:type="dxa"/>
            <w:tcBorders>
              <w:top w:val="nil"/>
              <w:left w:val="nil"/>
              <w:bottom w:val="nil"/>
              <w:right w:val="nil"/>
            </w:tcBorders>
            <w:shd w:val="clear" w:color="000000" w:fill="FFFFFF"/>
            <w:noWrap/>
            <w:vAlign w:val="center"/>
            <w:hideMark/>
          </w:tcPr>
          <w:p w14:paraId="6965B6E6" w14:textId="77777777" w:rsidR="003C38D5" w:rsidRPr="00B83335" w:rsidRDefault="003C38D5" w:rsidP="00D2464E">
            <w:pPr>
              <w:suppressAutoHyphens w:val="0"/>
              <w:spacing w:line="240" w:lineRule="auto"/>
              <w:jc w:val="right"/>
              <w:rPr>
                <w:rFonts w:eastAsia="Times New Roman"/>
                <w:color w:val="262626"/>
              </w:rPr>
            </w:pPr>
            <w:r w:rsidRPr="00B83335">
              <w:rPr>
                <w:rFonts w:eastAsia="Times New Roman"/>
                <w:color w:val="262626"/>
              </w:rPr>
              <w:t>Year</w:t>
            </w:r>
          </w:p>
        </w:tc>
      </w:tr>
      <w:tr w:rsidR="003C38D5" w:rsidRPr="002D5721" w14:paraId="7D1C7190" w14:textId="77777777" w:rsidTr="00D2464E">
        <w:trPr>
          <w:trHeight w:val="288"/>
        </w:trPr>
        <w:tc>
          <w:tcPr>
            <w:tcW w:w="4476" w:type="dxa"/>
            <w:tcBorders>
              <w:top w:val="nil"/>
              <w:left w:val="nil"/>
              <w:bottom w:val="nil"/>
              <w:right w:val="nil"/>
            </w:tcBorders>
            <w:shd w:val="clear" w:color="000000" w:fill="FFFFFF"/>
            <w:noWrap/>
            <w:vAlign w:val="center"/>
            <w:hideMark/>
          </w:tcPr>
          <w:p w14:paraId="2563B228"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Date of submission</w:t>
            </w:r>
          </w:p>
        </w:tc>
        <w:tc>
          <w:tcPr>
            <w:tcW w:w="7148" w:type="dxa"/>
            <w:tcBorders>
              <w:top w:val="nil"/>
              <w:left w:val="nil"/>
              <w:bottom w:val="nil"/>
              <w:right w:val="nil"/>
            </w:tcBorders>
            <w:shd w:val="clear" w:color="000000" w:fill="FFFFFF"/>
            <w:noWrap/>
            <w:vAlign w:val="center"/>
            <w:hideMark/>
          </w:tcPr>
          <w:p w14:paraId="7CB66A64" w14:textId="77777777" w:rsidR="003C38D5" w:rsidRPr="00B83335" w:rsidRDefault="003C38D5" w:rsidP="00D2464E">
            <w:pPr>
              <w:suppressAutoHyphens w:val="0"/>
              <w:spacing w:line="240" w:lineRule="auto"/>
              <w:jc w:val="right"/>
              <w:rPr>
                <w:rFonts w:eastAsia="Times New Roman"/>
                <w:color w:val="262626"/>
              </w:rPr>
            </w:pPr>
            <w:r w:rsidRPr="00B83335">
              <w:rPr>
                <w:rFonts w:eastAsia="Times New Roman"/>
                <w:color w:val="262626"/>
              </w:rPr>
              <w:t>dd/mm/yyyy</w:t>
            </w:r>
          </w:p>
        </w:tc>
      </w:tr>
      <w:tr w:rsidR="003C38D5" w:rsidRPr="002D5721" w14:paraId="56AB74D4" w14:textId="77777777" w:rsidTr="00D2464E">
        <w:trPr>
          <w:trHeight w:val="288"/>
        </w:trPr>
        <w:tc>
          <w:tcPr>
            <w:tcW w:w="4476" w:type="dxa"/>
            <w:tcBorders>
              <w:top w:val="nil"/>
              <w:left w:val="nil"/>
              <w:bottom w:val="nil"/>
              <w:right w:val="nil"/>
            </w:tcBorders>
            <w:shd w:val="clear" w:color="000000" w:fill="FFFFFF"/>
            <w:noWrap/>
            <w:vAlign w:val="center"/>
            <w:hideMark/>
          </w:tcPr>
          <w:p w14:paraId="473DAF9A" w14:textId="77777777" w:rsidR="003C38D5" w:rsidRPr="00B83335" w:rsidRDefault="003C38D5" w:rsidP="00D2464E">
            <w:pPr>
              <w:suppressAutoHyphens w:val="0"/>
              <w:spacing w:line="240" w:lineRule="auto"/>
              <w:rPr>
                <w:rFonts w:eastAsia="Times New Roman"/>
                <w:b/>
              </w:rPr>
            </w:pPr>
            <w:r w:rsidRPr="00B83335">
              <w:rPr>
                <w:rFonts w:eastAsia="Times New Roman"/>
                <w:b/>
              </w:rPr>
              <w:t>Review status of the initial report</w:t>
            </w:r>
            <w:r w:rsidRPr="00B83335">
              <w:rPr>
                <w:rStyle w:val="EndnoteReference"/>
                <w:rFonts w:eastAsia="Times New Roman"/>
                <w:b/>
              </w:rPr>
              <w:endnoteReference w:id="4"/>
            </w:r>
          </w:p>
        </w:tc>
        <w:tc>
          <w:tcPr>
            <w:tcW w:w="7148" w:type="dxa"/>
            <w:tcBorders>
              <w:top w:val="nil"/>
              <w:left w:val="nil"/>
              <w:bottom w:val="nil"/>
              <w:right w:val="nil"/>
            </w:tcBorders>
            <w:shd w:val="clear" w:color="000000" w:fill="FFFFFF"/>
            <w:vAlign w:val="center"/>
            <w:hideMark/>
          </w:tcPr>
          <w:p w14:paraId="24867E63" w14:textId="77777777" w:rsidR="003C38D5" w:rsidRPr="00B83335" w:rsidRDefault="003C38D5" w:rsidP="00D2464E">
            <w:pPr>
              <w:suppressAutoHyphens w:val="0"/>
              <w:spacing w:line="240" w:lineRule="auto"/>
              <w:jc w:val="right"/>
              <w:rPr>
                <w:rFonts w:eastAsia="Times New Roman"/>
                <w:i/>
                <w:color w:val="262626"/>
              </w:rPr>
            </w:pPr>
            <w:r w:rsidRPr="00B83335">
              <w:rPr>
                <w:rFonts w:eastAsia="Times New Roman"/>
                <w:i/>
                <w:color w:val="262626"/>
              </w:rPr>
              <w:t>{Information in this field is populated by the CARP}</w:t>
            </w:r>
          </w:p>
        </w:tc>
      </w:tr>
      <w:tr w:rsidR="003C38D5" w:rsidRPr="002D5721" w14:paraId="117965FE" w14:textId="77777777" w:rsidTr="00D2464E">
        <w:trPr>
          <w:trHeight w:val="576"/>
        </w:trPr>
        <w:tc>
          <w:tcPr>
            <w:tcW w:w="4476" w:type="dxa"/>
            <w:tcBorders>
              <w:top w:val="nil"/>
              <w:left w:val="nil"/>
              <w:bottom w:val="nil"/>
              <w:right w:val="nil"/>
            </w:tcBorders>
            <w:shd w:val="clear" w:color="000000" w:fill="FFFFFF"/>
            <w:vAlign w:val="center"/>
            <w:hideMark/>
          </w:tcPr>
          <w:p w14:paraId="0AADD331" w14:textId="40522A66" w:rsidR="003C38D5" w:rsidRPr="00B83335" w:rsidRDefault="003C38D5" w:rsidP="00D2464E">
            <w:pPr>
              <w:suppressAutoHyphens w:val="0"/>
              <w:spacing w:line="240" w:lineRule="auto"/>
              <w:rPr>
                <w:rFonts w:eastAsia="Times New Roman"/>
                <w:b/>
              </w:rPr>
            </w:pPr>
            <w:r w:rsidRPr="00B83335">
              <w:rPr>
                <w:rFonts w:eastAsia="Times New Roman"/>
                <w:b/>
              </w:rPr>
              <w:t>Result of the consistency check of this AEF submission</w:t>
            </w:r>
            <w:r w:rsidRPr="00B83335">
              <w:rPr>
                <w:rStyle w:val="EndnoteReference"/>
                <w:rFonts w:eastAsia="Times New Roman"/>
                <w:b/>
              </w:rPr>
              <w:endnoteReference w:id="5"/>
            </w:r>
          </w:p>
        </w:tc>
        <w:tc>
          <w:tcPr>
            <w:tcW w:w="7148" w:type="dxa"/>
            <w:tcBorders>
              <w:top w:val="nil"/>
              <w:left w:val="nil"/>
              <w:bottom w:val="nil"/>
              <w:right w:val="nil"/>
            </w:tcBorders>
            <w:shd w:val="clear" w:color="000000" w:fill="FFFFFF"/>
            <w:vAlign w:val="center"/>
            <w:hideMark/>
          </w:tcPr>
          <w:p w14:paraId="498BC10A" w14:textId="77777777" w:rsidR="003C38D5" w:rsidRPr="00B83335" w:rsidRDefault="003C38D5" w:rsidP="00D2464E">
            <w:pPr>
              <w:suppressAutoHyphens w:val="0"/>
              <w:spacing w:line="240" w:lineRule="auto"/>
              <w:jc w:val="right"/>
              <w:rPr>
                <w:rFonts w:eastAsia="Times New Roman"/>
                <w:i/>
                <w:color w:val="262626"/>
              </w:rPr>
            </w:pPr>
            <w:r w:rsidRPr="00B83335">
              <w:rPr>
                <w:rFonts w:eastAsia="Times New Roman"/>
                <w:i/>
                <w:color w:val="262626"/>
              </w:rPr>
              <w:t>{Information in this field is populated by the CARP}</w:t>
            </w:r>
          </w:p>
        </w:tc>
      </w:tr>
      <w:tr w:rsidR="003C38D5" w:rsidRPr="002D5721" w14:paraId="0E41276F" w14:textId="77777777" w:rsidTr="00D2464E">
        <w:trPr>
          <w:trHeight w:val="288"/>
        </w:trPr>
        <w:tc>
          <w:tcPr>
            <w:tcW w:w="4476" w:type="dxa"/>
            <w:tcBorders>
              <w:top w:val="nil"/>
              <w:left w:val="nil"/>
              <w:bottom w:val="nil"/>
              <w:right w:val="nil"/>
            </w:tcBorders>
            <w:shd w:val="clear" w:color="000000" w:fill="FFFFFF"/>
            <w:noWrap/>
            <w:vAlign w:val="center"/>
            <w:hideMark/>
          </w:tcPr>
          <w:p w14:paraId="794A6E14"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First year of the NDC implementation period</w:t>
            </w:r>
          </w:p>
        </w:tc>
        <w:tc>
          <w:tcPr>
            <w:tcW w:w="7148" w:type="dxa"/>
            <w:tcBorders>
              <w:top w:val="nil"/>
              <w:left w:val="nil"/>
              <w:bottom w:val="nil"/>
              <w:right w:val="nil"/>
            </w:tcBorders>
            <w:shd w:val="clear" w:color="000000" w:fill="FFFFFF"/>
            <w:noWrap/>
            <w:vAlign w:val="center"/>
            <w:hideMark/>
          </w:tcPr>
          <w:p w14:paraId="376DE6EF" w14:textId="77777777" w:rsidR="003C38D5" w:rsidRPr="00B83335" w:rsidRDefault="003C38D5" w:rsidP="00D2464E">
            <w:pPr>
              <w:suppressAutoHyphens w:val="0"/>
              <w:spacing w:line="240" w:lineRule="auto"/>
              <w:jc w:val="right"/>
              <w:rPr>
                <w:rFonts w:eastAsia="Times New Roman"/>
                <w:color w:val="262626"/>
              </w:rPr>
            </w:pPr>
            <w:r w:rsidRPr="00B83335">
              <w:rPr>
                <w:rFonts w:eastAsia="Times New Roman"/>
                <w:color w:val="262626"/>
              </w:rPr>
              <w:t>Year</w:t>
            </w:r>
          </w:p>
        </w:tc>
      </w:tr>
      <w:tr w:rsidR="003C38D5" w:rsidRPr="002D5721" w14:paraId="4746185C" w14:textId="77777777" w:rsidTr="00D2464E">
        <w:trPr>
          <w:trHeight w:val="288"/>
        </w:trPr>
        <w:tc>
          <w:tcPr>
            <w:tcW w:w="4476" w:type="dxa"/>
            <w:tcBorders>
              <w:top w:val="nil"/>
              <w:left w:val="nil"/>
              <w:bottom w:val="nil"/>
              <w:right w:val="nil"/>
            </w:tcBorders>
            <w:shd w:val="clear" w:color="000000" w:fill="FFFFFF"/>
            <w:noWrap/>
            <w:vAlign w:val="center"/>
            <w:hideMark/>
          </w:tcPr>
          <w:p w14:paraId="7492812C"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Last year of the NDC implementation period</w:t>
            </w:r>
          </w:p>
        </w:tc>
        <w:tc>
          <w:tcPr>
            <w:tcW w:w="7148" w:type="dxa"/>
            <w:tcBorders>
              <w:top w:val="nil"/>
              <w:left w:val="nil"/>
              <w:bottom w:val="nil"/>
              <w:right w:val="nil"/>
            </w:tcBorders>
            <w:shd w:val="clear" w:color="000000" w:fill="FFFFFF"/>
            <w:noWrap/>
            <w:vAlign w:val="center"/>
            <w:hideMark/>
          </w:tcPr>
          <w:p w14:paraId="33726980" w14:textId="77777777" w:rsidR="003C38D5" w:rsidRPr="00B83335" w:rsidRDefault="003C38D5" w:rsidP="00D2464E">
            <w:pPr>
              <w:suppressAutoHyphens w:val="0"/>
              <w:spacing w:line="240" w:lineRule="auto"/>
              <w:jc w:val="right"/>
              <w:rPr>
                <w:rFonts w:eastAsia="Times New Roman"/>
                <w:color w:val="262626"/>
              </w:rPr>
            </w:pPr>
            <w:r w:rsidRPr="00B83335">
              <w:rPr>
                <w:rFonts w:eastAsia="Times New Roman"/>
                <w:color w:val="262626"/>
              </w:rPr>
              <w:t>Year</w:t>
            </w:r>
          </w:p>
        </w:tc>
      </w:tr>
      <w:tr w:rsidR="003C38D5" w:rsidRPr="002D5721" w14:paraId="65355D86" w14:textId="77777777" w:rsidTr="00D2464E">
        <w:trPr>
          <w:trHeight w:val="540"/>
        </w:trPr>
        <w:tc>
          <w:tcPr>
            <w:tcW w:w="4476" w:type="dxa"/>
            <w:tcBorders>
              <w:top w:val="nil"/>
              <w:left w:val="nil"/>
              <w:bottom w:val="single" w:sz="12" w:space="0" w:color="auto"/>
              <w:right w:val="nil"/>
            </w:tcBorders>
            <w:shd w:val="clear" w:color="000000" w:fill="FFFFFF"/>
            <w:vAlign w:val="center"/>
            <w:hideMark/>
          </w:tcPr>
          <w:p w14:paraId="6721587D" w14:textId="77777777" w:rsidR="003C38D5" w:rsidRPr="00B83335" w:rsidRDefault="003C38D5" w:rsidP="00D2464E">
            <w:pPr>
              <w:suppressAutoHyphens w:val="0"/>
              <w:spacing w:line="240" w:lineRule="auto"/>
              <w:rPr>
                <w:rFonts w:eastAsia="Times New Roman"/>
                <w:b/>
                <w:color w:val="262626"/>
              </w:rPr>
            </w:pPr>
            <w:r w:rsidRPr="00B83335">
              <w:rPr>
                <w:rFonts w:eastAsia="Times New Roman"/>
                <w:b/>
                <w:color w:val="262626"/>
              </w:rPr>
              <w:t>Reference to the Article 6 technical expert review report of the initial report</w:t>
            </w:r>
            <w:r w:rsidRPr="00B83335">
              <w:rPr>
                <w:rStyle w:val="EndnoteReference"/>
                <w:rFonts w:eastAsia="Times New Roman"/>
                <w:b/>
                <w:color w:val="262626"/>
              </w:rPr>
              <w:endnoteReference w:id="6"/>
            </w:r>
          </w:p>
        </w:tc>
        <w:tc>
          <w:tcPr>
            <w:tcW w:w="7148" w:type="dxa"/>
            <w:tcBorders>
              <w:top w:val="nil"/>
              <w:left w:val="nil"/>
              <w:bottom w:val="single" w:sz="12" w:space="0" w:color="auto"/>
              <w:right w:val="nil"/>
            </w:tcBorders>
            <w:shd w:val="clear" w:color="000000" w:fill="FFFFFF"/>
            <w:noWrap/>
            <w:vAlign w:val="center"/>
            <w:hideMark/>
          </w:tcPr>
          <w:p w14:paraId="054C8FCD" w14:textId="77777777" w:rsidR="003C38D5" w:rsidRPr="00B83335" w:rsidRDefault="003C38D5" w:rsidP="00D2464E">
            <w:pPr>
              <w:suppressAutoHyphens w:val="0"/>
              <w:spacing w:line="240" w:lineRule="auto"/>
              <w:jc w:val="right"/>
              <w:rPr>
                <w:rFonts w:eastAsia="Times New Roman"/>
                <w:i/>
                <w:color w:val="262626"/>
              </w:rPr>
            </w:pPr>
            <w:r w:rsidRPr="00B83335">
              <w:rPr>
                <w:rFonts w:eastAsia="Times New Roman"/>
                <w:i/>
                <w:color w:val="262626"/>
              </w:rPr>
              <w:t>{Link to be produced by the CARP}</w:t>
            </w:r>
          </w:p>
        </w:tc>
      </w:tr>
    </w:tbl>
    <w:p w14:paraId="4B51C468" w14:textId="3668E978" w:rsidR="00C12AA2" w:rsidRPr="00B83335" w:rsidRDefault="00C12AA2" w:rsidP="009078BC">
      <w:pPr>
        <w:keepNext/>
        <w:tabs>
          <w:tab w:val="left" w:pos="1701"/>
        </w:tabs>
        <w:spacing w:line="60" w:lineRule="exact"/>
        <w:ind w:right="1134"/>
        <w:jc w:val="both"/>
        <w:rPr>
          <w:color w:val="FF0000"/>
        </w:rPr>
        <w:sectPr w:rsidR="00C12AA2" w:rsidRPr="00B83335" w:rsidSect="002235F3">
          <w:headerReference w:type="even" r:id="rId132"/>
          <w:headerReference w:type="default" r:id="rId133"/>
          <w:footerReference w:type="even" r:id="rId134"/>
          <w:footerReference w:type="default" r:id="rId135"/>
          <w:headerReference w:type="first" r:id="rId136"/>
          <w:endnotePr>
            <w:numFmt w:val="lowerLetter"/>
            <w:numRestart w:val="eachSect"/>
          </w:endnotePr>
          <w:pgSz w:w="16838" w:h="11906" w:orient="landscape" w:code="9"/>
          <w:pgMar w:top="1134" w:right="1417" w:bottom="1134" w:left="1134" w:header="567" w:footer="567" w:gutter="0"/>
          <w:cols w:space="708"/>
          <w:docGrid w:linePitch="360"/>
        </w:sectPr>
      </w:pPr>
    </w:p>
    <w:tbl>
      <w:tblPr>
        <w:tblW w:w="14175" w:type="dxa"/>
        <w:tblLook w:val="04A0" w:firstRow="1" w:lastRow="0" w:firstColumn="1" w:lastColumn="0" w:noHBand="0" w:noVBand="1"/>
      </w:tblPr>
      <w:tblGrid>
        <w:gridCol w:w="1411"/>
        <w:gridCol w:w="584"/>
        <w:gridCol w:w="869"/>
        <w:gridCol w:w="609"/>
        <w:gridCol w:w="687"/>
        <w:gridCol w:w="701"/>
        <w:gridCol w:w="839"/>
        <w:gridCol w:w="458"/>
        <w:gridCol w:w="68"/>
        <w:gridCol w:w="1073"/>
        <w:gridCol w:w="593"/>
        <w:gridCol w:w="1087"/>
        <w:gridCol w:w="144"/>
        <w:gridCol w:w="1411"/>
        <w:gridCol w:w="282"/>
        <w:gridCol w:w="1129"/>
        <w:gridCol w:w="865"/>
        <w:gridCol w:w="366"/>
        <w:gridCol w:w="999"/>
      </w:tblGrid>
      <w:tr w:rsidR="009C6A63" w:rsidRPr="0085578D" w14:paraId="502EEB53" w14:textId="77777777" w:rsidTr="008D70F1">
        <w:trPr>
          <w:trHeight w:val="288"/>
        </w:trPr>
        <w:tc>
          <w:tcPr>
            <w:tcW w:w="4160" w:type="dxa"/>
            <w:gridSpan w:val="5"/>
            <w:tcBorders>
              <w:top w:val="nil"/>
              <w:left w:val="nil"/>
              <w:bottom w:val="nil"/>
              <w:right w:val="nil"/>
            </w:tcBorders>
            <w:shd w:val="clear" w:color="000000" w:fill="FFFFFF"/>
            <w:noWrap/>
            <w:vAlign w:val="bottom"/>
            <w:hideMark/>
          </w:tcPr>
          <w:p w14:paraId="47A2D44D" w14:textId="77777777" w:rsidR="009C6A63" w:rsidRPr="00B83335" w:rsidRDefault="009C6A63" w:rsidP="000C756C">
            <w:pPr>
              <w:suppressAutoHyphens w:val="0"/>
              <w:spacing w:before="180"/>
              <w:rPr>
                <w:rFonts w:eastAsia="Times New Roman"/>
                <w:b/>
              </w:rPr>
            </w:pPr>
            <w:r w:rsidRPr="00B83335">
              <w:rPr>
                <w:rFonts w:eastAsia="Times New Roman"/>
                <w:b/>
              </w:rPr>
              <w:lastRenderedPageBreak/>
              <w:t>Table 2: Authorizations</w:t>
            </w:r>
          </w:p>
        </w:tc>
        <w:tc>
          <w:tcPr>
            <w:tcW w:w="1540" w:type="dxa"/>
            <w:gridSpan w:val="2"/>
            <w:tcBorders>
              <w:top w:val="nil"/>
              <w:left w:val="nil"/>
              <w:bottom w:val="nil"/>
              <w:right w:val="nil"/>
            </w:tcBorders>
            <w:shd w:val="clear" w:color="000000" w:fill="FFFFFF"/>
            <w:noWrap/>
            <w:vAlign w:val="bottom"/>
            <w:hideMark/>
          </w:tcPr>
          <w:p w14:paraId="4CB77287"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58" w:type="dxa"/>
            <w:tcBorders>
              <w:top w:val="nil"/>
              <w:left w:val="nil"/>
              <w:bottom w:val="nil"/>
              <w:right w:val="nil"/>
            </w:tcBorders>
            <w:shd w:val="clear" w:color="000000" w:fill="FFFFFF"/>
            <w:noWrap/>
            <w:vAlign w:val="bottom"/>
            <w:hideMark/>
          </w:tcPr>
          <w:p w14:paraId="34B175BE"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34" w:type="dxa"/>
            <w:gridSpan w:val="3"/>
            <w:tcBorders>
              <w:top w:val="nil"/>
              <w:left w:val="nil"/>
              <w:bottom w:val="single" w:sz="4" w:space="0" w:color="auto"/>
              <w:right w:val="nil"/>
            </w:tcBorders>
            <w:shd w:val="clear" w:color="000000" w:fill="FFFFFF"/>
            <w:noWrap/>
            <w:vAlign w:val="bottom"/>
            <w:hideMark/>
          </w:tcPr>
          <w:p w14:paraId="16FEC58E"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231" w:type="dxa"/>
            <w:gridSpan w:val="2"/>
            <w:tcBorders>
              <w:top w:val="nil"/>
              <w:left w:val="nil"/>
              <w:bottom w:val="single" w:sz="4" w:space="0" w:color="auto"/>
              <w:right w:val="nil"/>
            </w:tcBorders>
            <w:shd w:val="clear" w:color="000000" w:fill="FFFFFF"/>
            <w:noWrap/>
            <w:vAlign w:val="bottom"/>
            <w:hideMark/>
          </w:tcPr>
          <w:p w14:paraId="46ED8FA8"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411" w:type="dxa"/>
            <w:tcBorders>
              <w:top w:val="nil"/>
              <w:left w:val="nil"/>
              <w:bottom w:val="single" w:sz="4" w:space="0" w:color="auto"/>
              <w:right w:val="nil"/>
            </w:tcBorders>
            <w:shd w:val="clear" w:color="000000" w:fill="FFFFFF"/>
            <w:noWrap/>
            <w:vAlign w:val="bottom"/>
            <w:hideMark/>
          </w:tcPr>
          <w:p w14:paraId="22AD0D47"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411" w:type="dxa"/>
            <w:gridSpan w:val="2"/>
            <w:tcBorders>
              <w:top w:val="nil"/>
              <w:left w:val="nil"/>
              <w:bottom w:val="single" w:sz="4" w:space="0" w:color="auto"/>
              <w:right w:val="nil"/>
            </w:tcBorders>
            <w:shd w:val="clear" w:color="000000" w:fill="FFFFFF"/>
            <w:noWrap/>
            <w:vAlign w:val="bottom"/>
            <w:hideMark/>
          </w:tcPr>
          <w:p w14:paraId="63E33030"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231" w:type="dxa"/>
            <w:gridSpan w:val="2"/>
            <w:tcBorders>
              <w:top w:val="nil"/>
              <w:left w:val="nil"/>
              <w:bottom w:val="single" w:sz="4" w:space="0" w:color="auto"/>
              <w:right w:val="nil"/>
            </w:tcBorders>
            <w:shd w:val="clear" w:color="000000" w:fill="FFFFFF"/>
            <w:noWrap/>
            <w:vAlign w:val="bottom"/>
            <w:hideMark/>
          </w:tcPr>
          <w:p w14:paraId="1DBC81A6"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999" w:type="dxa"/>
            <w:tcBorders>
              <w:top w:val="nil"/>
              <w:left w:val="nil"/>
              <w:bottom w:val="single" w:sz="4" w:space="0" w:color="auto"/>
              <w:right w:val="nil"/>
            </w:tcBorders>
            <w:shd w:val="clear" w:color="000000" w:fill="FFFFFF"/>
            <w:noWrap/>
            <w:vAlign w:val="bottom"/>
            <w:hideMark/>
          </w:tcPr>
          <w:p w14:paraId="63C67978"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r>
      <w:tr w:rsidR="009C6A63" w:rsidRPr="0085578D" w14:paraId="352B8F4F" w14:textId="77777777" w:rsidTr="008D70F1">
        <w:trPr>
          <w:trHeight w:val="288"/>
        </w:trPr>
        <w:tc>
          <w:tcPr>
            <w:tcW w:w="5700" w:type="dxa"/>
            <w:gridSpan w:val="7"/>
            <w:tcBorders>
              <w:top w:val="single" w:sz="4" w:space="0" w:color="auto"/>
              <w:left w:val="nil"/>
              <w:bottom w:val="single" w:sz="4" w:space="0" w:color="auto"/>
              <w:right w:val="nil"/>
            </w:tcBorders>
            <w:shd w:val="clear" w:color="000000" w:fill="FFFFFF"/>
            <w:noWrap/>
            <w:vAlign w:val="bottom"/>
            <w:hideMark/>
          </w:tcPr>
          <w:p w14:paraId="3306BD3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w:t>
            </w:r>
          </w:p>
        </w:tc>
        <w:tc>
          <w:tcPr>
            <w:tcW w:w="458" w:type="dxa"/>
            <w:tcBorders>
              <w:top w:val="single" w:sz="4" w:space="0" w:color="auto"/>
              <w:left w:val="nil"/>
              <w:bottom w:val="nil"/>
              <w:right w:val="nil"/>
            </w:tcBorders>
            <w:shd w:val="clear" w:color="000000" w:fill="FFFFFF"/>
            <w:noWrap/>
            <w:vAlign w:val="bottom"/>
            <w:hideMark/>
          </w:tcPr>
          <w:p w14:paraId="24960707"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8017" w:type="dxa"/>
            <w:gridSpan w:val="11"/>
            <w:tcBorders>
              <w:top w:val="single" w:sz="4" w:space="0" w:color="auto"/>
              <w:left w:val="nil"/>
              <w:bottom w:val="single" w:sz="4" w:space="0" w:color="auto"/>
              <w:right w:val="nil"/>
            </w:tcBorders>
            <w:shd w:val="clear" w:color="000000" w:fill="FFFFFF"/>
            <w:noWrap/>
            <w:vAlign w:val="bottom"/>
            <w:hideMark/>
          </w:tcPr>
          <w:p w14:paraId="2A9870C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details </w:t>
            </w:r>
          </w:p>
        </w:tc>
      </w:tr>
      <w:tr w:rsidR="009C6A63" w:rsidRPr="0085578D" w14:paraId="787759B5" w14:textId="77777777" w:rsidTr="008D70F1">
        <w:trPr>
          <w:trHeight w:val="576"/>
        </w:trPr>
        <w:tc>
          <w:tcPr>
            <w:tcW w:w="1411" w:type="dxa"/>
            <w:tcBorders>
              <w:top w:val="nil"/>
              <w:left w:val="nil"/>
              <w:bottom w:val="single" w:sz="8" w:space="0" w:color="auto"/>
              <w:right w:val="nil"/>
            </w:tcBorders>
            <w:shd w:val="clear" w:color="000000" w:fill="FFFFFF"/>
            <w:vAlign w:val="bottom"/>
            <w:hideMark/>
          </w:tcPr>
          <w:p w14:paraId="47B5100D"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ID</w:t>
            </w:r>
            <w:r w:rsidRPr="00B83335">
              <w:rPr>
                <w:rFonts w:eastAsia="Times New Roman"/>
                <w:i/>
                <w:sz w:val="16"/>
                <w:szCs w:val="16"/>
                <w:vertAlign w:val="superscript"/>
              </w:rPr>
              <w:t>a</w:t>
            </w:r>
          </w:p>
        </w:tc>
        <w:tc>
          <w:tcPr>
            <w:tcW w:w="1453" w:type="dxa"/>
            <w:gridSpan w:val="2"/>
            <w:tcBorders>
              <w:top w:val="nil"/>
              <w:left w:val="nil"/>
              <w:bottom w:val="single" w:sz="8" w:space="0" w:color="auto"/>
              <w:right w:val="nil"/>
            </w:tcBorders>
            <w:shd w:val="clear" w:color="000000" w:fill="FFFFFF"/>
            <w:vAlign w:val="bottom"/>
            <w:hideMark/>
          </w:tcPr>
          <w:p w14:paraId="08359E8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Date of authorization</w:t>
            </w:r>
            <w:r w:rsidRPr="00B83335">
              <w:rPr>
                <w:rFonts w:eastAsia="Times New Roman"/>
                <w:i/>
                <w:sz w:val="16"/>
                <w:szCs w:val="16"/>
                <w:vertAlign w:val="superscript"/>
              </w:rPr>
              <w:t>b</w:t>
            </w:r>
          </w:p>
        </w:tc>
        <w:tc>
          <w:tcPr>
            <w:tcW w:w="1296" w:type="dxa"/>
            <w:gridSpan w:val="2"/>
            <w:tcBorders>
              <w:top w:val="nil"/>
              <w:left w:val="nil"/>
              <w:bottom w:val="single" w:sz="8" w:space="0" w:color="auto"/>
              <w:right w:val="nil"/>
            </w:tcBorders>
            <w:shd w:val="clear" w:color="000000" w:fill="FFFFFF"/>
            <w:vAlign w:val="bottom"/>
            <w:hideMark/>
          </w:tcPr>
          <w:p w14:paraId="0C0ECEA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Cooperative approach ID</w:t>
            </w:r>
            <w:r w:rsidRPr="00B83335">
              <w:rPr>
                <w:rFonts w:eastAsia="Times New Roman"/>
                <w:i/>
                <w:sz w:val="16"/>
                <w:szCs w:val="16"/>
                <w:vertAlign w:val="superscript"/>
              </w:rPr>
              <w:t>c</w:t>
            </w:r>
          </w:p>
        </w:tc>
        <w:tc>
          <w:tcPr>
            <w:tcW w:w="1540" w:type="dxa"/>
            <w:gridSpan w:val="2"/>
            <w:tcBorders>
              <w:top w:val="nil"/>
              <w:left w:val="nil"/>
              <w:bottom w:val="single" w:sz="8" w:space="0" w:color="auto"/>
              <w:right w:val="nil"/>
            </w:tcBorders>
            <w:shd w:val="clear" w:color="000000" w:fill="FFFFFF"/>
            <w:vAlign w:val="bottom"/>
            <w:hideMark/>
          </w:tcPr>
          <w:p w14:paraId="2F198B1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Version of the authorization</w:t>
            </w:r>
          </w:p>
        </w:tc>
        <w:tc>
          <w:tcPr>
            <w:tcW w:w="458" w:type="dxa"/>
            <w:tcBorders>
              <w:top w:val="nil"/>
              <w:left w:val="nil"/>
              <w:bottom w:val="single" w:sz="8" w:space="0" w:color="auto"/>
              <w:right w:val="nil"/>
            </w:tcBorders>
            <w:shd w:val="clear" w:color="000000" w:fill="FFFFFF"/>
            <w:vAlign w:val="bottom"/>
            <w:hideMark/>
          </w:tcPr>
          <w:p w14:paraId="01F9EFB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734" w:type="dxa"/>
            <w:gridSpan w:val="3"/>
            <w:tcBorders>
              <w:top w:val="nil"/>
              <w:left w:val="nil"/>
              <w:bottom w:val="single" w:sz="8" w:space="0" w:color="auto"/>
              <w:right w:val="nil"/>
            </w:tcBorders>
            <w:shd w:val="clear" w:color="000000" w:fill="FFFFFF"/>
            <w:vAlign w:val="bottom"/>
            <w:hideMark/>
          </w:tcPr>
          <w:p w14:paraId="6C6CEFD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Authorized quantity</w:t>
            </w:r>
            <w:r w:rsidRPr="00B83335">
              <w:rPr>
                <w:rFonts w:eastAsia="Times New Roman"/>
                <w:i/>
                <w:sz w:val="16"/>
                <w:szCs w:val="16"/>
                <w:vertAlign w:val="superscript"/>
              </w:rPr>
              <w:t>d</w:t>
            </w:r>
          </w:p>
        </w:tc>
        <w:tc>
          <w:tcPr>
            <w:tcW w:w="1231" w:type="dxa"/>
            <w:gridSpan w:val="2"/>
            <w:tcBorders>
              <w:top w:val="nil"/>
              <w:left w:val="nil"/>
              <w:bottom w:val="single" w:sz="8" w:space="0" w:color="auto"/>
              <w:right w:val="nil"/>
            </w:tcBorders>
            <w:shd w:val="clear" w:color="000000" w:fill="FFFFFF"/>
            <w:vAlign w:val="bottom"/>
            <w:hideMark/>
          </w:tcPr>
          <w:p w14:paraId="2A3A71E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Metric</w:t>
            </w:r>
          </w:p>
        </w:tc>
        <w:tc>
          <w:tcPr>
            <w:tcW w:w="1411" w:type="dxa"/>
            <w:tcBorders>
              <w:top w:val="nil"/>
              <w:left w:val="nil"/>
              <w:bottom w:val="single" w:sz="8" w:space="0" w:color="auto"/>
              <w:right w:val="nil"/>
            </w:tcBorders>
            <w:shd w:val="clear" w:color="auto" w:fill="auto"/>
            <w:vAlign w:val="bottom"/>
            <w:hideMark/>
          </w:tcPr>
          <w:p w14:paraId="1F2FED67"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Applicable GWP value(s)</w:t>
            </w:r>
            <w:r w:rsidRPr="00B83335">
              <w:rPr>
                <w:rFonts w:eastAsia="Times New Roman"/>
                <w:i/>
                <w:sz w:val="16"/>
                <w:szCs w:val="16"/>
                <w:vertAlign w:val="superscript"/>
              </w:rPr>
              <w:t>e</w:t>
            </w:r>
          </w:p>
        </w:tc>
        <w:tc>
          <w:tcPr>
            <w:tcW w:w="1411" w:type="dxa"/>
            <w:gridSpan w:val="2"/>
            <w:tcBorders>
              <w:top w:val="nil"/>
              <w:left w:val="nil"/>
              <w:bottom w:val="single" w:sz="8" w:space="0" w:color="auto"/>
              <w:right w:val="nil"/>
            </w:tcBorders>
            <w:shd w:val="clear" w:color="000000" w:fill="FFFFFF"/>
            <w:vAlign w:val="bottom"/>
            <w:hideMark/>
          </w:tcPr>
          <w:p w14:paraId="0CB35D6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Applicable non-GHG metric</w:t>
            </w:r>
            <w:r w:rsidRPr="00B83335">
              <w:rPr>
                <w:rFonts w:eastAsia="Times New Roman"/>
                <w:i/>
                <w:sz w:val="16"/>
                <w:szCs w:val="16"/>
                <w:vertAlign w:val="superscript"/>
              </w:rPr>
              <w:t>f</w:t>
            </w:r>
          </w:p>
        </w:tc>
        <w:tc>
          <w:tcPr>
            <w:tcW w:w="1231" w:type="dxa"/>
            <w:gridSpan w:val="2"/>
            <w:tcBorders>
              <w:top w:val="nil"/>
              <w:left w:val="nil"/>
              <w:bottom w:val="single" w:sz="8" w:space="0" w:color="auto"/>
              <w:right w:val="nil"/>
            </w:tcBorders>
            <w:shd w:val="clear" w:color="000000" w:fill="FFFFFF"/>
            <w:vAlign w:val="bottom"/>
            <w:hideMark/>
          </w:tcPr>
          <w:p w14:paraId="5812780E"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Sector(s)</w:t>
            </w:r>
            <w:r w:rsidRPr="00B83335">
              <w:rPr>
                <w:rFonts w:eastAsia="Times New Roman"/>
                <w:i/>
                <w:sz w:val="16"/>
                <w:szCs w:val="16"/>
                <w:vertAlign w:val="superscript"/>
              </w:rPr>
              <w:t>g</w:t>
            </w:r>
          </w:p>
        </w:tc>
        <w:tc>
          <w:tcPr>
            <w:tcW w:w="999" w:type="dxa"/>
            <w:tcBorders>
              <w:top w:val="nil"/>
              <w:left w:val="nil"/>
              <w:bottom w:val="single" w:sz="8" w:space="0" w:color="auto"/>
              <w:right w:val="nil"/>
            </w:tcBorders>
            <w:shd w:val="clear" w:color="000000" w:fill="FFFFFF"/>
            <w:vAlign w:val="bottom"/>
            <w:hideMark/>
          </w:tcPr>
          <w:p w14:paraId="579489CD"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Activity type(s)</w:t>
            </w:r>
            <w:r w:rsidRPr="00B83335">
              <w:rPr>
                <w:rFonts w:eastAsia="Times New Roman"/>
                <w:i/>
                <w:sz w:val="16"/>
                <w:szCs w:val="16"/>
                <w:vertAlign w:val="superscript"/>
              </w:rPr>
              <w:t>h</w:t>
            </w:r>
          </w:p>
        </w:tc>
      </w:tr>
      <w:tr w:rsidR="009C6A63" w:rsidRPr="0085578D" w14:paraId="2FD23670" w14:textId="77777777" w:rsidTr="00D85599">
        <w:trPr>
          <w:trHeight w:val="288"/>
        </w:trPr>
        <w:tc>
          <w:tcPr>
            <w:tcW w:w="1411" w:type="dxa"/>
            <w:tcBorders>
              <w:top w:val="nil"/>
              <w:left w:val="nil"/>
              <w:right w:val="nil"/>
            </w:tcBorders>
            <w:shd w:val="clear" w:color="000000" w:fill="FFFFFF"/>
            <w:vAlign w:val="center"/>
            <w:hideMark/>
          </w:tcPr>
          <w:p w14:paraId="15B96599"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453" w:type="dxa"/>
            <w:gridSpan w:val="2"/>
            <w:tcBorders>
              <w:top w:val="nil"/>
              <w:left w:val="nil"/>
              <w:right w:val="nil"/>
            </w:tcBorders>
            <w:shd w:val="clear" w:color="000000" w:fill="FFFFFF"/>
            <w:vAlign w:val="bottom"/>
            <w:hideMark/>
          </w:tcPr>
          <w:p w14:paraId="047B6757"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296" w:type="dxa"/>
            <w:gridSpan w:val="2"/>
            <w:tcBorders>
              <w:top w:val="nil"/>
              <w:left w:val="nil"/>
              <w:right w:val="nil"/>
            </w:tcBorders>
            <w:shd w:val="clear" w:color="000000" w:fill="FFFFFF"/>
            <w:vAlign w:val="bottom"/>
            <w:hideMark/>
          </w:tcPr>
          <w:p w14:paraId="0D383665"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540" w:type="dxa"/>
            <w:gridSpan w:val="2"/>
            <w:tcBorders>
              <w:top w:val="nil"/>
              <w:left w:val="nil"/>
              <w:right w:val="nil"/>
            </w:tcBorders>
            <w:shd w:val="clear" w:color="000000" w:fill="FFFFFF"/>
            <w:vAlign w:val="bottom"/>
            <w:hideMark/>
          </w:tcPr>
          <w:p w14:paraId="408B869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58" w:type="dxa"/>
            <w:tcBorders>
              <w:top w:val="nil"/>
              <w:left w:val="nil"/>
              <w:right w:val="nil"/>
            </w:tcBorders>
            <w:shd w:val="clear" w:color="000000" w:fill="FFFFFF"/>
            <w:vAlign w:val="bottom"/>
            <w:hideMark/>
          </w:tcPr>
          <w:p w14:paraId="43B7877B"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734" w:type="dxa"/>
            <w:gridSpan w:val="3"/>
            <w:tcBorders>
              <w:top w:val="nil"/>
              <w:left w:val="nil"/>
              <w:right w:val="nil"/>
            </w:tcBorders>
            <w:shd w:val="clear" w:color="000000" w:fill="FFFFFF"/>
            <w:vAlign w:val="bottom"/>
            <w:hideMark/>
          </w:tcPr>
          <w:p w14:paraId="72D542BC"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231" w:type="dxa"/>
            <w:gridSpan w:val="2"/>
            <w:tcBorders>
              <w:top w:val="nil"/>
              <w:left w:val="nil"/>
              <w:right w:val="nil"/>
            </w:tcBorders>
            <w:shd w:val="clear" w:color="000000" w:fill="FFFFFF"/>
            <w:vAlign w:val="center"/>
            <w:hideMark/>
          </w:tcPr>
          <w:p w14:paraId="7A6E2A51" w14:textId="77777777" w:rsidR="009C6A63" w:rsidRPr="00B83335" w:rsidRDefault="009C6A63" w:rsidP="00D2464E">
            <w:pPr>
              <w:suppressAutoHyphens w:val="0"/>
              <w:spacing w:line="240" w:lineRule="auto"/>
              <w:rPr>
                <w:rFonts w:eastAsia="Times New Roman"/>
              </w:rPr>
            </w:pPr>
            <w:r w:rsidRPr="00B83335">
              <w:rPr>
                <w:rFonts w:eastAsia="Times New Roman"/>
              </w:rPr>
              <w:t>GHG</w:t>
            </w:r>
          </w:p>
        </w:tc>
        <w:tc>
          <w:tcPr>
            <w:tcW w:w="1411" w:type="dxa"/>
            <w:tcBorders>
              <w:top w:val="nil"/>
              <w:left w:val="nil"/>
              <w:right w:val="nil"/>
            </w:tcBorders>
            <w:shd w:val="clear" w:color="000000" w:fill="FFFFFF"/>
            <w:vAlign w:val="center"/>
            <w:hideMark/>
          </w:tcPr>
          <w:p w14:paraId="6F5A67B9"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411" w:type="dxa"/>
            <w:gridSpan w:val="2"/>
            <w:tcBorders>
              <w:top w:val="nil"/>
              <w:left w:val="nil"/>
              <w:right w:val="nil"/>
            </w:tcBorders>
            <w:shd w:val="clear" w:color="000000" w:fill="FFFFFF"/>
            <w:vAlign w:val="center"/>
            <w:hideMark/>
          </w:tcPr>
          <w:p w14:paraId="7A4A1F9C"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231" w:type="dxa"/>
            <w:gridSpan w:val="2"/>
            <w:tcBorders>
              <w:top w:val="nil"/>
              <w:left w:val="nil"/>
              <w:right w:val="nil"/>
            </w:tcBorders>
            <w:shd w:val="clear" w:color="000000" w:fill="FFFFFF"/>
            <w:vAlign w:val="center"/>
            <w:hideMark/>
          </w:tcPr>
          <w:p w14:paraId="08ABAA2C"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999" w:type="dxa"/>
            <w:tcBorders>
              <w:top w:val="nil"/>
              <w:left w:val="nil"/>
              <w:right w:val="nil"/>
            </w:tcBorders>
            <w:shd w:val="clear" w:color="000000" w:fill="FFFFFF"/>
            <w:vAlign w:val="center"/>
            <w:hideMark/>
          </w:tcPr>
          <w:p w14:paraId="3CAC0F42"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r w:rsidR="00B648CB" w:rsidRPr="0085578D" w14:paraId="3D8D411C" w14:textId="77777777" w:rsidTr="00D85599">
        <w:trPr>
          <w:trHeight w:val="288"/>
        </w:trPr>
        <w:tc>
          <w:tcPr>
            <w:tcW w:w="1411" w:type="dxa"/>
            <w:tcBorders>
              <w:top w:val="nil"/>
              <w:left w:val="nil"/>
              <w:right w:val="nil"/>
            </w:tcBorders>
            <w:shd w:val="clear" w:color="000000" w:fill="FFFFFF"/>
            <w:vAlign w:val="center"/>
          </w:tcPr>
          <w:p w14:paraId="3FE69FF3" w14:textId="77777777" w:rsidR="00B648CB" w:rsidRPr="00B83335" w:rsidRDefault="00B648CB" w:rsidP="00D2464E">
            <w:pPr>
              <w:suppressAutoHyphens w:val="0"/>
              <w:spacing w:line="240" w:lineRule="auto"/>
              <w:rPr>
                <w:rFonts w:eastAsia="Times New Roman"/>
              </w:rPr>
            </w:pPr>
          </w:p>
        </w:tc>
        <w:tc>
          <w:tcPr>
            <w:tcW w:w="1453" w:type="dxa"/>
            <w:gridSpan w:val="2"/>
            <w:tcBorders>
              <w:top w:val="nil"/>
              <w:left w:val="nil"/>
              <w:right w:val="nil"/>
            </w:tcBorders>
            <w:shd w:val="clear" w:color="000000" w:fill="FFFFFF"/>
            <w:vAlign w:val="bottom"/>
          </w:tcPr>
          <w:p w14:paraId="0D930F49" w14:textId="77777777" w:rsidR="00B648CB" w:rsidRPr="00B83335" w:rsidRDefault="00B648CB" w:rsidP="00D2464E">
            <w:pPr>
              <w:suppressAutoHyphens w:val="0"/>
              <w:spacing w:line="240" w:lineRule="auto"/>
              <w:jc w:val="center"/>
              <w:rPr>
                <w:rFonts w:eastAsia="Times New Roman"/>
                <w:i/>
                <w:sz w:val="16"/>
                <w:szCs w:val="16"/>
              </w:rPr>
            </w:pPr>
          </w:p>
        </w:tc>
        <w:tc>
          <w:tcPr>
            <w:tcW w:w="1296" w:type="dxa"/>
            <w:gridSpan w:val="2"/>
            <w:tcBorders>
              <w:top w:val="nil"/>
              <w:left w:val="nil"/>
              <w:right w:val="nil"/>
            </w:tcBorders>
            <w:shd w:val="clear" w:color="000000" w:fill="FFFFFF"/>
            <w:vAlign w:val="bottom"/>
          </w:tcPr>
          <w:p w14:paraId="5DBE2D79" w14:textId="77777777" w:rsidR="00B648CB" w:rsidRPr="00B83335" w:rsidRDefault="00B648CB" w:rsidP="00D2464E">
            <w:pPr>
              <w:suppressAutoHyphens w:val="0"/>
              <w:spacing w:line="240" w:lineRule="auto"/>
              <w:jc w:val="center"/>
              <w:rPr>
                <w:rFonts w:eastAsia="Times New Roman"/>
                <w:i/>
                <w:sz w:val="16"/>
                <w:szCs w:val="16"/>
              </w:rPr>
            </w:pPr>
          </w:p>
        </w:tc>
        <w:tc>
          <w:tcPr>
            <w:tcW w:w="1540" w:type="dxa"/>
            <w:gridSpan w:val="2"/>
            <w:tcBorders>
              <w:top w:val="nil"/>
              <w:left w:val="nil"/>
              <w:right w:val="nil"/>
            </w:tcBorders>
            <w:shd w:val="clear" w:color="000000" w:fill="FFFFFF"/>
            <w:vAlign w:val="bottom"/>
          </w:tcPr>
          <w:p w14:paraId="63E35F82" w14:textId="77777777" w:rsidR="00B648CB" w:rsidRPr="00B83335" w:rsidRDefault="00B648CB" w:rsidP="00D2464E">
            <w:pPr>
              <w:suppressAutoHyphens w:val="0"/>
              <w:spacing w:line="240" w:lineRule="auto"/>
              <w:jc w:val="center"/>
              <w:rPr>
                <w:rFonts w:eastAsia="Times New Roman"/>
                <w:i/>
                <w:sz w:val="16"/>
                <w:szCs w:val="16"/>
              </w:rPr>
            </w:pPr>
          </w:p>
        </w:tc>
        <w:tc>
          <w:tcPr>
            <w:tcW w:w="458" w:type="dxa"/>
            <w:tcBorders>
              <w:top w:val="nil"/>
              <w:left w:val="nil"/>
              <w:right w:val="nil"/>
            </w:tcBorders>
            <w:shd w:val="clear" w:color="000000" w:fill="FFFFFF"/>
            <w:vAlign w:val="bottom"/>
          </w:tcPr>
          <w:p w14:paraId="24D3F54A" w14:textId="77777777" w:rsidR="00B648CB" w:rsidRPr="00B83335" w:rsidRDefault="00B648CB" w:rsidP="00D2464E">
            <w:pPr>
              <w:suppressAutoHyphens w:val="0"/>
              <w:spacing w:line="240" w:lineRule="auto"/>
              <w:jc w:val="center"/>
              <w:rPr>
                <w:rFonts w:eastAsia="Times New Roman"/>
                <w:i/>
                <w:sz w:val="16"/>
                <w:szCs w:val="16"/>
              </w:rPr>
            </w:pPr>
          </w:p>
        </w:tc>
        <w:tc>
          <w:tcPr>
            <w:tcW w:w="1734" w:type="dxa"/>
            <w:gridSpan w:val="3"/>
            <w:tcBorders>
              <w:top w:val="nil"/>
              <w:left w:val="nil"/>
              <w:right w:val="nil"/>
            </w:tcBorders>
            <w:shd w:val="clear" w:color="000000" w:fill="FFFFFF"/>
            <w:vAlign w:val="bottom"/>
          </w:tcPr>
          <w:p w14:paraId="7275E368" w14:textId="77777777" w:rsidR="00B648CB" w:rsidRPr="00B83335" w:rsidRDefault="00B648CB" w:rsidP="00D2464E">
            <w:pPr>
              <w:suppressAutoHyphens w:val="0"/>
              <w:spacing w:line="240" w:lineRule="auto"/>
              <w:jc w:val="center"/>
              <w:rPr>
                <w:rFonts w:eastAsia="Times New Roman"/>
                <w:i/>
                <w:sz w:val="16"/>
                <w:szCs w:val="16"/>
              </w:rPr>
            </w:pPr>
          </w:p>
        </w:tc>
        <w:tc>
          <w:tcPr>
            <w:tcW w:w="1231" w:type="dxa"/>
            <w:gridSpan w:val="2"/>
            <w:tcBorders>
              <w:top w:val="nil"/>
              <w:left w:val="nil"/>
              <w:right w:val="nil"/>
            </w:tcBorders>
            <w:shd w:val="clear" w:color="000000" w:fill="FFFFFF"/>
            <w:vAlign w:val="center"/>
          </w:tcPr>
          <w:p w14:paraId="2FA21095" w14:textId="4A902E69" w:rsidR="00B648CB" w:rsidRPr="00B83335" w:rsidRDefault="00B648CB" w:rsidP="00D2464E">
            <w:pPr>
              <w:suppressAutoHyphens w:val="0"/>
              <w:spacing w:line="240" w:lineRule="auto"/>
              <w:rPr>
                <w:rFonts w:eastAsia="Times New Roman"/>
              </w:rPr>
            </w:pPr>
            <w:r>
              <w:rPr>
                <w:rFonts w:eastAsia="Times New Roman"/>
              </w:rPr>
              <w:t>Non-GHG</w:t>
            </w:r>
          </w:p>
        </w:tc>
        <w:tc>
          <w:tcPr>
            <w:tcW w:w="1411" w:type="dxa"/>
            <w:tcBorders>
              <w:top w:val="nil"/>
              <w:left w:val="nil"/>
              <w:right w:val="nil"/>
            </w:tcBorders>
            <w:shd w:val="clear" w:color="000000" w:fill="FFFFFF"/>
            <w:vAlign w:val="center"/>
          </w:tcPr>
          <w:p w14:paraId="7762EB15" w14:textId="77777777" w:rsidR="00B648CB" w:rsidRPr="00B83335" w:rsidRDefault="00B648CB" w:rsidP="00D2464E">
            <w:pPr>
              <w:suppressAutoHyphens w:val="0"/>
              <w:spacing w:line="240" w:lineRule="auto"/>
              <w:rPr>
                <w:rFonts w:eastAsia="Times New Roman"/>
              </w:rPr>
            </w:pPr>
          </w:p>
        </w:tc>
        <w:tc>
          <w:tcPr>
            <w:tcW w:w="1411" w:type="dxa"/>
            <w:gridSpan w:val="2"/>
            <w:tcBorders>
              <w:top w:val="nil"/>
              <w:left w:val="nil"/>
              <w:right w:val="nil"/>
            </w:tcBorders>
            <w:shd w:val="clear" w:color="000000" w:fill="FFFFFF"/>
            <w:vAlign w:val="center"/>
          </w:tcPr>
          <w:p w14:paraId="28E1855C" w14:textId="77777777" w:rsidR="00B648CB" w:rsidRPr="00B83335" w:rsidRDefault="00B648CB" w:rsidP="00D2464E">
            <w:pPr>
              <w:suppressAutoHyphens w:val="0"/>
              <w:spacing w:line="240" w:lineRule="auto"/>
              <w:rPr>
                <w:rFonts w:eastAsia="Times New Roman"/>
              </w:rPr>
            </w:pPr>
          </w:p>
        </w:tc>
        <w:tc>
          <w:tcPr>
            <w:tcW w:w="1231" w:type="dxa"/>
            <w:gridSpan w:val="2"/>
            <w:tcBorders>
              <w:top w:val="nil"/>
              <w:left w:val="nil"/>
              <w:right w:val="nil"/>
            </w:tcBorders>
            <w:shd w:val="clear" w:color="000000" w:fill="FFFFFF"/>
            <w:vAlign w:val="center"/>
          </w:tcPr>
          <w:p w14:paraId="6EC5D04B" w14:textId="77777777" w:rsidR="00B648CB" w:rsidRPr="00B83335" w:rsidRDefault="00B648CB" w:rsidP="00D2464E">
            <w:pPr>
              <w:suppressAutoHyphens w:val="0"/>
              <w:spacing w:line="240" w:lineRule="auto"/>
              <w:jc w:val="center"/>
              <w:rPr>
                <w:rFonts w:eastAsia="Times New Roman"/>
              </w:rPr>
            </w:pPr>
          </w:p>
        </w:tc>
        <w:tc>
          <w:tcPr>
            <w:tcW w:w="999" w:type="dxa"/>
            <w:tcBorders>
              <w:top w:val="nil"/>
              <w:left w:val="nil"/>
              <w:right w:val="nil"/>
            </w:tcBorders>
            <w:shd w:val="clear" w:color="000000" w:fill="FFFFFF"/>
            <w:vAlign w:val="center"/>
          </w:tcPr>
          <w:p w14:paraId="35D4BE17" w14:textId="77777777" w:rsidR="00B648CB" w:rsidRPr="00B83335" w:rsidRDefault="00B648CB" w:rsidP="00D2464E">
            <w:pPr>
              <w:suppressAutoHyphens w:val="0"/>
              <w:spacing w:line="240" w:lineRule="auto"/>
              <w:jc w:val="center"/>
              <w:rPr>
                <w:rFonts w:eastAsia="Times New Roman"/>
              </w:rPr>
            </w:pPr>
          </w:p>
        </w:tc>
      </w:tr>
      <w:tr w:rsidR="009C6A63" w:rsidRPr="006A3B39" w14:paraId="185B4356" w14:textId="77777777" w:rsidTr="00D85599">
        <w:trPr>
          <w:trHeight w:val="288"/>
        </w:trPr>
        <w:tc>
          <w:tcPr>
            <w:tcW w:w="14175" w:type="dxa"/>
            <w:gridSpan w:val="19"/>
            <w:tcBorders>
              <w:top w:val="single" w:sz="8" w:space="0" w:color="auto"/>
              <w:left w:val="nil"/>
              <w:bottom w:val="single" w:sz="4" w:space="0" w:color="auto"/>
              <w:right w:val="nil"/>
            </w:tcBorders>
            <w:shd w:val="clear" w:color="000000" w:fill="FFFFFF"/>
            <w:noWrap/>
            <w:vAlign w:val="bottom"/>
            <w:hideMark/>
          </w:tcPr>
          <w:p w14:paraId="1C52322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details</w:t>
            </w:r>
          </w:p>
        </w:tc>
      </w:tr>
      <w:tr w:rsidR="009C6A63" w:rsidRPr="006A3B39" w14:paraId="6DD7CAFE" w14:textId="77777777" w:rsidTr="00B000E7">
        <w:trPr>
          <w:trHeight w:val="576"/>
        </w:trPr>
        <w:tc>
          <w:tcPr>
            <w:tcW w:w="1995" w:type="dxa"/>
            <w:gridSpan w:val="2"/>
            <w:tcBorders>
              <w:top w:val="nil"/>
              <w:left w:val="nil"/>
              <w:bottom w:val="single" w:sz="8" w:space="0" w:color="auto"/>
              <w:right w:val="nil"/>
            </w:tcBorders>
            <w:shd w:val="clear" w:color="000000" w:fill="FFFFFF"/>
            <w:vAlign w:val="bottom"/>
            <w:hideMark/>
          </w:tcPr>
          <w:p w14:paraId="29048316"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Purposes for</w:t>
            </w:r>
            <w:r w:rsidRPr="00B83335">
              <w:rPr>
                <w:rStyle w:val="EndnoteReference"/>
                <w:rFonts w:eastAsia="Times New Roman"/>
                <w:color w:val="FFFFFF" w:themeColor="background1"/>
                <w:szCs w:val="16"/>
              </w:rPr>
              <w:endnoteReference w:id="7"/>
            </w:r>
            <w:r w:rsidRPr="00B83335">
              <w:rPr>
                <w:rFonts w:eastAsia="Times New Roman"/>
                <w:i/>
                <w:sz w:val="16"/>
                <w:szCs w:val="16"/>
              </w:rPr>
              <w:t xml:space="preserve"> authorization</w:t>
            </w:r>
          </w:p>
        </w:tc>
        <w:tc>
          <w:tcPr>
            <w:tcW w:w="1478" w:type="dxa"/>
            <w:gridSpan w:val="2"/>
            <w:tcBorders>
              <w:top w:val="nil"/>
              <w:left w:val="nil"/>
              <w:bottom w:val="single" w:sz="8" w:space="0" w:color="auto"/>
              <w:right w:val="nil"/>
            </w:tcBorders>
            <w:shd w:val="clear" w:color="000000" w:fill="FFFFFF"/>
            <w:vAlign w:val="bottom"/>
            <w:hideMark/>
          </w:tcPr>
          <w:p w14:paraId="2D25AE85"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Authorized Party(ies) ID</w:t>
            </w:r>
            <w:r w:rsidRPr="00B83335">
              <w:rPr>
                <w:rFonts w:eastAsia="Times New Roman"/>
                <w:i/>
                <w:sz w:val="16"/>
                <w:szCs w:val="16"/>
                <w:vertAlign w:val="superscript"/>
              </w:rPr>
              <w:t>i</w:t>
            </w:r>
          </w:p>
        </w:tc>
        <w:tc>
          <w:tcPr>
            <w:tcW w:w="1388" w:type="dxa"/>
            <w:gridSpan w:val="2"/>
            <w:tcBorders>
              <w:top w:val="nil"/>
              <w:left w:val="nil"/>
              <w:bottom w:val="single" w:sz="8" w:space="0" w:color="auto"/>
              <w:right w:val="nil"/>
            </w:tcBorders>
            <w:shd w:val="clear" w:color="000000" w:fill="FFFFFF"/>
            <w:vAlign w:val="bottom"/>
            <w:hideMark/>
          </w:tcPr>
          <w:p w14:paraId="19A501C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Authorized entity(ies) ID</w:t>
            </w:r>
            <w:r w:rsidRPr="00B83335">
              <w:rPr>
                <w:rFonts w:eastAsia="Times New Roman"/>
                <w:i/>
                <w:sz w:val="16"/>
                <w:szCs w:val="16"/>
                <w:vertAlign w:val="superscript"/>
              </w:rPr>
              <w:t>j</w:t>
            </w:r>
          </w:p>
        </w:tc>
        <w:tc>
          <w:tcPr>
            <w:tcW w:w="1365" w:type="dxa"/>
            <w:gridSpan w:val="3"/>
            <w:tcBorders>
              <w:top w:val="nil"/>
              <w:left w:val="nil"/>
              <w:bottom w:val="single" w:sz="8" w:space="0" w:color="auto"/>
              <w:right w:val="nil"/>
            </w:tcBorders>
            <w:shd w:val="clear" w:color="000000" w:fill="FFFFFF"/>
            <w:vAlign w:val="bottom"/>
            <w:hideMark/>
          </w:tcPr>
          <w:p w14:paraId="6A410FFE"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OIMP authorized by the Party</w:t>
            </w:r>
            <w:r w:rsidRPr="00B83335">
              <w:rPr>
                <w:rFonts w:eastAsia="Times New Roman"/>
                <w:i/>
                <w:sz w:val="16"/>
                <w:szCs w:val="16"/>
                <w:vertAlign w:val="superscript"/>
              </w:rPr>
              <w:t>k</w:t>
            </w:r>
          </w:p>
        </w:tc>
        <w:tc>
          <w:tcPr>
            <w:tcW w:w="1073" w:type="dxa"/>
            <w:tcBorders>
              <w:top w:val="nil"/>
              <w:left w:val="nil"/>
              <w:bottom w:val="single" w:sz="8" w:space="0" w:color="auto"/>
              <w:right w:val="nil"/>
            </w:tcBorders>
            <w:shd w:val="clear" w:color="000000" w:fill="FFFFFF"/>
            <w:vAlign w:val="bottom"/>
            <w:hideMark/>
          </w:tcPr>
          <w:p w14:paraId="5D0F7D0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Authorized timeframe</w:t>
            </w:r>
            <w:r w:rsidRPr="00B83335">
              <w:rPr>
                <w:rFonts w:eastAsia="Times New Roman"/>
                <w:i/>
                <w:sz w:val="16"/>
                <w:szCs w:val="16"/>
                <w:vertAlign w:val="superscript"/>
              </w:rPr>
              <w:t>l</w:t>
            </w:r>
          </w:p>
        </w:tc>
        <w:tc>
          <w:tcPr>
            <w:tcW w:w="1680" w:type="dxa"/>
            <w:gridSpan w:val="2"/>
            <w:tcBorders>
              <w:top w:val="nil"/>
              <w:left w:val="nil"/>
              <w:bottom w:val="single" w:sz="8" w:space="0" w:color="auto"/>
              <w:right w:val="nil"/>
            </w:tcBorders>
            <w:shd w:val="clear" w:color="auto" w:fill="auto"/>
            <w:vAlign w:val="bottom"/>
            <w:hideMark/>
          </w:tcPr>
          <w:p w14:paraId="363C7C1D"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terms and conditions</w:t>
            </w:r>
            <w:r w:rsidRPr="00B83335">
              <w:rPr>
                <w:rFonts w:eastAsia="Times New Roman"/>
                <w:i/>
                <w:sz w:val="16"/>
                <w:szCs w:val="16"/>
                <w:vertAlign w:val="superscript"/>
              </w:rPr>
              <w:t>m</w:t>
            </w:r>
          </w:p>
        </w:tc>
        <w:tc>
          <w:tcPr>
            <w:tcW w:w="1837" w:type="dxa"/>
            <w:gridSpan w:val="3"/>
            <w:tcBorders>
              <w:top w:val="nil"/>
              <w:left w:val="nil"/>
              <w:bottom w:val="single" w:sz="8" w:space="0" w:color="auto"/>
              <w:right w:val="nil"/>
            </w:tcBorders>
            <w:shd w:val="clear" w:color="000000" w:fill="FFFFFF"/>
            <w:vAlign w:val="bottom"/>
            <w:hideMark/>
          </w:tcPr>
          <w:p w14:paraId="4972471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documentation</w:t>
            </w:r>
            <w:r w:rsidRPr="00B83335">
              <w:rPr>
                <w:rFonts w:eastAsia="Times New Roman"/>
                <w:i/>
                <w:sz w:val="16"/>
                <w:szCs w:val="16"/>
                <w:vertAlign w:val="superscript"/>
              </w:rPr>
              <w:t>n</w:t>
            </w:r>
          </w:p>
        </w:tc>
        <w:tc>
          <w:tcPr>
            <w:tcW w:w="1994" w:type="dxa"/>
            <w:gridSpan w:val="2"/>
            <w:tcBorders>
              <w:top w:val="nil"/>
              <w:left w:val="nil"/>
              <w:bottom w:val="single" w:sz="8" w:space="0" w:color="auto"/>
              <w:right w:val="nil"/>
            </w:tcBorders>
            <w:shd w:val="clear" w:color="000000" w:fill="FFFFFF"/>
            <w:vAlign w:val="bottom"/>
            <w:hideMark/>
          </w:tcPr>
          <w:p w14:paraId="401D2B8C"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transfer definition for OIMP</w:t>
            </w:r>
            <w:r w:rsidRPr="00B83335">
              <w:rPr>
                <w:rFonts w:eastAsia="Times New Roman"/>
                <w:i/>
                <w:sz w:val="16"/>
                <w:szCs w:val="16"/>
                <w:vertAlign w:val="superscript"/>
              </w:rPr>
              <w:t>o</w:t>
            </w:r>
          </w:p>
        </w:tc>
        <w:tc>
          <w:tcPr>
            <w:tcW w:w="1365" w:type="dxa"/>
            <w:gridSpan w:val="2"/>
            <w:tcBorders>
              <w:top w:val="nil"/>
              <w:left w:val="nil"/>
              <w:bottom w:val="single" w:sz="8" w:space="0" w:color="auto"/>
              <w:right w:val="nil"/>
            </w:tcBorders>
            <w:shd w:val="clear" w:color="000000" w:fill="FFFFFF"/>
            <w:vAlign w:val="center"/>
            <w:hideMark/>
          </w:tcPr>
          <w:p w14:paraId="3A1C619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Additional explanatory information</w:t>
            </w:r>
            <w:r w:rsidRPr="00B83335">
              <w:rPr>
                <w:rFonts w:eastAsia="Times New Roman"/>
                <w:i/>
                <w:sz w:val="16"/>
                <w:szCs w:val="16"/>
                <w:vertAlign w:val="superscript"/>
              </w:rPr>
              <w:t>p</w:t>
            </w:r>
          </w:p>
        </w:tc>
      </w:tr>
      <w:tr w:rsidR="009C6A63" w:rsidRPr="006A3B39" w14:paraId="2ADF0006" w14:textId="77777777" w:rsidTr="008D70F1">
        <w:trPr>
          <w:trHeight w:val="288"/>
        </w:trPr>
        <w:tc>
          <w:tcPr>
            <w:tcW w:w="1995" w:type="dxa"/>
            <w:gridSpan w:val="2"/>
            <w:tcBorders>
              <w:top w:val="nil"/>
              <w:left w:val="nil"/>
              <w:bottom w:val="nil"/>
              <w:right w:val="nil"/>
            </w:tcBorders>
            <w:shd w:val="clear" w:color="000000" w:fill="FFFFFF"/>
            <w:vAlign w:val="center"/>
            <w:hideMark/>
          </w:tcPr>
          <w:p w14:paraId="0A9371E1"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NDC</w:t>
            </w:r>
          </w:p>
        </w:tc>
        <w:tc>
          <w:tcPr>
            <w:tcW w:w="1478" w:type="dxa"/>
            <w:gridSpan w:val="2"/>
            <w:tcBorders>
              <w:top w:val="nil"/>
              <w:left w:val="nil"/>
              <w:bottom w:val="nil"/>
              <w:right w:val="nil"/>
            </w:tcBorders>
            <w:shd w:val="clear" w:color="000000" w:fill="FFFFFF"/>
            <w:vAlign w:val="center"/>
            <w:hideMark/>
          </w:tcPr>
          <w:p w14:paraId="5584851A"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88" w:type="dxa"/>
            <w:gridSpan w:val="2"/>
            <w:tcBorders>
              <w:top w:val="nil"/>
              <w:left w:val="nil"/>
              <w:bottom w:val="nil"/>
              <w:right w:val="nil"/>
            </w:tcBorders>
            <w:shd w:val="clear" w:color="000000" w:fill="FFFFFF"/>
            <w:vAlign w:val="center"/>
            <w:hideMark/>
          </w:tcPr>
          <w:p w14:paraId="57F3116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65" w:type="dxa"/>
            <w:gridSpan w:val="3"/>
            <w:tcBorders>
              <w:top w:val="nil"/>
              <w:left w:val="nil"/>
              <w:bottom w:val="nil"/>
              <w:right w:val="nil"/>
            </w:tcBorders>
            <w:shd w:val="clear" w:color="000000" w:fill="FFFFFF"/>
            <w:vAlign w:val="center"/>
            <w:hideMark/>
          </w:tcPr>
          <w:p w14:paraId="22EFB041"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73" w:type="dxa"/>
            <w:tcBorders>
              <w:top w:val="nil"/>
              <w:left w:val="nil"/>
              <w:bottom w:val="nil"/>
              <w:right w:val="nil"/>
            </w:tcBorders>
            <w:shd w:val="clear" w:color="000000" w:fill="FFFFFF"/>
            <w:vAlign w:val="center"/>
            <w:hideMark/>
          </w:tcPr>
          <w:p w14:paraId="60496F8C"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680" w:type="dxa"/>
            <w:gridSpan w:val="2"/>
            <w:tcBorders>
              <w:top w:val="nil"/>
              <w:left w:val="nil"/>
              <w:bottom w:val="nil"/>
              <w:right w:val="nil"/>
            </w:tcBorders>
            <w:shd w:val="clear" w:color="000000" w:fill="FFFFFF"/>
            <w:vAlign w:val="center"/>
            <w:hideMark/>
          </w:tcPr>
          <w:p w14:paraId="7C49481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837" w:type="dxa"/>
            <w:gridSpan w:val="3"/>
            <w:tcBorders>
              <w:top w:val="nil"/>
              <w:left w:val="nil"/>
              <w:bottom w:val="nil"/>
              <w:right w:val="nil"/>
            </w:tcBorders>
            <w:shd w:val="clear" w:color="000000" w:fill="FFFFFF"/>
            <w:vAlign w:val="center"/>
            <w:hideMark/>
          </w:tcPr>
          <w:p w14:paraId="225E97D5" w14:textId="77777777" w:rsidR="009C6A63" w:rsidRPr="00B83335" w:rsidRDefault="009C6A63" w:rsidP="00D2464E">
            <w:pPr>
              <w:suppressAutoHyphens w:val="0"/>
              <w:spacing w:line="240" w:lineRule="auto"/>
              <w:jc w:val="center"/>
              <w:rPr>
                <w:rFonts w:eastAsia="Times New Roman"/>
                <w:i/>
              </w:rPr>
            </w:pPr>
            <w:r w:rsidRPr="00B83335">
              <w:rPr>
                <w:rFonts w:eastAsia="Times New Roman"/>
                <w:i/>
              </w:rPr>
              <w:t> </w:t>
            </w:r>
          </w:p>
        </w:tc>
        <w:tc>
          <w:tcPr>
            <w:tcW w:w="1994" w:type="dxa"/>
            <w:gridSpan w:val="2"/>
            <w:tcBorders>
              <w:top w:val="nil"/>
              <w:left w:val="nil"/>
              <w:bottom w:val="nil"/>
              <w:right w:val="nil"/>
            </w:tcBorders>
            <w:shd w:val="clear" w:color="000000" w:fill="FFFFFF"/>
            <w:vAlign w:val="center"/>
            <w:hideMark/>
          </w:tcPr>
          <w:p w14:paraId="21F39056"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Authorization</w:t>
            </w:r>
          </w:p>
        </w:tc>
        <w:tc>
          <w:tcPr>
            <w:tcW w:w="1365" w:type="dxa"/>
            <w:gridSpan w:val="2"/>
            <w:tcBorders>
              <w:top w:val="nil"/>
              <w:left w:val="nil"/>
              <w:bottom w:val="nil"/>
              <w:right w:val="nil"/>
            </w:tcBorders>
            <w:shd w:val="clear" w:color="000000" w:fill="FFFFFF"/>
            <w:vAlign w:val="center"/>
            <w:hideMark/>
          </w:tcPr>
          <w:p w14:paraId="17F4F16F"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r w:rsidR="00C66AC3" w:rsidRPr="006A3B39" w14:paraId="2E47C8A0" w14:textId="77777777" w:rsidTr="008D70F1">
        <w:trPr>
          <w:trHeight w:val="288"/>
        </w:trPr>
        <w:tc>
          <w:tcPr>
            <w:tcW w:w="1995" w:type="dxa"/>
            <w:gridSpan w:val="2"/>
            <w:tcBorders>
              <w:top w:val="nil"/>
              <w:left w:val="nil"/>
              <w:bottom w:val="nil"/>
              <w:right w:val="nil"/>
            </w:tcBorders>
            <w:shd w:val="clear" w:color="000000" w:fill="FFFFFF"/>
            <w:vAlign w:val="center"/>
          </w:tcPr>
          <w:p w14:paraId="4884E7BF" w14:textId="244D8979" w:rsidR="00C66AC3" w:rsidRPr="00B83335" w:rsidRDefault="00C66AC3" w:rsidP="00D2464E">
            <w:pPr>
              <w:suppressAutoHyphens w:val="0"/>
              <w:spacing w:line="240" w:lineRule="auto"/>
              <w:jc w:val="center"/>
              <w:rPr>
                <w:rFonts w:eastAsia="Times New Roman"/>
              </w:rPr>
            </w:pPr>
            <w:r>
              <w:rPr>
                <w:rFonts w:eastAsia="Times New Roman"/>
              </w:rPr>
              <w:t>OIMP</w:t>
            </w:r>
          </w:p>
        </w:tc>
        <w:tc>
          <w:tcPr>
            <w:tcW w:w="1478" w:type="dxa"/>
            <w:gridSpan w:val="2"/>
            <w:tcBorders>
              <w:top w:val="nil"/>
              <w:left w:val="nil"/>
              <w:bottom w:val="nil"/>
              <w:right w:val="nil"/>
            </w:tcBorders>
            <w:shd w:val="clear" w:color="000000" w:fill="FFFFFF"/>
            <w:vAlign w:val="center"/>
          </w:tcPr>
          <w:p w14:paraId="2DBB5936" w14:textId="77777777" w:rsidR="00C66AC3" w:rsidRPr="00B83335" w:rsidRDefault="00C66AC3" w:rsidP="00D2464E">
            <w:pPr>
              <w:suppressAutoHyphens w:val="0"/>
              <w:spacing w:line="240" w:lineRule="auto"/>
              <w:jc w:val="center"/>
              <w:rPr>
                <w:rFonts w:eastAsia="Times New Roman"/>
              </w:rPr>
            </w:pPr>
          </w:p>
        </w:tc>
        <w:tc>
          <w:tcPr>
            <w:tcW w:w="1388" w:type="dxa"/>
            <w:gridSpan w:val="2"/>
            <w:tcBorders>
              <w:top w:val="nil"/>
              <w:left w:val="nil"/>
              <w:bottom w:val="nil"/>
              <w:right w:val="nil"/>
            </w:tcBorders>
            <w:shd w:val="clear" w:color="000000" w:fill="FFFFFF"/>
            <w:vAlign w:val="center"/>
          </w:tcPr>
          <w:p w14:paraId="075A49C2" w14:textId="77777777" w:rsidR="00C66AC3" w:rsidRPr="00B83335" w:rsidRDefault="00C66AC3" w:rsidP="00D2464E">
            <w:pPr>
              <w:suppressAutoHyphens w:val="0"/>
              <w:spacing w:line="240" w:lineRule="auto"/>
              <w:rPr>
                <w:rFonts w:eastAsia="Times New Roman"/>
              </w:rPr>
            </w:pPr>
          </w:p>
        </w:tc>
        <w:tc>
          <w:tcPr>
            <w:tcW w:w="1365" w:type="dxa"/>
            <w:gridSpan w:val="3"/>
            <w:tcBorders>
              <w:top w:val="nil"/>
              <w:left w:val="nil"/>
              <w:bottom w:val="nil"/>
              <w:right w:val="nil"/>
            </w:tcBorders>
            <w:shd w:val="clear" w:color="000000" w:fill="FFFFFF"/>
            <w:vAlign w:val="center"/>
          </w:tcPr>
          <w:p w14:paraId="2DCC427D" w14:textId="77777777" w:rsidR="00C66AC3" w:rsidRPr="00B83335" w:rsidRDefault="00C66AC3" w:rsidP="00D2464E">
            <w:pPr>
              <w:suppressAutoHyphens w:val="0"/>
              <w:spacing w:line="240" w:lineRule="auto"/>
              <w:rPr>
                <w:rFonts w:eastAsia="Times New Roman"/>
              </w:rPr>
            </w:pPr>
          </w:p>
        </w:tc>
        <w:tc>
          <w:tcPr>
            <w:tcW w:w="1073" w:type="dxa"/>
            <w:tcBorders>
              <w:top w:val="nil"/>
              <w:left w:val="nil"/>
              <w:bottom w:val="nil"/>
              <w:right w:val="nil"/>
            </w:tcBorders>
            <w:shd w:val="clear" w:color="000000" w:fill="FFFFFF"/>
            <w:vAlign w:val="center"/>
          </w:tcPr>
          <w:p w14:paraId="101F72EE" w14:textId="77777777" w:rsidR="00C66AC3" w:rsidRPr="00B83335" w:rsidRDefault="00C66AC3" w:rsidP="00D2464E">
            <w:pPr>
              <w:suppressAutoHyphens w:val="0"/>
              <w:spacing w:line="240" w:lineRule="auto"/>
              <w:rPr>
                <w:rFonts w:eastAsia="Times New Roman"/>
              </w:rPr>
            </w:pPr>
          </w:p>
        </w:tc>
        <w:tc>
          <w:tcPr>
            <w:tcW w:w="1680" w:type="dxa"/>
            <w:gridSpan w:val="2"/>
            <w:tcBorders>
              <w:top w:val="nil"/>
              <w:left w:val="nil"/>
              <w:bottom w:val="nil"/>
              <w:right w:val="nil"/>
            </w:tcBorders>
            <w:shd w:val="clear" w:color="000000" w:fill="FFFFFF"/>
            <w:vAlign w:val="center"/>
          </w:tcPr>
          <w:p w14:paraId="2188CCCF" w14:textId="77777777" w:rsidR="00C66AC3" w:rsidRPr="00B83335" w:rsidRDefault="00C66AC3" w:rsidP="00D2464E">
            <w:pPr>
              <w:suppressAutoHyphens w:val="0"/>
              <w:spacing w:line="240" w:lineRule="auto"/>
              <w:rPr>
                <w:rFonts w:eastAsia="Times New Roman"/>
              </w:rPr>
            </w:pPr>
          </w:p>
        </w:tc>
        <w:tc>
          <w:tcPr>
            <w:tcW w:w="1837" w:type="dxa"/>
            <w:gridSpan w:val="3"/>
            <w:tcBorders>
              <w:top w:val="nil"/>
              <w:left w:val="nil"/>
              <w:bottom w:val="nil"/>
              <w:right w:val="nil"/>
            </w:tcBorders>
            <w:shd w:val="clear" w:color="000000" w:fill="FFFFFF"/>
            <w:vAlign w:val="center"/>
          </w:tcPr>
          <w:p w14:paraId="1825EB75" w14:textId="77777777" w:rsidR="00C66AC3" w:rsidRPr="00B83335" w:rsidRDefault="00C66AC3" w:rsidP="00D2464E">
            <w:pPr>
              <w:suppressAutoHyphens w:val="0"/>
              <w:spacing w:line="240" w:lineRule="auto"/>
              <w:rPr>
                <w:rFonts w:eastAsia="Times New Roman"/>
              </w:rPr>
            </w:pPr>
          </w:p>
        </w:tc>
        <w:tc>
          <w:tcPr>
            <w:tcW w:w="1994" w:type="dxa"/>
            <w:gridSpan w:val="2"/>
            <w:tcBorders>
              <w:top w:val="nil"/>
              <w:left w:val="nil"/>
              <w:bottom w:val="nil"/>
              <w:right w:val="nil"/>
            </w:tcBorders>
            <w:shd w:val="clear" w:color="000000" w:fill="FFFFFF"/>
            <w:vAlign w:val="center"/>
          </w:tcPr>
          <w:p w14:paraId="01C69B35" w14:textId="31B5CCFD" w:rsidR="00C66AC3" w:rsidRPr="00B83335" w:rsidRDefault="00C66AC3" w:rsidP="00D2464E">
            <w:pPr>
              <w:suppressAutoHyphens w:val="0"/>
              <w:spacing w:line="240" w:lineRule="auto"/>
              <w:jc w:val="center"/>
              <w:rPr>
                <w:rFonts w:eastAsia="Times New Roman"/>
              </w:rPr>
            </w:pPr>
            <w:r>
              <w:rPr>
                <w:rFonts w:eastAsia="Times New Roman"/>
              </w:rPr>
              <w:t>Issuance</w:t>
            </w:r>
          </w:p>
        </w:tc>
        <w:tc>
          <w:tcPr>
            <w:tcW w:w="1365" w:type="dxa"/>
            <w:gridSpan w:val="2"/>
            <w:tcBorders>
              <w:top w:val="nil"/>
              <w:left w:val="nil"/>
              <w:bottom w:val="nil"/>
              <w:right w:val="nil"/>
            </w:tcBorders>
            <w:shd w:val="clear" w:color="000000" w:fill="FFFFFF"/>
            <w:vAlign w:val="center"/>
          </w:tcPr>
          <w:p w14:paraId="3B3D0078" w14:textId="77777777" w:rsidR="00C66AC3" w:rsidRPr="00B83335" w:rsidRDefault="00C66AC3" w:rsidP="00D2464E">
            <w:pPr>
              <w:suppressAutoHyphens w:val="0"/>
              <w:spacing w:line="240" w:lineRule="auto"/>
              <w:jc w:val="center"/>
              <w:rPr>
                <w:rFonts w:eastAsia="Times New Roman"/>
              </w:rPr>
            </w:pPr>
          </w:p>
        </w:tc>
      </w:tr>
      <w:tr w:rsidR="009C6A63" w:rsidRPr="006A3B39" w14:paraId="04CD4C5D" w14:textId="77777777" w:rsidTr="008D70F1">
        <w:trPr>
          <w:trHeight w:val="288"/>
        </w:trPr>
        <w:tc>
          <w:tcPr>
            <w:tcW w:w="1995" w:type="dxa"/>
            <w:gridSpan w:val="2"/>
            <w:tcBorders>
              <w:top w:val="nil"/>
              <w:left w:val="nil"/>
              <w:bottom w:val="nil"/>
              <w:right w:val="nil"/>
            </w:tcBorders>
            <w:shd w:val="clear" w:color="000000" w:fill="FFFFFF"/>
            <w:vAlign w:val="center"/>
            <w:hideMark/>
          </w:tcPr>
          <w:p w14:paraId="286F63B7"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IMP</w:t>
            </w:r>
          </w:p>
        </w:tc>
        <w:tc>
          <w:tcPr>
            <w:tcW w:w="1478" w:type="dxa"/>
            <w:gridSpan w:val="2"/>
            <w:tcBorders>
              <w:top w:val="nil"/>
              <w:left w:val="nil"/>
              <w:bottom w:val="nil"/>
              <w:right w:val="nil"/>
            </w:tcBorders>
            <w:shd w:val="clear" w:color="000000" w:fill="FFFFFF"/>
            <w:vAlign w:val="center"/>
            <w:hideMark/>
          </w:tcPr>
          <w:p w14:paraId="545137A0"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88" w:type="dxa"/>
            <w:gridSpan w:val="2"/>
            <w:tcBorders>
              <w:top w:val="nil"/>
              <w:left w:val="nil"/>
              <w:bottom w:val="nil"/>
              <w:right w:val="nil"/>
            </w:tcBorders>
            <w:shd w:val="clear" w:color="000000" w:fill="FFFFFF"/>
            <w:vAlign w:val="center"/>
            <w:hideMark/>
          </w:tcPr>
          <w:p w14:paraId="4ACFCE4A"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65" w:type="dxa"/>
            <w:gridSpan w:val="3"/>
            <w:tcBorders>
              <w:top w:val="nil"/>
              <w:left w:val="nil"/>
              <w:bottom w:val="nil"/>
              <w:right w:val="nil"/>
            </w:tcBorders>
            <w:shd w:val="clear" w:color="000000" w:fill="FFFFFF"/>
            <w:vAlign w:val="center"/>
            <w:hideMark/>
          </w:tcPr>
          <w:p w14:paraId="2129CC92"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73" w:type="dxa"/>
            <w:tcBorders>
              <w:top w:val="nil"/>
              <w:left w:val="nil"/>
              <w:bottom w:val="nil"/>
              <w:right w:val="nil"/>
            </w:tcBorders>
            <w:shd w:val="clear" w:color="000000" w:fill="FFFFFF"/>
            <w:vAlign w:val="center"/>
            <w:hideMark/>
          </w:tcPr>
          <w:p w14:paraId="5B99AECA"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680" w:type="dxa"/>
            <w:gridSpan w:val="2"/>
            <w:tcBorders>
              <w:top w:val="nil"/>
              <w:left w:val="nil"/>
              <w:bottom w:val="nil"/>
              <w:right w:val="nil"/>
            </w:tcBorders>
            <w:shd w:val="clear" w:color="000000" w:fill="FFFFFF"/>
            <w:vAlign w:val="center"/>
            <w:hideMark/>
          </w:tcPr>
          <w:p w14:paraId="31D36C9A"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837" w:type="dxa"/>
            <w:gridSpan w:val="3"/>
            <w:tcBorders>
              <w:top w:val="nil"/>
              <w:left w:val="nil"/>
              <w:bottom w:val="nil"/>
              <w:right w:val="nil"/>
            </w:tcBorders>
            <w:shd w:val="clear" w:color="000000" w:fill="FFFFFF"/>
            <w:vAlign w:val="center"/>
            <w:hideMark/>
          </w:tcPr>
          <w:p w14:paraId="16FA150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994" w:type="dxa"/>
            <w:gridSpan w:val="2"/>
            <w:tcBorders>
              <w:top w:val="nil"/>
              <w:left w:val="nil"/>
              <w:bottom w:val="nil"/>
              <w:right w:val="nil"/>
            </w:tcBorders>
            <w:shd w:val="clear" w:color="000000" w:fill="FFFFFF"/>
            <w:vAlign w:val="center"/>
            <w:hideMark/>
          </w:tcPr>
          <w:p w14:paraId="13059985"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Use or cancellation</w:t>
            </w:r>
          </w:p>
        </w:tc>
        <w:tc>
          <w:tcPr>
            <w:tcW w:w="1365" w:type="dxa"/>
            <w:gridSpan w:val="2"/>
            <w:tcBorders>
              <w:top w:val="nil"/>
              <w:left w:val="nil"/>
              <w:bottom w:val="nil"/>
              <w:right w:val="nil"/>
            </w:tcBorders>
            <w:shd w:val="clear" w:color="000000" w:fill="FFFFFF"/>
            <w:vAlign w:val="center"/>
            <w:hideMark/>
          </w:tcPr>
          <w:p w14:paraId="58DF2CFA"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r w:rsidR="009C6A63" w:rsidRPr="006A3B39" w14:paraId="6E731354" w14:textId="77777777" w:rsidTr="008D70F1">
        <w:trPr>
          <w:trHeight w:val="288"/>
        </w:trPr>
        <w:tc>
          <w:tcPr>
            <w:tcW w:w="1995" w:type="dxa"/>
            <w:gridSpan w:val="2"/>
            <w:tcBorders>
              <w:top w:val="nil"/>
              <w:left w:val="nil"/>
              <w:bottom w:val="nil"/>
              <w:right w:val="nil"/>
            </w:tcBorders>
            <w:shd w:val="clear" w:color="000000" w:fill="FFFFFF"/>
            <w:vAlign w:val="center"/>
            <w:hideMark/>
          </w:tcPr>
          <w:p w14:paraId="52F74195"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OP</w:t>
            </w:r>
          </w:p>
        </w:tc>
        <w:tc>
          <w:tcPr>
            <w:tcW w:w="1478" w:type="dxa"/>
            <w:gridSpan w:val="2"/>
            <w:tcBorders>
              <w:top w:val="nil"/>
              <w:left w:val="nil"/>
              <w:bottom w:val="nil"/>
              <w:right w:val="nil"/>
            </w:tcBorders>
            <w:shd w:val="clear" w:color="000000" w:fill="FFFFFF"/>
            <w:vAlign w:val="center"/>
            <w:hideMark/>
          </w:tcPr>
          <w:p w14:paraId="729BDB00"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88" w:type="dxa"/>
            <w:gridSpan w:val="2"/>
            <w:tcBorders>
              <w:top w:val="nil"/>
              <w:left w:val="nil"/>
              <w:bottom w:val="nil"/>
              <w:right w:val="nil"/>
            </w:tcBorders>
            <w:shd w:val="clear" w:color="000000" w:fill="FFFFFF"/>
            <w:vAlign w:val="center"/>
            <w:hideMark/>
          </w:tcPr>
          <w:p w14:paraId="602D8217"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65" w:type="dxa"/>
            <w:gridSpan w:val="3"/>
            <w:tcBorders>
              <w:top w:val="nil"/>
              <w:left w:val="nil"/>
              <w:bottom w:val="nil"/>
              <w:right w:val="nil"/>
            </w:tcBorders>
            <w:shd w:val="clear" w:color="000000" w:fill="FFFFFF"/>
            <w:vAlign w:val="center"/>
            <w:hideMark/>
          </w:tcPr>
          <w:p w14:paraId="4CE48632"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73" w:type="dxa"/>
            <w:tcBorders>
              <w:top w:val="nil"/>
              <w:left w:val="nil"/>
              <w:bottom w:val="nil"/>
              <w:right w:val="nil"/>
            </w:tcBorders>
            <w:shd w:val="clear" w:color="000000" w:fill="FFFFFF"/>
            <w:vAlign w:val="center"/>
            <w:hideMark/>
          </w:tcPr>
          <w:p w14:paraId="75FCFDD5"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680" w:type="dxa"/>
            <w:gridSpan w:val="2"/>
            <w:tcBorders>
              <w:top w:val="nil"/>
              <w:left w:val="nil"/>
              <w:bottom w:val="nil"/>
              <w:right w:val="nil"/>
            </w:tcBorders>
            <w:shd w:val="clear" w:color="000000" w:fill="FFFFFF"/>
            <w:vAlign w:val="center"/>
            <w:hideMark/>
          </w:tcPr>
          <w:p w14:paraId="05A2D423"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837" w:type="dxa"/>
            <w:gridSpan w:val="3"/>
            <w:tcBorders>
              <w:top w:val="nil"/>
              <w:left w:val="nil"/>
              <w:bottom w:val="nil"/>
              <w:right w:val="nil"/>
            </w:tcBorders>
            <w:shd w:val="clear" w:color="000000" w:fill="FFFFFF"/>
            <w:vAlign w:val="center"/>
            <w:hideMark/>
          </w:tcPr>
          <w:p w14:paraId="52B0EAA7"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994" w:type="dxa"/>
            <w:gridSpan w:val="2"/>
            <w:tcBorders>
              <w:top w:val="nil"/>
              <w:left w:val="nil"/>
              <w:bottom w:val="nil"/>
              <w:right w:val="nil"/>
            </w:tcBorders>
            <w:shd w:val="clear" w:color="000000" w:fill="FFFFFF"/>
            <w:noWrap/>
            <w:vAlign w:val="bottom"/>
            <w:hideMark/>
          </w:tcPr>
          <w:p w14:paraId="6826DB63"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65" w:type="dxa"/>
            <w:gridSpan w:val="2"/>
            <w:tcBorders>
              <w:top w:val="nil"/>
              <w:left w:val="nil"/>
              <w:bottom w:val="nil"/>
              <w:right w:val="nil"/>
            </w:tcBorders>
            <w:shd w:val="clear" w:color="000000" w:fill="FFFFFF"/>
            <w:vAlign w:val="center"/>
            <w:hideMark/>
          </w:tcPr>
          <w:p w14:paraId="35BB532F"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r w:rsidR="009C6A63" w:rsidRPr="006A3B39" w14:paraId="4751B77F" w14:textId="77777777" w:rsidTr="008D70F1">
        <w:trPr>
          <w:trHeight w:val="288"/>
        </w:trPr>
        <w:tc>
          <w:tcPr>
            <w:tcW w:w="1995" w:type="dxa"/>
            <w:gridSpan w:val="2"/>
            <w:tcBorders>
              <w:top w:val="nil"/>
              <w:left w:val="nil"/>
              <w:bottom w:val="nil"/>
              <w:right w:val="nil"/>
            </w:tcBorders>
            <w:shd w:val="clear" w:color="000000" w:fill="FFFFFF"/>
            <w:vAlign w:val="center"/>
            <w:hideMark/>
          </w:tcPr>
          <w:p w14:paraId="4FB974E0"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NDC and OIMP</w:t>
            </w:r>
          </w:p>
        </w:tc>
        <w:tc>
          <w:tcPr>
            <w:tcW w:w="1478" w:type="dxa"/>
            <w:gridSpan w:val="2"/>
            <w:tcBorders>
              <w:top w:val="nil"/>
              <w:left w:val="nil"/>
              <w:bottom w:val="nil"/>
              <w:right w:val="nil"/>
            </w:tcBorders>
            <w:shd w:val="clear" w:color="000000" w:fill="FFFFFF"/>
            <w:vAlign w:val="center"/>
            <w:hideMark/>
          </w:tcPr>
          <w:p w14:paraId="18C59CDB"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88" w:type="dxa"/>
            <w:gridSpan w:val="2"/>
            <w:tcBorders>
              <w:top w:val="nil"/>
              <w:left w:val="nil"/>
              <w:bottom w:val="nil"/>
              <w:right w:val="nil"/>
            </w:tcBorders>
            <w:shd w:val="clear" w:color="000000" w:fill="FFFFFF"/>
            <w:vAlign w:val="center"/>
            <w:hideMark/>
          </w:tcPr>
          <w:p w14:paraId="701F2B1D"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65" w:type="dxa"/>
            <w:gridSpan w:val="3"/>
            <w:tcBorders>
              <w:top w:val="nil"/>
              <w:left w:val="nil"/>
              <w:bottom w:val="nil"/>
              <w:right w:val="nil"/>
            </w:tcBorders>
            <w:shd w:val="clear" w:color="000000" w:fill="FFFFFF"/>
            <w:vAlign w:val="center"/>
            <w:hideMark/>
          </w:tcPr>
          <w:p w14:paraId="76C5E22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73" w:type="dxa"/>
            <w:tcBorders>
              <w:top w:val="nil"/>
              <w:left w:val="nil"/>
              <w:bottom w:val="nil"/>
              <w:right w:val="nil"/>
            </w:tcBorders>
            <w:shd w:val="clear" w:color="000000" w:fill="FFFFFF"/>
            <w:vAlign w:val="center"/>
            <w:hideMark/>
          </w:tcPr>
          <w:p w14:paraId="208204A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680" w:type="dxa"/>
            <w:gridSpan w:val="2"/>
            <w:tcBorders>
              <w:top w:val="nil"/>
              <w:left w:val="nil"/>
              <w:bottom w:val="nil"/>
              <w:right w:val="nil"/>
            </w:tcBorders>
            <w:shd w:val="clear" w:color="000000" w:fill="FFFFFF"/>
            <w:vAlign w:val="center"/>
            <w:hideMark/>
          </w:tcPr>
          <w:p w14:paraId="36F958B4"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837" w:type="dxa"/>
            <w:gridSpan w:val="3"/>
            <w:tcBorders>
              <w:top w:val="nil"/>
              <w:left w:val="nil"/>
              <w:bottom w:val="nil"/>
              <w:right w:val="nil"/>
            </w:tcBorders>
            <w:shd w:val="clear" w:color="000000" w:fill="FFFFFF"/>
            <w:vAlign w:val="center"/>
            <w:hideMark/>
          </w:tcPr>
          <w:p w14:paraId="16CCC9A9" w14:textId="77777777" w:rsidR="009C6A63" w:rsidRPr="00B83335" w:rsidRDefault="009C6A63" w:rsidP="00D2464E">
            <w:pPr>
              <w:suppressAutoHyphens w:val="0"/>
              <w:spacing w:line="240" w:lineRule="auto"/>
              <w:rPr>
                <w:rFonts w:eastAsia="Times New Roman"/>
                <w:i/>
              </w:rPr>
            </w:pPr>
            <w:r w:rsidRPr="00B83335">
              <w:rPr>
                <w:rFonts w:eastAsia="Times New Roman"/>
                <w:i/>
              </w:rPr>
              <w:t> </w:t>
            </w:r>
          </w:p>
        </w:tc>
        <w:tc>
          <w:tcPr>
            <w:tcW w:w="1994" w:type="dxa"/>
            <w:gridSpan w:val="2"/>
            <w:tcBorders>
              <w:top w:val="nil"/>
              <w:left w:val="nil"/>
              <w:bottom w:val="nil"/>
              <w:right w:val="nil"/>
            </w:tcBorders>
            <w:shd w:val="clear" w:color="000000" w:fill="FFFFFF"/>
            <w:noWrap/>
            <w:vAlign w:val="bottom"/>
            <w:hideMark/>
          </w:tcPr>
          <w:p w14:paraId="49610AD2"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65" w:type="dxa"/>
            <w:gridSpan w:val="2"/>
            <w:tcBorders>
              <w:top w:val="nil"/>
              <w:left w:val="nil"/>
              <w:bottom w:val="nil"/>
              <w:right w:val="nil"/>
            </w:tcBorders>
            <w:shd w:val="clear" w:color="000000" w:fill="FFFFFF"/>
            <w:vAlign w:val="center"/>
            <w:hideMark/>
          </w:tcPr>
          <w:p w14:paraId="2AE8FD7F"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r w:rsidR="009C6A63" w:rsidRPr="006A3B39" w14:paraId="2B2473C8" w14:textId="77777777" w:rsidTr="008D70F1">
        <w:trPr>
          <w:trHeight w:val="288"/>
        </w:trPr>
        <w:tc>
          <w:tcPr>
            <w:tcW w:w="1995" w:type="dxa"/>
            <w:gridSpan w:val="2"/>
            <w:tcBorders>
              <w:top w:val="nil"/>
              <w:left w:val="nil"/>
              <w:bottom w:val="nil"/>
              <w:right w:val="nil"/>
            </w:tcBorders>
            <w:shd w:val="clear" w:color="000000" w:fill="FFFFFF"/>
            <w:vAlign w:val="center"/>
            <w:hideMark/>
          </w:tcPr>
          <w:p w14:paraId="24F94C1E"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NDC and IMP</w:t>
            </w:r>
          </w:p>
        </w:tc>
        <w:tc>
          <w:tcPr>
            <w:tcW w:w="1478" w:type="dxa"/>
            <w:gridSpan w:val="2"/>
            <w:tcBorders>
              <w:top w:val="nil"/>
              <w:left w:val="nil"/>
              <w:bottom w:val="nil"/>
              <w:right w:val="nil"/>
            </w:tcBorders>
            <w:shd w:val="clear" w:color="000000" w:fill="FFFFFF"/>
            <w:vAlign w:val="center"/>
            <w:hideMark/>
          </w:tcPr>
          <w:p w14:paraId="0AE9F198"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88" w:type="dxa"/>
            <w:gridSpan w:val="2"/>
            <w:tcBorders>
              <w:top w:val="nil"/>
              <w:left w:val="nil"/>
              <w:bottom w:val="nil"/>
              <w:right w:val="nil"/>
            </w:tcBorders>
            <w:shd w:val="clear" w:color="000000" w:fill="FFFFFF"/>
            <w:vAlign w:val="center"/>
            <w:hideMark/>
          </w:tcPr>
          <w:p w14:paraId="4BE60DC3"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65" w:type="dxa"/>
            <w:gridSpan w:val="3"/>
            <w:tcBorders>
              <w:top w:val="nil"/>
              <w:left w:val="nil"/>
              <w:bottom w:val="nil"/>
              <w:right w:val="nil"/>
            </w:tcBorders>
            <w:shd w:val="clear" w:color="000000" w:fill="FFFFFF"/>
            <w:vAlign w:val="center"/>
            <w:hideMark/>
          </w:tcPr>
          <w:p w14:paraId="53AADEDC"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73" w:type="dxa"/>
            <w:tcBorders>
              <w:top w:val="nil"/>
              <w:left w:val="nil"/>
              <w:bottom w:val="nil"/>
              <w:right w:val="nil"/>
            </w:tcBorders>
            <w:shd w:val="clear" w:color="000000" w:fill="FFFFFF"/>
            <w:vAlign w:val="center"/>
            <w:hideMark/>
          </w:tcPr>
          <w:p w14:paraId="5D3482C6"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680" w:type="dxa"/>
            <w:gridSpan w:val="2"/>
            <w:tcBorders>
              <w:top w:val="nil"/>
              <w:left w:val="nil"/>
              <w:bottom w:val="nil"/>
              <w:right w:val="nil"/>
            </w:tcBorders>
            <w:shd w:val="clear" w:color="000000" w:fill="FFFFFF"/>
            <w:vAlign w:val="center"/>
            <w:hideMark/>
          </w:tcPr>
          <w:p w14:paraId="4289D28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837" w:type="dxa"/>
            <w:gridSpan w:val="3"/>
            <w:tcBorders>
              <w:top w:val="nil"/>
              <w:left w:val="nil"/>
              <w:bottom w:val="nil"/>
              <w:right w:val="nil"/>
            </w:tcBorders>
            <w:shd w:val="clear" w:color="000000" w:fill="FFFFFF"/>
            <w:vAlign w:val="center"/>
            <w:hideMark/>
          </w:tcPr>
          <w:p w14:paraId="3C5D59E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994" w:type="dxa"/>
            <w:gridSpan w:val="2"/>
            <w:tcBorders>
              <w:top w:val="nil"/>
              <w:left w:val="nil"/>
              <w:bottom w:val="nil"/>
              <w:right w:val="nil"/>
            </w:tcBorders>
            <w:shd w:val="clear" w:color="000000" w:fill="FFFFFF"/>
            <w:vAlign w:val="center"/>
            <w:hideMark/>
          </w:tcPr>
          <w:p w14:paraId="644EF837"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65" w:type="dxa"/>
            <w:gridSpan w:val="2"/>
            <w:tcBorders>
              <w:top w:val="nil"/>
              <w:left w:val="nil"/>
              <w:bottom w:val="nil"/>
              <w:right w:val="nil"/>
            </w:tcBorders>
            <w:shd w:val="clear" w:color="000000" w:fill="FFFFFF"/>
            <w:vAlign w:val="center"/>
            <w:hideMark/>
          </w:tcPr>
          <w:p w14:paraId="44953524"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r w:rsidR="009C6A63" w:rsidRPr="006A3B39" w14:paraId="5611803A" w14:textId="77777777" w:rsidTr="008D70F1">
        <w:trPr>
          <w:trHeight w:val="300"/>
        </w:trPr>
        <w:tc>
          <w:tcPr>
            <w:tcW w:w="1995" w:type="dxa"/>
            <w:gridSpan w:val="2"/>
            <w:tcBorders>
              <w:top w:val="nil"/>
              <w:left w:val="nil"/>
              <w:bottom w:val="single" w:sz="8" w:space="0" w:color="auto"/>
              <w:right w:val="nil"/>
            </w:tcBorders>
            <w:shd w:val="clear" w:color="000000" w:fill="FFFFFF"/>
            <w:vAlign w:val="center"/>
            <w:hideMark/>
          </w:tcPr>
          <w:p w14:paraId="307A80FF"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NDC and OP</w:t>
            </w:r>
          </w:p>
        </w:tc>
        <w:tc>
          <w:tcPr>
            <w:tcW w:w="1478" w:type="dxa"/>
            <w:gridSpan w:val="2"/>
            <w:tcBorders>
              <w:top w:val="nil"/>
              <w:left w:val="nil"/>
              <w:bottom w:val="single" w:sz="8" w:space="0" w:color="auto"/>
              <w:right w:val="nil"/>
            </w:tcBorders>
            <w:shd w:val="clear" w:color="000000" w:fill="FFFFFF"/>
            <w:vAlign w:val="center"/>
            <w:hideMark/>
          </w:tcPr>
          <w:p w14:paraId="66B37919"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88" w:type="dxa"/>
            <w:gridSpan w:val="2"/>
            <w:tcBorders>
              <w:top w:val="nil"/>
              <w:left w:val="nil"/>
              <w:bottom w:val="single" w:sz="8" w:space="0" w:color="auto"/>
              <w:right w:val="nil"/>
            </w:tcBorders>
            <w:shd w:val="clear" w:color="000000" w:fill="FFFFFF"/>
            <w:vAlign w:val="center"/>
            <w:hideMark/>
          </w:tcPr>
          <w:p w14:paraId="0E399258"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65" w:type="dxa"/>
            <w:gridSpan w:val="3"/>
            <w:tcBorders>
              <w:top w:val="nil"/>
              <w:left w:val="nil"/>
              <w:bottom w:val="single" w:sz="8" w:space="0" w:color="auto"/>
              <w:right w:val="nil"/>
            </w:tcBorders>
            <w:shd w:val="clear" w:color="000000" w:fill="FFFFFF"/>
            <w:vAlign w:val="center"/>
            <w:hideMark/>
          </w:tcPr>
          <w:p w14:paraId="51B000C6"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073" w:type="dxa"/>
            <w:tcBorders>
              <w:top w:val="nil"/>
              <w:left w:val="nil"/>
              <w:bottom w:val="single" w:sz="8" w:space="0" w:color="auto"/>
              <w:right w:val="nil"/>
            </w:tcBorders>
            <w:shd w:val="clear" w:color="000000" w:fill="FFFFFF"/>
            <w:vAlign w:val="center"/>
            <w:hideMark/>
          </w:tcPr>
          <w:p w14:paraId="681A9EB8"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680" w:type="dxa"/>
            <w:gridSpan w:val="2"/>
            <w:tcBorders>
              <w:top w:val="nil"/>
              <w:left w:val="nil"/>
              <w:bottom w:val="single" w:sz="8" w:space="0" w:color="auto"/>
              <w:right w:val="nil"/>
            </w:tcBorders>
            <w:shd w:val="clear" w:color="000000" w:fill="FFFFFF"/>
            <w:vAlign w:val="center"/>
            <w:hideMark/>
          </w:tcPr>
          <w:p w14:paraId="6047DD2C"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837" w:type="dxa"/>
            <w:gridSpan w:val="3"/>
            <w:tcBorders>
              <w:top w:val="nil"/>
              <w:left w:val="nil"/>
              <w:bottom w:val="single" w:sz="8" w:space="0" w:color="auto"/>
              <w:right w:val="nil"/>
            </w:tcBorders>
            <w:shd w:val="clear" w:color="000000" w:fill="FFFFFF"/>
            <w:vAlign w:val="center"/>
            <w:hideMark/>
          </w:tcPr>
          <w:p w14:paraId="3FFCC324"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994" w:type="dxa"/>
            <w:gridSpan w:val="2"/>
            <w:tcBorders>
              <w:top w:val="nil"/>
              <w:left w:val="nil"/>
              <w:bottom w:val="single" w:sz="8" w:space="0" w:color="auto"/>
              <w:right w:val="nil"/>
            </w:tcBorders>
            <w:shd w:val="clear" w:color="000000" w:fill="FFFFFF"/>
            <w:vAlign w:val="center"/>
            <w:hideMark/>
          </w:tcPr>
          <w:p w14:paraId="5ED713F8"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65" w:type="dxa"/>
            <w:gridSpan w:val="2"/>
            <w:tcBorders>
              <w:top w:val="nil"/>
              <w:left w:val="nil"/>
              <w:bottom w:val="single" w:sz="8" w:space="0" w:color="auto"/>
              <w:right w:val="nil"/>
            </w:tcBorders>
            <w:shd w:val="clear" w:color="000000" w:fill="FFFFFF"/>
            <w:vAlign w:val="center"/>
            <w:hideMark/>
          </w:tcPr>
          <w:p w14:paraId="7C25ED67"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r>
    </w:tbl>
    <w:p w14:paraId="78711BFD" w14:textId="77777777" w:rsidR="009C6A63" w:rsidRPr="00B83335" w:rsidRDefault="009C6A63" w:rsidP="00421034">
      <w:pPr>
        <w:keepNext/>
        <w:spacing w:line="60" w:lineRule="exact"/>
        <w:ind w:right="1134"/>
        <w:jc w:val="both"/>
        <w:sectPr w:rsidR="009C6A63" w:rsidRPr="00B83335" w:rsidSect="00C86F14">
          <w:headerReference w:type="even" r:id="rId137"/>
          <w:headerReference w:type="default" r:id="rId138"/>
          <w:footerReference w:type="even" r:id="rId139"/>
          <w:footerReference w:type="default" r:id="rId140"/>
          <w:endnotePr>
            <w:numFmt w:val="lowerLetter"/>
            <w:numRestart w:val="eachSect"/>
          </w:endnotePr>
          <w:pgSz w:w="16838" w:h="11906" w:orient="landscape" w:code="9"/>
          <w:pgMar w:top="1134" w:right="1417" w:bottom="1134" w:left="1134" w:header="567" w:footer="567" w:gutter="0"/>
          <w:cols w:space="708"/>
          <w:docGrid w:linePitch="360"/>
        </w:sectPr>
      </w:pPr>
    </w:p>
    <w:tbl>
      <w:tblPr>
        <w:tblW w:w="4956" w:type="pct"/>
        <w:tblLayout w:type="fixed"/>
        <w:tblLook w:val="04A0" w:firstRow="1" w:lastRow="0" w:firstColumn="1" w:lastColumn="0" w:noHBand="0" w:noVBand="1"/>
      </w:tblPr>
      <w:tblGrid>
        <w:gridCol w:w="788"/>
        <w:gridCol w:w="213"/>
        <w:gridCol w:w="399"/>
        <w:gridCol w:w="731"/>
        <w:gridCol w:w="246"/>
        <w:gridCol w:w="198"/>
        <w:gridCol w:w="266"/>
        <w:gridCol w:w="680"/>
        <w:gridCol w:w="275"/>
        <w:gridCol w:w="1000"/>
        <w:gridCol w:w="416"/>
        <w:gridCol w:w="125"/>
        <w:gridCol w:w="592"/>
        <w:gridCol w:w="705"/>
        <w:gridCol w:w="99"/>
        <w:gridCol w:w="184"/>
        <w:gridCol w:w="717"/>
        <w:gridCol w:w="756"/>
        <w:gridCol w:w="88"/>
        <w:gridCol w:w="430"/>
        <w:gridCol w:w="575"/>
        <w:gridCol w:w="419"/>
        <w:gridCol w:w="521"/>
        <w:gridCol w:w="266"/>
        <w:gridCol w:w="62"/>
        <w:gridCol w:w="283"/>
        <w:gridCol w:w="717"/>
        <w:gridCol w:w="561"/>
        <w:gridCol w:w="572"/>
        <w:gridCol w:w="419"/>
        <w:gridCol w:w="858"/>
      </w:tblGrid>
      <w:tr w:rsidR="009C6A63" w:rsidRPr="00B65B76" w14:paraId="79DAFAF5" w14:textId="77777777" w:rsidTr="00CC7B65">
        <w:trPr>
          <w:trHeight w:val="288"/>
        </w:trPr>
        <w:tc>
          <w:tcPr>
            <w:tcW w:w="752" w:type="pct"/>
            <w:gridSpan w:val="4"/>
            <w:tcBorders>
              <w:top w:val="nil"/>
              <w:left w:val="nil"/>
              <w:bottom w:val="single" w:sz="4" w:space="0" w:color="auto"/>
              <w:right w:val="nil"/>
            </w:tcBorders>
            <w:shd w:val="clear" w:color="000000" w:fill="FFFFFF"/>
            <w:noWrap/>
            <w:vAlign w:val="bottom"/>
            <w:hideMark/>
          </w:tcPr>
          <w:p w14:paraId="43317209" w14:textId="2B316CFD" w:rsidR="009C6A63" w:rsidRPr="00B83335" w:rsidRDefault="009C6A63" w:rsidP="00EC793B">
            <w:pPr>
              <w:suppressAutoHyphens w:val="0"/>
              <w:spacing w:before="180"/>
              <w:rPr>
                <w:rFonts w:eastAsia="Times New Roman"/>
                <w:b/>
              </w:rPr>
            </w:pPr>
            <w:r w:rsidRPr="00B83335">
              <w:rPr>
                <w:rFonts w:eastAsia="Times New Roman"/>
                <w:b/>
              </w:rPr>
              <w:lastRenderedPageBreak/>
              <w:t>Table 3: Actions</w:t>
            </w:r>
          </w:p>
        </w:tc>
        <w:tc>
          <w:tcPr>
            <w:tcW w:w="491" w:type="pct"/>
            <w:gridSpan w:val="4"/>
            <w:tcBorders>
              <w:top w:val="nil"/>
              <w:left w:val="nil"/>
              <w:bottom w:val="single" w:sz="4" w:space="0" w:color="auto"/>
              <w:right w:val="nil"/>
            </w:tcBorders>
            <w:shd w:val="clear" w:color="000000" w:fill="FFFFFF"/>
            <w:noWrap/>
            <w:vAlign w:val="bottom"/>
            <w:hideMark/>
          </w:tcPr>
          <w:p w14:paraId="5AF0A81F"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50" w:type="pct"/>
            <w:gridSpan w:val="2"/>
            <w:tcBorders>
              <w:top w:val="nil"/>
              <w:left w:val="nil"/>
              <w:bottom w:val="single" w:sz="4" w:space="0" w:color="auto"/>
              <w:right w:val="nil"/>
            </w:tcBorders>
            <w:shd w:val="clear" w:color="000000" w:fill="FFFFFF"/>
            <w:noWrap/>
            <w:vAlign w:val="bottom"/>
            <w:hideMark/>
          </w:tcPr>
          <w:p w14:paraId="5D6E99D5"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00" w:type="pct"/>
            <w:gridSpan w:val="3"/>
            <w:tcBorders>
              <w:top w:val="nil"/>
              <w:left w:val="nil"/>
              <w:bottom w:val="nil"/>
              <w:right w:val="nil"/>
            </w:tcBorders>
            <w:shd w:val="clear" w:color="000000" w:fill="FFFFFF"/>
            <w:noWrap/>
            <w:vAlign w:val="bottom"/>
            <w:hideMark/>
          </w:tcPr>
          <w:p w14:paraId="771061C8"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602" w:type="pct"/>
            <w:gridSpan w:val="4"/>
            <w:tcBorders>
              <w:top w:val="nil"/>
              <w:left w:val="nil"/>
              <w:bottom w:val="nil"/>
              <w:right w:val="nil"/>
            </w:tcBorders>
            <w:shd w:val="clear" w:color="000000" w:fill="FFFFFF"/>
            <w:noWrap/>
            <w:vAlign w:val="bottom"/>
            <w:hideMark/>
          </w:tcPr>
          <w:p w14:paraId="4A843AF4"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50" w:type="pct"/>
            <w:gridSpan w:val="3"/>
            <w:tcBorders>
              <w:top w:val="nil"/>
              <w:left w:val="nil"/>
              <w:bottom w:val="nil"/>
              <w:right w:val="nil"/>
            </w:tcBorders>
            <w:shd w:val="clear" w:color="000000" w:fill="FFFFFF"/>
            <w:noWrap/>
            <w:vAlign w:val="bottom"/>
            <w:hideMark/>
          </w:tcPr>
          <w:p w14:paraId="4DD681E0"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351" w:type="pct"/>
            <w:gridSpan w:val="2"/>
            <w:tcBorders>
              <w:top w:val="nil"/>
              <w:left w:val="nil"/>
              <w:bottom w:val="nil"/>
              <w:right w:val="nil"/>
            </w:tcBorders>
            <w:shd w:val="clear" w:color="000000" w:fill="FFFFFF"/>
            <w:noWrap/>
            <w:vAlign w:val="bottom"/>
            <w:hideMark/>
          </w:tcPr>
          <w:p w14:paraId="3941430B"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300" w:type="pct"/>
            <w:gridSpan w:val="3"/>
            <w:tcBorders>
              <w:top w:val="nil"/>
              <w:left w:val="nil"/>
              <w:bottom w:val="nil"/>
              <w:right w:val="nil"/>
            </w:tcBorders>
            <w:shd w:val="clear" w:color="000000" w:fill="FFFFFF"/>
            <w:noWrap/>
            <w:vAlign w:val="bottom"/>
            <w:hideMark/>
          </w:tcPr>
          <w:p w14:paraId="17B5E094"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00" w:type="pct"/>
            <w:tcBorders>
              <w:top w:val="nil"/>
              <w:left w:val="nil"/>
              <w:bottom w:val="nil"/>
              <w:right w:val="nil"/>
            </w:tcBorders>
            <w:shd w:val="clear" w:color="000000" w:fill="FFFFFF"/>
            <w:noWrap/>
            <w:vAlign w:val="bottom"/>
            <w:hideMark/>
          </w:tcPr>
          <w:p w14:paraId="3775509A"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51" w:type="pct"/>
            <w:gridSpan w:val="2"/>
            <w:tcBorders>
              <w:top w:val="nil"/>
              <w:left w:val="nil"/>
              <w:bottom w:val="nil"/>
              <w:right w:val="nil"/>
            </w:tcBorders>
            <w:shd w:val="clear" w:color="000000" w:fill="FFFFFF"/>
            <w:noWrap/>
            <w:vAlign w:val="bottom"/>
            <w:hideMark/>
          </w:tcPr>
          <w:p w14:paraId="2AA1FEAF"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350" w:type="pct"/>
            <w:gridSpan w:val="2"/>
            <w:tcBorders>
              <w:top w:val="nil"/>
              <w:left w:val="nil"/>
              <w:bottom w:val="nil"/>
              <w:right w:val="nil"/>
            </w:tcBorders>
            <w:shd w:val="clear" w:color="000000" w:fill="FFFFFF"/>
            <w:noWrap/>
            <w:vAlign w:val="bottom"/>
            <w:hideMark/>
          </w:tcPr>
          <w:p w14:paraId="23B45824"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303" w:type="pct"/>
            <w:tcBorders>
              <w:top w:val="nil"/>
              <w:left w:val="nil"/>
              <w:bottom w:val="nil"/>
              <w:right w:val="nil"/>
            </w:tcBorders>
            <w:shd w:val="clear" w:color="000000" w:fill="FFFFFF"/>
            <w:noWrap/>
            <w:vAlign w:val="bottom"/>
            <w:hideMark/>
          </w:tcPr>
          <w:p w14:paraId="58A62B61"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r>
      <w:tr w:rsidR="009C6A63" w:rsidRPr="00B65B76" w14:paraId="5F0D8ADC" w14:textId="77777777" w:rsidTr="00CC7B65">
        <w:trPr>
          <w:trHeight w:val="291"/>
        </w:trPr>
        <w:tc>
          <w:tcPr>
            <w:tcW w:w="1243" w:type="pct"/>
            <w:gridSpan w:val="8"/>
            <w:tcBorders>
              <w:top w:val="nil"/>
              <w:left w:val="nil"/>
              <w:bottom w:val="single" w:sz="4" w:space="0" w:color="auto"/>
              <w:right w:val="nil"/>
            </w:tcBorders>
            <w:shd w:val="clear" w:color="000000" w:fill="FFFFFF"/>
            <w:vAlign w:val="bottom"/>
            <w:hideMark/>
          </w:tcPr>
          <w:p w14:paraId="60DA773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Action type and date  </w:t>
            </w:r>
          </w:p>
        </w:tc>
        <w:tc>
          <w:tcPr>
            <w:tcW w:w="450" w:type="pct"/>
            <w:gridSpan w:val="2"/>
            <w:vMerge w:val="restart"/>
            <w:tcBorders>
              <w:top w:val="nil"/>
              <w:left w:val="nil"/>
              <w:bottom w:val="single" w:sz="8" w:space="0" w:color="000000"/>
              <w:right w:val="nil"/>
            </w:tcBorders>
            <w:shd w:val="clear" w:color="000000" w:fill="FFFFFF"/>
            <w:vAlign w:val="bottom"/>
            <w:hideMark/>
          </w:tcPr>
          <w:p w14:paraId="381CA70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Cooperative approach ID</w:t>
            </w:r>
            <w:r w:rsidRPr="00B83335">
              <w:rPr>
                <w:rFonts w:eastAsia="Times New Roman"/>
                <w:i/>
                <w:sz w:val="16"/>
                <w:szCs w:val="16"/>
                <w:vertAlign w:val="superscript"/>
              </w:rPr>
              <w:t>c</w:t>
            </w:r>
          </w:p>
        </w:tc>
        <w:tc>
          <w:tcPr>
            <w:tcW w:w="3307" w:type="pct"/>
            <w:gridSpan w:val="21"/>
            <w:tcBorders>
              <w:top w:val="single" w:sz="4" w:space="0" w:color="auto"/>
              <w:left w:val="nil"/>
              <w:bottom w:val="single" w:sz="4" w:space="0" w:color="auto"/>
              <w:right w:val="nil"/>
            </w:tcBorders>
            <w:shd w:val="clear" w:color="000000" w:fill="FFFFFF"/>
            <w:noWrap/>
            <w:vAlign w:val="bottom"/>
            <w:hideMark/>
          </w:tcPr>
          <w:p w14:paraId="3E41029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ITMO</w:t>
            </w:r>
          </w:p>
        </w:tc>
      </w:tr>
      <w:tr w:rsidR="009C6A63" w:rsidRPr="00B65B76" w14:paraId="2B0163E0" w14:textId="77777777" w:rsidTr="00CC7B65">
        <w:trPr>
          <w:trHeight w:val="291"/>
        </w:trPr>
        <w:tc>
          <w:tcPr>
            <w:tcW w:w="278" w:type="pct"/>
            <w:tcBorders>
              <w:top w:val="nil"/>
              <w:left w:val="nil"/>
              <w:bottom w:val="nil"/>
              <w:right w:val="nil"/>
            </w:tcBorders>
            <w:shd w:val="clear" w:color="000000" w:fill="FFFFFF"/>
            <w:noWrap/>
            <w:vAlign w:val="bottom"/>
            <w:hideMark/>
          </w:tcPr>
          <w:p w14:paraId="25950D9D"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74" w:type="pct"/>
            <w:gridSpan w:val="3"/>
            <w:tcBorders>
              <w:top w:val="nil"/>
              <w:left w:val="nil"/>
              <w:bottom w:val="nil"/>
              <w:right w:val="nil"/>
            </w:tcBorders>
            <w:shd w:val="clear" w:color="000000" w:fill="FFFFFF"/>
            <w:noWrap/>
            <w:vAlign w:val="bottom"/>
            <w:hideMark/>
          </w:tcPr>
          <w:p w14:paraId="623804E4"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91" w:type="pct"/>
            <w:gridSpan w:val="4"/>
            <w:tcBorders>
              <w:top w:val="nil"/>
              <w:left w:val="nil"/>
              <w:bottom w:val="nil"/>
              <w:right w:val="nil"/>
            </w:tcBorders>
            <w:shd w:val="clear" w:color="000000" w:fill="FFFFFF"/>
            <w:noWrap/>
            <w:vAlign w:val="bottom"/>
            <w:hideMark/>
          </w:tcPr>
          <w:p w14:paraId="1A209C43"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50" w:type="pct"/>
            <w:gridSpan w:val="2"/>
            <w:vMerge/>
            <w:tcBorders>
              <w:top w:val="nil"/>
              <w:left w:val="nil"/>
              <w:bottom w:val="single" w:sz="8" w:space="0" w:color="000000"/>
              <w:right w:val="nil"/>
            </w:tcBorders>
            <w:vAlign w:val="center"/>
            <w:hideMark/>
          </w:tcPr>
          <w:p w14:paraId="70176C5C" w14:textId="77777777" w:rsidR="009C6A63" w:rsidRPr="00B83335" w:rsidRDefault="009C6A63" w:rsidP="00D2464E">
            <w:pPr>
              <w:suppressAutoHyphens w:val="0"/>
              <w:spacing w:line="240" w:lineRule="auto"/>
              <w:rPr>
                <w:rFonts w:eastAsia="Times New Roman"/>
                <w:i/>
                <w:sz w:val="16"/>
                <w:szCs w:val="16"/>
              </w:rPr>
            </w:pPr>
          </w:p>
        </w:tc>
        <w:tc>
          <w:tcPr>
            <w:tcW w:w="400" w:type="pct"/>
            <w:gridSpan w:val="3"/>
            <w:tcBorders>
              <w:top w:val="nil"/>
              <w:left w:val="nil"/>
              <w:bottom w:val="single" w:sz="4" w:space="0" w:color="auto"/>
              <w:right w:val="nil"/>
            </w:tcBorders>
            <w:shd w:val="clear" w:color="000000" w:fill="FFFFFF"/>
            <w:noWrap/>
            <w:vAlign w:val="bottom"/>
            <w:hideMark/>
          </w:tcPr>
          <w:p w14:paraId="4DA50433"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602" w:type="pct"/>
            <w:gridSpan w:val="4"/>
            <w:tcBorders>
              <w:top w:val="nil"/>
              <w:left w:val="nil"/>
              <w:bottom w:val="single" w:sz="4" w:space="0" w:color="auto"/>
              <w:right w:val="nil"/>
            </w:tcBorders>
            <w:shd w:val="clear" w:color="000000" w:fill="FFFFFF"/>
            <w:noWrap/>
            <w:vAlign w:val="bottom"/>
            <w:hideMark/>
          </w:tcPr>
          <w:p w14:paraId="4E9EFF41"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2305" w:type="pct"/>
            <w:gridSpan w:val="14"/>
            <w:tcBorders>
              <w:top w:val="single" w:sz="4" w:space="0" w:color="auto"/>
              <w:left w:val="nil"/>
              <w:bottom w:val="single" w:sz="4" w:space="0" w:color="auto"/>
              <w:right w:val="nil"/>
            </w:tcBorders>
            <w:shd w:val="clear" w:color="000000" w:fill="FFFFFF"/>
            <w:noWrap/>
            <w:vAlign w:val="bottom"/>
            <w:hideMark/>
          </w:tcPr>
          <w:p w14:paraId="44B33B9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Unique identifiers</w:t>
            </w:r>
          </w:p>
        </w:tc>
      </w:tr>
      <w:tr w:rsidR="009C6A63" w:rsidRPr="00B65B76" w14:paraId="3324FE3D" w14:textId="77777777" w:rsidTr="00E61681">
        <w:trPr>
          <w:trHeight w:val="291"/>
        </w:trPr>
        <w:tc>
          <w:tcPr>
            <w:tcW w:w="278" w:type="pct"/>
            <w:tcBorders>
              <w:top w:val="nil"/>
              <w:left w:val="nil"/>
              <w:bottom w:val="nil"/>
              <w:right w:val="nil"/>
            </w:tcBorders>
            <w:shd w:val="clear" w:color="000000" w:fill="FFFFFF"/>
            <w:vAlign w:val="bottom"/>
            <w:hideMark/>
          </w:tcPr>
          <w:p w14:paraId="6F614A4F"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74" w:type="pct"/>
            <w:gridSpan w:val="3"/>
            <w:tcBorders>
              <w:top w:val="nil"/>
              <w:left w:val="nil"/>
              <w:bottom w:val="nil"/>
              <w:right w:val="nil"/>
            </w:tcBorders>
            <w:shd w:val="clear" w:color="000000" w:fill="FFFFFF"/>
            <w:noWrap/>
            <w:vAlign w:val="bottom"/>
            <w:hideMark/>
          </w:tcPr>
          <w:p w14:paraId="026CB2E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91" w:type="pct"/>
            <w:gridSpan w:val="4"/>
            <w:tcBorders>
              <w:top w:val="nil"/>
              <w:left w:val="nil"/>
              <w:bottom w:val="nil"/>
              <w:right w:val="nil"/>
            </w:tcBorders>
            <w:shd w:val="clear" w:color="000000" w:fill="FFFFFF"/>
            <w:noWrap/>
            <w:vAlign w:val="bottom"/>
            <w:hideMark/>
          </w:tcPr>
          <w:p w14:paraId="1F18520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50" w:type="pct"/>
            <w:gridSpan w:val="2"/>
            <w:vMerge/>
            <w:tcBorders>
              <w:top w:val="nil"/>
              <w:left w:val="nil"/>
              <w:bottom w:val="single" w:sz="8" w:space="0" w:color="000000"/>
              <w:right w:val="nil"/>
            </w:tcBorders>
            <w:vAlign w:val="center"/>
            <w:hideMark/>
          </w:tcPr>
          <w:p w14:paraId="030F0DDE" w14:textId="77777777" w:rsidR="009C6A63" w:rsidRPr="00B83335" w:rsidRDefault="009C6A63" w:rsidP="00D2464E">
            <w:pPr>
              <w:suppressAutoHyphens w:val="0"/>
              <w:spacing w:line="240" w:lineRule="auto"/>
              <w:rPr>
                <w:rFonts w:eastAsia="Times New Roman"/>
                <w:i/>
                <w:sz w:val="16"/>
                <w:szCs w:val="16"/>
              </w:rPr>
            </w:pPr>
          </w:p>
        </w:tc>
        <w:tc>
          <w:tcPr>
            <w:tcW w:w="400" w:type="pct"/>
            <w:gridSpan w:val="3"/>
            <w:vMerge w:val="restart"/>
            <w:tcBorders>
              <w:top w:val="nil"/>
              <w:left w:val="nil"/>
              <w:bottom w:val="single" w:sz="8" w:space="0" w:color="000000"/>
              <w:right w:val="nil"/>
            </w:tcBorders>
            <w:shd w:val="clear" w:color="000000" w:fill="FFFFFF"/>
            <w:vAlign w:val="bottom"/>
            <w:hideMark/>
          </w:tcPr>
          <w:p w14:paraId="7393C0C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ID</w:t>
            </w:r>
            <w:r w:rsidRPr="00B83335">
              <w:rPr>
                <w:rFonts w:eastAsia="Times New Roman"/>
                <w:i/>
                <w:sz w:val="16"/>
                <w:szCs w:val="16"/>
                <w:vertAlign w:val="superscript"/>
              </w:rPr>
              <w:t>d</w:t>
            </w:r>
          </w:p>
        </w:tc>
        <w:tc>
          <w:tcPr>
            <w:tcW w:w="602" w:type="pct"/>
            <w:gridSpan w:val="4"/>
            <w:tcBorders>
              <w:top w:val="nil"/>
              <w:left w:val="nil"/>
              <w:bottom w:val="nil"/>
              <w:right w:val="nil"/>
            </w:tcBorders>
            <w:shd w:val="clear" w:color="000000" w:fill="FFFFFF"/>
            <w:noWrap/>
            <w:vAlign w:val="bottom"/>
            <w:hideMark/>
          </w:tcPr>
          <w:p w14:paraId="0657AF46"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50" w:type="pct"/>
            <w:gridSpan w:val="3"/>
            <w:tcBorders>
              <w:top w:val="nil"/>
              <w:left w:val="nil"/>
              <w:bottom w:val="nil"/>
              <w:right w:val="nil"/>
            </w:tcBorders>
            <w:shd w:val="clear" w:color="000000" w:fill="FFFFFF"/>
            <w:noWrap/>
            <w:vAlign w:val="bottom"/>
            <w:hideMark/>
          </w:tcPr>
          <w:p w14:paraId="6CEBC926"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351" w:type="pct"/>
            <w:gridSpan w:val="2"/>
            <w:tcBorders>
              <w:top w:val="single" w:sz="4" w:space="0" w:color="auto"/>
              <w:left w:val="nil"/>
              <w:bottom w:val="nil"/>
              <w:right w:val="nil"/>
            </w:tcBorders>
            <w:shd w:val="clear" w:color="000000" w:fill="FFFFFF"/>
            <w:vAlign w:val="bottom"/>
            <w:hideMark/>
          </w:tcPr>
          <w:p w14:paraId="2C90A3E7"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300" w:type="pct"/>
            <w:gridSpan w:val="3"/>
            <w:tcBorders>
              <w:top w:val="single" w:sz="4" w:space="0" w:color="auto"/>
              <w:left w:val="nil"/>
              <w:bottom w:val="nil"/>
              <w:right w:val="nil"/>
            </w:tcBorders>
            <w:shd w:val="clear" w:color="000000" w:fill="FFFFFF"/>
            <w:vAlign w:val="bottom"/>
            <w:hideMark/>
          </w:tcPr>
          <w:p w14:paraId="43EC9A60"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100" w:type="pct"/>
            <w:tcBorders>
              <w:top w:val="nil"/>
              <w:left w:val="nil"/>
              <w:bottom w:val="nil"/>
              <w:right w:val="nil"/>
            </w:tcBorders>
            <w:shd w:val="clear" w:color="000000" w:fill="FFFFFF"/>
            <w:noWrap/>
            <w:vAlign w:val="bottom"/>
            <w:hideMark/>
          </w:tcPr>
          <w:p w14:paraId="66EB3D53"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104" w:type="pct"/>
            <w:gridSpan w:val="5"/>
            <w:tcBorders>
              <w:top w:val="single" w:sz="4" w:space="0" w:color="auto"/>
              <w:left w:val="nil"/>
              <w:bottom w:val="single" w:sz="4" w:space="0" w:color="auto"/>
              <w:right w:val="nil"/>
            </w:tcBorders>
            <w:shd w:val="clear" w:color="000000" w:fill="FFFFFF"/>
            <w:vAlign w:val="bottom"/>
            <w:hideMark/>
          </w:tcPr>
          <w:p w14:paraId="699C7AEE"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Underlying units</w:t>
            </w:r>
          </w:p>
        </w:tc>
      </w:tr>
      <w:tr w:rsidR="009C6A63" w:rsidRPr="00B65B76" w14:paraId="7F22DAA0" w14:textId="77777777" w:rsidTr="00E61681">
        <w:trPr>
          <w:trHeight w:val="540"/>
        </w:trPr>
        <w:tc>
          <w:tcPr>
            <w:tcW w:w="278" w:type="pct"/>
            <w:tcBorders>
              <w:top w:val="nil"/>
              <w:left w:val="nil"/>
              <w:bottom w:val="nil"/>
              <w:right w:val="nil"/>
            </w:tcBorders>
            <w:shd w:val="clear" w:color="000000" w:fill="FFFFFF"/>
            <w:vAlign w:val="bottom"/>
            <w:hideMark/>
          </w:tcPr>
          <w:p w14:paraId="2D3A34B7"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74" w:type="pct"/>
            <w:gridSpan w:val="3"/>
            <w:tcBorders>
              <w:top w:val="nil"/>
              <w:left w:val="nil"/>
              <w:bottom w:val="nil"/>
              <w:right w:val="nil"/>
            </w:tcBorders>
            <w:shd w:val="clear" w:color="000000" w:fill="FFFFFF"/>
            <w:noWrap/>
            <w:vAlign w:val="bottom"/>
            <w:hideMark/>
          </w:tcPr>
          <w:p w14:paraId="2D05200E"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91" w:type="pct"/>
            <w:gridSpan w:val="4"/>
            <w:tcBorders>
              <w:top w:val="nil"/>
              <w:left w:val="nil"/>
              <w:bottom w:val="nil"/>
              <w:right w:val="nil"/>
            </w:tcBorders>
            <w:shd w:val="clear" w:color="000000" w:fill="FFFFFF"/>
            <w:noWrap/>
            <w:vAlign w:val="bottom"/>
            <w:hideMark/>
          </w:tcPr>
          <w:p w14:paraId="38AB8F2E"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50" w:type="pct"/>
            <w:gridSpan w:val="2"/>
            <w:vMerge/>
            <w:tcBorders>
              <w:top w:val="nil"/>
              <w:left w:val="nil"/>
              <w:bottom w:val="single" w:sz="8" w:space="0" w:color="000000"/>
              <w:right w:val="nil"/>
            </w:tcBorders>
            <w:vAlign w:val="center"/>
            <w:hideMark/>
          </w:tcPr>
          <w:p w14:paraId="28A0A63D" w14:textId="77777777" w:rsidR="009C6A63" w:rsidRPr="00B83335" w:rsidRDefault="009C6A63" w:rsidP="00D2464E">
            <w:pPr>
              <w:suppressAutoHyphens w:val="0"/>
              <w:spacing w:line="240" w:lineRule="auto"/>
              <w:rPr>
                <w:rFonts w:eastAsia="Times New Roman"/>
                <w:i/>
                <w:sz w:val="16"/>
                <w:szCs w:val="16"/>
              </w:rPr>
            </w:pPr>
          </w:p>
        </w:tc>
        <w:tc>
          <w:tcPr>
            <w:tcW w:w="400" w:type="pct"/>
            <w:gridSpan w:val="3"/>
            <w:vMerge/>
            <w:tcBorders>
              <w:top w:val="nil"/>
              <w:left w:val="nil"/>
              <w:bottom w:val="single" w:sz="8" w:space="0" w:color="000000"/>
              <w:right w:val="nil"/>
            </w:tcBorders>
            <w:vAlign w:val="center"/>
            <w:hideMark/>
          </w:tcPr>
          <w:p w14:paraId="3616336C" w14:textId="77777777" w:rsidR="009C6A63" w:rsidRPr="00B83335" w:rsidRDefault="009C6A63" w:rsidP="00D2464E">
            <w:pPr>
              <w:suppressAutoHyphens w:val="0"/>
              <w:spacing w:line="240" w:lineRule="auto"/>
              <w:rPr>
                <w:rFonts w:eastAsia="Times New Roman"/>
                <w:i/>
                <w:sz w:val="16"/>
                <w:szCs w:val="16"/>
              </w:rPr>
            </w:pPr>
          </w:p>
        </w:tc>
        <w:tc>
          <w:tcPr>
            <w:tcW w:w="602" w:type="pct"/>
            <w:gridSpan w:val="4"/>
            <w:tcBorders>
              <w:top w:val="nil"/>
              <w:left w:val="nil"/>
              <w:bottom w:val="nil"/>
              <w:right w:val="nil"/>
            </w:tcBorders>
            <w:shd w:val="clear" w:color="000000" w:fill="FFFFFF"/>
            <w:noWrap/>
            <w:vAlign w:val="bottom"/>
            <w:hideMark/>
          </w:tcPr>
          <w:p w14:paraId="0CBF981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450" w:type="pct"/>
            <w:gridSpan w:val="3"/>
            <w:tcBorders>
              <w:top w:val="nil"/>
              <w:left w:val="nil"/>
              <w:bottom w:val="nil"/>
              <w:right w:val="nil"/>
            </w:tcBorders>
            <w:shd w:val="clear" w:color="000000" w:fill="FFFFFF"/>
            <w:noWrap/>
            <w:vAlign w:val="bottom"/>
            <w:hideMark/>
          </w:tcPr>
          <w:p w14:paraId="2D3A8CBD"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651" w:type="pct"/>
            <w:gridSpan w:val="5"/>
            <w:tcBorders>
              <w:top w:val="nil"/>
              <w:left w:val="nil"/>
              <w:bottom w:val="single" w:sz="4" w:space="0" w:color="auto"/>
              <w:right w:val="nil"/>
            </w:tcBorders>
            <w:shd w:val="clear" w:color="000000" w:fill="FFFFFF"/>
            <w:vAlign w:val="bottom"/>
            <w:hideMark/>
          </w:tcPr>
          <w:p w14:paraId="3A35F51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ITMO unique identifier</w:t>
            </w:r>
            <w:r w:rsidRPr="00B83335">
              <w:rPr>
                <w:rFonts w:eastAsia="Times New Roman"/>
                <w:i/>
                <w:sz w:val="16"/>
                <w:szCs w:val="16"/>
                <w:vertAlign w:val="superscript"/>
              </w:rPr>
              <w:t>g</w:t>
            </w:r>
          </w:p>
        </w:tc>
        <w:tc>
          <w:tcPr>
            <w:tcW w:w="100" w:type="pct"/>
            <w:tcBorders>
              <w:top w:val="nil"/>
              <w:left w:val="nil"/>
              <w:bottom w:val="nil"/>
              <w:right w:val="nil"/>
            </w:tcBorders>
            <w:shd w:val="clear" w:color="000000" w:fill="FFFFFF"/>
            <w:noWrap/>
            <w:vAlign w:val="bottom"/>
            <w:hideMark/>
          </w:tcPr>
          <w:p w14:paraId="430869AB"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451" w:type="pct"/>
            <w:gridSpan w:val="2"/>
            <w:tcBorders>
              <w:top w:val="nil"/>
              <w:left w:val="nil"/>
              <w:bottom w:val="nil"/>
              <w:right w:val="nil"/>
            </w:tcBorders>
            <w:shd w:val="clear" w:color="000000" w:fill="FFFFFF"/>
            <w:vAlign w:val="bottom"/>
            <w:hideMark/>
          </w:tcPr>
          <w:p w14:paraId="34CA97B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653" w:type="pct"/>
            <w:gridSpan w:val="3"/>
            <w:tcBorders>
              <w:top w:val="single" w:sz="4" w:space="0" w:color="auto"/>
              <w:left w:val="nil"/>
              <w:bottom w:val="single" w:sz="4" w:space="0" w:color="auto"/>
              <w:right w:val="nil"/>
            </w:tcBorders>
            <w:shd w:val="clear" w:color="000000" w:fill="FFFFFF"/>
            <w:vAlign w:val="bottom"/>
            <w:hideMark/>
          </w:tcPr>
          <w:p w14:paraId="5B2A4195"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Underlying unit unique identifier</w:t>
            </w:r>
            <w:r w:rsidRPr="00B83335">
              <w:rPr>
                <w:rFonts w:eastAsia="Times New Roman"/>
                <w:i/>
                <w:sz w:val="16"/>
                <w:szCs w:val="16"/>
                <w:vertAlign w:val="superscript"/>
              </w:rPr>
              <w:t>k</w:t>
            </w:r>
          </w:p>
        </w:tc>
      </w:tr>
      <w:tr w:rsidR="009C6A63" w:rsidRPr="00B65B76" w14:paraId="14CE60E2" w14:textId="77777777" w:rsidTr="00E61681">
        <w:trPr>
          <w:trHeight w:val="780"/>
        </w:trPr>
        <w:tc>
          <w:tcPr>
            <w:tcW w:w="278" w:type="pct"/>
            <w:tcBorders>
              <w:top w:val="nil"/>
              <w:left w:val="nil"/>
              <w:bottom w:val="single" w:sz="8" w:space="0" w:color="auto"/>
              <w:right w:val="nil"/>
            </w:tcBorders>
            <w:shd w:val="clear" w:color="000000" w:fill="FFFFFF"/>
            <w:vAlign w:val="bottom"/>
            <w:hideMark/>
          </w:tcPr>
          <w:p w14:paraId="772A22BC"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Action date</w:t>
            </w:r>
            <w:r w:rsidRPr="00B83335">
              <w:rPr>
                <w:rFonts w:eastAsia="Times New Roman"/>
                <w:i/>
                <w:sz w:val="16"/>
                <w:szCs w:val="16"/>
                <w:vertAlign w:val="superscript"/>
              </w:rPr>
              <w:t>a</w:t>
            </w:r>
          </w:p>
        </w:tc>
        <w:tc>
          <w:tcPr>
            <w:tcW w:w="474" w:type="pct"/>
            <w:gridSpan w:val="3"/>
            <w:tcBorders>
              <w:top w:val="nil"/>
              <w:left w:val="nil"/>
              <w:bottom w:val="single" w:sz="8" w:space="0" w:color="auto"/>
              <w:right w:val="nil"/>
            </w:tcBorders>
            <w:shd w:val="clear" w:color="auto" w:fill="auto"/>
            <w:vAlign w:val="bottom"/>
            <w:hideMark/>
          </w:tcPr>
          <w:p w14:paraId="268374D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Action type</w:t>
            </w:r>
            <w:r w:rsidRPr="00B83335">
              <w:rPr>
                <w:rFonts w:eastAsia="Times New Roman"/>
                <w:i/>
                <w:sz w:val="16"/>
                <w:szCs w:val="16"/>
                <w:vertAlign w:val="superscript"/>
              </w:rPr>
              <w:t>b</w:t>
            </w:r>
          </w:p>
        </w:tc>
        <w:tc>
          <w:tcPr>
            <w:tcW w:w="491" w:type="pct"/>
            <w:gridSpan w:val="4"/>
            <w:tcBorders>
              <w:top w:val="nil"/>
              <w:left w:val="nil"/>
              <w:bottom w:val="single" w:sz="8" w:space="0" w:color="auto"/>
              <w:right w:val="nil"/>
            </w:tcBorders>
            <w:shd w:val="clear" w:color="000000" w:fill="FFFFFF"/>
            <w:vAlign w:val="bottom"/>
            <w:hideMark/>
          </w:tcPr>
          <w:p w14:paraId="1C254CC5"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Action subtype</w:t>
            </w:r>
          </w:p>
        </w:tc>
        <w:tc>
          <w:tcPr>
            <w:tcW w:w="450" w:type="pct"/>
            <w:gridSpan w:val="2"/>
            <w:vMerge/>
            <w:tcBorders>
              <w:top w:val="nil"/>
              <w:left w:val="nil"/>
              <w:bottom w:val="single" w:sz="8" w:space="0" w:color="000000"/>
              <w:right w:val="nil"/>
            </w:tcBorders>
            <w:vAlign w:val="bottom"/>
            <w:hideMark/>
          </w:tcPr>
          <w:p w14:paraId="5DFEE90C" w14:textId="77777777" w:rsidR="009C6A63" w:rsidRPr="00B83335" w:rsidRDefault="009C6A63" w:rsidP="00D2464E">
            <w:pPr>
              <w:suppressAutoHyphens w:val="0"/>
              <w:spacing w:line="240" w:lineRule="auto"/>
              <w:jc w:val="center"/>
              <w:rPr>
                <w:rFonts w:eastAsia="Times New Roman"/>
                <w:i/>
                <w:sz w:val="16"/>
                <w:szCs w:val="16"/>
              </w:rPr>
            </w:pPr>
          </w:p>
        </w:tc>
        <w:tc>
          <w:tcPr>
            <w:tcW w:w="400" w:type="pct"/>
            <w:gridSpan w:val="3"/>
            <w:vMerge/>
            <w:tcBorders>
              <w:top w:val="nil"/>
              <w:left w:val="nil"/>
              <w:bottom w:val="single" w:sz="8" w:space="0" w:color="000000"/>
              <w:right w:val="nil"/>
            </w:tcBorders>
            <w:vAlign w:val="bottom"/>
            <w:hideMark/>
          </w:tcPr>
          <w:p w14:paraId="173F5624" w14:textId="77777777" w:rsidR="009C6A63" w:rsidRPr="00B83335" w:rsidRDefault="009C6A63" w:rsidP="00D2464E">
            <w:pPr>
              <w:suppressAutoHyphens w:val="0"/>
              <w:spacing w:line="240" w:lineRule="auto"/>
              <w:jc w:val="center"/>
              <w:rPr>
                <w:rFonts w:eastAsia="Times New Roman"/>
                <w:i/>
                <w:sz w:val="16"/>
                <w:szCs w:val="16"/>
              </w:rPr>
            </w:pPr>
          </w:p>
        </w:tc>
        <w:tc>
          <w:tcPr>
            <w:tcW w:w="602" w:type="pct"/>
            <w:gridSpan w:val="4"/>
            <w:tcBorders>
              <w:top w:val="nil"/>
              <w:left w:val="nil"/>
              <w:bottom w:val="single" w:sz="8" w:space="0" w:color="auto"/>
              <w:right w:val="nil"/>
            </w:tcBorders>
            <w:shd w:val="clear" w:color="000000" w:fill="FFFFFF"/>
            <w:vAlign w:val="bottom"/>
            <w:hideMark/>
          </w:tcPr>
          <w:p w14:paraId="73D8625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transferring participating Party ID</w:t>
            </w:r>
            <w:r w:rsidRPr="00B83335">
              <w:rPr>
                <w:rFonts w:eastAsia="Times New Roman"/>
                <w:i/>
                <w:sz w:val="16"/>
                <w:szCs w:val="16"/>
                <w:vertAlign w:val="superscript"/>
              </w:rPr>
              <w:t>e</w:t>
            </w:r>
          </w:p>
        </w:tc>
        <w:tc>
          <w:tcPr>
            <w:tcW w:w="450" w:type="pct"/>
            <w:gridSpan w:val="3"/>
            <w:tcBorders>
              <w:top w:val="nil"/>
              <w:left w:val="nil"/>
              <w:bottom w:val="single" w:sz="8" w:space="0" w:color="auto"/>
              <w:right w:val="nil"/>
            </w:tcBorders>
            <w:shd w:val="clear" w:color="000000" w:fill="FFFFFF"/>
            <w:vAlign w:val="bottom"/>
            <w:hideMark/>
          </w:tcPr>
          <w:p w14:paraId="4F40A2F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Party ITMO registry ID</w:t>
            </w:r>
            <w:r w:rsidRPr="00B83335">
              <w:rPr>
                <w:rFonts w:eastAsia="Times New Roman"/>
                <w:i/>
                <w:sz w:val="16"/>
                <w:szCs w:val="16"/>
                <w:vertAlign w:val="superscript"/>
              </w:rPr>
              <w:t>f</w:t>
            </w:r>
          </w:p>
        </w:tc>
        <w:tc>
          <w:tcPr>
            <w:tcW w:w="351" w:type="pct"/>
            <w:gridSpan w:val="2"/>
            <w:tcBorders>
              <w:top w:val="nil"/>
              <w:left w:val="nil"/>
              <w:bottom w:val="single" w:sz="8" w:space="0" w:color="auto"/>
              <w:right w:val="nil"/>
            </w:tcBorders>
            <w:shd w:val="clear" w:color="000000" w:fill="FFFFFF"/>
            <w:vAlign w:val="bottom"/>
            <w:hideMark/>
          </w:tcPr>
          <w:p w14:paraId="7DB84946"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ID</w:t>
            </w:r>
            <w:r w:rsidRPr="00B83335">
              <w:rPr>
                <w:rFonts w:eastAsia="Times New Roman"/>
                <w:i/>
                <w:sz w:val="16"/>
                <w:szCs w:val="16"/>
                <w:vertAlign w:val="superscript"/>
              </w:rPr>
              <w:t>h</w:t>
            </w:r>
          </w:p>
        </w:tc>
        <w:tc>
          <w:tcPr>
            <w:tcW w:w="300" w:type="pct"/>
            <w:gridSpan w:val="3"/>
            <w:tcBorders>
              <w:top w:val="nil"/>
              <w:left w:val="nil"/>
              <w:bottom w:val="single" w:sz="8" w:space="0" w:color="auto"/>
              <w:right w:val="nil"/>
            </w:tcBorders>
            <w:shd w:val="clear" w:color="000000" w:fill="FFFFFF"/>
            <w:vAlign w:val="bottom"/>
            <w:hideMark/>
          </w:tcPr>
          <w:p w14:paraId="21DFEC15"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Last ID</w:t>
            </w:r>
            <w:r w:rsidRPr="00B83335">
              <w:rPr>
                <w:rFonts w:eastAsia="Times New Roman"/>
                <w:i/>
                <w:sz w:val="16"/>
                <w:szCs w:val="16"/>
                <w:vertAlign w:val="superscript"/>
              </w:rPr>
              <w:t>i</w:t>
            </w:r>
          </w:p>
        </w:tc>
        <w:tc>
          <w:tcPr>
            <w:tcW w:w="100" w:type="pct"/>
            <w:tcBorders>
              <w:top w:val="nil"/>
              <w:left w:val="nil"/>
              <w:bottom w:val="single" w:sz="8" w:space="0" w:color="auto"/>
              <w:right w:val="nil"/>
            </w:tcBorders>
            <w:shd w:val="clear" w:color="000000" w:fill="FFFFFF"/>
            <w:vAlign w:val="bottom"/>
            <w:hideMark/>
          </w:tcPr>
          <w:p w14:paraId="2670999A" w14:textId="77777777" w:rsidR="009C6A63" w:rsidRPr="00B83335" w:rsidRDefault="009C6A63" w:rsidP="00D2464E">
            <w:pPr>
              <w:suppressAutoHyphens w:val="0"/>
              <w:spacing w:line="240" w:lineRule="auto"/>
              <w:jc w:val="center"/>
              <w:rPr>
                <w:rFonts w:eastAsia="Times New Roman"/>
              </w:rPr>
            </w:pPr>
          </w:p>
        </w:tc>
        <w:tc>
          <w:tcPr>
            <w:tcW w:w="451" w:type="pct"/>
            <w:gridSpan w:val="2"/>
            <w:tcBorders>
              <w:top w:val="nil"/>
              <w:left w:val="nil"/>
              <w:bottom w:val="single" w:sz="8" w:space="0" w:color="auto"/>
              <w:right w:val="nil"/>
            </w:tcBorders>
            <w:shd w:val="clear" w:color="000000" w:fill="FFFFFF"/>
            <w:vAlign w:val="bottom"/>
            <w:hideMark/>
          </w:tcPr>
          <w:p w14:paraId="48C176B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Underlying unit registry ID</w:t>
            </w:r>
            <w:r w:rsidRPr="00B83335">
              <w:rPr>
                <w:rFonts w:eastAsia="Times New Roman"/>
                <w:i/>
                <w:sz w:val="16"/>
                <w:szCs w:val="16"/>
                <w:vertAlign w:val="superscript"/>
              </w:rPr>
              <w:t>j</w:t>
            </w:r>
          </w:p>
        </w:tc>
        <w:tc>
          <w:tcPr>
            <w:tcW w:w="350" w:type="pct"/>
            <w:gridSpan w:val="2"/>
            <w:tcBorders>
              <w:top w:val="nil"/>
              <w:left w:val="nil"/>
              <w:bottom w:val="single" w:sz="8" w:space="0" w:color="auto"/>
              <w:right w:val="nil"/>
            </w:tcBorders>
            <w:shd w:val="clear" w:color="000000" w:fill="FFFFFF"/>
            <w:vAlign w:val="bottom"/>
            <w:hideMark/>
          </w:tcPr>
          <w:p w14:paraId="40F45F8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unit ID</w:t>
            </w:r>
            <w:r w:rsidRPr="00B83335">
              <w:rPr>
                <w:rFonts w:eastAsia="Times New Roman"/>
                <w:i/>
                <w:sz w:val="16"/>
                <w:szCs w:val="16"/>
                <w:vertAlign w:val="superscript"/>
              </w:rPr>
              <w:t>l</w:t>
            </w:r>
          </w:p>
        </w:tc>
        <w:tc>
          <w:tcPr>
            <w:tcW w:w="303" w:type="pct"/>
            <w:tcBorders>
              <w:top w:val="nil"/>
              <w:left w:val="nil"/>
              <w:bottom w:val="single" w:sz="8" w:space="0" w:color="auto"/>
              <w:right w:val="nil"/>
            </w:tcBorders>
            <w:shd w:val="clear" w:color="000000" w:fill="FFFFFF"/>
            <w:vAlign w:val="bottom"/>
            <w:hideMark/>
          </w:tcPr>
          <w:p w14:paraId="7A01094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Last unit ID</w:t>
            </w:r>
            <w:r w:rsidRPr="00B83335">
              <w:rPr>
                <w:rFonts w:eastAsia="Times New Roman"/>
                <w:i/>
                <w:sz w:val="16"/>
                <w:szCs w:val="16"/>
                <w:vertAlign w:val="superscript"/>
              </w:rPr>
              <w:t>m</w:t>
            </w:r>
          </w:p>
        </w:tc>
      </w:tr>
      <w:tr w:rsidR="00CC7B65" w:rsidRPr="00B65B76" w14:paraId="6227C130" w14:textId="77777777" w:rsidTr="00E61681">
        <w:trPr>
          <w:trHeight w:val="288"/>
        </w:trPr>
        <w:tc>
          <w:tcPr>
            <w:tcW w:w="278" w:type="pct"/>
            <w:tcBorders>
              <w:top w:val="nil"/>
              <w:left w:val="nil"/>
              <w:bottom w:val="nil"/>
              <w:right w:val="nil"/>
            </w:tcBorders>
            <w:shd w:val="clear" w:color="000000" w:fill="FFFFFF"/>
          </w:tcPr>
          <w:p w14:paraId="627750AB" w14:textId="77777777" w:rsidR="00CC7B65" w:rsidRPr="00B83335" w:rsidRDefault="00CC7B65" w:rsidP="004C7207">
            <w:pPr>
              <w:suppressAutoHyphens w:val="0"/>
              <w:spacing w:line="240" w:lineRule="auto"/>
              <w:jc w:val="center"/>
              <w:rPr>
                <w:rFonts w:eastAsia="Times New Roman"/>
              </w:rPr>
            </w:pPr>
          </w:p>
        </w:tc>
        <w:tc>
          <w:tcPr>
            <w:tcW w:w="474" w:type="pct"/>
            <w:gridSpan w:val="3"/>
            <w:tcBorders>
              <w:top w:val="nil"/>
              <w:left w:val="nil"/>
              <w:bottom w:val="nil"/>
              <w:right w:val="nil"/>
            </w:tcBorders>
            <w:shd w:val="clear" w:color="000000" w:fill="FFFFFF"/>
            <w:vAlign w:val="center"/>
          </w:tcPr>
          <w:p w14:paraId="165E9726" w14:textId="105AF021" w:rsidR="00CC7B65" w:rsidRPr="00B83335" w:rsidRDefault="00CC7B65" w:rsidP="004C7207">
            <w:pPr>
              <w:suppressAutoHyphens w:val="0"/>
              <w:spacing w:line="240" w:lineRule="auto"/>
              <w:jc w:val="center"/>
              <w:rPr>
                <w:rFonts w:eastAsia="Times New Roman"/>
              </w:rPr>
            </w:pPr>
            <w:r>
              <w:rPr>
                <w:rFonts w:eastAsia="Times New Roman"/>
              </w:rPr>
              <w:t>Aquisition</w:t>
            </w:r>
          </w:p>
        </w:tc>
        <w:tc>
          <w:tcPr>
            <w:tcW w:w="491" w:type="pct"/>
            <w:gridSpan w:val="4"/>
            <w:tcBorders>
              <w:top w:val="nil"/>
              <w:left w:val="nil"/>
              <w:bottom w:val="nil"/>
              <w:right w:val="nil"/>
            </w:tcBorders>
            <w:shd w:val="clear" w:color="000000" w:fill="FFFFFF"/>
            <w:vAlign w:val="center"/>
          </w:tcPr>
          <w:p w14:paraId="45D95D47" w14:textId="77777777" w:rsidR="00CC7B65" w:rsidRPr="00B83335" w:rsidRDefault="00CC7B65" w:rsidP="004C7207">
            <w:pPr>
              <w:suppressAutoHyphens w:val="0"/>
              <w:spacing w:line="240" w:lineRule="auto"/>
              <w:jc w:val="center"/>
              <w:rPr>
                <w:rFonts w:eastAsia="Times New Roman"/>
              </w:rPr>
            </w:pPr>
          </w:p>
        </w:tc>
        <w:tc>
          <w:tcPr>
            <w:tcW w:w="450" w:type="pct"/>
            <w:gridSpan w:val="2"/>
            <w:tcBorders>
              <w:top w:val="nil"/>
              <w:left w:val="nil"/>
              <w:bottom w:val="nil"/>
              <w:right w:val="nil"/>
            </w:tcBorders>
            <w:shd w:val="clear" w:color="000000" w:fill="FFFFFF"/>
            <w:vAlign w:val="center"/>
          </w:tcPr>
          <w:p w14:paraId="3EDC49C8" w14:textId="77777777" w:rsidR="00CC7B65" w:rsidRPr="00B83335" w:rsidRDefault="00CC7B65" w:rsidP="004C7207">
            <w:pPr>
              <w:suppressAutoHyphens w:val="0"/>
              <w:spacing w:line="240" w:lineRule="auto"/>
              <w:jc w:val="center"/>
              <w:rPr>
                <w:rFonts w:eastAsia="Times New Roman"/>
              </w:rPr>
            </w:pPr>
          </w:p>
        </w:tc>
        <w:tc>
          <w:tcPr>
            <w:tcW w:w="400" w:type="pct"/>
            <w:gridSpan w:val="3"/>
            <w:tcBorders>
              <w:top w:val="nil"/>
              <w:left w:val="nil"/>
              <w:bottom w:val="nil"/>
              <w:right w:val="nil"/>
            </w:tcBorders>
            <w:shd w:val="clear" w:color="000000" w:fill="FFFFFF"/>
            <w:vAlign w:val="center"/>
          </w:tcPr>
          <w:p w14:paraId="24074118" w14:textId="77777777" w:rsidR="00CC7B65" w:rsidRPr="00B83335" w:rsidRDefault="00CC7B65" w:rsidP="004C7207">
            <w:pPr>
              <w:suppressAutoHyphens w:val="0"/>
              <w:spacing w:line="240" w:lineRule="auto"/>
              <w:jc w:val="center"/>
              <w:rPr>
                <w:rFonts w:eastAsia="Times New Roman"/>
              </w:rPr>
            </w:pPr>
          </w:p>
        </w:tc>
        <w:tc>
          <w:tcPr>
            <w:tcW w:w="602" w:type="pct"/>
            <w:gridSpan w:val="4"/>
            <w:tcBorders>
              <w:top w:val="nil"/>
              <w:left w:val="nil"/>
              <w:bottom w:val="nil"/>
              <w:right w:val="nil"/>
            </w:tcBorders>
            <w:shd w:val="clear" w:color="000000" w:fill="FFFFFF"/>
            <w:vAlign w:val="center"/>
          </w:tcPr>
          <w:p w14:paraId="4558FB7A" w14:textId="77777777" w:rsidR="00CC7B65" w:rsidRPr="00B83335" w:rsidRDefault="00CC7B65" w:rsidP="004C7207">
            <w:pPr>
              <w:suppressAutoHyphens w:val="0"/>
              <w:spacing w:line="240" w:lineRule="auto"/>
              <w:jc w:val="center"/>
              <w:rPr>
                <w:rFonts w:eastAsia="Times New Roman"/>
              </w:rPr>
            </w:pPr>
          </w:p>
        </w:tc>
        <w:tc>
          <w:tcPr>
            <w:tcW w:w="450" w:type="pct"/>
            <w:gridSpan w:val="3"/>
            <w:tcBorders>
              <w:top w:val="nil"/>
              <w:left w:val="nil"/>
              <w:bottom w:val="nil"/>
              <w:right w:val="nil"/>
            </w:tcBorders>
            <w:shd w:val="clear" w:color="000000" w:fill="FFFFFF"/>
            <w:vAlign w:val="center"/>
          </w:tcPr>
          <w:p w14:paraId="01B45549" w14:textId="77777777" w:rsidR="00CC7B65" w:rsidRPr="00B83335" w:rsidRDefault="00CC7B65" w:rsidP="004C7207">
            <w:pPr>
              <w:suppressAutoHyphens w:val="0"/>
              <w:spacing w:line="240" w:lineRule="auto"/>
              <w:jc w:val="center"/>
              <w:rPr>
                <w:rFonts w:eastAsia="Times New Roman"/>
              </w:rPr>
            </w:pPr>
          </w:p>
        </w:tc>
        <w:tc>
          <w:tcPr>
            <w:tcW w:w="351" w:type="pct"/>
            <w:gridSpan w:val="2"/>
            <w:tcBorders>
              <w:top w:val="nil"/>
              <w:left w:val="nil"/>
              <w:bottom w:val="nil"/>
              <w:right w:val="nil"/>
            </w:tcBorders>
            <w:shd w:val="clear" w:color="000000" w:fill="FFFFFF"/>
            <w:vAlign w:val="center"/>
          </w:tcPr>
          <w:p w14:paraId="7E387C73" w14:textId="77777777" w:rsidR="00CC7B65" w:rsidRPr="00B83335" w:rsidRDefault="00CC7B65" w:rsidP="004C7207">
            <w:pPr>
              <w:suppressAutoHyphens w:val="0"/>
              <w:spacing w:line="240" w:lineRule="auto"/>
              <w:jc w:val="center"/>
              <w:rPr>
                <w:rFonts w:eastAsia="Times New Roman"/>
              </w:rPr>
            </w:pPr>
          </w:p>
        </w:tc>
        <w:tc>
          <w:tcPr>
            <w:tcW w:w="300" w:type="pct"/>
            <w:gridSpan w:val="3"/>
            <w:tcBorders>
              <w:top w:val="nil"/>
              <w:left w:val="nil"/>
              <w:bottom w:val="nil"/>
              <w:right w:val="nil"/>
            </w:tcBorders>
            <w:shd w:val="clear" w:color="000000" w:fill="FFFFFF"/>
            <w:noWrap/>
            <w:vAlign w:val="center"/>
          </w:tcPr>
          <w:p w14:paraId="580B4B0E" w14:textId="77777777" w:rsidR="00CC7B65" w:rsidRPr="00B83335" w:rsidRDefault="00CC7B65" w:rsidP="004C7207">
            <w:pPr>
              <w:suppressAutoHyphens w:val="0"/>
              <w:spacing w:line="240" w:lineRule="auto"/>
              <w:jc w:val="center"/>
              <w:rPr>
                <w:rFonts w:eastAsia="Times New Roman"/>
              </w:rPr>
            </w:pPr>
          </w:p>
        </w:tc>
        <w:tc>
          <w:tcPr>
            <w:tcW w:w="100" w:type="pct"/>
            <w:tcBorders>
              <w:top w:val="nil"/>
              <w:left w:val="nil"/>
              <w:bottom w:val="nil"/>
              <w:right w:val="nil"/>
            </w:tcBorders>
            <w:shd w:val="clear" w:color="000000" w:fill="FFFFFF"/>
            <w:vAlign w:val="center"/>
          </w:tcPr>
          <w:p w14:paraId="444B2BA2" w14:textId="77777777" w:rsidR="00CC7B65" w:rsidRPr="00B83335" w:rsidRDefault="00CC7B65" w:rsidP="004C7207">
            <w:pPr>
              <w:suppressAutoHyphens w:val="0"/>
              <w:spacing w:line="240" w:lineRule="auto"/>
              <w:jc w:val="center"/>
              <w:rPr>
                <w:rFonts w:eastAsia="Times New Roman"/>
              </w:rPr>
            </w:pPr>
          </w:p>
        </w:tc>
        <w:tc>
          <w:tcPr>
            <w:tcW w:w="451" w:type="pct"/>
            <w:gridSpan w:val="2"/>
            <w:tcBorders>
              <w:top w:val="nil"/>
              <w:left w:val="nil"/>
              <w:bottom w:val="nil"/>
              <w:right w:val="nil"/>
            </w:tcBorders>
            <w:shd w:val="clear" w:color="000000" w:fill="FFFFFF"/>
            <w:vAlign w:val="center"/>
          </w:tcPr>
          <w:p w14:paraId="12D5ADA3" w14:textId="77777777" w:rsidR="00CC7B65" w:rsidRPr="00B83335" w:rsidRDefault="00CC7B65" w:rsidP="004C7207">
            <w:pPr>
              <w:suppressAutoHyphens w:val="0"/>
              <w:spacing w:line="240" w:lineRule="auto"/>
              <w:jc w:val="center"/>
              <w:rPr>
                <w:rFonts w:eastAsia="Times New Roman"/>
              </w:rPr>
            </w:pPr>
          </w:p>
        </w:tc>
        <w:tc>
          <w:tcPr>
            <w:tcW w:w="350" w:type="pct"/>
            <w:gridSpan w:val="2"/>
            <w:tcBorders>
              <w:top w:val="nil"/>
              <w:left w:val="nil"/>
              <w:bottom w:val="nil"/>
              <w:right w:val="nil"/>
            </w:tcBorders>
            <w:shd w:val="clear" w:color="000000" w:fill="FFFFFF"/>
            <w:vAlign w:val="center"/>
          </w:tcPr>
          <w:p w14:paraId="2A72FA24" w14:textId="77777777" w:rsidR="00CC7B65" w:rsidRPr="00B83335" w:rsidRDefault="00CC7B65" w:rsidP="004C7207">
            <w:pPr>
              <w:suppressAutoHyphens w:val="0"/>
              <w:spacing w:line="240" w:lineRule="auto"/>
              <w:jc w:val="center"/>
              <w:rPr>
                <w:rFonts w:eastAsia="Times New Roman"/>
              </w:rPr>
            </w:pPr>
          </w:p>
        </w:tc>
        <w:tc>
          <w:tcPr>
            <w:tcW w:w="303" w:type="pct"/>
            <w:tcBorders>
              <w:top w:val="nil"/>
              <w:left w:val="nil"/>
              <w:bottom w:val="nil"/>
              <w:right w:val="nil"/>
            </w:tcBorders>
            <w:shd w:val="clear" w:color="000000" w:fill="FFFFFF"/>
            <w:vAlign w:val="center"/>
          </w:tcPr>
          <w:p w14:paraId="17F30C33" w14:textId="77777777" w:rsidR="00CC7B65" w:rsidRPr="00B83335" w:rsidRDefault="00CC7B65" w:rsidP="004C7207">
            <w:pPr>
              <w:suppressAutoHyphens w:val="0"/>
              <w:spacing w:line="240" w:lineRule="auto"/>
              <w:jc w:val="center"/>
              <w:rPr>
                <w:rFonts w:eastAsia="Times New Roman"/>
              </w:rPr>
            </w:pPr>
          </w:p>
        </w:tc>
      </w:tr>
      <w:tr w:rsidR="009C6A63" w:rsidRPr="00B65B76" w14:paraId="6DFDF775" w14:textId="77777777" w:rsidTr="00E61681">
        <w:trPr>
          <w:trHeight w:val="288"/>
        </w:trPr>
        <w:tc>
          <w:tcPr>
            <w:tcW w:w="278" w:type="pct"/>
            <w:tcBorders>
              <w:top w:val="nil"/>
              <w:left w:val="nil"/>
              <w:bottom w:val="nil"/>
              <w:right w:val="nil"/>
            </w:tcBorders>
            <w:shd w:val="clear" w:color="000000" w:fill="FFFFFF"/>
            <w:hideMark/>
          </w:tcPr>
          <w:p w14:paraId="0DA4B978"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74" w:type="pct"/>
            <w:gridSpan w:val="3"/>
            <w:tcBorders>
              <w:top w:val="nil"/>
              <w:left w:val="nil"/>
              <w:bottom w:val="nil"/>
              <w:right w:val="nil"/>
            </w:tcBorders>
            <w:shd w:val="clear" w:color="000000" w:fill="FFFFFF"/>
            <w:vAlign w:val="center"/>
            <w:hideMark/>
          </w:tcPr>
          <w:p w14:paraId="036BF5C2"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Transfer</w:t>
            </w:r>
          </w:p>
        </w:tc>
        <w:tc>
          <w:tcPr>
            <w:tcW w:w="491" w:type="pct"/>
            <w:gridSpan w:val="4"/>
            <w:tcBorders>
              <w:top w:val="nil"/>
              <w:left w:val="nil"/>
              <w:bottom w:val="nil"/>
              <w:right w:val="nil"/>
            </w:tcBorders>
            <w:shd w:val="clear" w:color="000000" w:fill="FFFFFF"/>
            <w:vAlign w:val="center"/>
            <w:hideMark/>
          </w:tcPr>
          <w:p w14:paraId="5FBFB9B0"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2"/>
            <w:tcBorders>
              <w:top w:val="nil"/>
              <w:left w:val="nil"/>
              <w:bottom w:val="nil"/>
              <w:right w:val="nil"/>
            </w:tcBorders>
            <w:shd w:val="clear" w:color="000000" w:fill="FFFFFF"/>
            <w:vAlign w:val="center"/>
            <w:hideMark/>
          </w:tcPr>
          <w:p w14:paraId="59438734"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00" w:type="pct"/>
            <w:gridSpan w:val="3"/>
            <w:tcBorders>
              <w:top w:val="nil"/>
              <w:left w:val="nil"/>
              <w:bottom w:val="nil"/>
              <w:right w:val="nil"/>
            </w:tcBorders>
            <w:shd w:val="clear" w:color="000000" w:fill="FFFFFF"/>
            <w:vAlign w:val="center"/>
            <w:hideMark/>
          </w:tcPr>
          <w:p w14:paraId="0EA6AFCF"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602" w:type="pct"/>
            <w:gridSpan w:val="4"/>
            <w:tcBorders>
              <w:top w:val="nil"/>
              <w:left w:val="nil"/>
              <w:bottom w:val="nil"/>
              <w:right w:val="nil"/>
            </w:tcBorders>
            <w:shd w:val="clear" w:color="000000" w:fill="FFFFFF"/>
            <w:vAlign w:val="center"/>
            <w:hideMark/>
          </w:tcPr>
          <w:p w14:paraId="2BB34A7A"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3"/>
            <w:tcBorders>
              <w:top w:val="nil"/>
              <w:left w:val="nil"/>
              <w:bottom w:val="nil"/>
              <w:right w:val="nil"/>
            </w:tcBorders>
            <w:shd w:val="clear" w:color="000000" w:fill="FFFFFF"/>
            <w:vAlign w:val="center"/>
            <w:hideMark/>
          </w:tcPr>
          <w:p w14:paraId="183CFF97"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51" w:type="pct"/>
            <w:gridSpan w:val="2"/>
            <w:tcBorders>
              <w:top w:val="nil"/>
              <w:left w:val="nil"/>
              <w:bottom w:val="nil"/>
              <w:right w:val="nil"/>
            </w:tcBorders>
            <w:shd w:val="clear" w:color="000000" w:fill="FFFFFF"/>
            <w:vAlign w:val="center"/>
            <w:hideMark/>
          </w:tcPr>
          <w:p w14:paraId="77261274"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0" w:type="pct"/>
            <w:gridSpan w:val="3"/>
            <w:tcBorders>
              <w:top w:val="nil"/>
              <w:left w:val="nil"/>
              <w:bottom w:val="nil"/>
              <w:right w:val="nil"/>
            </w:tcBorders>
            <w:shd w:val="clear" w:color="000000" w:fill="FFFFFF"/>
            <w:noWrap/>
            <w:vAlign w:val="center"/>
            <w:hideMark/>
          </w:tcPr>
          <w:p w14:paraId="0A9EDABD"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100" w:type="pct"/>
            <w:tcBorders>
              <w:top w:val="nil"/>
              <w:left w:val="nil"/>
              <w:bottom w:val="nil"/>
              <w:right w:val="nil"/>
            </w:tcBorders>
            <w:shd w:val="clear" w:color="000000" w:fill="FFFFFF"/>
            <w:vAlign w:val="center"/>
            <w:hideMark/>
          </w:tcPr>
          <w:p w14:paraId="0B3A3C09"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1" w:type="pct"/>
            <w:gridSpan w:val="2"/>
            <w:tcBorders>
              <w:top w:val="nil"/>
              <w:left w:val="nil"/>
              <w:bottom w:val="nil"/>
              <w:right w:val="nil"/>
            </w:tcBorders>
            <w:shd w:val="clear" w:color="000000" w:fill="FFFFFF"/>
            <w:vAlign w:val="center"/>
            <w:hideMark/>
          </w:tcPr>
          <w:p w14:paraId="541DE1A9"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50" w:type="pct"/>
            <w:gridSpan w:val="2"/>
            <w:tcBorders>
              <w:top w:val="nil"/>
              <w:left w:val="nil"/>
              <w:bottom w:val="nil"/>
              <w:right w:val="nil"/>
            </w:tcBorders>
            <w:shd w:val="clear" w:color="000000" w:fill="FFFFFF"/>
            <w:vAlign w:val="center"/>
            <w:hideMark/>
          </w:tcPr>
          <w:p w14:paraId="1966F9AC"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3" w:type="pct"/>
            <w:tcBorders>
              <w:top w:val="nil"/>
              <w:left w:val="nil"/>
              <w:bottom w:val="nil"/>
              <w:right w:val="nil"/>
            </w:tcBorders>
            <w:shd w:val="clear" w:color="000000" w:fill="FFFFFF"/>
            <w:vAlign w:val="center"/>
            <w:hideMark/>
          </w:tcPr>
          <w:p w14:paraId="1E84F6D4"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r>
      <w:tr w:rsidR="009C6A63" w:rsidRPr="00B65B76" w14:paraId="52D2E008" w14:textId="77777777" w:rsidTr="00E61681">
        <w:trPr>
          <w:trHeight w:val="288"/>
        </w:trPr>
        <w:tc>
          <w:tcPr>
            <w:tcW w:w="278" w:type="pct"/>
            <w:tcBorders>
              <w:top w:val="nil"/>
              <w:left w:val="nil"/>
              <w:bottom w:val="nil"/>
              <w:right w:val="nil"/>
            </w:tcBorders>
            <w:shd w:val="clear" w:color="000000" w:fill="FFFFFF"/>
            <w:hideMark/>
          </w:tcPr>
          <w:p w14:paraId="430B388B"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74" w:type="pct"/>
            <w:gridSpan w:val="3"/>
            <w:tcBorders>
              <w:top w:val="nil"/>
              <w:left w:val="nil"/>
              <w:bottom w:val="nil"/>
              <w:right w:val="nil"/>
            </w:tcBorders>
            <w:shd w:val="clear" w:color="000000" w:fill="FFFFFF"/>
            <w:vAlign w:val="center"/>
            <w:hideMark/>
          </w:tcPr>
          <w:p w14:paraId="2084FBD9"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Use</w:t>
            </w:r>
          </w:p>
        </w:tc>
        <w:tc>
          <w:tcPr>
            <w:tcW w:w="491" w:type="pct"/>
            <w:gridSpan w:val="4"/>
            <w:tcBorders>
              <w:top w:val="nil"/>
              <w:left w:val="nil"/>
              <w:bottom w:val="nil"/>
              <w:right w:val="nil"/>
            </w:tcBorders>
            <w:shd w:val="clear" w:color="000000" w:fill="FFFFFF"/>
            <w:vAlign w:val="center"/>
            <w:hideMark/>
          </w:tcPr>
          <w:p w14:paraId="28BE7505"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2"/>
            <w:tcBorders>
              <w:top w:val="nil"/>
              <w:left w:val="nil"/>
              <w:bottom w:val="nil"/>
              <w:right w:val="nil"/>
            </w:tcBorders>
            <w:shd w:val="clear" w:color="000000" w:fill="FFFFFF"/>
            <w:vAlign w:val="center"/>
            <w:hideMark/>
          </w:tcPr>
          <w:p w14:paraId="2D9C1BB5"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00" w:type="pct"/>
            <w:gridSpan w:val="3"/>
            <w:tcBorders>
              <w:top w:val="nil"/>
              <w:left w:val="nil"/>
              <w:bottom w:val="nil"/>
              <w:right w:val="nil"/>
            </w:tcBorders>
            <w:shd w:val="clear" w:color="000000" w:fill="FFFFFF"/>
            <w:vAlign w:val="center"/>
            <w:hideMark/>
          </w:tcPr>
          <w:p w14:paraId="58DFAEE4"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602" w:type="pct"/>
            <w:gridSpan w:val="4"/>
            <w:tcBorders>
              <w:top w:val="nil"/>
              <w:left w:val="nil"/>
              <w:bottom w:val="nil"/>
              <w:right w:val="nil"/>
            </w:tcBorders>
            <w:shd w:val="clear" w:color="000000" w:fill="FFFFFF"/>
            <w:vAlign w:val="center"/>
            <w:hideMark/>
          </w:tcPr>
          <w:p w14:paraId="18454D41"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3"/>
            <w:tcBorders>
              <w:top w:val="nil"/>
              <w:left w:val="nil"/>
              <w:bottom w:val="nil"/>
              <w:right w:val="nil"/>
            </w:tcBorders>
            <w:shd w:val="clear" w:color="000000" w:fill="FFFFFF"/>
            <w:vAlign w:val="center"/>
            <w:hideMark/>
          </w:tcPr>
          <w:p w14:paraId="35B163B9"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51" w:type="pct"/>
            <w:gridSpan w:val="2"/>
            <w:tcBorders>
              <w:top w:val="nil"/>
              <w:left w:val="nil"/>
              <w:bottom w:val="nil"/>
              <w:right w:val="nil"/>
            </w:tcBorders>
            <w:shd w:val="clear" w:color="000000" w:fill="FFFFFF"/>
            <w:vAlign w:val="center"/>
            <w:hideMark/>
          </w:tcPr>
          <w:p w14:paraId="714B7104"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0" w:type="pct"/>
            <w:gridSpan w:val="3"/>
            <w:tcBorders>
              <w:top w:val="nil"/>
              <w:left w:val="nil"/>
              <w:bottom w:val="nil"/>
              <w:right w:val="nil"/>
            </w:tcBorders>
            <w:shd w:val="clear" w:color="000000" w:fill="FFFFFF"/>
            <w:noWrap/>
            <w:vAlign w:val="center"/>
            <w:hideMark/>
          </w:tcPr>
          <w:p w14:paraId="763BAB39"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100" w:type="pct"/>
            <w:tcBorders>
              <w:top w:val="nil"/>
              <w:left w:val="nil"/>
              <w:bottom w:val="nil"/>
              <w:right w:val="nil"/>
            </w:tcBorders>
            <w:shd w:val="clear" w:color="000000" w:fill="FFFFFF"/>
            <w:vAlign w:val="center"/>
            <w:hideMark/>
          </w:tcPr>
          <w:p w14:paraId="6A24A4D0"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1" w:type="pct"/>
            <w:gridSpan w:val="2"/>
            <w:tcBorders>
              <w:top w:val="nil"/>
              <w:left w:val="nil"/>
              <w:bottom w:val="nil"/>
              <w:right w:val="nil"/>
            </w:tcBorders>
            <w:shd w:val="clear" w:color="000000" w:fill="FFFFFF"/>
            <w:noWrap/>
            <w:vAlign w:val="bottom"/>
            <w:hideMark/>
          </w:tcPr>
          <w:p w14:paraId="1AD3AA30"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350" w:type="pct"/>
            <w:gridSpan w:val="2"/>
            <w:tcBorders>
              <w:top w:val="nil"/>
              <w:left w:val="nil"/>
              <w:bottom w:val="nil"/>
              <w:right w:val="nil"/>
            </w:tcBorders>
            <w:shd w:val="clear" w:color="000000" w:fill="FFFFFF"/>
            <w:vAlign w:val="center"/>
            <w:hideMark/>
          </w:tcPr>
          <w:p w14:paraId="4534B91F"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3" w:type="pct"/>
            <w:tcBorders>
              <w:top w:val="nil"/>
              <w:left w:val="nil"/>
              <w:bottom w:val="nil"/>
              <w:right w:val="nil"/>
            </w:tcBorders>
            <w:shd w:val="clear" w:color="000000" w:fill="FFFFFF"/>
            <w:vAlign w:val="center"/>
            <w:hideMark/>
          </w:tcPr>
          <w:p w14:paraId="12AEB142"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r>
      <w:tr w:rsidR="009C6A63" w:rsidRPr="00B65B76" w14:paraId="4EAC2C32" w14:textId="77777777" w:rsidTr="00E61681">
        <w:trPr>
          <w:trHeight w:val="288"/>
        </w:trPr>
        <w:tc>
          <w:tcPr>
            <w:tcW w:w="278" w:type="pct"/>
            <w:tcBorders>
              <w:top w:val="nil"/>
              <w:left w:val="nil"/>
              <w:bottom w:val="nil"/>
              <w:right w:val="nil"/>
            </w:tcBorders>
            <w:shd w:val="clear" w:color="000000" w:fill="FFFFFF"/>
            <w:hideMark/>
          </w:tcPr>
          <w:p w14:paraId="7EE96F70"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74" w:type="pct"/>
            <w:gridSpan w:val="3"/>
            <w:tcBorders>
              <w:top w:val="nil"/>
              <w:left w:val="nil"/>
              <w:bottom w:val="nil"/>
              <w:right w:val="nil"/>
            </w:tcBorders>
            <w:shd w:val="clear" w:color="000000" w:fill="FFFFFF"/>
            <w:vAlign w:val="center"/>
            <w:hideMark/>
          </w:tcPr>
          <w:p w14:paraId="5C652867" w14:textId="77777777" w:rsidR="009C6A63" w:rsidRPr="00B83335" w:rsidRDefault="009C6A63" w:rsidP="004C7207">
            <w:pPr>
              <w:suppressAutoHyphens w:val="0"/>
              <w:spacing w:line="240" w:lineRule="auto"/>
              <w:jc w:val="center"/>
              <w:rPr>
                <w:rFonts w:eastAsia="Times New Roman"/>
              </w:rPr>
            </w:pPr>
            <w:r w:rsidRPr="00C50337">
              <w:rPr>
                <w:rFonts w:eastAsia="Times New Roman"/>
              </w:rPr>
              <w:t>Cancellation</w:t>
            </w:r>
          </w:p>
        </w:tc>
        <w:tc>
          <w:tcPr>
            <w:tcW w:w="491" w:type="pct"/>
            <w:gridSpan w:val="4"/>
            <w:tcBorders>
              <w:top w:val="nil"/>
              <w:left w:val="nil"/>
              <w:bottom w:val="nil"/>
              <w:right w:val="nil"/>
            </w:tcBorders>
            <w:shd w:val="clear" w:color="000000" w:fill="FFFFFF"/>
            <w:vAlign w:val="center"/>
            <w:hideMark/>
          </w:tcPr>
          <w:p w14:paraId="2FCBD60E"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2"/>
            <w:tcBorders>
              <w:top w:val="nil"/>
              <w:left w:val="nil"/>
              <w:bottom w:val="nil"/>
              <w:right w:val="nil"/>
            </w:tcBorders>
            <w:shd w:val="clear" w:color="000000" w:fill="FFFFFF"/>
            <w:vAlign w:val="center"/>
            <w:hideMark/>
          </w:tcPr>
          <w:p w14:paraId="39DF9A5F"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00" w:type="pct"/>
            <w:gridSpan w:val="3"/>
            <w:tcBorders>
              <w:top w:val="nil"/>
              <w:left w:val="nil"/>
              <w:bottom w:val="nil"/>
              <w:right w:val="nil"/>
            </w:tcBorders>
            <w:shd w:val="clear" w:color="000000" w:fill="FFFFFF"/>
            <w:vAlign w:val="center"/>
            <w:hideMark/>
          </w:tcPr>
          <w:p w14:paraId="52320CB2"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602" w:type="pct"/>
            <w:gridSpan w:val="4"/>
            <w:tcBorders>
              <w:top w:val="nil"/>
              <w:left w:val="nil"/>
              <w:bottom w:val="nil"/>
              <w:right w:val="nil"/>
            </w:tcBorders>
            <w:shd w:val="clear" w:color="000000" w:fill="FFFFFF"/>
            <w:vAlign w:val="center"/>
            <w:hideMark/>
          </w:tcPr>
          <w:p w14:paraId="651DEEDD"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3"/>
            <w:tcBorders>
              <w:top w:val="nil"/>
              <w:left w:val="nil"/>
              <w:bottom w:val="nil"/>
              <w:right w:val="nil"/>
            </w:tcBorders>
            <w:shd w:val="clear" w:color="000000" w:fill="FFFFFF"/>
            <w:vAlign w:val="center"/>
            <w:hideMark/>
          </w:tcPr>
          <w:p w14:paraId="48618B32"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51" w:type="pct"/>
            <w:gridSpan w:val="2"/>
            <w:tcBorders>
              <w:top w:val="nil"/>
              <w:left w:val="nil"/>
              <w:bottom w:val="nil"/>
              <w:right w:val="nil"/>
            </w:tcBorders>
            <w:shd w:val="clear" w:color="000000" w:fill="FFFFFF"/>
            <w:vAlign w:val="center"/>
            <w:hideMark/>
          </w:tcPr>
          <w:p w14:paraId="6125E11E"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0" w:type="pct"/>
            <w:gridSpan w:val="3"/>
            <w:tcBorders>
              <w:top w:val="nil"/>
              <w:left w:val="nil"/>
              <w:bottom w:val="nil"/>
              <w:right w:val="nil"/>
            </w:tcBorders>
            <w:shd w:val="clear" w:color="000000" w:fill="FFFFFF"/>
            <w:noWrap/>
            <w:vAlign w:val="center"/>
            <w:hideMark/>
          </w:tcPr>
          <w:p w14:paraId="053A2194"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100" w:type="pct"/>
            <w:tcBorders>
              <w:top w:val="nil"/>
              <w:left w:val="nil"/>
              <w:bottom w:val="nil"/>
              <w:right w:val="nil"/>
            </w:tcBorders>
            <w:shd w:val="clear" w:color="000000" w:fill="FFFFFF"/>
            <w:vAlign w:val="center"/>
            <w:hideMark/>
          </w:tcPr>
          <w:p w14:paraId="2226F0E7"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1" w:type="pct"/>
            <w:gridSpan w:val="2"/>
            <w:tcBorders>
              <w:top w:val="nil"/>
              <w:left w:val="nil"/>
              <w:bottom w:val="nil"/>
              <w:right w:val="nil"/>
            </w:tcBorders>
            <w:shd w:val="clear" w:color="000000" w:fill="FFFFFF"/>
            <w:noWrap/>
            <w:vAlign w:val="bottom"/>
            <w:hideMark/>
          </w:tcPr>
          <w:p w14:paraId="4AF481FE"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350" w:type="pct"/>
            <w:gridSpan w:val="2"/>
            <w:tcBorders>
              <w:top w:val="nil"/>
              <w:left w:val="nil"/>
              <w:bottom w:val="nil"/>
              <w:right w:val="nil"/>
            </w:tcBorders>
            <w:shd w:val="clear" w:color="000000" w:fill="FFFFFF"/>
            <w:vAlign w:val="center"/>
            <w:hideMark/>
          </w:tcPr>
          <w:p w14:paraId="212BD055"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3" w:type="pct"/>
            <w:tcBorders>
              <w:top w:val="nil"/>
              <w:left w:val="nil"/>
              <w:bottom w:val="nil"/>
              <w:right w:val="nil"/>
            </w:tcBorders>
            <w:shd w:val="clear" w:color="000000" w:fill="FFFFFF"/>
            <w:vAlign w:val="center"/>
            <w:hideMark/>
          </w:tcPr>
          <w:p w14:paraId="28E4054D"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r>
      <w:tr w:rsidR="009C6A63" w:rsidRPr="00B65B76" w14:paraId="1C2953BE" w14:textId="77777777" w:rsidTr="00E61681">
        <w:trPr>
          <w:trHeight w:val="300"/>
        </w:trPr>
        <w:tc>
          <w:tcPr>
            <w:tcW w:w="278" w:type="pct"/>
            <w:tcBorders>
              <w:top w:val="nil"/>
              <w:left w:val="nil"/>
              <w:bottom w:val="single" w:sz="8" w:space="0" w:color="auto"/>
              <w:right w:val="nil"/>
            </w:tcBorders>
            <w:shd w:val="clear" w:color="000000" w:fill="FFFFFF"/>
            <w:hideMark/>
          </w:tcPr>
          <w:p w14:paraId="3E28501B"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74" w:type="pct"/>
            <w:gridSpan w:val="3"/>
            <w:tcBorders>
              <w:top w:val="nil"/>
              <w:left w:val="nil"/>
              <w:bottom w:val="single" w:sz="8" w:space="0" w:color="auto"/>
              <w:right w:val="nil"/>
            </w:tcBorders>
            <w:shd w:val="clear" w:color="000000" w:fill="FFFFFF"/>
            <w:vAlign w:val="center"/>
            <w:hideMark/>
          </w:tcPr>
          <w:p w14:paraId="2B9602C3"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First transfer</w:t>
            </w:r>
          </w:p>
        </w:tc>
        <w:tc>
          <w:tcPr>
            <w:tcW w:w="491" w:type="pct"/>
            <w:gridSpan w:val="4"/>
            <w:tcBorders>
              <w:top w:val="nil"/>
              <w:left w:val="nil"/>
              <w:bottom w:val="single" w:sz="8" w:space="0" w:color="auto"/>
              <w:right w:val="nil"/>
            </w:tcBorders>
            <w:shd w:val="clear" w:color="000000" w:fill="FFFFFF"/>
            <w:vAlign w:val="center"/>
            <w:hideMark/>
          </w:tcPr>
          <w:p w14:paraId="34F4BC58"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2"/>
            <w:tcBorders>
              <w:top w:val="nil"/>
              <w:left w:val="nil"/>
              <w:bottom w:val="single" w:sz="8" w:space="0" w:color="auto"/>
              <w:right w:val="nil"/>
            </w:tcBorders>
            <w:shd w:val="clear" w:color="000000" w:fill="FFFFFF"/>
            <w:vAlign w:val="center"/>
            <w:hideMark/>
          </w:tcPr>
          <w:p w14:paraId="2BEA5D14"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400" w:type="pct"/>
            <w:gridSpan w:val="3"/>
            <w:tcBorders>
              <w:top w:val="nil"/>
              <w:left w:val="nil"/>
              <w:bottom w:val="single" w:sz="8" w:space="0" w:color="auto"/>
              <w:right w:val="nil"/>
            </w:tcBorders>
            <w:shd w:val="clear" w:color="000000" w:fill="FFFFFF"/>
            <w:vAlign w:val="center"/>
            <w:hideMark/>
          </w:tcPr>
          <w:p w14:paraId="59018B53"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602" w:type="pct"/>
            <w:gridSpan w:val="4"/>
            <w:tcBorders>
              <w:top w:val="nil"/>
              <w:left w:val="nil"/>
              <w:bottom w:val="single" w:sz="8" w:space="0" w:color="auto"/>
              <w:right w:val="nil"/>
            </w:tcBorders>
            <w:shd w:val="clear" w:color="000000" w:fill="FFFFFF"/>
            <w:vAlign w:val="center"/>
            <w:hideMark/>
          </w:tcPr>
          <w:p w14:paraId="2B4ADECC"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0" w:type="pct"/>
            <w:gridSpan w:val="3"/>
            <w:tcBorders>
              <w:top w:val="nil"/>
              <w:left w:val="nil"/>
              <w:bottom w:val="single" w:sz="8" w:space="0" w:color="auto"/>
              <w:right w:val="nil"/>
            </w:tcBorders>
            <w:shd w:val="clear" w:color="000000" w:fill="FFFFFF"/>
            <w:vAlign w:val="center"/>
            <w:hideMark/>
          </w:tcPr>
          <w:p w14:paraId="7252044F"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351" w:type="pct"/>
            <w:gridSpan w:val="2"/>
            <w:tcBorders>
              <w:top w:val="nil"/>
              <w:left w:val="nil"/>
              <w:bottom w:val="single" w:sz="8" w:space="0" w:color="auto"/>
              <w:right w:val="nil"/>
            </w:tcBorders>
            <w:shd w:val="clear" w:color="000000" w:fill="FFFFFF"/>
            <w:vAlign w:val="center"/>
            <w:hideMark/>
          </w:tcPr>
          <w:p w14:paraId="4F7C407C"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300" w:type="pct"/>
            <w:gridSpan w:val="3"/>
            <w:tcBorders>
              <w:top w:val="nil"/>
              <w:left w:val="nil"/>
              <w:bottom w:val="single" w:sz="8" w:space="0" w:color="auto"/>
              <w:right w:val="nil"/>
            </w:tcBorders>
            <w:shd w:val="clear" w:color="000000" w:fill="FFFFFF"/>
            <w:noWrap/>
            <w:vAlign w:val="center"/>
            <w:hideMark/>
          </w:tcPr>
          <w:p w14:paraId="6CC2C390"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100" w:type="pct"/>
            <w:tcBorders>
              <w:top w:val="nil"/>
              <w:left w:val="nil"/>
              <w:bottom w:val="single" w:sz="8" w:space="0" w:color="auto"/>
              <w:right w:val="nil"/>
            </w:tcBorders>
            <w:shd w:val="clear" w:color="000000" w:fill="FFFFFF"/>
            <w:vAlign w:val="center"/>
            <w:hideMark/>
          </w:tcPr>
          <w:p w14:paraId="06D56872"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451" w:type="pct"/>
            <w:gridSpan w:val="2"/>
            <w:tcBorders>
              <w:top w:val="nil"/>
              <w:left w:val="nil"/>
              <w:bottom w:val="single" w:sz="8" w:space="0" w:color="auto"/>
              <w:right w:val="nil"/>
            </w:tcBorders>
            <w:shd w:val="clear" w:color="000000" w:fill="FFFFFF"/>
            <w:noWrap/>
            <w:vAlign w:val="bottom"/>
            <w:hideMark/>
          </w:tcPr>
          <w:p w14:paraId="44149E14" w14:textId="77777777" w:rsidR="009C6A63" w:rsidRPr="00B83335" w:rsidRDefault="009C6A63" w:rsidP="004C7207">
            <w:pPr>
              <w:suppressAutoHyphens w:val="0"/>
              <w:spacing w:line="240" w:lineRule="auto"/>
              <w:jc w:val="center"/>
              <w:rPr>
                <w:rFonts w:ascii="Calibri" w:eastAsia="Times New Roman" w:hAnsi="Calibri" w:cs="Calibri"/>
                <w:sz w:val="22"/>
                <w:szCs w:val="22"/>
              </w:rPr>
            </w:pPr>
            <w:r w:rsidRPr="00B83335">
              <w:rPr>
                <w:rFonts w:ascii="Calibri" w:eastAsia="Times New Roman" w:hAnsi="Calibri" w:cs="Calibri"/>
                <w:sz w:val="22"/>
                <w:szCs w:val="22"/>
              </w:rPr>
              <w:t> </w:t>
            </w:r>
          </w:p>
        </w:tc>
        <w:tc>
          <w:tcPr>
            <w:tcW w:w="350" w:type="pct"/>
            <w:gridSpan w:val="2"/>
            <w:tcBorders>
              <w:top w:val="nil"/>
              <w:left w:val="nil"/>
              <w:bottom w:val="single" w:sz="8" w:space="0" w:color="auto"/>
              <w:right w:val="nil"/>
            </w:tcBorders>
            <w:shd w:val="clear" w:color="000000" w:fill="FFFFFF"/>
            <w:vAlign w:val="center"/>
            <w:hideMark/>
          </w:tcPr>
          <w:p w14:paraId="660135BD"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c>
          <w:tcPr>
            <w:tcW w:w="303" w:type="pct"/>
            <w:tcBorders>
              <w:top w:val="nil"/>
              <w:left w:val="nil"/>
              <w:bottom w:val="single" w:sz="8" w:space="0" w:color="auto"/>
              <w:right w:val="nil"/>
            </w:tcBorders>
            <w:shd w:val="clear" w:color="000000" w:fill="FFFFFF"/>
            <w:vAlign w:val="center"/>
            <w:hideMark/>
          </w:tcPr>
          <w:p w14:paraId="577770A5" w14:textId="77777777" w:rsidR="009C6A63" w:rsidRPr="00B83335" w:rsidRDefault="009C6A63" w:rsidP="004C7207">
            <w:pPr>
              <w:suppressAutoHyphens w:val="0"/>
              <w:spacing w:line="240" w:lineRule="auto"/>
              <w:jc w:val="center"/>
              <w:rPr>
                <w:rFonts w:eastAsia="Times New Roman"/>
              </w:rPr>
            </w:pPr>
            <w:r w:rsidRPr="00B83335">
              <w:rPr>
                <w:rFonts w:eastAsia="Times New Roman"/>
              </w:rPr>
              <w:t> </w:t>
            </w:r>
          </w:p>
        </w:tc>
      </w:tr>
      <w:tr w:rsidR="009C6A63" w:rsidRPr="0048321A" w14:paraId="528A042C" w14:textId="77777777" w:rsidTr="00CC7B65">
        <w:trPr>
          <w:gridAfter w:val="10"/>
          <w:wAfter w:w="1652" w:type="pct"/>
          <w:trHeight w:val="291"/>
        </w:trPr>
        <w:tc>
          <w:tcPr>
            <w:tcW w:w="3348" w:type="pct"/>
            <w:gridSpan w:val="21"/>
            <w:tcBorders>
              <w:top w:val="single" w:sz="4" w:space="0" w:color="auto"/>
              <w:left w:val="nil"/>
              <w:bottom w:val="single" w:sz="4" w:space="0" w:color="auto"/>
              <w:right w:val="nil"/>
            </w:tcBorders>
            <w:shd w:val="clear" w:color="000000" w:fill="FFFFFF"/>
            <w:noWrap/>
            <w:vAlign w:val="bottom"/>
            <w:hideMark/>
          </w:tcPr>
          <w:p w14:paraId="78B1A81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ITMO</w:t>
            </w:r>
          </w:p>
        </w:tc>
      </w:tr>
      <w:tr w:rsidR="009C6A63" w:rsidRPr="0048321A" w14:paraId="56ACFBA3" w14:textId="77777777" w:rsidTr="00CC7B65">
        <w:trPr>
          <w:gridAfter w:val="10"/>
          <w:wAfter w:w="1652" w:type="pct"/>
          <w:trHeight w:val="291"/>
        </w:trPr>
        <w:tc>
          <w:tcPr>
            <w:tcW w:w="2342" w:type="pct"/>
            <w:gridSpan w:val="14"/>
            <w:tcBorders>
              <w:top w:val="nil"/>
              <w:left w:val="nil"/>
              <w:bottom w:val="single" w:sz="4" w:space="0" w:color="auto"/>
              <w:right w:val="nil"/>
            </w:tcBorders>
            <w:shd w:val="clear" w:color="000000" w:fill="FFFFFF"/>
            <w:noWrap/>
            <w:vAlign w:val="bottom"/>
            <w:hideMark/>
          </w:tcPr>
          <w:p w14:paraId="13CEDE0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Metric and quantity</w:t>
            </w:r>
          </w:p>
        </w:tc>
        <w:tc>
          <w:tcPr>
            <w:tcW w:w="100" w:type="pct"/>
            <w:gridSpan w:val="2"/>
            <w:tcBorders>
              <w:top w:val="nil"/>
              <w:left w:val="nil"/>
              <w:bottom w:val="nil"/>
              <w:right w:val="nil"/>
            </w:tcBorders>
            <w:shd w:val="clear" w:color="000000" w:fill="FFFFFF"/>
            <w:noWrap/>
            <w:vAlign w:val="bottom"/>
            <w:hideMark/>
          </w:tcPr>
          <w:p w14:paraId="0228AEC7"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906" w:type="pct"/>
            <w:gridSpan w:val="5"/>
            <w:tcBorders>
              <w:top w:val="single" w:sz="4" w:space="0" w:color="auto"/>
              <w:left w:val="nil"/>
              <w:bottom w:val="single" w:sz="4" w:space="0" w:color="auto"/>
              <w:right w:val="nil"/>
            </w:tcBorders>
            <w:shd w:val="clear" w:color="000000" w:fill="FFFFFF"/>
            <w:noWrap/>
            <w:vAlign w:val="bottom"/>
            <w:hideMark/>
          </w:tcPr>
          <w:p w14:paraId="6DC5C1E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ITMO details</w:t>
            </w:r>
          </w:p>
        </w:tc>
      </w:tr>
      <w:tr w:rsidR="009C6A63" w:rsidRPr="0048321A" w14:paraId="3DB08827" w14:textId="77777777" w:rsidTr="00E61681">
        <w:trPr>
          <w:gridAfter w:val="10"/>
          <w:wAfter w:w="1652" w:type="pct"/>
          <w:trHeight w:val="780"/>
        </w:trPr>
        <w:tc>
          <w:tcPr>
            <w:tcW w:w="353" w:type="pct"/>
            <w:gridSpan w:val="2"/>
            <w:tcBorders>
              <w:top w:val="nil"/>
              <w:left w:val="nil"/>
              <w:bottom w:val="single" w:sz="8" w:space="0" w:color="auto"/>
              <w:right w:val="nil"/>
            </w:tcBorders>
            <w:shd w:val="clear" w:color="000000" w:fill="FFFFFF"/>
            <w:vAlign w:val="bottom"/>
            <w:hideMark/>
          </w:tcPr>
          <w:p w14:paraId="08D57D6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Metric</w:t>
            </w:r>
          </w:p>
        </w:tc>
        <w:tc>
          <w:tcPr>
            <w:tcW w:w="486" w:type="pct"/>
            <w:gridSpan w:val="3"/>
            <w:tcBorders>
              <w:top w:val="nil"/>
              <w:left w:val="nil"/>
              <w:bottom w:val="single" w:sz="8" w:space="0" w:color="auto"/>
              <w:right w:val="nil"/>
            </w:tcBorders>
            <w:shd w:val="clear" w:color="000000" w:fill="FFFFFF"/>
            <w:vAlign w:val="bottom"/>
            <w:hideMark/>
          </w:tcPr>
          <w:p w14:paraId="0137EEEC"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Applicable GWP value(s)</w:t>
            </w:r>
            <w:r w:rsidRPr="00B83335">
              <w:rPr>
                <w:rFonts w:eastAsia="Times New Roman"/>
                <w:i/>
                <w:sz w:val="16"/>
                <w:szCs w:val="16"/>
                <w:vertAlign w:val="superscript"/>
              </w:rPr>
              <w:t>n</w:t>
            </w:r>
          </w:p>
        </w:tc>
        <w:tc>
          <w:tcPr>
            <w:tcW w:w="501" w:type="pct"/>
            <w:gridSpan w:val="4"/>
            <w:tcBorders>
              <w:top w:val="nil"/>
              <w:left w:val="nil"/>
              <w:bottom w:val="single" w:sz="8" w:space="0" w:color="auto"/>
              <w:right w:val="nil"/>
            </w:tcBorders>
            <w:shd w:val="clear" w:color="000000" w:fill="FFFFFF"/>
            <w:vAlign w:val="bottom"/>
            <w:hideMark/>
          </w:tcPr>
          <w:p w14:paraId="59D590CD"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Applicable non-GHG metric</w:t>
            </w:r>
            <w:r w:rsidRPr="00B83335">
              <w:rPr>
                <w:rFonts w:eastAsia="Times New Roman"/>
                <w:i/>
                <w:sz w:val="16"/>
                <w:szCs w:val="16"/>
                <w:vertAlign w:val="superscript"/>
              </w:rPr>
              <w:t>o</w:t>
            </w:r>
          </w:p>
        </w:tc>
        <w:tc>
          <w:tcPr>
            <w:tcW w:w="500" w:type="pct"/>
            <w:gridSpan w:val="2"/>
            <w:tcBorders>
              <w:top w:val="nil"/>
              <w:left w:val="nil"/>
              <w:bottom w:val="single" w:sz="8" w:space="0" w:color="auto"/>
              <w:right w:val="nil"/>
            </w:tcBorders>
            <w:shd w:val="clear" w:color="000000" w:fill="FFFFFF"/>
            <w:vAlign w:val="bottom"/>
            <w:hideMark/>
          </w:tcPr>
          <w:p w14:paraId="7120E3BC" w14:textId="77777777" w:rsidR="009C6A63" w:rsidRPr="00AB3EAC" w:rsidRDefault="009C6A63" w:rsidP="00D2464E">
            <w:pPr>
              <w:suppressAutoHyphens w:val="0"/>
              <w:spacing w:line="240" w:lineRule="auto"/>
              <w:jc w:val="center"/>
              <w:rPr>
                <w:rFonts w:eastAsia="Times New Roman"/>
                <w:i/>
                <w:sz w:val="16"/>
                <w:szCs w:val="16"/>
                <w:lang w:val="fr-FR"/>
              </w:rPr>
            </w:pPr>
            <w:r w:rsidRPr="00AB3EAC">
              <w:rPr>
                <w:rFonts w:eastAsia="Times New Roman"/>
                <w:i/>
                <w:sz w:val="16"/>
                <w:szCs w:val="16"/>
                <w:lang w:val="fr-FR"/>
              </w:rPr>
              <w:t>Quantity (t CO</w:t>
            </w:r>
            <w:r w:rsidRPr="00AB3EAC">
              <w:rPr>
                <w:rFonts w:eastAsia="Times New Roman"/>
                <w:i/>
                <w:sz w:val="16"/>
                <w:szCs w:val="16"/>
                <w:vertAlign w:val="subscript"/>
                <w:lang w:val="fr-FR"/>
              </w:rPr>
              <w:t>2</w:t>
            </w:r>
            <w:r w:rsidRPr="00AB3EAC">
              <w:rPr>
                <w:rFonts w:eastAsia="Times New Roman"/>
                <w:i/>
                <w:sz w:val="16"/>
                <w:szCs w:val="16"/>
                <w:lang w:val="fr-FR"/>
              </w:rPr>
              <w:t> eq)</w:t>
            </w:r>
            <w:r w:rsidRPr="00AB3EAC">
              <w:rPr>
                <w:rFonts w:eastAsia="Times New Roman"/>
                <w:i/>
                <w:sz w:val="16"/>
                <w:szCs w:val="16"/>
                <w:vertAlign w:val="superscript"/>
                <w:lang w:val="fr-FR"/>
              </w:rPr>
              <w:t>p</w:t>
            </w:r>
          </w:p>
        </w:tc>
        <w:tc>
          <w:tcPr>
            <w:tcW w:w="502" w:type="pct"/>
            <w:gridSpan w:val="3"/>
            <w:tcBorders>
              <w:top w:val="nil"/>
              <w:left w:val="nil"/>
              <w:bottom w:val="single" w:sz="8" w:space="0" w:color="auto"/>
              <w:right w:val="nil"/>
            </w:tcBorders>
            <w:shd w:val="clear" w:color="000000" w:fill="FFFFFF"/>
            <w:vAlign w:val="bottom"/>
            <w:hideMark/>
          </w:tcPr>
          <w:p w14:paraId="15CD91BE"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Quantity (in non-GHG metric)</w:t>
            </w:r>
            <w:r w:rsidRPr="00B83335">
              <w:rPr>
                <w:rFonts w:eastAsia="Times New Roman"/>
                <w:i/>
                <w:iCs/>
                <w:sz w:val="16"/>
                <w:szCs w:val="16"/>
                <w:vertAlign w:val="superscript"/>
              </w:rPr>
              <w:t>q</w:t>
            </w:r>
          </w:p>
        </w:tc>
        <w:tc>
          <w:tcPr>
            <w:tcW w:w="100" w:type="pct"/>
            <w:gridSpan w:val="2"/>
            <w:tcBorders>
              <w:top w:val="nil"/>
              <w:left w:val="nil"/>
              <w:bottom w:val="single" w:sz="8" w:space="0" w:color="auto"/>
              <w:right w:val="nil"/>
            </w:tcBorders>
            <w:shd w:val="clear" w:color="000000" w:fill="FFFFFF"/>
            <w:vAlign w:val="bottom"/>
            <w:hideMark/>
          </w:tcPr>
          <w:p w14:paraId="0A5CF5FA"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551" w:type="pct"/>
            <w:gridSpan w:val="3"/>
            <w:tcBorders>
              <w:top w:val="nil"/>
              <w:left w:val="nil"/>
              <w:bottom w:val="single" w:sz="8" w:space="0" w:color="auto"/>
              <w:right w:val="nil"/>
            </w:tcBorders>
            <w:shd w:val="clear" w:color="000000" w:fill="FFFFFF"/>
            <w:vAlign w:val="bottom"/>
            <w:hideMark/>
          </w:tcPr>
          <w:p w14:paraId="2B55240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Mitigation type</w:t>
            </w:r>
          </w:p>
        </w:tc>
        <w:tc>
          <w:tcPr>
            <w:tcW w:w="355" w:type="pct"/>
            <w:gridSpan w:val="2"/>
            <w:tcBorders>
              <w:top w:val="nil"/>
              <w:left w:val="nil"/>
              <w:bottom w:val="single" w:sz="8" w:space="0" w:color="auto"/>
              <w:right w:val="nil"/>
            </w:tcBorders>
            <w:shd w:val="clear" w:color="000000" w:fill="FFFFFF"/>
            <w:vAlign w:val="bottom"/>
            <w:hideMark/>
          </w:tcPr>
          <w:p w14:paraId="7C5400D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Vintage</w:t>
            </w:r>
            <w:r w:rsidRPr="00B83335">
              <w:rPr>
                <w:rFonts w:eastAsia="Times New Roman"/>
                <w:i/>
                <w:sz w:val="16"/>
                <w:szCs w:val="16"/>
                <w:vertAlign w:val="superscript"/>
              </w:rPr>
              <w:t>r</w:t>
            </w:r>
          </w:p>
        </w:tc>
      </w:tr>
      <w:tr w:rsidR="009C6A63" w:rsidRPr="0048321A" w14:paraId="3D9BEC35" w14:textId="77777777" w:rsidTr="00E61681">
        <w:trPr>
          <w:gridAfter w:val="10"/>
          <w:wAfter w:w="1652" w:type="pct"/>
          <w:trHeight w:val="528"/>
        </w:trPr>
        <w:tc>
          <w:tcPr>
            <w:tcW w:w="353" w:type="pct"/>
            <w:gridSpan w:val="2"/>
            <w:tcBorders>
              <w:top w:val="nil"/>
              <w:left w:val="nil"/>
              <w:bottom w:val="nil"/>
              <w:right w:val="nil"/>
            </w:tcBorders>
            <w:shd w:val="clear" w:color="000000" w:fill="FFFFFF"/>
            <w:vAlign w:val="center"/>
            <w:hideMark/>
          </w:tcPr>
          <w:p w14:paraId="3864106B"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GHG</w:t>
            </w:r>
          </w:p>
        </w:tc>
        <w:tc>
          <w:tcPr>
            <w:tcW w:w="486" w:type="pct"/>
            <w:gridSpan w:val="3"/>
            <w:tcBorders>
              <w:top w:val="nil"/>
              <w:left w:val="nil"/>
              <w:bottom w:val="nil"/>
              <w:right w:val="nil"/>
            </w:tcBorders>
            <w:shd w:val="clear" w:color="000000" w:fill="FFFFFF"/>
            <w:vAlign w:val="center"/>
            <w:hideMark/>
          </w:tcPr>
          <w:p w14:paraId="71D6A0F3"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01" w:type="pct"/>
            <w:gridSpan w:val="4"/>
            <w:tcBorders>
              <w:top w:val="nil"/>
              <w:left w:val="nil"/>
              <w:bottom w:val="nil"/>
              <w:right w:val="nil"/>
            </w:tcBorders>
            <w:shd w:val="clear" w:color="000000" w:fill="FFFFFF"/>
            <w:vAlign w:val="center"/>
            <w:hideMark/>
          </w:tcPr>
          <w:p w14:paraId="51E9807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00" w:type="pct"/>
            <w:gridSpan w:val="2"/>
            <w:tcBorders>
              <w:top w:val="nil"/>
              <w:left w:val="nil"/>
              <w:bottom w:val="nil"/>
              <w:right w:val="nil"/>
            </w:tcBorders>
            <w:shd w:val="clear" w:color="000000" w:fill="FFFFFF"/>
            <w:vAlign w:val="center"/>
            <w:hideMark/>
          </w:tcPr>
          <w:p w14:paraId="05F133C4"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02" w:type="pct"/>
            <w:gridSpan w:val="3"/>
            <w:tcBorders>
              <w:top w:val="nil"/>
              <w:left w:val="nil"/>
              <w:bottom w:val="nil"/>
              <w:right w:val="nil"/>
            </w:tcBorders>
            <w:shd w:val="clear" w:color="000000" w:fill="FFFFFF"/>
            <w:vAlign w:val="center"/>
            <w:hideMark/>
          </w:tcPr>
          <w:p w14:paraId="115B88F9"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0" w:type="pct"/>
            <w:gridSpan w:val="2"/>
            <w:tcBorders>
              <w:top w:val="nil"/>
              <w:left w:val="nil"/>
              <w:bottom w:val="nil"/>
              <w:right w:val="nil"/>
            </w:tcBorders>
            <w:shd w:val="clear" w:color="000000" w:fill="FFFFFF"/>
            <w:vAlign w:val="center"/>
            <w:hideMark/>
          </w:tcPr>
          <w:p w14:paraId="7FA276B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51" w:type="pct"/>
            <w:gridSpan w:val="3"/>
            <w:tcBorders>
              <w:top w:val="nil"/>
              <w:left w:val="nil"/>
              <w:bottom w:val="nil"/>
              <w:right w:val="nil"/>
            </w:tcBorders>
            <w:shd w:val="clear" w:color="000000" w:fill="FFFFFF"/>
            <w:vAlign w:val="center"/>
            <w:hideMark/>
          </w:tcPr>
          <w:p w14:paraId="16B16EE0"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Emission reductions</w:t>
            </w:r>
          </w:p>
        </w:tc>
        <w:tc>
          <w:tcPr>
            <w:tcW w:w="355" w:type="pct"/>
            <w:gridSpan w:val="2"/>
            <w:tcBorders>
              <w:top w:val="nil"/>
              <w:left w:val="nil"/>
              <w:bottom w:val="nil"/>
              <w:right w:val="nil"/>
            </w:tcBorders>
            <w:shd w:val="clear" w:color="000000" w:fill="FFFFFF"/>
            <w:vAlign w:val="center"/>
            <w:hideMark/>
          </w:tcPr>
          <w:p w14:paraId="2FF74EEF"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r>
      <w:tr w:rsidR="009C6A63" w:rsidRPr="0048321A" w14:paraId="0A64DA1A" w14:textId="77777777" w:rsidTr="00E61681">
        <w:trPr>
          <w:gridAfter w:val="10"/>
          <w:wAfter w:w="1652" w:type="pct"/>
          <w:trHeight w:val="288"/>
        </w:trPr>
        <w:tc>
          <w:tcPr>
            <w:tcW w:w="353" w:type="pct"/>
            <w:gridSpan w:val="2"/>
            <w:tcBorders>
              <w:top w:val="nil"/>
              <w:left w:val="nil"/>
              <w:bottom w:val="nil"/>
              <w:right w:val="nil"/>
            </w:tcBorders>
            <w:shd w:val="clear" w:color="000000" w:fill="FFFFFF"/>
            <w:vAlign w:val="center"/>
            <w:hideMark/>
          </w:tcPr>
          <w:p w14:paraId="21C18EBD"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non-GHG</w:t>
            </w:r>
          </w:p>
        </w:tc>
        <w:tc>
          <w:tcPr>
            <w:tcW w:w="486" w:type="pct"/>
            <w:gridSpan w:val="3"/>
            <w:tcBorders>
              <w:top w:val="nil"/>
              <w:left w:val="nil"/>
              <w:bottom w:val="nil"/>
              <w:right w:val="nil"/>
            </w:tcBorders>
            <w:shd w:val="clear" w:color="000000" w:fill="FFFFFF"/>
            <w:vAlign w:val="center"/>
            <w:hideMark/>
          </w:tcPr>
          <w:p w14:paraId="198DA834"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01" w:type="pct"/>
            <w:gridSpan w:val="4"/>
            <w:tcBorders>
              <w:top w:val="nil"/>
              <w:left w:val="nil"/>
              <w:bottom w:val="nil"/>
              <w:right w:val="nil"/>
            </w:tcBorders>
            <w:shd w:val="clear" w:color="000000" w:fill="FFFFFF"/>
            <w:vAlign w:val="center"/>
            <w:hideMark/>
          </w:tcPr>
          <w:p w14:paraId="6A7A879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00" w:type="pct"/>
            <w:gridSpan w:val="2"/>
            <w:tcBorders>
              <w:top w:val="nil"/>
              <w:left w:val="nil"/>
              <w:bottom w:val="nil"/>
              <w:right w:val="nil"/>
            </w:tcBorders>
            <w:shd w:val="clear" w:color="000000" w:fill="FFFFFF"/>
            <w:vAlign w:val="center"/>
            <w:hideMark/>
          </w:tcPr>
          <w:p w14:paraId="79AF93BF"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02" w:type="pct"/>
            <w:gridSpan w:val="3"/>
            <w:tcBorders>
              <w:top w:val="nil"/>
              <w:left w:val="nil"/>
              <w:bottom w:val="nil"/>
              <w:right w:val="nil"/>
            </w:tcBorders>
            <w:shd w:val="clear" w:color="000000" w:fill="FFFFFF"/>
            <w:vAlign w:val="center"/>
            <w:hideMark/>
          </w:tcPr>
          <w:p w14:paraId="5FC410ED"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0" w:type="pct"/>
            <w:gridSpan w:val="2"/>
            <w:tcBorders>
              <w:top w:val="nil"/>
              <w:left w:val="nil"/>
              <w:bottom w:val="nil"/>
              <w:right w:val="nil"/>
            </w:tcBorders>
            <w:shd w:val="clear" w:color="000000" w:fill="FFFFFF"/>
            <w:vAlign w:val="center"/>
            <w:hideMark/>
          </w:tcPr>
          <w:p w14:paraId="7FCA4EC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51" w:type="pct"/>
            <w:gridSpan w:val="3"/>
            <w:tcBorders>
              <w:top w:val="nil"/>
              <w:left w:val="nil"/>
              <w:bottom w:val="nil"/>
              <w:right w:val="nil"/>
            </w:tcBorders>
            <w:shd w:val="clear" w:color="000000" w:fill="FFFFFF"/>
            <w:vAlign w:val="center"/>
            <w:hideMark/>
          </w:tcPr>
          <w:p w14:paraId="0F3C2938"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Removals</w:t>
            </w:r>
          </w:p>
        </w:tc>
        <w:tc>
          <w:tcPr>
            <w:tcW w:w="355" w:type="pct"/>
            <w:gridSpan w:val="2"/>
            <w:tcBorders>
              <w:top w:val="nil"/>
              <w:left w:val="nil"/>
              <w:bottom w:val="nil"/>
              <w:right w:val="nil"/>
            </w:tcBorders>
            <w:shd w:val="clear" w:color="000000" w:fill="FFFFFF"/>
            <w:vAlign w:val="center"/>
            <w:hideMark/>
          </w:tcPr>
          <w:p w14:paraId="1205FA6D"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r>
      <w:tr w:rsidR="009C6A63" w:rsidRPr="00CE014D" w14:paraId="14C752F4" w14:textId="77777777" w:rsidTr="00CC7B65">
        <w:trPr>
          <w:gridAfter w:val="2"/>
          <w:wAfter w:w="451" w:type="pct"/>
          <w:trHeight w:val="291"/>
        </w:trPr>
        <w:tc>
          <w:tcPr>
            <w:tcW w:w="3680" w:type="pct"/>
            <w:gridSpan w:val="23"/>
            <w:tcBorders>
              <w:top w:val="single" w:sz="4" w:space="0" w:color="auto"/>
              <w:left w:val="nil"/>
              <w:bottom w:val="nil"/>
              <w:right w:val="nil"/>
            </w:tcBorders>
            <w:shd w:val="clear" w:color="000000" w:fill="FFFFFF"/>
            <w:noWrap/>
            <w:vAlign w:val="bottom"/>
            <w:hideMark/>
          </w:tcPr>
          <w:p w14:paraId="0A43919F"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Action</w:t>
            </w:r>
          </w:p>
        </w:tc>
        <w:tc>
          <w:tcPr>
            <w:tcW w:w="94" w:type="pct"/>
            <w:tcBorders>
              <w:top w:val="single" w:sz="4" w:space="0" w:color="auto"/>
              <w:left w:val="nil"/>
              <w:bottom w:val="nil"/>
              <w:right w:val="nil"/>
            </w:tcBorders>
            <w:shd w:val="clear" w:color="000000" w:fill="FFFFFF"/>
            <w:noWrap/>
            <w:vAlign w:val="bottom"/>
            <w:hideMark/>
          </w:tcPr>
          <w:p w14:paraId="5D363DE7"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375" w:type="pct"/>
            <w:gridSpan w:val="3"/>
            <w:vMerge w:val="restart"/>
            <w:tcBorders>
              <w:top w:val="single" w:sz="4" w:space="0" w:color="auto"/>
              <w:left w:val="nil"/>
              <w:bottom w:val="single" w:sz="8" w:space="0" w:color="000000"/>
              <w:right w:val="nil"/>
            </w:tcBorders>
            <w:shd w:val="clear" w:color="000000" w:fill="FFFFFF"/>
            <w:vAlign w:val="bottom"/>
            <w:hideMark/>
          </w:tcPr>
          <w:p w14:paraId="04F1A927" w14:textId="77777777" w:rsidR="009C6A63" w:rsidRPr="007C2F3D" w:rsidRDefault="009C6A63" w:rsidP="00D2464E">
            <w:pPr>
              <w:suppressAutoHyphens w:val="0"/>
              <w:spacing w:line="240" w:lineRule="auto"/>
              <w:jc w:val="center"/>
              <w:rPr>
                <w:rFonts w:eastAsia="Times New Roman"/>
                <w:i/>
                <w:sz w:val="16"/>
                <w:szCs w:val="16"/>
              </w:rPr>
            </w:pPr>
            <w:r w:rsidRPr="007C2F3D">
              <w:rPr>
                <w:rFonts w:eastAsia="Times New Roman"/>
                <w:i/>
                <w:sz w:val="16"/>
                <w:szCs w:val="16"/>
              </w:rPr>
              <w:t>Result of the consistency checks</w:t>
            </w:r>
            <w:r w:rsidRPr="007C2F3D">
              <w:rPr>
                <w:rFonts w:eastAsia="Times New Roman"/>
                <w:i/>
                <w:sz w:val="16"/>
                <w:szCs w:val="16"/>
                <w:vertAlign w:val="superscript"/>
              </w:rPr>
              <w:t>y</w:t>
            </w:r>
          </w:p>
        </w:tc>
        <w:tc>
          <w:tcPr>
            <w:tcW w:w="400" w:type="pct"/>
            <w:gridSpan w:val="2"/>
            <w:vMerge w:val="restart"/>
            <w:tcBorders>
              <w:top w:val="single" w:sz="4" w:space="0" w:color="auto"/>
              <w:left w:val="nil"/>
              <w:bottom w:val="single" w:sz="8" w:space="0" w:color="000000"/>
              <w:right w:val="nil"/>
            </w:tcBorders>
            <w:shd w:val="clear" w:color="000000" w:fill="FFFFFF"/>
            <w:vAlign w:val="bottom"/>
            <w:hideMark/>
          </w:tcPr>
          <w:p w14:paraId="45F2F5AA" w14:textId="77777777" w:rsidR="009C6A63" w:rsidRPr="007C2F3D" w:rsidRDefault="009C6A63" w:rsidP="00D2464E">
            <w:pPr>
              <w:suppressAutoHyphens w:val="0"/>
              <w:spacing w:line="240" w:lineRule="auto"/>
              <w:jc w:val="center"/>
              <w:rPr>
                <w:rFonts w:eastAsia="Times New Roman"/>
                <w:i/>
                <w:sz w:val="16"/>
                <w:szCs w:val="16"/>
              </w:rPr>
            </w:pPr>
            <w:r w:rsidRPr="007C2F3D">
              <w:rPr>
                <w:rFonts w:eastAsia="Times New Roman"/>
                <w:i/>
                <w:sz w:val="16"/>
                <w:szCs w:val="16"/>
              </w:rPr>
              <w:t>Additional explanatory information</w:t>
            </w:r>
            <w:r w:rsidRPr="007C2F3D">
              <w:rPr>
                <w:rFonts w:eastAsia="Times New Roman"/>
                <w:i/>
                <w:sz w:val="16"/>
                <w:szCs w:val="16"/>
                <w:vertAlign w:val="superscript"/>
              </w:rPr>
              <w:t>z</w:t>
            </w:r>
          </w:p>
        </w:tc>
      </w:tr>
      <w:tr w:rsidR="009C6A63" w:rsidRPr="00CE014D" w14:paraId="1C3FA274" w14:textId="77777777" w:rsidTr="00CC7B65">
        <w:trPr>
          <w:gridAfter w:val="2"/>
          <w:wAfter w:w="451" w:type="pct"/>
          <w:trHeight w:val="291"/>
        </w:trPr>
        <w:tc>
          <w:tcPr>
            <w:tcW w:w="3680" w:type="pct"/>
            <w:gridSpan w:val="23"/>
            <w:tcBorders>
              <w:top w:val="single" w:sz="4" w:space="0" w:color="auto"/>
              <w:left w:val="nil"/>
              <w:bottom w:val="single" w:sz="4" w:space="0" w:color="auto"/>
              <w:right w:val="nil"/>
            </w:tcBorders>
            <w:shd w:val="clear" w:color="000000" w:fill="FFFFFF"/>
            <w:vAlign w:val="bottom"/>
            <w:hideMark/>
          </w:tcPr>
          <w:p w14:paraId="3DC6061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Action details</w:t>
            </w:r>
          </w:p>
        </w:tc>
        <w:tc>
          <w:tcPr>
            <w:tcW w:w="94" w:type="pct"/>
            <w:tcBorders>
              <w:top w:val="nil"/>
              <w:left w:val="nil"/>
              <w:bottom w:val="nil"/>
              <w:right w:val="nil"/>
            </w:tcBorders>
            <w:shd w:val="clear" w:color="000000" w:fill="FFFFFF"/>
            <w:noWrap/>
            <w:vAlign w:val="bottom"/>
            <w:hideMark/>
          </w:tcPr>
          <w:p w14:paraId="70E4D468"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375" w:type="pct"/>
            <w:gridSpan w:val="3"/>
            <w:vMerge/>
            <w:tcBorders>
              <w:top w:val="single" w:sz="4" w:space="0" w:color="auto"/>
              <w:left w:val="nil"/>
              <w:bottom w:val="single" w:sz="8" w:space="0" w:color="000000"/>
              <w:right w:val="nil"/>
            </w:tcBorders>
            <w:vAlign w:val="center"/>
            <w:hideMark/>
          </w:tcPr>
          <w:p w14:paraId="15B58621" w14:textId="77777777" w:rsidR="009C6A63" w:rsidRPr="00B83335" w:rsidRDefault="009C6A63" w:rsidP="00D2464E">
            <w:pPr>
              <w:suppressAutoHyphens w:val="0"/>
              <w:spacing w:line="240" w:lineRule="auto"/>
              <w:rPr>
                <w:rFonts w:eastAsia="Times New Roman"/>
                <w:i/>
                <w:sz w:val="16"/>
                <w:szCs w:val="16"/>
              </w:rPr>
            </w:pPr>
          </w:p>
        </w:tc>
        <w:tc>
          <w:tcPr>
            <w:tcW w:w="400" w:type="pct"/>
            <w:gridSpan w:val="2"/>
            <w:vMerge/>
            <w:tcBorders>
              <w:top w:val="single" w:sz="4" w:space="0" w:color="auto"/>
              <w:left w:val="nil"/>
              <w:bottom w:val="single" w:sz="8" w:space="0" w:color="000000"/>
              <w:right w:val="nil"/>
            </w:tcBorders>
            <w:vAlign w:val="center"/>
            <w:hideMark/>
          </w:tcPr>
          <w:p w14:paraId="6FE76CA3" w14:textId="77777777" w:rsidR="009C6A63" w:rsidRPr="00B83335" w:rsidRDefault="009C6A63" w:rsidP="00D2464E">
            <w:pPr>
              <w:suppressAutoHyphens w:val="0"/>
              <w:spacing w:line="240" w:lineRule="auto"/>
              <w:rPr>
                <w:rFonts w:eastAsia="Times New Roman"/>
                <w:i/>
                <w:sz w:val="16"/>
                <w:szCs w:val="16"/>
              </w:rPr>
            </w:pPr>
          </w:p>
        </w:tc>
      </w:tr>
      <w:tr w:rsidR="009C6A63" w:rsidRPr="00CE014D" w14:paraId="4BFB80BD" w14:textId="77777777" w:rsidTr="005B7A15">
        <w:trPr>
          <w:gridAfter w:val="2"/>
          <w:wAfter w:w="451" w:type="pct"/>
          <w:trHeight w:val="291"/>
        </w:trPr>
        <w:tc>
          <w:tcPr>
            <w:tcW w:w="909" w:type="pct"/>
            <w:gridSpan w:val="6"/>
            <w:tcBorders>
              <w:top w:val="single" w:sz="4" w:space="0" w:color="auto"/>
              <w:left w:val="nil"/>
              <w:bottom w:val="single" w:sz="4" w:space="0" w:color="auto"/>
              <w:right w:val="nil"/>
            </w:tcBorders>
            <w:shd w:val="clear" w:color="000000" w:fill="FFFFFF"/>
            <w:vAlign w:val="bottom"/>
            <w:hideMark/>
          </w:tcPr>
          <w:p w14:paraId="5047EBB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b/>
                <w:i/>
                <w:sz w:val="16"/>
                <w:szCs w:val="16"/>
              </w:rPr>
              <w:t xml:space="preserve"> </w:t>
            </w:r>
            <w:r w:rsidRPr="00B83335">
              <w:rPr>
                <w:rFonts w:eastAsia="Times New Roman"/>
                <w:i/>
                <w:sz w:val="16"/>
                <w:szCs w:val="16"/>
              </w:rPr>
              <w:t>Transfer / Acquisition</w:t>
            </w:r>
          </w:p>
        </w:tc>
        <w:tc>
          <w:tcPr>
            <w:tcW w:w="94" w:type="pct"/>
            <w:tcBorders>
              <w:top w:val="nil"/>
              <w:left w:val="nil"/>
              <w:bottom w:val="nil"/>
              <w:right w:val="nil"/>
            </w:tcBorders>
            <w:shd w:val="clear" w:color="000000" w:fill="FFFFFF"/>
            <w:vAlign w:val="center"/>
            <w:hideMark/>
          </w:tcPr>
          <w:p w14:paraId="722AD8CB"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2677" w:type="pct"/>
            <w:gridSpan w:val="16"/>
            <w:tcBorders>
              <w:top w:val="single" w:sz="4" w:space="0" w:color="auto"/>
              <w:left w:val="nil"/>
              <w:bottom w:val="single" w:sz="4" w:space="0" w:color="auto"/>
              <w:right w:val="nil"/>
            </w:tcBorders>
            <w:shd w:val="clear" w:color="000000" w:fill="FFFFFF"/>
            <w:vAlign w:val="bottom"/>
            <w:hideMark/>
          </w:tcPr>
          <w:p w14:paraId="70CBD39D"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Use or cancellation</w:t>
            </w:r>
          </w:p>
        </w:tc>
        <w:tc>
          <w:tcPr>
            <w:tcW w:w="94" w:type="pct"/>
            <w:tcBorders>
              <w:top w:val="nil"/>
              <w:left w:val="nil"/>
              <w:bottom w:val="nil"/>
              <w:right w:val="nil"/>
            </w:tcBorders>
            <w:shd w:val="clear" w:color="000000" w:fill="FFFFFF"/>
            <w:noWrap/>
            <w:vAlign w:val="bottom"/>
            <w:hideMark/>
          </w:tcPr>
          <w:p w14:paraId="56820F37"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375" w:type="pct"/>
            <w:gridSpan w:val="3"/>
            <w:vMerge/>
            <w:tcBorders>
              <w:top w:val="single" w:sz="4" w:space="0" w:color="auto"/>
              <w:left w:val="nil"/>
              <w:bottom w:val="single" w:sz="8" w:space="0" w:color="000000"/>
              <w:right w:val="nil"/>
            </w:tcBorders>
            <w:vAlign w:val="center"/>
            <w:hideMark/>
          </w:tcPr>
          <w:p w14:paraId="568EA172" w14:textId="77777777" w:rsidR="009C6A63" w:rsidRPr="00B83335" w:rsidRDefault="009C6A63" w:rsidP="00D2464E">
            <w:pPr>
              <w:suppressAutoHyphens w:val="0"/>
              <w:spacing w:line="240" w:lineRule="auto"/>
              <w:rPr>
                <w:rFonts w:eastAsia="Times New Roman"/>
                <w:i/>
                <w:sz w:val="16"/>
                <w:szCs w:val="16"/>
              </w:rPr>
            </w:pPr>
          </w:p>
        </w:tc>
        <w:tc>
          <w:tcPr>
            <w:tcW w:w="400" w:type="pct"/>
            <w:gridSpan w:val="2"/>
            <w:vMerge/>
            <w:tcBorders>
              <w:top w:val="single" w:sz="4" w:space="0" w:color="auto"/>
              <w:left w:val="nil"/>
              <w:bottom w:val="single" w:sz="8" w:space="0" w:color="000000"/>
              <w:right w:val="nil"/>
            </w:tcBorders>
            <w:vAlign w:val="center"/>
            <w:hideMark/>
          </w:tcPr>
          <w:p w14:paraId="38D484E8" w14:textId="77777777" w:rsidR="009C6A63" w:rsidRPr="00B83335" w:rsidRDefault="009C6A63" w:rsidP="00D2464E">
            <w:pPr>
              <w:suppressAutoHyphens w:val="0"/>
              <w:spacing w:line="240" w:lineRule="auto"/>
              <w:rPr>
                <w:rFonts w:eastAsia="Times New Roman"/>
                <w:i/>
                <w:sz w:val="16"/>
                <w:szCs w:val="16"/>
              </w:rPr>
            </w:pPr>
          </w:p>
        </w:tc>
      </w:tr>
      <w:tr w:rsidR="009C6A63" w:rsidRPr="00CE014D" w14:paraId="389B938A" w14:textId="77777777" w:rsidTr="00B978C5">
        <w:trPr>
          <w:gridAfter w:val="2"/>
          <w:wAfter w:w="451" w:type="pct"/>
          <w:trHeight w:val="780"/>
        </w:trPr>
        <w:tc>
          <w:tcPr>
            <w:tcW w:w="494" w:type="pct"/>
            <w:gridSpan w:val="3"/>
            <w:tcBorders>
              <w:top w:val="nil"/>
              <w:left w:val="nil"/>
              <w:bottom w:val="single" w:sz="8" w:space="0" w:color="auto"/>
              <w:right w:val="nil"/>
            </w:tcBorders>
            <w:shd w:val="clear" w:color="000000" w:fill="FFFFFF"/>
            <w:vAlign w:val="bottom"/>
            <w:hideMark/>
          </w:tcPr>
          <w:p w14:paraId="3DDF371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Transferring</w:t>
            </w:r>
            <w:r w:rsidRPr="00B83335">
              <w:rPr>
                <w:rStyle w:val="EndnoteReference"/>
                <w:rFonts w:eastAsia="Times New Roman"/>
                <w:color w:val="FFFFFF" w:themeColor="background1"/>
                <w:szCs w:val="16"/>
              </w:rPr>
              <w:endnoteReference w:id="8"/>
            </w:r>
            <w:r w:rsidRPr="00B83335">
              <w:rPr>
                <w:rFonts w:eastAsia="Times New Roman"/>
                <w:i/>
                <w:color w:val="FFFFFF" w:themeColor="background1"/>
                <w:sz w:val="16"/>
                <w:szCs w:val="16"/>
              </w:rPr>
              <w:t xml:space="preserve"> </w:t>
            </w:r>
            <w:r w:rsidRPr="00B83335">
              <w:rPr>
                <w:rFonts w:eastAsia="Times New Roman"/>
                <w:i/>
                <w:sz w:val="16"/>
                <w:szCs w:val="16"/>
              </w:rPr>
              <w:t>participating Party ID</w:t>
            </w:r>
            <w:r w:rsidRPr="00B83335">
              <w:rPr>
                <w:rFonts w:eastAsia="Times New Roman"/>
                <w:i/>
                <w:sz w:val="16"/>
                <w:szCs w:val="16"/>
                <w:vertAlign w:val="superscript"/>
              </w:rPr>
              <w:t>s</w:t>
            </w:r>
          </w:p>
        </w:tc>
        <w:tc>
          <w:tcPr>
            <w:tcW w:w="415" w:type="pct"/>
            <w:gridSpan w:val="3"/>
            <w:tcBorders>
              <w:top w:val="nil"/>
              <w:left w:val="nil"/>
              <w:bottom w:val="single" w:sz="8" w:space="0" w:color="auto"/>
              <w:right w:val="nil"/>
            </w:tcBorders>
            <w:shd w:val="clear" w:color="000000" w:fill="FFFFFF"/>
            <w:vAlign w:val="bottom"/>
            <w:hideMark/>
          </w:tcPr>
          <w:p w14:paraId="3750CA1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Acquiring participating Party ID</w:t>
            </w:r>
            <w:r w:rsidRPr="00B83335">
              <w:rPr>
                <w:rFonts w:eastAsia="Times New Roman"/>
                <w:i/>
                <w:sz w:val="16"/>
                <w:szCs w:val="16"/>
                <w:vertAlign w:val="superscript"/>
              </w:rPr>
              <w:t>t</w:t>
            </w:r>
          </w:p>
        </w:tc>
        <w:tc>
          <w:tcPr>
            <w:tcW w:w="94" w:type="pct"/>
            <w:tcBorders>
              <w:top w:val="nil"/>
              <w:left w:val="nil"/>
              <w:bottom w:val="single" w:sz="8" w:space="0" w:color="auto"/>
              <w:right w:val="nil"/>
            </w:tcBorders>
            <w:shd w:val="clear" w:color="000000" w:fill="FFFFFF"/>
            <w:vAlign w:val="bottom"/>
            <w:hideMark/>
          </w:tcPr>
          <w:p w14:paraId="3164B2D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881" w:type="pct"/>
            <w:gridSpan w:val="5"/>
            <w:tcBorders>
              <w:top w:val="nil"/>
              <w:left w:val="nil"/>
              <w:bottom w:val="single" w:sz="8" w:space="0" w:color="auto"/>
              <w:right w:val="nil"/>
            </w:tcBorders>
            <w:shd w:val="clear" w:color="000000" w:fill="FFFFFF"/>
            <w:vAlign w:val="bottom"/>
            <w:hideMark/>
          </w:tcPr>
          <w:p w14:paraId="7F2C97B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Purpose for which the ITMO has been used towards or cancelled for OIMP</w:t>
            </w:r>
            <w:r w:rsidRPr="00B83335">
              <w:rPr>
                <w:rFonts w:eastAsia="Times New Roman"/>
                <w:i/>
                <w:sz w:val="16"/>
                <w:szCs w:val="16"/>
                <w:vertAlign w:val="superscript"/>
              </w:rPr>
              <w:t>u</w:t>
            </w:r>
          </w:p>
        </w:tc>
        <w:tc>
          <w:tcPr>
            <w:tcW w:w="493" w:type="pct"/>
            <w:gridSpan w:val="3"/>
            <w:tcBorders>
              <w:top w:val="nil"/>
              <w:left w:val="nil"/>
              <w:bottom w:val="single" w:sz="8" w:space="0" w:color="auto"/>
              <w:right w:val="nil"/>
            </w:tcBorders>
            <w:shd w:val="clear" w:color="000000" w:fill="FFFFFF"/>
            <w:vAlign w:val="bottom"/>
            <w:hideMark/>
          </w:tcPr>
          <w:p w14:paraId="6CC57CF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Using/cancelling participating Party ID</w:t>
            </w:r>
            <w:r w:rsidRPr="00B83335">
              <w:rPr>
                <w:rFonts w:eastAsia="Times New Roman"/>
                <w:i/>
                <w:sz w:val="16"/>
                <w:szCs w:val="16"/>
                <w:vertAlign w:val="superscript"/>
              </w:rPr>
              <w:t>v</w:t>
            </w:r>
          </w:p>
        </w:tc>
        <w:tc>
          <w:tcPr>
            <w:tcW w:w="585" w:type="pct"/>
            <w:gridSpan w:val="3"/>
            <w:tcBorders>
              <w:top w:val="nil"/>
              <w:left w:val="nil"/>
              <w:bottom w:val="single" w:sz="8" w:space="0" w:color="auto"/>
              <w:right w:val="nil"/>
            </w:tcBorders>
            <w:shd w:val="clear" w:color="000000" w:fill="FFFFFF"/>
            <w:vAlign w:val="bottom"/>
            <w:hideMark/>
          </w:tcPr>
          <w:p w14:paraId="6F579A71"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Using/cancelling authorized entity ID</w:t>
            </w:r>
            <w:r w:rsidRPr="00B83335">
              <w:rPr>
                <w:rFonts w:eastAsia="Times New Roman"/>
                <w:i/>
                <w:sz w:val="16"/>
                <w:szCs w:val="16"/>
                <w:vertAlign w:val="superscript"/>
              </w:rPr>
              <w:t>w</w:t>
            </w:r>
          </w:p>
        </w:tc>
        <w:tc>
          <w:tcPr>
            <w:tcW w:w="718" w:type="pct"/>
            <w:gridSpan w:val="5"/>
            <w:tcBorders>
              <w:top w:val="nil"/>
              <w:left w:val="nil"/>
              <w:bottom w:val="single" w:sz="8" w:space="0" w:color="auto"/>
              <w:right w:val="nil"/>
            </w:tcBorders>
            <w:shd w:val="clear" w:color="000000" w:fill="FFFFFF"/>
            <w:vAlign w:val="bottom"/>
            <w:hideMark/>
          </w:tcPr>
          <w:p w14:paraId="0ECCE05B"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Calendar year for which the ITMOs are used towards the Party's NDC</w:t>
            </w:r>
            <w:r w:rsidRPr="00B83335">
              <w:rPr>
                <w:rFonts w:eastAsia="Times New Roman"/>
                <w:i/>
                <w:sz w:val="16"/>
                <w:szCs w:val="16"/>
                <w:vertAlign w:val="superscript"/>
              </w:rPr>
              <w:t>x</w:t>
            </w:r>
          </w:p>
        </w:tc>
        <w:tc>
          <w:tcPr>
            <w:tcW w:w="94" w:type="pct"/>
            <w:tcBorders>
              <w:top w:val="nil"/>
              <w:left w:val="nil"/>
              <w:bottom w:val="single" w:sz="8" w:space="0" w:color="auto"/>
              <w:right w:val="nil"/>
            </w:tcBorders>
            <w:shd w:val="clear" w:color="000000" w:fill="FFFFFF"/>
            <w:vAlign w:val="bottom"/>
            <w:hideMark/>
          </w:tcPr>
          <w:p w14:paraId="64C7CDE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375" w:type="pct"/>
            <w:gridSpan w:val="3"/>
            <w:vMerge/>
            <w:tcBorders>
              <w:top w:val="single" w:sz="4" w:space="0" w:color="auto"/>
              <w:left w:val="nil"/>
              <w:bottom w:val="single" w:sz="8" w:space="0" w:color="auto"/>
              <w:right w:val="nil"/>
            </w:tcBorders>
            <w:vAlign w:val="center"/>
            <w:hideMark/>
          </w:tcPr>
          <w:p w14:paraId="60334F17" w14:textId="77777777" w:rsidR="009C6A63" w:rsidRPr="00B83335" w:rsidRDefault="009C6A63" w:rsidP="00D2464E">
            <w:pPr>
              <w:suppressAutoHyphens w:val="0"/>
              <w:spacing w:line="240" w:lineRule="auto"/>
              <w:rPr>
                <w:rFonts w:eastAsia="Times New Roman"/>
                <w:i/>
                <w:sz w:val="16"/>
                <w:szCs w:val="16"/>
              </w:rPr>
            </w:pPr>
          </w:p>
        </w:tc>
        <w:tc>
          <w:tcPr>
            <w:tcW w:w="400" w:type="pct"/>
            <w:gridSpan w:val="2"/>
            <w:vMerge/>
            <w:tcBorders>
              <w:top w:val="single" w:sz="4" w:space="0" w:color="auto"/>
              <w:left w:val="nil"/>
              <w:bottom w:val="single" w:sz="8" w:space="0" w:color="auto"/>
              <w:right w:val="nil"/>
            </w:tcBorders>
            <w:vAlign w:val="center"/>
            <w:hideMark/>
          </w:tcPr>
          <w:p w14:paraId="2B6E1154" w14:textId="77777777" w:rsidR="009C6A63" w:rsidRPr="00B83335" w:rsidRDefault="009C6A63" w:rsidP="00D2464E">
            <w:pPr>
              <w:suppressAutoHyphens w:val="0"/>
              <w:spacing w:line="240" w:lineRule="auto"/>
              <w:rPr>
                <w:rFonts w:eastAsia="Times New Roman"/>
                <w:i/>
                <w:sz w:val="16"/>
                <w:szCs w:val="16"/>
              </w:rPr>
            </w:pPr>
          </w:p>
        </w:tc>
      </w:tr>
      <w:tr w:rsidR="00B978C5" w:rsidRPr="00CE014D" w14:paraId="2F18194C" w14:textId="77777777" w:rsidTr="00B978C5">
        <w:trPr>
          <w:gridAfter w:val="2"/>
          <w:wAfter w:w="451" w:type="pct"/>
          <w:trHeight w:val="300"/>
        </w:trPr>
        <w:tc>
          <w:tcPr>
            <w:tcW w:w="494" w:type="pct"/>
            <w:gridSpan w:val="3"/>
            <w:tcBorders>
              <w:top w:val="single" w:sz="8" w:space="0" w:color="auto"/>
              <w:left w:val="nil"/>
              <w:right w:val="nil"/>
            </w:tcBorders>
            <w:shd w:val="clear" w:color="000000" w:fill="FFFFFF"/>
            <w:vAlign w:val="center"/>
          </w:tcPr>
          <w:p w14:paraId="1057D233" w14:textId="77777777" w:rsidR="00B978C5" w:rsidRPr="00B83335" w:rsidRDefault="00B978C5" w:rsidP="00D2464E">
            <w:pPr>
              <w:suppressAutoHyphens w:val="0"/>
              <w:spacing w:line="240" w:lineRule="auto"/>
              <w:jc w:val="center"/>
              <w:rPr>
                <w:rFonts w:eastAsia="Times New Roman"/>
                <w:b/>
              </w:rPr>
            </w:pPr>
          </w:p>
        </w:tc>
        <w:tc>
          <w:tcPr>
            <w:tcW w:w="415" w:type="pct"/>
            <w:gridSpan w:val="3"/>
            <w:tcBorders>
              <w:top w:val="single" w:sz="8" w:space="0" w:color="auto"/>
              <w:left w:val="nil"/>
              <w:right w:val="nil"/>
            </w:tcBorders>
            <w:shd w:val="clear" w:color="000000" w:fill="FFFFFF"/>
            <w:vAlign w:val="center"/>
          </w:tcPr>
          <w:p w14:paraId="1427AE85" w14:textId="77777777" w:rsidR="00B978C5" w:rsidRPr="00B83335" w:rsidRDefault="00B978C5" w:rsidP="00D2464E">
            <w:pPr>
              <w:suppressAutoHyphens w:val="0"/>
              <w:spacing w:line="240" w:lineRule="auto"/>
              <w:jc w:val="center"/>
              <w:rPr>
                <w:rFonts w:eastAsia="Times New Roman"/>
                <w:b/>
              </w:rPr>
            </w:pPr>
          </w:p>
        </w:tc>
        <w:tc>
          <w:tcPr>
            <w:tcW w:w="94" w:type="pct"/>
            <w:tcBorders>
              <w:top w:val="single" w:sz="8" w:space="0" w:color="auto"/>
              <w:left w:val="nil"/>
              <w:right w:val="nil"/>
            </w:tcBorders>
            <w:shd w:val="clear" w:color="000000" w:fill="FFFFFF"/>
            <w:vAlign w:val="center"/>
          </w:tcPr>
          <w:p w14:paraId="515EDC70" w14:textId="77777777" w:rsidR="00B978C5" w:rsidRPr="00B83335" w:rsidRDefault="00B978C5" w:rsidP="00D2464E">
            <w:pPr>
              <w:suppressAutoHyphens w:val="0"/>
              <w:spacing w:line="240" w:lineRule="auto"/>
              <w:jc w:val="center"/>
              <w:rPr>
                <w:rFonts w:eastAsia="Times New Roman"/>
                <w:b/>
              </w:rPr>
            </w:pPr>
          </w:p>
        </w:tc>
        <w:tc>
          <w:tcPr>
            <w:tcW w:w="881" w:type="pct"/>
            <w:gridSpan w:val="5"/>
            <w:tcBorders>
              <w:top w:val="single" w:sz="8" w:space="0" w:color="auto"/>
              <w:left w:val="nil"/>
              <w:right w:val="nil"/>
            </w:tcBorders>
            <w:shd w:val="clear" w:color="000000" w:fill="FFFFFF"/>
            <w:vAlign w:val="center"/>
          </w:tcPr>
          <w:p w14:paraId="3F3B9066" w14:textId="77777777" w:rsidR="00B978C5" w:rsidRPr="00B83335" w:rsidRDefault="00B978C5" w:rsidP="00D2464E">
            <w:pPr>
              <w:suppressAutoHyphens w:val="0"/>
              <w:spacing w:line="240" w:lineRule="auto"/>
              <w:jc w:val="center"/>
              <w:rPr>
                <w:rFonts w:eastAsia="Times New Roman"/>
                <w:b/>
              </w:rPr>
            </w:pPr>
          </w:p>
        </w:tc>
        <w:tc>
          <w:tcPr>
            <w:tcW w:w="493" w:type="pct"/>
            <w:gridSpan w:val="3"/>
            <w:tcBorders>
              <w:top w:val="single" w:sz="8" w:space="0" w:color="auto"/>
              <w:left w:val="nil"/>
              <w:right w:val="nil"/>
            </w:tcBorders>
            <w:shd w:val="clear" w:color="000000" w:fill="FFFFFF"/>
          </w:tcPr>
          <w:p w14:paraId="6B1F7F7B" w14:textId="77777777" w:rsidR="00B978C5" w:rsidRPr="00B83335" w:rsidRDefault="00B978C5" w:rsidP="00D2464E">
            <w:pPr>
              <w:suppressAutoHyphens w:val="0"/>
              <w:spacing w:line="240" w:lineRule="auto"/>
              <w:rPr>
                <w:rFonts w:eastAsia="Times New Roman"/>
              </w:rPr>
            </w:pPr>
          </w:p>
        </w:tc>
        <w:tc>
          <w:tcPr>
            <w:tcW w:w="585" w:type="pct"/>
            <w:gridSpan w:val="3"/>
            <w:tcBorders>
              <w:top w:val="single" w:sz="8" w:space="0" w:color="auto"/>
              <w:left w:val="nil"/>
              <w:right w:val="nil"/>
            </w:tcBorders>
            <w:shd w:val="clear" w:color="000000" w:fill="FFFFFF"/>
          </w:tcPr>
          <w:p w14:paraId="326A7723" w14:textId="77777777" w:rsidR="00B978C5" w:rsidRPr="00B83335" w:rsidRDefault="00B978C5" w:rsidP="00D2464E">
            <w:pPr>
              <w:suppressAutoHyphens w:val="0"/>
              <w:spacing w:line="240" w:lineRule="auto"/>
              <w:rPr>
                <w:rFonts w:eastAsia="Times New Roman"/>
              </w:rPr>
            </w:pPr>
          </w:p>
        </w:tc>
        <w:tc>
          <w:tcPr>
            <w:tcW w:w="718" w:type="pct"/>
            <w:gridSpan w:val="5"/>
            <w:tcBorders>
              <w:top w:val="single" w:sz="8" w:space="0" w:color="auto"/>
              <w:left w:val="nil"/>
              <w:right w:val="nil"/>
            </w:tcBorders>
            <w:shd w:val="clear" w:color="000000" w:fill="FFFFFF"/>
          </w:tcPr>
          <w:p w14:paraId="39695175" w14:textId="77777777" w:rsidR="00B978C5" w:rsidRPr="00B83335" w:rsidRDefault="00B978C5" w:rsidP="00D2464E">
            <w:pPr>
              <w:suppressAutoHyphens w:val="0"/>
              <w:spacing w:line="240" w:lineRule="auto"/>
              <w:rPr>
                <w:rFonts w:eastAsia="Times New Roman"/>
              </w:rPr>
            </w:pPr>
          </w:p>
        </w:tc>
        <w:tc>
          <w:tcPr>
            <w:tcW w:w="94" w:type="pct"/>
            <w:tcBorders>
              <w:top w:val="single" w:sz="8" w:space="0" w:color="auto"/>
              <w:left w:val="nil"/>
              <w:right w:val="nil"/>
            </w:tcBorders>
            <w:shd w:val="clear" w:color="000000" w:fill="FFFFFF"/>
            <w:vAlign w:val="center"/>
          </w:tcPr>
          <w:p w14:paraId="1866C3E2" w14:textId="77777777" w:rsidR="00B978C5" w:rsidRPr="00B83335" w:rsidRDefault="00B978C5" w:rsidP="00D2464E">
            <w:pPr>
              <w:suppressAutoHyphens w:val="0"/>
              <w:spacing w:line="240" w:lineRule="auto"/>
              <w:rPr>
                <w:rFonts w:eastAsia="Times New Roman"/>
              </w:rPr>
            </w:pPr>
          </w:p>
        </w:tc>
        <w:tc>
          <w:tcPr>
            <w:tcW w:w="375" w:type="pct"/>
            <w:gridSpan w:val="3"/>
            <w:tcBorders>
              <w:top w:val="single" w:sz="8" w:space="0" w:color="auto"/>
              <w:left w:val="nil"/>
              <w:right w:val="nil"/>
            </w:tcBorders>
            <w:shd w:val="clear" w:color="000000" w:fill="FFFFFF"/>
            <w:noWrap/>
            <w:vAlign w:val="bottom"/>
          </w:tcPr>
          <w:p w14:paraId="3975686E" w14:textId="77777777" w:rsidR="00B978C5" w:rsidRPr="00B83335" w:rsidRDefault="00B978C5" w:rsidP="00D2464E">
            <w:pPr>
              <w:suppressAutoHyphens w:val="0"/>
              <w:spacing w:line="240" w:lineRule="auto"/>
              <w:rPr>
                <w:rFonts w:ascii="Calibri" w:eastAsia="Times New Roman" w:hAnsi="Calibri" w:cs="Calibri"/>
                <w:sz w:val="22"/>
                <w:szCs w:val="22"/>
              </w:rPr>
            </w:pPr>
          </w:p>
        </w:tc>
        <w:tc>
          <w:tcPr>
            <w:tcW w:w="400" w:type="pct"/>
            <w:gridSpan w:val="2"/>
            <w:tcBorders>
              <w:top w:val="single" w:sz="8" w:space="0" w:color="auto"/>
              <w:left w:val="nil"/>
              <w:right w:val="nil"/>
            </w:tcBorders>
            <w:shd w:val="clear" w:color="000000" w:fill="FFFFFF"/>
            <w:noWrap/>
            <w:vAlign w:val="bottom"/>
          </w:tcPr>
          <w:p w14:paraId="683407B2" w14:textId="77777777" w:rsidR="00B978C5" w:rsidRPr="00B83335" w:rsidRDefault="00B978C5" w:rsidP="00D2464E">
            <w:pPr>
              <w:suppressAutoHyphens w:val="0"/>
              <w:spacing w:line="240" w:lineRule="auto"/>
              <w:rPr>
                <w:rFonts w:ascii="Calibri" w:eastAsia="Times New Roman" w:hAnsi="Calibri" w:cs="Calibri"/>
                <w:sz w:val="22"/>
                <w:szCs w:val="22"/>
              </w:rPr>
            </w:pPr>
          </w:p>
        </w:tc>
      </w:tr>
      <w:tr w:rsidR="009C6A63" w:rsidRPr="00CE014D" w14:paraId="5DDDB04B" w14:textId="77777777" w:rsidTr="00E61681">
        <w:trPr>
          <w:gridAfter w:val="2"/>
          <w:wAfter w:w="451" w:type="pct"/>
          <w:trHeight w:val="300"/>
        </w:trPr>
        <w:tc>
          <w:tcPr>
            <w:tcW w:w="494" w:type="pct"/>
            <w:gridSpan w:val="3"/>
            <w:tcBorders>
              <w:top w:val="nil"/>
              <w:left w:val="nil"/>
              <w:bottom w:val="single" w:sz="8" w:space="0" w:color="auto"/>
              <w:right w:val="nil"/>
            </w:tcBorders>
            <w:shd w:val="clear" w:color="000000" w:fill="FFFFFF"/>
            <w:vAlign w:val="center"/>
            <w:hideMark/>
          </w:tcPr>
          <w:p w14:paraId="6A00D235" w14:textId="77777777" w:rsidR="009C6A63" w:rsidRPr="00B83335" w:rsidRDefault="009C6A63" w:rsidP="00D2464E">
            <w:pPr>
              <w:suppressAutoHyphens w:val="0"/>
              <w:spacing w:line="240" w:lineRule="auto"/>
              <w:jc w:val="center"/>
              <w:rPr>
                <w:rFonts w:eastAsia="Times New Roman"/>
                <w:b/>
              </w:rPr>
            </w:pPr>
            <w:r w:rsidRPr="00B83335">
              <w:rPr>
                <w:rFonts w:eastAsia="Times New Roman"/>
                <w:b/>
              </w:rPr>
              <w:t> </w:t>
            </w:r>
          </w:p>
        </w:tc>
        <w:tc>
          <w:tcPr>
            <w:tcW w:w="415" w:type="pct"/>
            <w:gridSpan w:val="3"/>
            <w:tcBorders>
              <w:top w:val="nil"/>
              <w:left w:val="nil"/>
              <w:bottom w:val="single" w:sz="8" w:space="0" w:color="auto"/>
              <w:right w:val="nil"/>
            </w:tcBorders>
            <w:shd w:val="clear" w:color="000000" w:fill="FFFFFF"/>
            <w:vAlign w:val="center"/>
            <w:hideMark/>
          </w:tcPr>
          <w:p w14:paraId="3C8D2C3F" w14:textId="77777777" w:rsidR="009C6A63" w:rsidRPr="00B83335" w:rsidRDefault="009C6A63" w:rsidP="00D2464E">
            <w:pPr>
              <w:suppressAutoHyphens w:val="0"/>
              <w:spacing w:line="240" w:lineRule="auto"/>
              <w:jc w:val="center"/>
              <w:rPr>
                <w:rFonts w:eastAsia="Times New Roman"/>
                <w:b/>
              </w:rPr>
            </w:pPr>
            <w:r w:rsidRPr="00B83335">
              <w:rPr>
                <w:rFonts w:eastAsia="Times New Roman"/>
                <w:b/>
              </w:rPr>
              <w:t> </w:t>
            </w:r>
          </w:p>
        </w:tc>
        <w:tc>
          <w:tcPr>
            <w:tcW w:w="94" w:type="pct"/>
            <w:tcBorders>
              <w:top w:val="nil"/>
              <w:left w:val="nil"/>
              <w:bottom w:val="single" w:sz="8" w:space="0" w:color="auto"/>
              <w:right w:val="nil"/>
            </w:tcBorders>
            <w:shd w:val="clear" w:color="000000" w:fill="FFFFFF"/>
            <w:vAlign w:val="center"/>
            <w:hideMark/>
          </w:tcPr>
          <w:p w14:paraId="0EE7436F" w14:textId="77777777" w:rsidR="009C6A63" w:rsidRPr="00B83335" w:rsidRDefault="009C6A63" w:rsidP="00D2464E">
            <w:pPr>
              <w:suppressAutoHyphens w:val="0"/>
              <w:spacing w:line="240" w:lineRule="auto"/>
              <w:jc w:val="center"/>
              <w:rPr>
                <w:rFonts w:eastAsia="Times New Roman"/>
                <w:b/>
              </w:rPr>
            </w:pPr>
            <w:r w:rsidRPr="00B83335">
              <w:rPr>
                <w:rFonts w:eastAsia="Times New Roman"/>
                <w:b/>
              </w:rPr>
              <w:t> </w:t>
            </w:r>
          </w:p>
        </w:tc>
        <w:tc>
          <w:tcPr>
            <w:tcW w:w="881" w:type="pct"/>
            <w:gridSpan w:val="5"/>
            <w:tcBorders>
              <w:top w:val="nil"/>
              <w:left w:val="nil"/>
              <w:bottom w:val="single" w:sz="8" w:space="0" w:color="auto"/>
              <w:right w:val="nil"/>
            </w:tcBorders>
            <w:shd w:val="clear" w:color="000000" w:fill="FFFFFF"/>
            <w:vAlign w:val="center"/>
            <w:hideMark/>
          </w:tcPr>
          <w:p w14:paraId="5912A4EE" w14:textId="77777777" w:rsidR="009C6A63" w:rsidRPr="00B83335" w:rsidRDefault="009C6A63" w:rsidP="00D2464E">
            <w:pPr>
              <w:suppressAutoHyphens w:val="0"/>
              <w:spacing w:line="240" w:lineRule="auto"/>
              <w:jc w:val="center"/>
              <w:rPr>
                <w:rFonts w:eastAsia="Times New Roman"/>
                <w:b/>
              </w:rPr>
            </w:pPr>
            <w:r w:rsidRPr="00B83335">
              <w:rPr>
                <w:rFonts w:eastAsia="Times New Roman"/>
                <w:b/>
              </w:rPr>
              <w:t> </w:t>
            </w:r>
          </w:p>
        </w:tc>
        <w:tc>
          <w:tcPr>
            <w:tcW w:w="493" w:type="pct"/>
            <w:gridSpan w:val="3"/>
            <w:tcBorders>
              <w:top w:val="nil"/>
              <w:left w:val="nil"/>
              <w:bottom w:val="single" w:sz="8" w:space="0" w:color="auto"/>
              <w:right w:val="nil"/>
            </w:tcBorders>
            <w:shd w:val="clear" w:color="000000" w:fill="FFFFFF"/>
            <w:hideMark/>
          </w:tcPr>
          <w:p w14:paraId="3B4E33B9"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585" w:type="pct"/>
            <w:gridSpan w:val="3"/>
            <w:tcBorders>
              <w:top w:val="nil"/>
              <w:left w:val="nil"/>
              <w:bottom w:val="single" w:sz="8" w:space="0" w:color="auto"/>
              <w:right w:val="nil"/>
            </w:tcBorders>
            <w:shd w:val="clear" w:color="000000" w:fill="FFFFFF"/>
            <w:hideMark/>
          </w:tcPr>
          <w:p w14:paraId="4223245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718" w:type="pct"/>
            <w:gridSpan w:val="5"/>
            <w:tcBorders>
              <w:top w:val="nil"/>
              <w:left w:val="nil"/>
              <w:bottom w:val="single" w:sz="8" w:space="0" w:color="auto"/>
              <w:right w:val="nil"/>
            </w:tcBorders>
            <w:shd w:val="clear" w:color="000000" w:fill="FFFFFF"/>
            <w:hideMark/>
          </w:tcPr>
          <w:p w14:paraId="5934DE50"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94" w:type="pct"/>
            <w:tcBorders>
              <w:top w:val="nil"/>
              <w:left w:val="nil"/>
              <w:bottom w:val="single" w:sz="8" w:space="0" w:color="auto"/>
              <w:right w:val="nil"/>
            </w:tcBorders>
            <w:shd w:val="clear" w:color="000000" w:fill="FFFFFF"/>
            <w:vAlign w:val="center"/>
            <w:hideMark/>
          </w:tcPr>
          <w:p w14:paraId="5C418751"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375" w:type="pct"/>
            <w:gridSpan w:val="3"/>
            <w:tcBorders>
              <w:top w:val="nil"/>
              <w:left w:val="nil"/>
              <w:bottom w:val="single" w:sz="8" w:space="0" w:color="auto"/>
              <w:right w:val="nil"/>
            </w:tcBorders>
            <w:shd w:val="clear" w:color="000000" w:fill="FFFFFF"/>
            <w:noWrap/>
            <w:vAlign w:val="bottom"/>
            <w:hideMark/>
          </w:tcPr>
          <w:p w14:paraId="58F1099D"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400" w:type="pct"/>
            <w:gridSpan w:val="2"/>
            <w:tcBorders>
              <w:top w:val="nil"/>
              <w:left w:val="nil"/>
              <w:bottom w:val="single" w:sz="8" w:space="0" w:color="auto"/>
              <w:right w:val="nil"/>
            </w:tcBorders>
            <w:shd w:val="clear" w:color="000000" w:fill="FFFFFF"/>
            <w:noWrap/>
            <w:vAlign w:val="bottom"/>
            <w:hideMark/>
          </w:tcPr>
          <w:p w14:paraId="320AA80C" w14:textId="77777777" w:rsidR="009C6A63" w:rsidRPr="00B83335" w:rsidRDefault="009C6A63"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r>
    </w:tbl>
    <w:p w14:paraId="1CC12895" w14:textId="77777777" w:rsidR="009C6A63" w:rsidRPr="00B83335" w:rsidRDefault="009C6A63" w:rsidP="00F45609">
      <w:pPr>
        <w:keepNext/>
        <w:spacing w:line="60" w:lineRule="exact"/>
        <w:ind w:right="1134"/>
        <w:jc w:val="both"/>
        <w:sectPr w:rsidR="009C6A63" w:rsidRPr="00B83335" w:rsidSect="00A453D0">
          <w:headerReference w:type="even" r:id="rId141"/>
          <w:headerReference w:type="default" r:id="rId142"/>
          <w:footerReference w:type="even" r:id="rId143"/>
          <w:footerReference w:type="default" r:id="rId144"/>
          <w:endnotePr>
            <w:numFmt w:val="lowerLetter"/>
            <w:numRestart w:val="eachSect"/>
          </w:endnotePr>
          <w:pgSz w:w="16838" w:h="11906" w:orient="landscape" w:code="9"/>
          <w:pgMar w:top="1134" w:right="1417" w:bottom="1134" w:left="1134" w:header="567" w:footer="567" w:gutter="0"/>
          <w:cols w:space="708"/>
          <w:docGrid w:linePitch="360"/>
        </w:sectPr>
      </w:pPr>
    </w:p>
    <w:tbl>
      <w:tblPr>
        <w:tblW w:w="11340" w:type="dxa"/>
        <w:tblLayout w:type="fixed"/>
        <w:tblLook w:val="04A0" w:firstRow="1" w:lastRow="0" w:firstColumn="1" w:lastColumn="0" w:noHBand="0" w:noVBand="1"/>
      </w:tblPr>
      <w:tblGrid>
        <w:gridCol w:w="998"/>
        <w:gridCol w:w="638"/>
        <w:gridCol w:w="628"/>
        <w:gridCol w:w="472"/>
        <w:gridCol w:w="804"/>
        <w:gridCol w:w="992"/>
        <w:gridCol w:w="1420"/>
        <w:gridCol w:w="236"/>
        <w:gridCol w:w="565"/>
        <w:gridCol w:w="518"/>
        <w:gridCol w:w="240"/>
        <w:gridCol w:w="380"/>
        <w:gridCol w:w="754"/>
        <w:gridCol w:w="522"/>
        <w:gridCol w:w="1134"/>
        <w:gridCol w:w="1039"/>
      </w:tblGrid>
      <w:tr w:rsidR="009C6A63" w:rsidRPr="000869C6" w14:paraId="545CFF99" w14:textId="77777777" w:rsidTr="00D2464E">
        <w:trPr>
          <w:trHeight w:val="300"/>
        </w:trPr>
        <w:tc>
          <w:tcPr>
            <w:tcW w:w="11340" w:type="dxa"/>
            <w:gridSpan w:val="16"/>
            <w:tcBorders>
              <w:top w:val="nil"/>
              <w:left w:val="nil"/>
              <w:bottom w:val="single" w:sz="8" w:space="0" w:color="auto"/>
              <w:right w:val="nil"/>
            </w:tcBorders>
            <w:shd w:val="clear" w:color="000000" w:fill="FFFFFF"/>
            <w:noWrap/>
            <w:vAlign w:val="bottom"/>
            <w:hideMark/>
          </w:tcPr>
          <w:p w14:paraId="54DD99AA" w14:textId="222EE8E6" w:rsidR="009C6A63" w:rsidRPr="00B83335" w:rsidRDefault="009C6A63" w:rsidP="00F53DD6">
            <w:pPr>
              <w:suppressAutoHyphens w:val="0"/>
              <w:spacing w:before="180"/>
              <w:rPr>
                <w:rFonts w:eastAsia="Times New Roman"/>
                <w:b/>
              </w:rPr>
            </w:pPr>
            <w:r w:rsidRPr="00B83335">
              <w:rPr>
                <w:rFonts w:eastAsia="Times New Roman"/>
                <w:b/>
              </w:rPr>
              <w:lastRenderedPageBreak/>
              <w:t>Table 4: Holdings</w:t>
            </w:r>
          </w:p>
        </w:tc>
      </w:tr>
      <w:tr w:rsidR="009C6A63" w:rsidRPr="000869C6" w14:paraId="3187E87F" w14:textId="77777777" w:rsidTr="00F53DD6">
        <w:trPr>
          <w:trHeight w:val="291"/>
        </w:trPr>
        <w:tc>
          <w:tcPr>
            <w:tcW w:w="1636" w:type="dxa"/>
            <w:gridSpan w:val="2"/>
            <w:tcBorders>
              <w:top w:val="nil"/>
              <w:left w:val="nil"/>
              <w:bottom w:val="nil"/>
              <w:right w:val="nil"/>
            </w:tcBorders>
            <w:shd w:val="clear" w:color="000000" w:fill="FFFFFF"/>
            <w:vAlign w:val="bottom"/>
            <w:hideMark/>
          </w:tcPr>
          <w:p w14:paraId="0EC67F8E"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1100" w:type="dxa"/>
            <w:gridSpan w:val="2"/>
            <w:tcBorders>
              <w:top w:val="nil"/>
              <w:left w:val="nil"/>
              <w:bottom w:val="nil"/>
              <w:right w:val="nil"/>
            </w:tcBorders>
            <w:shd w:val="clear" w:color="000000" w:fill="FFFFFF"/>
            <w:noWrap/>
            <w:vAlign w:val="bottom"/>
            <w:hideMark/>
          </w:tcPr>
          <w:p w14:paraId="70181E6F"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1796" w:type="dxa"/>
            <w:gridSpan w:val="2"/>
            <w:tcBorders>
              <w:top w:val="nil"/>
              <w:left w:val="nil"/>
              <w:bottom w:val="nil"/>
              <w:right w:val="nil"/>
            </w:tcBorders>
            <w:shd w:val="clear" w:color="000000" w:fill="FFFFFF"/>
            <w:noWrap/>
            <w:vAlign w:val="bottom"/>
            <w:hideMark/>
          </w:tcPr>
          <w:p w14:paraId="68547CD6"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1420" w:type="dxa"/>
            <w:tcBorders>
              <w:top w:val="nil"/>
              <w:left w:val="nil"/>
              <w:bottom w:val="nil"/>
              <w:right w:val="nil"/>
            </w:tcBorders>
            <w:shd w:val="clear" w:color="000000" w:fill="FFFFFF"/>
            <w:noWrap/>
            <w:vAlign w:val="bottom"/>
            <w:hideMark/>
          </w:tcPr>
          <w:p w14:paraId="0C4608F8"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5388" w:type="dxa"/>
            <w:gridSpan w:val="9"/>
            <w:tcBorders>
              <w:top w:val="single" w:sz="8" w:space="0" w:color="auto"/>
              <w:left w:val="nil"/>
              <w:bottom w:val="single" w:sz="4" w:space="0" w:color="auto"/>
              <w:right w:val="nil"/>
            </w:tcBorders>
            <w:shd w:val="clear" w:color="000000" w:fill="FFFFFF"/>
            <w:noWrap/>
            <w:vAlign w:val="bottom"/>
            <w:hideMark/>
          </w:tcPr>
          <w:p w14:paraId="75D2C2CB"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Unique identifiers</w:t>
            </w:r>
          </w:p>
        </w:tc>
      </w:tr>
      <w:tr w:rsidR="009C6A63" w:rsidRPr="000869C6" w14:paraId="18ECCA8D" w14:textId="77777777" w:rsidTr="00F53DD6">
        <w:trPr>
          <w:trHeight w:val="291"/>
        </w:trPr>
        <w:tc>
          <w:tcPr>
            <w:tcW w:w="1636" w:type="dxa"/>
            <w:gridSpan w:val="2"/>
            <w:tcBorders>
              <w:top w:val="nil"/>
              <w:left w:val="nil"/>
              <w:bottom w:val="nil"/>
              <w:right w:val="nil"/>
            </w:tcBorders>
            <w:shd w:val="clear" w:color="000000" w:fill="FFFFFF"/>
            <w:vAlign w:val="bottom"/>
            <w:hideMark/>
          </w:tcPr>
          <w:p w14:paraId="45EF28A1"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1100" w:type="dxa"/>
            <w:gridSpan w:val="2"/>
            <w:vMerge w:val="restart"/>
            <w:tcBorders>
              <w:top w:val="nil"/>
              <w:left w:val="nil"/>
              <w:bottom w:val="single" w:sz="8" w:space="0" w:color="000000"/>
              <w:right w:val="nil"/>
            </w:tcBorders>
            <w:shd w:val="clear" w:color="000000" w:fill="FFFFFF"/>
            <w:vAlign w:val="bottom"/>
            <w:hideMark/>
          </w:tcPr>
          <w:p w14:paraId="02F66FD3"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Authorization ID</w:t>
            </w:r>
            <w:r w:rsidRPr="00B83335">
              <w:rPr>
                <w:rFonts w:eastAsia="Times New Roman"/>
                <w:i/>
                <w:sz w:val="16"/>
                <w:szCs w:val="16"/>
                <w:vertAlign w:val="superscript"/>
              </w:rPr>
              <w:t>b</w:t>
            </w:r>
          </w:p>
        </w:tc>
        <w:tc>
          <w:tcPr>
            <w:tcW w:w="1796" w:type="dxa"/>
            <w:gridSpan w:val="2"/>
            <w:tcBorders>
              <w:top w:val="nil"/>
              <w:left w:val="nil"/>
              <w:bottom w:val="nil"/>
              <w:right w:val="nil"/>
            </w:tcBorders>
            <w:shd w:val="clear" w:color="000000" w:fill="FFFFFF"/>
            <w:noWrap/>
            <w:vAlign w:val="bottom"/>
            <w:hideMark/>
          </w:tcPr>
          <w:p w14:paraId="432CA222"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420" w:type="dxa"/>
            <w:tcBorders>
              <w:top w:val="nil"/>
              <w:left w:val="nil"/>
              <w:bottom w:val="nil"/>
              <w:right w:val="nil"/>
            </w:tcBorders>
            <w:shd w:val="clear" w:color="000000" w:fill="FFFFFF"/>
            <w:noWrap/>
            <w:vAlign w:val="bottom"/>
            <w:hideMark/>
          </w:tcPr>
          <w:p w14:paraId="2254B9D6"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319" w:type="dxa"/>
            <w:gridSpan w:val="3"/>
            <w:tcBorders>
              <w:top w:val="single" w:sz="4" w:space="0" w:color="auto"/>
              <w:left w:val="nil"/>
              <w:bottom w:val="single" w:sz="4" w:space="0" w:color="auto"/>
              <w:right w:val="nil"/>
            </w:tcBorders>
            <w:shd w:val="clear" w:color="000000" w:fill="FFFFFF"/>
            <w:vAlign w:val="bottom"/>
            <w:hideMark/>
          </w:tcPr>
          <w:p w14:paraId="276A1C2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ITMO unique identifier</w:t>
            </w:r>
            <w:r w:rsidRPr="00B83335">
              <w:rPr>
                <w:rFonts w:eastAsia="Times New Roman"/>
                <w:i/>
                <w:sz w:val="16"/>
                <w:szCs w:val="16"/>
                <w:vertAlign w:val="superscript"/>
              </w:rPr>
              <w:t>e</w:t>
            </w:r>
          </w:p>
        </w:tc>
        <w:tc>
          <w:tcPr>
            <w:tcW w:w="240" w:type="dxa"/>
            <w:tcBorders>
              <w:top w:val="nil"/>
              <w:left w:val="nil"/>
              <w:bottom w:val="nil"/>
              <w:right w:val="nil"/>
            </w:tcBorders>
            <w:shd w:val="clear" w:color="000000" w:fill="FFFFFF"/>
            <w:noWrap/>
            <w:vAlign w:val="bottom"/>
            <w:hideMark/>
          </w:tcPr>
          <w:p w14:paraId="2CC72D6F"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3829" w:type="dxa"/>
            <w:gridSpan w:val="5"/>
            <w:tcBorders>
              <w:top w:val="single" w:sz="4" w:space="0" w:color="auto"/>
              <w:left w:val="nil"/>
              <w:bottom w:val="single" w:sz="4" w:space="0" w:color="auto"/>
              <w:right w:val="nil"/>
            </w:tcBorders>
            <w:shd w:val="clear" w:color="000000" w:fill="FFFFFF"/>
            <w:vAlign w:val="bottom"/>
            <w:hideMark/>
          </w:tcPr>
          <w:p w14:paraId="7026BB4F"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Underlying units</w:t>
            </w:r>
          </w:p>
        </w:tc>
      </w:tr>
      <w:tr w:rsidR="009C6A63" w:rsidRPr="000869C6" w14:paraId="1923E604" w14:textId="77777777" w:rsidTr="00F53DD6">
        <w:trPr>
          <w:trHeight w:val="540"/>
        </w:trPr>
        <w:tc>
          <w:tcPr>
            <w:tcW w:w="1636" w:type="dxa"/>
            <w:gridSpan w:val="2"/>
            <w:tcBorders>
              <w:top w:val="nil"/>
              <w:left w:val="nil"/>
              <w:bottom w:val="nil"/>
              <w:right w:val="nil"/>
            </w:tcBorders>
            <w:shd w:val="clear" w:color="000000" w:fill="FFFFFF"/>
            <w:vAlign w:val="bottom"/>
            <w:hideMark/>
          </w:tcPr>
          <w:p w14:paraId="4F2338A5"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1100" w:type="dxa"/>
            <w:gridSpan w:val="2"/>
            <w:vMerge/>
            <w:tcBorders>
              <w:top w:val="nil"/>
              <w:left w:val="nil"/>
              <w:bottom w:val="single" w:sz="8" w:space="0" w:color="000000"/>
              <w:right w:val="nil"/>
            </w:tcBorders>
            <w:vAlign w:val="center"/>
            <w:hideMark/>
          </w:tcPr>
          <w:p w14:paraId="1540FF57" w14:textId="77777777" w:rsidR="009C6A63" w:rsidRPr="00B83335" w:rsidRDefault="009C6A63" w:rsidP="00D2464E">
            <w:pPr>
              <w:suppressAutoHyphens w:val="0"/>
              <w:spacing w:line="240" w:lineRule="auto"/>
              <w:rPr>
                <w:rFonts w:eastAsia="Times New Roman"/>
                <w:i/>
                <w:sz w:val="16"/>
                <w:szCs w:val="16"/>
              </w:rPr>
            </w:pPr>
          </w:p>
        </w:tc>
        <w:tc>
          <w:tcPr>
            <w:tcW w:w="1796" w:type="dxa"/>
            <w:gridSpan w:val="2"/>
            <w:tcBorders>
              <w:top w:val="nil"/>
              <w:left w:val="nil"/>
              <w:bottom w:val="nil"/>
              <w:right w:val="nil"/>
            </w:tcBorders>
            <w:shd w:val="clear" w:color="000000" w:fill="FFFFFF"/>
            <w:noWrap/>
            <w:vAlign w:val="bottom"/>
            <w:hideMark/>
          </w:tcPr>
          <w:p w14:paraId="79906792"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420" w:type="dxa"/>
            <w:tcBorders>
              <w:top w:val="nil"/>
              <w:left w:val="nil"/>
              <w:bottom w:val="nil"/>
              <w:right w:val="nil"/>
            </w:tcBorders>
            <w:shd w:val="clear" w:color="000000" w:fill="FFFFFF"/>
            <w:noWrap/>
            <w:vAlign w:val="bottom"/>
            <w:hideMark/>
          </w:tcPr>
          <w:p w14:paraId="33E24A5F"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801" w:type="dxa"/>
            <w:gridSpan w:val="2"/>
            <w:tcBorders>
              <w:top w:val="nil"/>
              <w:left w:val="nil"/>
              <w:bottom w:val="nil"/>
              <w:right w:val="nil"/>
            </w:tcBorders>
            <w:shd w:val="clear" w:color="000000" w:fill="FFFFFF"/>
            <w:vAlign w:val="bottom"/>
            <w:hideMark/>
          </w:tcPr>
          <w:p w14:paraId="0B4BDB95"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758" w:type="dxa"/>
            <w:gridSpan w:val="2"/>
            <w:tcBorders>
              <w:top w:val="nil"/>
              <w:left w:val="nil"/>
              <w:bottom w:val="nil"/>
              <w:right w:val="nil"/>
            </w:tcBorders>
            <w:shd w:val="clear" w:color="000000" w:fill="FFFFFF"/>
            <w:vAlign w:val="bottom"/>
            <w:hideMark/>
          </w:tcPr>
          <w:p w14:paraId="78339806" w14:textId="77777777" w:rsidR="009C6A63" w:rsidRPr="00B83335" w:rsidRDefault="009C6A63" w:rsidP="00D2464E">
            <w:pPr>
              <w:suppressAutoHyphens w:val="0"/>
              <w:spacing w:line="240" w:lineRule="auto"/>
              <w:rPr>
                <w:rFonts w:eastAsia="Times New Roman"/>
                <w:i/>
                <w:sz w:val="16"/>
                <w:szCs w:val="16"/>
              </w:rPr>
            </w:pPr>
            <w:r w:rsidRPr="00B83335">
              <w:rPr>
                <w:rFonts w:eastAsia="Times New Roman"/>
                <w:i/>
                <w:sz w:val="16"/>
                <w:szCs w:val="16"/>
              </w:rPr>
              <w:t> </w:t>
            </w:r>
          </w:p>
        </w:tc>
        <w:tc>
          <w:tcPr>
            <w:tcW w:w="380" w:type="dxa"/>
            <w:tcBorders>
              <w:top w:val="nil"/>
              <w:left w:val="nil"/>
              <w:bottom w:val="nil"/>
              <w:right w:val="nil"/>
            </w:tcBorders>
            <w:shd w:val="clear" w:color="000000" w:fill="FFFFFF"/>
            <w:noWrap/>
            <w:vAlign w:val="bottom"/>
            <w:hideMark/>
          </w:tcPr>
          <w:p w14:paraId="6E5C2785"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276" w:type="dxa"/>
            <w:gridSpan w:val="2"/>
            <w:tcBorders>
              <w:top w:val="nil"/>
              <w:left w:val="nil"/>
              <w:bottom w:val="nil"/>
              <w:right w:val="nil"/>
            </w:tcBorders>
            <w:shd w:val="clear" w:color="000000" w:fill="FFFFFF"/>
            <w:vAlign w:val="bottom"/>
            <w:hideMark/>
          </w:tcPr>
          <w:p w14:paraId="60651792"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2173" w:type="dxa"/>
            <w:gridSpan w:val="2"/>
            <w:tcBorders>
              <w:top w:val="single" w:sz="4" w:space="0" w:color="auto"/>
              <w:left w:val="nil"/>
              <w:bottom w:val="single" w:sz="4" w:space="0" w:color="auto"/>
              <w:right w:val="nil"/>
            </w:tcBorders>
            <w:shd w:val="clear" w:color="000000" w:fill="FFFFFF"/>
            <w:vAlign w:val="bottom"/>
            <w:hideMark/>
          </w:tcPr>
          <w:p w14:paraId="2146186E" w14:textId="77777777" w:rsidR="009C6A63" w:rsidRPr="00B83335" w:rsidRDefault="009C6A63" w:rsidP="00D2464E">
            <w:pPr>
              <w:suppressAutoHyphens w:val="0"/>
              <w:spacing w:line="240" w:lineRule="auto"/>
              <w:jc w:val="center"/>
              <w:rPr>
                <w:rFonts w:eastAsia="Times New Roman"/>
                <w:i/>
                <w:sz w:val="16"/>
                <w:szCs w:val="16"/>
              </w:rPr>
            </w:pPr>
            <w:r w:rsidRPr="002C0DE9">
              <w:rPr>
                <w:rFonts w:eastAsia="Times New Roman"/>
                <w:i/>
                <w:sz w:val="16"/>
                <w:szCs w:val="16"/>
              </w:rPr>
              <w:t>Underlying unit unique identifier</w:t>
            </w:r>
            <w:r w:rsidRPr="002C0DE9">
              <w:rPr>
                <w:rFonts w:eastAsia="Times New Roman"/>
                <w:i/>
                <w:sz w:val="16"/>
                <w:szCs w:val="16"/>
                <w:vertAlign w:val="superscript"/>
              </w:rPr>
              <w:t>i</w:t>
            </w:r>
          </w:p>
        </w:tc>
      </w:tr>
      <w:tr w:rsidR="009C6A63" w:rsidRPr="000869C6" w14:paraId="34CFCD83" w14:textId="77777777" w:rsidTr="00FE0045">
        <w:trPr>
          <w:trHeight w:val="780"/>
        </w:trPr>
        <w:tc>
          <w:tcPr>
            <w:tcW w:w="1636" w:type="dxa"/>
            <w:gridSpan w:val="2"/>
            <w:tcBorders>
              <w:top w:val="nil"/>
              <w:left w:val="nil"/>
              <w:bottom w:val="single" w:sz="8" w:space="0" w:color="auto"/>
              <w:right w:val="nil"/>
            </w:tcBorders>
            <w:shd w:val="clear" w:color="000000" w:fill="FFFFFF"/>
            <w:vAlign w:val="bottom"/>
            <w:hideMark/>
          </w:tcPr>
          <w:p w14:paraId="113BE7D2"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Cooperative approach ID</w:t>
            </w:r>
            <w:r w:rsidRPr="00B83335">
              <w:rPr>
                <w:rStyle w:val="EndnoteReference"/>
                <w:rFonts w:eastAsia="Times New Roman"/>
                <w:szCs w:val="16"/>
              </w:rPr>
              <w:endnoteReference w:id="9"/>
            </w:r>
          </w:p>
        </w:tc>
        <w:tc>
          <w:tcPr>
            <w:tcW w:w="1100" w:type="dxa"/>
            <w:gridSpan w:val="2"/>
            <w:vMerge/>
            <w:tcBorders>
              <w:top w:val="nil"/>
              <w:left w:val="nil"/>
              <w:bottom w:val="single" w:sz="8" w:space="0" w:color="auto"/>
              <w:right w:val="nil"/>
            </w:tcBorders>
            <w:vAlign w:val="center"/>
            <w:hideMark/>
          </w:tcPr>
          <w:p w14:paraId="423917E4" w14:textId="77777777" w:rsidR="009C6A63" w:rsidRPr="00B83335" w:rsidRDefault="009C6A63" w:rsidP="00D2464E">
            <w:pPr>
              <w:suppressAutoHyphens w:val="0"/>
              <w:spacing w:line="240" w:lineRule="auto"/>
              <w:rPr>
                <w:rFonts w:eastAsia="Times New Roman"/>
                <w:i/>
                <w:sz w:val="16"/>
                <w:szCs w:val="16"/>
              </w:rPr>
            </w:pPr>
          </w:p>
        </w:tc>
        <w:tc>
          <w:tcPr>
            <w:tcW w:w="1796" w:type="dxa"/>
            <w:gridSpan w:val="2"/>
            <w:tcBorders>
              <w:top w:val="nil"/>
              <w:left w:val="nil"/>
              <w:bottom w:val="single" w:sz="8" w:space="0" w:color="auto"/>
              <w:right w:val="nil"/>
            </w:tcBorders>
            <w:shd w:val="clear" w:color="000000" w:fill="FFFFFF"/>
            <w:vAlign w:val="bottom"/>
            <w:hideMark/>
          </w:tcPr>
          <w:p w14:paraId="23564CF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transferring participating Party ID</w:t>
            </w:r>
            <w:r w:rsidRPr="00B83335">
              <w:rPr>
                <w:rFonts w:eastAsia="Times New Roman"/>
                <w:i/>
                <w:sz w:val="16"/>
                <w:szCs w:val="16"/>
                <w:vertAlign w:val="superscript"/>
              </w:rPr>
              <w:t>c</w:t>
            </w:r>
          </w:p>
        </w:tc>
        <w:tc>
          <w:tcPr>
            <w:tcW w:w="1420" w:type="dxa"/>
            <w:tcBorders>
              <w:top w:val="nil"/>
              <w:left w:val="nil"/>
              <w:bottom w:val="single" w:sz="8" w:space="0" w:color="auto"/>
              <w:right w:val="nil"/>
            </w:tcBorders>
            <w:shd w:val="clear" w:color="auto" w:fill="auto"/>
            <w:vAlign w:val="bottom"/>
            <w:hideMark/>
          </w:tcPr>
          <w:p w14:paraId="40D2552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Party ITMO registry ID</w:t>
            </w:r>
            <w:r w:rsidRPr="00B83335">
              <w:rPr>
                <w:rFonts w:eastAsia="Times New Roman"/>
                <w:i/>
                <w:sz w:val="16"/>
                <w:szCs w:val="16"/>
                <w:vertAlign w:val="superscript"/>
              </w:rPr>
              <w:t>d</w:t>
            </w:r>
          </w:p>
        </w:tc>
        <w:tc>
          <w:tcPr>
            <w:tcW w:w="801" w:type="dxa"/>
            <w:gridSpan w:val="2"/>
            <w:tcBorders>
              <w:top w:val="nil"/>
              <w:left w:val="nil"/>
              <w:bottom w:val="single" w:sz="8" w:space="0" w:color="auto"/>
              <w:right w:val="nil"/>
            </w:tcBorders>
            <w:shd w:val="clear" w:color="000000" w:fill="FFFFFF"/>
            <w:vAlign w:val="bottom"/>
            <w:hideMark/>
          </w:tcPr>
          <w:p w14:paraId="6018807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ID</w:t>
            </w:r>
            <w:r w:rsidRPr="00B83335">
              <w:rPr>
                <w:rFonts w:eastAsia="Times New Roman"/>
                <w:i/>
                <w:sz w:val="16"/>
                <w:szCs w:val="16"/>
                <w:vertAlign w:val="superscript"/>
              </w:rPr>
              <w:t>f</w:t>
            </w:r>
          </w:p>
        </w:tc>
        <w:tc>
          <w:tcPr>
            <w:tcW w:w="758" w:type="dxa"/>
            <w:gridSpan w:val="2"/>
            <w:tcBorders>
              <w:top w:val="nil"/>
              <w:left w:val="nil"/>
              <w:bottom w:val="single" w:sz="8" w:space="0" w:color="auto"/>
              <w:right w:val="nil"/>
            </w:tcBorders>
            <w:shd w:val="clear" w:color="000000" w:fill="FFFFFF"/>
            <w:vAlign w:val="bottom"/>
            <w:hideMark/>
          </w:tcPr>
          <w:p w14:paraId="27055F4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Last ID</w:t>
            </w:r>
            <w:r w:rsidRPr="00B83335">
              <w:rPr>
                <w:rFonts w:eastAsia="Times New Roman"/>
                <w:i/>
                <w:sz w:val="16"/>
                <w:szCs w:val="16"/>
                <w:vertAlign w:val="superscript"/>
              </w:rPr>
              <w:t>g</w:t>
            </w:r>
          </w:p>
        </w:tc>
        <w:tc>
          <w:tcPr>
            <w:tcW w:w="380" w:type="dxa"/>
            <w:tcBorders>
              <w:top w:val="nil"/>
              <w:left w:val="nil"/>
              <w:bottom w:val="single" w:sz="8" w:space="0" w:color="auto"/>
              <w:right w:val="nil"/>
            </w:tcBorders>
            <w:shd w:val="clear" w:color="000000" w:fill="FFFFFF"/>
            <w:vAlign w:val="bottom"/>
            <w:hideMark/>
          </w:tcPr>
          <w:p w14:paraId="1423E40F"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276" w:type="dxa"/>
            <w:gridSpan w:val="2"/>
            <w:tcBorders>
              <w:top w:val="nil"/>
              <w:left w:val="nil"/>
              <w:bottom w:val="single" w:sz="8" w:space="0" w:color="auto"/>
              <w:right w:val="nil"/>
            </w:tcBorders>
            <w:shd w:val="clear" w:color="000000" w:fill="FFFFFF"/>
            <w:vAlign w:val="bottom"/>
            <w:hideMark/>
          </w:tcPr>
          <w:p w14:paraId="3FF0C3B4"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Underlying unit registry ID</w:t>
            </w:r>
            <w:r w:rsidRPr="00B83335">
              <w:rPr>
                <w:rFonts w:eastAsia="Times New Roman"/>
                <w:i/>
                <w:sz w:val="16"/>
                <w:szCs w:val="16"/>
                <w:vertAlign w:val="superscript"/>
              </w:rPr>
              <w:t>h</w:t>
            </w:r>
          </w:p>
        </w:tc>
        <w:tc>
          <w:tcPr>
            <w:tcW w:w="1134" w:type="dxa"/>
            <w:tcBorders>
              <w:top w:val="nil"/>
              <w:left w:val="nil"/>
              <w:bottom w:val="single" w:sz="8" w:space="0" w:color="auto"/>
              <w:right w:val="nil"/>
            </w:tcBorders>
            <w:shd w:val="clear" w:color="000000" w:fill="FFFFFF"/>
            <w:vAlign w:val="bottom"/>
            <w:hideMark/>
          </w:tcPr>
          <w:p w14:paraId="1290A955"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First unit ID</w:t>
            </w:r>
            <w:r w:rsidRPr="00B83335">
              <w:rPr>
                <w:rFonts w:eastAsia="Times New Roman"/>
                <w:i/>
                <w:sz w:val="16"/>
                <w:szCs w:val="16"/>
                <w:vertAlign w:val="superscript"/>
              </w:rPr>
              <w:t>j</w:t>
            </w:r>
          </w:p>
        </w:tc>
        <w:tc>
          <w:tcPr>
            <w:tcW w:w="1039" w:type="dxa"/>
            <w:tcBorders>
              <w:top w:val="nil"/>
              <w:left w:val="nil"/>
              <w:bottom w:val="single" w:sz="8" w:space="0" w:color="auto"/>
              <w:right w:val="nil"/>
            </w:tcBorders>
            <w:shd w:val="clear" w:color="000000" w:fill="FFFFFF"/>
            <w:vAlign w:val="bottom"/>
            <w:hideMark/>
          </w:tcPr>
          <w:p w14:paraId="52BCECA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Last unit ID</w:t>
            </w:r>
            <w:r w:rsidRPr="00B83335">
              <w:rPr>
                <w:rFonts w:eastAsia="Times New Roman"/>
                <w:i/>
                <w:sz w:val="16"/>
                <w:szCs w:val="16"/>
                <w:vertAlign w:val="superscript"/>
              </w:rPr>
              <w:t>k</w:t>
            </w:r>
          </w:p>
        </w:tc>
      </w:tr>
      <w:tr w:rsidR="00FE0045" w:rsidRPr="000869C6" w14:paraId="2B45B014" w14:textId="77777777" w:rsidTr="00FE0045">
        <w:trPr>
          <w:trHeight w:val="300"/>
        </w:trPr>
        <w:tc>
          <w:tcPr>
            <w:tcW w:w="1636" w:type="dxa"/>
            <w:gridSpan w:val="2"/>
            <w:tcBorders>
              <w:top w:val="single" w:sz="8" w:space="0" w:color="auto"/>
              <w:left w:val="nil"/>
              <w:right w:val="nil"/>
            </w:tcBorders>
            <w:shd w:val="clear" w:color="000000" w:fill="FFFFFF"/>
            <w:vAlign w:val="center"/>
          </w:tcPr>
          <w:p w14:paraId="5B16D554" w14:textId="77777777" w:rsidR="00FE0045" w:rsidRPr="00B83335" w:rsidRDefault="00FE0045" w:rsidP="00D2464E">
            <w:pPr>
              <w:suppressAutoHyphens w:val="0"/>
              <w:spacing w:line="240" w:lineRule="auto"/>
              <w:jc w:val="center"/>
              <w:rPr>
                <w:rFonts w:eastAsia="Times New Roman"/>
              </w:rPr>
            </w:pPr>
          </w:p>
        </w:tc>
        <w:tc>
          <w:tcPr>
            <w:tcW w:w="1100" w:type="dxa"/>
            <w:gridSpan w:val="2"/>
            <w:tcBorders>
              <w:top w:val="single" w:sz="8" w:space="0" w:color="auto"/>
              <w:left w:val="nil"/>
              <w:right w:val="nil"/>
            </w:tcBorders>
            <w:shd w:val="clear" w:color="000000" w:fill="FFFFFF"/>
            <w:vAlign w:val="center"/>
          </w:tcPr>
          <w:p w14:paraId="1602CB5D" w14:textId="77777777" w:rsidR="00FE0045" w:rsidRPr="00B83335" w:rsidRDefault="00FE0045" w:rsidP="00D2464E">
            <w:pPr>
              <w:suppressAutoHyphens w:val="0"/>
              <w:spacing w:line="240" w:lineRule="auto"/>
              <w:jc w:val="center"/>
              <w:rPr>
                <w:rFonts w:eastAsia="Times New Roman"/>
              </w:rPr>
            </w:pPr>
          </w:p>
        </w:tc>
        <w:tc>
          <w:tcPr>
            <w:tcW w:w="1796" w:type="dxa"/>
            <w:gridSpan w:val="2"/>
            <w:tcBorders>
              <w:top w:val="single" w:sz="8" w:space="0" w:color="auto"/>
              <w:left w:val="nil"/>
              <w:right w:val="nil"/>
            </w:tcBorders>
            <w:shd w:val="clear" w:color="000000" w:fill="FFFFFF"/>
            <w:vAlign w:val="center"/>
          </w:tcPr>
          <w:p w14:paraId="04406C15" w14:textId="77777777" w:rsidR="00FE0045" w:rsidRPr="00B83335" w:rsidRDefault="00FE0045" w:rsidP="00D2464E">
            <w:pPr>
              <w:suppressAutoHyphens w:val="0"/>
              <w:spacing w:line="240" w:lineRule="auto"/>
              <w:rPr>
                <w:rFonts w:eastAsia="Times New Roman"/>
              </w:rPr>
            </w:pPr>
          </w:p>
        </w:tc>
        <w:tc>
          <w:tcPr>
            <w:tcW w:w="1420" w:type="dxa"/>
            <w:tcBorders>
              <w:top w:val="single" w:sz="8" w:space="0" w:color="auto"/>
              <w:left w:val="nil"/>
              <w:right w:val="nil"/>
            </w:tcBorders>
            <w:shd w:val="clear" w:color="000000" w:fill="FFFFFF"/>
            <w:vAlign w:val="center"/>
          </w:tcPr>
          <w:p w14:paraId="367F0512" w14:textId="77777777" w:rsidR="00FE0045" w:rsidRPr="00B83335" w:rsidRDefault="00FE0045" w:rsidP="00D2464E">
            <w:pPr>
              <w:suppressAutoHyphens w:val="0"/>
              <w:spacing w:line="240" w:lineRule="auto"/>
              <w:jc w:val="center"/>
              <w:rPr>
                <w:rFonts w:eastAsia="Times New Roman"/>
              </w:rPr>
            </w:pPr>
          </w:p>
        </w:tc>
        <w:tc>
          <w:tcPr>
            <w:tcW w:w="801" w:type="dxa"/>
            <w:gridSpan w:val="2"/>
            <w:tcBorders>
              <w:top w:val="single" w:sz="8" w:space="0" w:color="auto"/>
              <w:left w:val="nil"/>
              <w:right w:val="nil"/>
            </w:tcBorders>
            <w:shd w:val="clear" w:color="000000" w:fill="FFFFFF"/>
            <w:vAlign w:val="center"/>
          </w:tcPr>
          <w:p w14:paraId="41F25A28" w14:textId="77777777" w:rsidR="00FE0045" w:rsidRPr="00B83335" w:rsidRDefault="00FE0045" w:rsidP="00D2464E">
            <w:pPr>
              <w:suppressAutoHyphens w:val="0"/>
              <w:spacing w:line="240" w:lineRule="auto"/>
              <w:jc w:val="center"/>
              <w:rPr>
                <w:rFonts w:eastAsia="Times New Roman"/>
              </w:rPr>
            </w:pPr>
          </w:p>
        </w:tc>
        <w:tc>
          <w:tcPr>
            <w:tcW w:w="758" w:type="dxa"/>
            <w:gridSpan w:val="2"/>
            <w:tcBorders>
              <w:top w:val="single" w:sz="8" w:space="0" w:color="auto"/>
              <w:left w:val="nil"/>
              <w:right w:val="nil"/>
            </w:tcBorders>
            <w:shd w:val="clear" w:color="000000" w:fill="FFFFFF"/>
            <w:noWrap/>
            <w:vAlign w:val="center"/>
          </w:tcPr>
          <w:p w14:paraId="0979897A" w14:textId="77777777" w:rsidR="00FE0045" w:rsidRPr="00B83335" w:rsidRDefault="00FE0045" w:rsidP="00D2464E">
            <w:pPr>
              <w:suppressAutoHyphens w:val="0"/>
              <w:spacing w:line="240" w:lineRule="auto"/>
              <w:rPr>
                <w:rFonts w:eastAsia="Times New Roman"/>
              </w:rPr>
            </w:pPr>
          </w:p>
        </w:tc>
        <w:tc>
          <w:tcPr>
            <w:tcW w:w="380" w:type="dxa"/>
            <w:tcBorders>
              <w:top w:val="single" w:sz="8" w:space="0" w:color="auto"/>
              <w:left w:val="nil"/>
              <w:right w:val="nil"/>
            </w:tcBorders>
            <w:shd w:val="clear" w:color="000000" w:fill="FFFFFF"/>
            <w:vAlign w:val="center"/>
          </w:tcPr>
          <w:p w14:paraId="169BB1BD" w14:textId="77777777" w:rsidR="00FE0045" w:rsidRPr="00B83335" w:rsidRDefault="00FE0045" w:rsidP="00D2464E">
            <w:pPr>
              <w:suppressAutoHyphens w:val="0"/>
              <w:spacing w:line="240" w:lineRule="auto"/>
              <w:rPr>
                <w:rFonts w:eastAsia="Times New Roman"/>
              </w:rPr>
            </w:pPr>
          </w:p>
        </w:tc>
        <w:tc>
          <w:tcPr>
            <w:tcW w:w="1276" w:type="dxa"/>
            <w:gridSpan w:val="2"/>
            <w:tcBorders>
              <w:top w:val="single" w:sz="8" w:space="0" w:color="auto"/>
              <w:left w:val="nil"/>
              <w:right w:val="nil"/>
            </w:tcBorders>
            <w:shd w:val="clear" w:color="000000" w:fill="FFFFFF"/>
            <w:vAlign w:val="center"/>
          </w:tcPr>
          <w:p w14:paraId="6DFE5DC6" w14:textId="77777777" w:rsidR="00FE0045" w:rsidRPr="00B83335" w:rsidRDefault="00FE0045" w:rsidP="00D2464E">
            <w:pPr>
              <w:suppressAutoHyphens w:val="0"/>
              <w:spacing w:line="240" w:lineRule="auto"/>
              <w:rPr>
                <w:rFonts w:eastAsia="Times New Roman"/>
              </w:rPr>
            </w:pPr>
          </w:p>
        </w:tc>
        <w:tc>
          <w:tcPr>
            <w:tcW w:w="1134" w:type="dxa"/>
            <w:tcBorders>
              <w:top w:val="single" w:sz="8" w:space="0" w:color="auto"/>
              <w:left w:val="nil"/>
              <w:right w:val="nil"/>
            </w:tcBorders>
            <w:shd w:val="clear" w:color="000000" w:fill="FFFFFF"/>
            <w:vAlign w:val="center"/>
          </w:tcPr>
          <w:p w14:paraId="52606506" w14:textId="77777777" w:rsidR="00FE0045" w:rsidRPr="00B83335" w:rsidRDefault="00FE0045" w:rsidP="00D2464E">
            <w:pPr>
              <w:suppressAutoHyphens w:val="0"/>
              <w:spacing w:line="240" w:lineRule="auto"/>
              <w:rPr>
                <w:rFonts w:eastAsia="Times New Roman"/>
              </w:rPr>
            </w:pPr>
          </w:p>
        </w:tc>
        <w:tc>
          <w:tcPr>
            <w:tcW w:w="1039" w:type="dxa"/>
            <w:tcBorders>
              <w:top w:val="single" w:sz="8" w:space="0" w:color="auto"/>
              <w:left w:val="nil"/>
              <w:right w:val="nil"/>
            </w:tcBorders>
            <w:shd w:val="clear" w:color="000000" w:fill="FFFFFF"/>
            <w:vAlign w:val="center"/>
          </w:tcPr>
          <w:p w14:paraId="571066D4" w14:textId="77777777" w:rsidR="00FE0045" w:rsidRPr="00B83335" w:rsidRDefault="00FE0045" w:rsidP="00D2464E">
            <w:pPr>
              <w:suppressAutoHyphens w:val="0"/>
              <w:spacing w:line="240" w:lineRule="auto"/>
              <w:rPr>
                <w:rFonts w:eastAsia="Times New Roman"/>
              </w:rPr>
            </w:pPr>
          </w:p>
        </w:tc>
      </w:tr>
      <w:tr w:rsidR="009C6A63" w:rsidRPr="000869C6" w14:paraId="1A1A3C11" w14:textId="77777777" w:rsidTr="00F53DD6">
        <w:trPr>
          <w:trHeight w:val="300"/>
        </w:trPr>
        <w:tc>
          <w:tcPr>
            <w:tcW w:w="1636" w:type="dxa"/>
            <w:gridSpan w:val="2"/>
            <w:tcBorders>
              <w:top w:val="nil"/>
              <w:left w:val="nil"/>
              <w:bottom w:val="single" w:sz="8" w:space="0" w:color="auto"/>
              <w:right w:val="nil"/>
            </w:tcBorders>
            <w:shd w:val="clear" w:color="000000" w:fill="FFFFFF"/>
            <w:vAlign w:val="center"/>
            <w:hideMark/>
          </w:tcPr>
          <w:p w14:paraId="7E796608"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100" w:type="dxa"/>
            <w:gridSpan w:val="2"/>
            <w:tcBorders>
              <w:top w:val="nil"/>
              <w:left w:val="nil"/>
              <w:bottom w:val="single" w:sz="8" w:space="0" w:color="auto"/>
              <w:right w:val="nil"/>
            </w:tcBorders>
            <w:shd w:val="clear" w:color="000000" w:fill="FFFFFF"/>
            <w:vAlign w:val="center"/>
            <w:hideMark/>
          </w:tcPr>
          <w:p w14:paraId="124C4D8D"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796" w:type="dxa"/>
            <w:gridSpan w:val="2"/>
            <w:tcBorders>
              <w:top w:val="nil"/>
              <w:left w:val="nil"/>
              <w:bottom w:val="single" w:sz="8" w:space="0" w:color="auto"/>
              <w:right w:val="nil"/>
            </w:tcBorders>
            <w:shd w:val="clear" w:color="000000" w:fill="FFFFFF"/>
            <w:vAlign w:val="center"/>
            <w:hideMark/>
          </w:tcPr>
          <w:p w14:paraId="1447CB74"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420" w:type="dxa"/>
            <w:tcBorders>
              <w:top w:val="nil"/>
              <w:left w:val="nil"/>
              <w:bottom w:val="single" w:sz="8" w:space="0" w:color="auto"/>
              <w:right w:val="nil"/>
            </w:tcBorders>
            <w:shd w:val="clear" w:color="000000" w:fill="FFFFFF"/>
            <w:vAlign w:val="center"/>
            <w:hideMark/>
          </w:tcPr>
          <w:p w14:paraId="2154E195"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801" w:type="dxa"/>
            <w:gridSpan w:val="2"/>
            <w:tcBorders>
              <w:top w:val="nil"/>
              <w:left w:val="nil"/>
              <w:bottom w:val="single" w:sz="8" w:space="0" w:color="auto"/>
              <w:right w:val="nil"/>
            </w:tcBorders>
            <w:shd w:val="clear" w:color="000000" w:fill="FFFFFF"/>
            <w:vAlign w:val="center"/>
            <w:hideMark/>
          </w:tcPr>
          <w:p w14:paraId="505ECCB2"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758" w:type="dxa"/>
            <w:gridSpan w:val="2"/>
            <w:tcBorders>
              <w:top w:val="nil"/>
              <w:left w:val="nil"/>
              <w:bottom w:val="single" w:sz="8" w:space="0" w:color="auto"/>
              <w:right w:val="nil"/>
            </w:tcBorders>
            <w:shd w:val="clear" w:color="000000" w:fill="FFFFFF"/>
            <w:noWrap/>
            <w:vAlign w:val="center"/>
            <w:hideMark/>
          </w:tcPr>
          <w:p w14:paraId="5FDFB203"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380" w:type="dxa"/>
            <w:tcBorders>
              <w:top w:val="nil"/>
              <w:left w:val="nil"/>
              <w:bottom w:val="single" w:sz="8" w:space="0" w:color="auto"/>
              <w:right w:val="nil"/>
            </w:tcBorders>
            <w:shd w:val="clear" w:color="000000" w:fill="FFFFFF"/>
            <w:vAlign w:val="center"/>
            <w:hideMark/>
          </w:tcPr>
          <w:p w14:paraId="23BD05C4"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276" w:type="dxa"/>
            <w:gridSpan w:val="2"/>
            <w:tcBorders>
              <w:top w:val="nil"/>
              <w:left w:val="nil"/>
              <w:bottom w:val="single" w:sz="8" w:space="0" w:color="auto"/>
              <w:right w:val="nil"/>
            </w:tcBorders>
            <w:shd w:val="clear" w:color="000000" w:fill="FFFFFF"/>
            <w:vAlign w:val="center"/>
            <w:hideMark/>
          </w:tcPr>
          <w:p w14:paraId="25930087"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134" w:type="dxa"/>
            <w:tcBorders>
              <w:top w:val="nil"/>
              <w:left w:val="nil"/>
              <w:bottom w:val="single" w:sz="8" w:space="0" w:color="auto"/>
              <w:right w:val="nil"/>
            </w:tcBorders>
            <w:shd w:val="clear" w:color="000000" w:fill="FFFFFF"/>
            <w:vAlign w:val="center"/>
            <w:hideMark/>
          </w:tcPr>
          <w:p w14:paraId="13880A1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039" w:type="dxa"/>
            <w:tcBorders>
              <w:top w:val="nil"/>
              <w:left w:val="nil"/>
              <w:bottom w:val="single" w:sz="8" w:space="0" w:color="auto"/>
              <w:right w:val="nil"/>
            </w:tcBorders>
            <w:shd w:val="clear" w:color="000000" w:fill="FFFFFF"/>
            <w:vAlign w:val="center"/>
            <w:hideMark/>
          </w:tcPr>
          <w:p w14:paraId="64F80665"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r>
      <w:tr w:rsidR="009C6A63" w:rsidRPr="00A65BDA" w14:paraId="77DBA3DF" w14:textId="77777777" w:rsidTr="00D2464E">
        <w:trPr>
          <w:gridAfter w:val="3"/>
          <w:wAfter w:w="2695" w:type="dxa"/>
          <w:trHeight w:val="291"/>
        </w:trPr>
        <w:tc>
          <w:tcPr>
            <w:tcW w:w="5952" w:type="dxa"/>
            <w:gridSpan w:val="7"/>
            <w:tcBorders>
              <w:top w:val="single" w:sz="8" w:space="0" w:color="auto"/>
              <w:left w:val="nil"/>
              <w:bottom w:val="single" w:sz="4" w:space="0" w:color="auto"/>
              <w:right w:val="nil"/>
            </w:tcBorders>
            <w:shd w:val="clear" w:color="000000" w:fill="FFFFFF"/>
            <w:noWrap/>
            <w:vAlign w:val="bottom"/>
            <w:hideMark/>
          </w:tcPr>
          <w:p w14:paraId="3BC39FC7"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Metric and quantity</w:t>
            </w:r>
          </w:p>
        </w:tc>
        <w:tc>
          <w:tcPr>
            <w:tcW w:w="236" w:type="dxa"/>
            <w:tcBorders>
              <w:top w:val="nil"/>
              <w:left w:val="nil"/>
              <w:bottom w:val="nil"/>
              <w:right w:val="nil"/>
            </w:tcBorders>
            <w:shd w:val="clear" w:color="000000" w:fill="FFFFFF"/>
            <w:noWrap/>
            <w:vAlign w:val="bottom"/>
            <w:hideMark/>
          </w:tcPr>
          <w:p w14:paraId="5AD57BF2"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2457" w:type="dxa"/>
            <w:gridSpan w:val="5"/>
            <w:tcBorders>
              <w:top w:val="single" w:sz="8" w:space="0" w:color="auto"/>
              <w:left w:val="nil"/>
              <w:bottom w:val="single" w:sz="4" w:space="0" w:color="auto"/>
              <w:right w:val="nil"/>
            </w:tcBorders>
            <w:shd w:val="clear" w:color="000000" w:fill="FFFFFF"/>
            <w:noWrap/>
            <w:vAlign w:val="bottom"/>
            <w:hideMark/>
          </w:tcPr>
          <w:p w14:paraId="4B00C6E9"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ITMO details</w:t>
            </w:r>
          </w:p>
        </w:tc>
      </w:tr>
      <w:tr w:rsidR="009C6A63" w:rsidRPr="00A65BDA" w14:paraId="1D2DC5AC" w14:textId="77777777" w:rsidTr="00F53DD6">
        <w:trPr>
          <w:gridAfter w:val="3"/>
          <w:wAfter w:w="2695" w:type="dxa"/>
          <w:trHeight w:val="780"/>
        </w:trPr>
        <w:tc>
          <w:tcPr>
            <w:tcW w:w="998" w:type="dxa"/>
            <w:tcBorders>
              <w:top w:val="nil"/>
              <w:left w:val="nil"/>
              <w:bottom w:val="single" w:sz="8" w:space="0" w:color="auto"/>
              <w:right w:val="nil"/>
            </w:tcBorders>
            <w:shd w:val="clear" w:color="000000" w:fill="FFFFFF"/>
            <w:vAlign w:val="bottom"/>
            <w:hideMark/>
          </w:tcPr>
          <w:p w14:paraId="2C54388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Metric</w:t>
            </w:r>
          </w:p>
        </w:tc>
        <w:tc>
          <w:tcPr>
            <w:tcW w:w="1266" w:type="dxa"/>
            <w:gridSpan w:val="2"/>
            <w:tcBorders>
              <w:top w:val="nil"/>
              <w:left w:val="nil"/>
              <w:bottom w:val="single" w:sz="8" w:space="0" w:color="auto"/>
              <w:right w:val="nil"/>
            </w:tcBorders>
            <w:shd w:val="clear" w:color="000000" w:fill="FFFFFF"/>
            <w:vAlign w:val="bottom"/>
            <w:hideMark/>
          </w:tcPr>
          <w:p w14:paraId="3609C9B8"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Applicable GWP value(s)</w:t>
            </w:r>
            <w:r w:rsidRPr="00B83335">
              <w:rPr>
                <w:rFonts w:eastAsia="Times New Roman"/>
                <w:i/>
                <w:sz w:val="16"/>
                <w:szCs w:val="16"/>
                <w:vertAlign w:val="superscript"/>
              </w:rPr>
              <w:t>l</w:t>
            </w:r>
          </w:p>
        </w:tc>
        <w:tc>
          <w:tcPr>
            <w:tcW w:w="1276" w:type="dxa"/>
            <w:gridSpan w:val="2"/>
            <w:tcBorders>
              <w:top w:val="nil"/>
              <w:left w:val="nil"/>
              <w:bottom w:val="single" w:sz="8" w:space="0" w:color="auto"/>
              <w:right w:val="nil"/>
            </w:tcBorders>
            <w:shd w:val="clear" w:color="000000" w:fill="FFFFFF"/>
            <w:vAlign w:val="bottom"/>
            <w:hideMark/>
          </w:tcPr>
          <w:p w14:paraId="308C6B8A"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Applicable non-GHG metric</w:t>
            </w:r>
            <w:r w:rsidRPr="00B83335">
              <w:rPr>
                <w:rFonts w:eastAsia="Times New Roman"/>
                <w:i/>
                <w:sz w:val="16"/>
                <w:szCs w:val="16"/>
                <w:vertAlign w:val="superscript"/>
              </w:rPr>
              <w:t>m</w:t>
            </w:r>
          </w:p>
        </w:tc>
        <w:tc>
          <w:tcPr>
            <w:tcW w:w="992" w:type="dxa"/>
            <w:tcBorders>
              <w:top w:val="nil"/>
              <w:left w:val="nil"/>
              <w:bottom w:val="single" w:sz="8" w:space="0" w:color="auto"/>
              <w:right w:val="nil"/>
            </w:tcBorders>
            <w:shd w:val="clear" w:color="000000" w:fill="FFFFFF"/>
            <w:vAlign w:val="bottom"/>
            <w:hideMark/>
          </w:tcPr>
          <w:p w14:paraId="160662DB" w14:textId="77777777" w:rsidR="009C6A63" w:rsidRPr="00AB3EAC" w:rsidRDefault="009C6A63" w:rsidP="00D2464E">
            <w:pPr>
              <w:suppressAutoHyphens w:val="0"/>
              <w:spacing w:line="240" w:lineRule="auto"/>
              <w:jc w:val="center"/>
              <w:rPr>
                <w:rFonts w:eastAsia="Times New Roman"/>
                <w:i/>
                <w:sz w:val="16"/>
                <w:szCs w:val="16"/>
                <w:lang w:val="fr-FR"/>
              </w:rPr>
            </w:pPr>
            <w:r w:rsidRPr="00AB3EAC">
              <w:rPr>
                <w:rFonts w:eastAsia="Times New Roman"/>
                <w:i/>
                <w:sz w:val="16"/>
                <w:szCs w:val="16"/>
                <w:lang w:val="fr-FR"/>
              </w:rPr>
              <w:t>Quantity (t CO</w:t>
            </w:r>
            <w:r w:rsidRPr="00AB3EAC">
              <w:rPr>
                <w:rFonts w:eastAsia="Times New Roman"/>
                <w:i/>
                <w:sz w:val="16"/>
                <w:szCs w:val="16"/>
                <w:vertAlign w:val="subscript"/>
                <w:lang w:val="fr-FR"/>
              </w:rPr>
              <w:t>2</w:t>
            </w:r>
            <w:r w:rsidRPr="00AB3EAC">
              <w:rPr>
                <w:rFonts w:eastAsia="Times New Roman"/>
                <w:i/>
                <w:sz w:val="16"/>
                <w:szCs w:val="16"/>
                <w:lang w:val="fr-FR"/>
              </w:rPr>
              <w:t> eq)</w:t>
            </w:r>
            <w:r w:rsidRPr="00AB3EAC">
              <w:rPr>
                <w:rFonts w:eastAsia="Times New Roman"/>
                <w:i/>
                <w:sz w:val="16"/>
                <w:szCs w:val="16"/>
                <w:vertAlign w:val="superscript"/>
                <w:lang w:val="fr-FR"/>
              </w:rPr>
              <w:t>n</w:t>
            </w:r>
          </w:p>
        </w:tc>
        <w:tc>
          <w:tcPr>
            <w:tcW w:w="1420" w:type="dxa"/>
            <w:tcBorders>
              <w:top w:val="nil"/>
              <w:left w:val="nil"/>
              <w:bottom w:val="single" w:sz="8" w:space="0" w:color="auto"/>
              <w:right w:val="nil"/>
            </w:tcBorders>
            <w:shd w:val="clear" w:color="000000" w:fill="FFFFFF"/>
            <w:vAlign w:val="bottom"/>
            <w:hideMark/>
          </w:tcPr>
          <w:p w14:paraId="0E0B173F"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Quantity (in non-GHG metric)</w:t>
            </w:r>
            <w:r w:rsidRPr="00B83335">
              <w:rPr>
                <w:rFonts w:eastAsia="Times New Roman"/>
                <w:i/>
                <w:sz w:val="16"/>
                <w:szCs w:val="16"/>
                <w:vertAlign w:val="superscript"/>
              </w:rPr>
              <w:t>o</w:t>
            </w:r>
          </w:p>
        </w:tc>
        <w:tc>
          <w:tcPr>
            <w:tcW w:w="236" w:type="dxa"/>
            <w:tcBorders>
              <w:top w:val="nil"/>
              <w:left w:val="nil"/>
              <w:bottom w:val="single" w:sz="8" w:space="0" w:color="auto"/>
              <w:right w:val="nil"/>
            </w:tcBorders>
            <w:shd w:val="clear" w:color="000000" w:fill="FFFFFF"/>
            <w:vAlign w:val="bottom"/>
            <w:hideMark/>
          </w:tcPr>
          <w:p w14:paraId="5A877B64"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 </w:t>
            </w:r>
          </w:p>
        </w:tc>
        <w:tc>
          <w:tcPr>
            <w:tcW w:w="1323" w:type="dxa"/>
            <w:gridSpan w:val="3"/>
            <w:tcBorders>
              <w:top w:val="nil"/>
              <w:left w:val="nil"/>
              <w:bottom w:val="single" w:sz="8" w:space="0" w:color="auto"/>
              <w:right w:val="nil"/>
            </w:tcBorders>
            <w:shd w:val="clear" w:color="000000" w:fill="FFFFFF"/>
            <w:vAlign w:val="bottom"/>
            <w:hideMark/>
          </w:tcPr>
          <w:p w14:paraId="1A958B50"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Mitigation type</w:t>
            </w:r>
          </w:p>
        </w:tc>
        <w:tc>
          <w:tcPr>
            <w:tcW w:w="1134" w:type="dxa"/>
            <w:gridSpan w:val="2"/>
            <w:tcBorders>
              <w:top w:val="nil"/>
              <w:left w:val="nil"/>
              <w:bottom w:val="single" w:sz="8" w:space="0" w:color="auto"/>
              <w:right w:val="nil"/>
            </w:tcBorders>
            <w:shd w:val="clear" w:color="000000" w:fill="FFFFFF"/>
            <w:vAlign w:val="bottom"/>
            <w:hideMark/>
          </w:tcPr>
          <w:p w14:paraId="760E49AF" w14:textId="77777777" w:rsidR="009C6A63" w:rsidRPr="00B83335" w:rsidRDefault="009C6A63" w:rsidP="00D2464E">
            <w:pPr>
              <w:suppressAutoHyphens w:val="0"/>
              <w:spacing w:line="240" w:lineRule="auto"/>
              <w:jc w:val="center"/>
              <w:rPr>
                <w:rFonts w:eastAsia="Times New Roman"/>
                <w:i/>
                <w:sz w:val="16"/>
                <w:szCs w:val="16"/>
              </w:rPr>
            </w:pPr>
            <w:r w:rsidRPr="00B83335">
              <w:rPr>
                <w:rFonts w:eastAsia="Times New Roman"/>
                <w:i/>
                <w:sz w:val="16"/>
                <w:szCs w:val="16"/>
              </w:rPr>
              <w:t>Vintage</w:t>
            </w:r>
            <w:r w:rsidRPr="00B83335">
              <w:rPr>
                <w:rFonts w:eastAsia="Times New Roman"/>
                <w:i/>
                <w:sz w:val="16"/>
                <w:szCs w:val="16"/>
                <w:vertAlign w:val="superscript"/>
              </w:rPr>
              <w:t>p</w:t>
            </w:r>
          </w:p>
        </w:tc>
      </w:tr>
      <w:tr w:rsidR="009C6A63" w:rsidRPr="00A65BDA" w14:paraId="7AC85F24" w14:textId="77777777" w:rsidTr="00F53DD6">
        <w:trPr>
          <w:gridAfter w:val="3"/>
          <w:wAfter w:w="2695" w:type="dxa"/>
          <w:trHeight w:val="528"/>
        </w:trPr>
        <w:tc>
          <w:tcPr>
            <w:tcW w:w="998" w:type="dxa"/>
            <w:tcBorders>
              <w:top w:val="nil"/>
              <w:left w:val="nil"/>
              <w:bottom w:val="nil"/>
              <w:right w:val="nil"/>
            </w:tcBorders>
            <w:shd w:val="clear" w:color="000000" w:fill="FFFFFF"/>
            <w:vAlign w:val="center"/>
            <w:hideMark/>
          </w:tcPr>
          <w:p w14:paraId="00051E25" w14:textId="77777777" w:rsidR="009C6A63" w:rsidRPr="00B83335" w:rsidRDefault="009C6A63" w:rsidP="00D2464E">
            <w:pPr>
              <w:suppressAutoHyphens w:val="0"/>
              <w:spacing w:line="240" w:lineRule="auto"/>
              <w:rPr>
                <w:rFonts w:eastAsia="Times New Roman"/>
              </w:rPr>
            </w:pPr>
            <w:r w:rsidRPr="00B83335">
              <w:rPr>
                <w:rFonts w:eastAsia="Times New Roman"/>
              </w:rPr>
              <w:t>GHG</w:t>
            </w:r>
          </w:p>
        </w:tc>
        <w:tc>
          <w:tcPr>
            <w:tcW w:w="1266" w:type="dxa"/>
            <w:gridSpan w:val="2"/>
            <w:tcBorders>
              <w:top w:val="nil"/>
              <w:left w:val="nil"/>
              <w:bottom w:val="nil"/>
              <w:right w:val="nil"/>
            </w:tcBorders>
            <w:shd w:val="clear" w:color="000000" w:fill="FFFFFF"/>
            <w:vAlign w:val="center"/>
            <w:hideMark/>
          </w:tcPr>
          <w:p w14:paraId="5F622FEE"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276" w:type="dxa"/>
            <w:gridSpan w:val="2"/>
            <w:tcBorders>
              <w:top w:val="nil"/>
              <w:left w:val="nil"/>
              <w:bottom w:val="nil"/>
              <w:right w:val="nil"/>
            </w:tcBorders>
            <w:shd w:val="clear" w:color="000000" w:fill="FFFFFF"/>
            <w:vAlign w:val="center"/>
            <w:hideMark/>
          </w:tcPr>
          <w:p w14:paraId="54D5AA0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992" w:type="dxa"/>
            <w:tcBorders>
              <w:top w:val="nil"/>
              <w:left w:val="nil"/>
              <w:bottom w:val="nil"/>
              <w:right w:val="nil"/>
            </w:tcBorders>
            <w:shd w:val="clear" w:color="000000" w:fill="FFFFFF"/>
            <w:vAlign w:val="center"/>
            <w:hideMark/>
          </w:tcPr>
          <w:p w14:paraId="23E8E42D"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420" w:type="dxa"/>
            <w:tcBorders>
              <w:top w:val="nil"/>
              <w:left w:val="nil"/>
              <w:bottom w:val="nil"/>
              <w:right w:val="nil"/>
            </w:tcBorders>
            <w:shd w:val="clear" w:color="000000" w:fill="FFFFFF"/>
            <w:vAlign w:val="center"/>
            <w:hideMark/>
          </w:tcPr>
          <w:p w14:paraId="38866212"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236" w:type="dxa"/>
            <w:tcBorders>
              <w:top w:val="nil"/>
              <w:left w:val="nil"/>
              <w:bottom w:val="nil"/>
              <w:right w:val="nil"/>
            </w:tcBorders>
            <w:shd w:val="clear" w:color="000000" w:fill="FFFFFF"/>
            <w:vAlign w:val="center"/>
            <w:hideMark/>
          </w:tcPr>
          <w:p w14:paraId="166D3092"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23" w:type="dxa"/>
            <w:gridSpan w:val="3"/>
            <w:tcBorders>
              <w:top w:val="nil"/>
              <w:left w:val="nil"/>
              <w:bottom w:val="nil"/>
              <w:right w:val="nil"/>
            </w:tcBorders>
            <w:shd w:val="clear" w:color="000000" w:fill="FFFFFF"/>
            <w:vAlign w:val="center"/>
            <w:hideMark/>
          </w:tcPr>
          <w:p w14:paraId="75ED1752"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Emission reductions</w:t>
            </w:r>
          </w:p>
        </w:tc>
        <w:tc>
          <w:tcPr>
            <w:tcW w:w="1134" w:type="dxa"/>
            <w:gridSpan w:val="2"/>
            <w:tcBorders>
              <w:top w:val="nil"/>
              <w:left w:val="nil"/>
              <w:bottom w:val="nil"/>
              <w:right w:val="nil"/>
            </w:tcBorders>
            <w:shd w:val="clear" w:color="000000" w:fill="FFFFFF"/>
            <w:vAlign w:val="center"/>
            <w:hideMark/>
          </w:tcPr>
          <w:p w14:paraId="23A48D2B"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r>
      <w:tr w:rsidR="009C6A63" w:rsidRPr="00A65BDA" w14:paraId="6E8F8FC7" w14:textId="77777777" w:rsidTr="00F53DD6">
        <w:trPr>
          <w:gridAfter w:val="3"/>
          <w:wAfter w:w="2695" w:type="dxa"/>
          <w:trHeight w:val="300"/>
        </w:trPr>
        <w:tc>
          <w:tcPr>
            <w:tcW w:w="998" w:type="dxa"/>
            <w:tcBorders>
              <w:top w:val="nil"/>
              <w:left w:val="nil"/>
              <w:bottom w:val="single" w:sz="8" w:space="0" w:color="auto"/>
              <w:right w:val="nil"/>
            </w:tcBorders>
            <w:shd w:val="clear" w:color="000000" w:fill="FFFFFF"/>
            <w:vAlign w:val="center"/>
            <w:hideMark/>
          </w:tcPr>
          <w:p w14:paraId="73F6F4F1" w14:textId="581A4E47" w:rsidR="009C6A63" w:rsidRPr="00B83335" w:rsidRDefault="00981836" w:rsidP="00D2464E">
            <w:pPr>
              <w:suppressAutoHyphens w:val="0"/>
              <w:spacing w:line="240" w:lineRule="auto"/>
              <w:rPr>
                <w:rFonts w:eastAsia="Times New Roman"/>
              </w:rPr>
            </w:pPr>
            <w:r w:rsidRPr="00B83335">
              <w:rPr>
                <w:rFonts w:eastAsia="Times New Roman"/>
              </w:rPr>
              <w:t>N</w:t>
            </w:r>
            <w:r w:rsidR="009C6A63" w:rsidRPr="00B83335">
              <w:rPr>
                <w:rFonts w:eastAsia="Times New Roman"/>
              </w:rPr>
              <w:t>on</w:t>
            </w:r>
            <w:r>
              <w:rPr>
                <w:rFonts w:eastAsia="Times New Roman"/>
              </w:rPr>
              <w:t>-</w:t>
            </w:r>
            <w:r w:rsidR="009C6A63" w:rsidRPr="00B83335">
              <w:rPr>
                <w:rFonts w:eastAsia="Times New Roman"/>
              </w:rPr>
              <w:t>GHG</w:t>
            </w:r>
          </w:p>
        </w:tc>
        <w:tc>
          <w:tcPr>
            <w:tcW w:w="1266" w:type="dxa"/>
            <w:gridSpan w:val="2"/>
            <w:tcBorders>
              <w:top w:val="nil"/>
              <w:left w:val="nil"/>
              <w:bottom w:val="single" w:sz="8" w:space="0" w:color="auto"/>
              <w:right w:val="nil"/>
            </w:tcBorders>
            <w:shd w:val="clear" w:color="000000" w:fill="FFFFFF"/>
            <w:vAlign w:val="center"/>
            <w:hideMark/>
          </w:tcPr>
          <w:p w14:paraId="641FADF8"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276" w:type="dxa"/>
            <w:gridSpan w:val="2"/>
            <w:tcBorders>
              <w:top w:val="nil"/>
              <w:left w:val="nil"/>
              <w:bottom w:val="single" w:sz="8" w:space="0" w:color="auto"/>
              <w:right w:val="nil"/>
            </w:tcBorders>
            <w:shd w:val="clear" w:color="000000" w:fill="FFFFFF"/>
            <w:vAlign w:val="center"/>
            <w:hideMark/>
          </w:tcPr>
          <w:p w14:paraId="2E61FD01"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992" w:type="dxa"/>
            <w:tcBorders>
              <w:top w:val="nil"/>
              <w:left w:val="nil"/>
              <w:bottom w:val="single" w:sz="8" w:space="0" w:color="auto"/>
              <w:right w:val="nil"/>
            </w:tcBorders>
            <w:shd w:val="clear" w:color="000000" w:fill="FFFFFF"/>
            <w:vAlign w:val="center"/>
            <w:hideMark/>
          </w:tcPr>
          <w:p w14:paraId="0033D726"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420" w:type="dxa"/>
            <w:tcBorders>
              <w:top w:val="nil"/>
              <w:left w:val="nil"/>
              <w:bottom w:val="single" w:sz="8" w:space="0" w:color="auto"/>
              <w:right w:val="nil"/>
            </w:tcBorders>
            <w:shd w:val="clear" w:color="000000" w:fill="FFFFFF"/>
            <w:vAlign w:val="center"/>
            <w:hideMark/>
          </w:tcPr>
          <w:p w14:paraId="5FD180BA"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236" w:type="dxa"/>
            <w:tcBorders>
              <w:top w:val="nil"/>
              <w:left w:val="nil"/>
              <w:bottom w:val="single" w:sz="8" w:space="0" w:color="auto"/>
              <w:right w:val="nil"/>
            </w:tcBorders>
            <w:shd w:val="clear" w:color="000000" w:fill="FFFFFF"/>
            <w:vAlign w:val="center"/>
            <w:hideMark/>
          </w:tcPr>
          <w:p w14:paraId="03445B0F"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c>
          <w:tcPr>
            <w:tcW w:w="1323" w:type="dxa"/>
            <w:gridSpan w:val="3"/>
            <w:tcBorders>
              <w:top w:val="nil"/>
              <w:left w:val="nil"/>
              <w:bottom w:val="single" w:sz="8" w:space="0" w:color="auto"/>
              <w:right w:val="nil"/>
            </w:tcBorders>
            <w:shd w:val="clear" w:color="000000" w:fill="FFFFFF"/>
            <w:vAlign w:val="center"/>
            <w:hideMark/>
          </w:tcPr>
          <w:p w14:paraId="7065F722" w14:textId="77777777" w:rsidR="009C6A63" w:rsidRPr="00B83335" w:rsidRDefault="009C6A63" w:rsidP="00D2464E">
            <w:pPr>
              <w:suppressAutoHyphens w:val="0"/>
              <w:spacing w:line="240" w:lineRule="auto"/>
              <w:jc w:val="center"/>
              <w:rPr>
                <w:rFonts w:eastAsia="Times New Roman"/>
              </w:rPr>
            </w:pPr>
            <w:r w:rsidRPr="00B83335">
              <w:rPr>
                <w:rFonts w:eastAsia="Times New Roman"/>
              </w:rPr>
              <w:t>Removals</w:t>
            </w:r>
          </w:p>
        </w:tc>
        <w:tc>
          <w:tcPr>
            <w:tcW w:w="1134" w:type="dxa"/>
            <w:gridSpan w:val="2"/>
            <w:tcBorders>
              <w:top w:val="nil"/>
              <w:left w:val="nil"/>
              <w:bottom w:val="single" w:sz="8" w:space="0" w:color="auto"/>
              <w:right w:val="nil"/>
            </w:tcBorders>
            <w:shd w:val="clear" w:color="000000" w:fill="FFFFFF"/>
            <w:vAlign w:val="center"/>
            <w:hideMark/>
          </w:tcPr>
          <w:p w14:paraId="12C6C566" w14:textId="77777777" w:rsidR="009C6A63" w:rsidRPr="00B83335" w:rsidRDefault="009C6A63" w:rsidP="00D2464E">
            <w:pPr>
              <w:suppressAutoHyphens w:val="0"/>
              <w:spacing w:line="240" w:lineRule="auto"/>
              <w:rPr>
                <w:rFonts w:eastAsia="Times New Roman"/>
              </w:rPr>
            </w:pPr>
            <w:r w:rsidRPr="00B83335">
              <w:rPr>
                <w:rFonts w:eastAsia="Times New Roman"/>
              </w:rPr>
              <w:t> </w:t>
            </w:r>
          </w:p>
        </w:tc>
      </w:tr>
    </w:tbl>
    <w:p w14:paraId="778D20DF" w14:textId="5EF2EFE4" w:rsidR="002A3A3B" w:rsidRDefault="002A3A3B" w:rsidP="0036095B">
      <w:pPr>
        <w:pStyle w:val="AnnoH1G"/>
        <w:keepLines w:val="0"/>
        <w:numPr>
          <w:ilvl w:val="0"/>
          <w:numId w:val="0"/>
        </w:numPr>
        <w:spacing w:before="0" w:after="0" w:line="60" w:lineRule="exact"/>
        <w:ind w:left="283"/>
        <w:jc w:val="both"/>
      </w:pPr>
    </w:p>
    <w:p w14:paraId="148BA834" w14:textId="165DB417" w:rsidR="009C6A63" w:rsidRPr="00694C48" w:rsidRDefault="009C6A63" w:rsidP="00694C48">
      <w:pPr>
        <w:suppressAutoHyphens w:val="0"/>
        <w:spacing w:line="240" w:lineRule="auto"/>
        <w:rPr>
          <w:b/>
          <w:sz w:val="24"/>
        </w:rPr>
        <w:sectPr w:rsidR="009C6A63" w:rsidRPr="00694C48" w:rsidSect="00ED69C2">
          <w:headerReference w:type="even" r:id="rId145"/>
          <w:headerReference w:type="default" r:id="rId146"/>
          <w:footerReference w:type="even" r:id="rId147"/>
          <w:footerReference w:type="default" r:id="rId148"/>
          <w:endnotePr>
            <w:numFmt w:val="lowerLetter"/>
            <w:numRestart w:val="eachSect"/>
          </w:endnotePr>
          <w:pgSz w:w="16838" w:h="11906" w:orient="landscape" w:code="9"/>
          <w:pgMar w:top="1134" w:right="1417" w:bottom="1134" w:left="1134" w:header="567" w:footer="567" w:gutter="0"/>
          <w:cols w:space="708"/>
          <w:docGrid w:linePitch="360"/>
        </w:sectPr>
      </w:pPr>
    </w:p>
    <w:tbl>
      <w:tblPr>
        <w:tblW w:w="11015" w:type="dxa"/>
        <w:tblLook w:val="04A0" w:firstRow="1" w:lastRow="0" w:firstColumn="1" w:lastColumn="0" w:noHBand="0" w:noVBand="1"/>
      </w:tblPr>
      <w:tblGrid>
        <w:gridCol w:w="1520"/>
        <w:gridCol w:w="1000"/>
        <w:gridCol w:w="1280"/>
        <w:gridCol w:w="1320"/>
        <w:gridCol w:w="1320"/>
        <w:gridCol w:w="1055"/>
        <w:gridCol w:w="1774"/>
        <w:gridCol w:w="1746"/>
      </w:tblGrid>
      <w:tr w:rsidR="00BC1C67" w:rsidRPr="00A85B5A" w14:paraId="7AABEB62" w14:textId="77777777" w:rsidTr="00D2464E">
        <w:trPr>
          <w:trHeight w:val="405"/>
        </w:trPr>
        <w:tc>
          <w:tcPr>
            <w:tcW w:w="3800" w:type="dxa"/>
            <w:gridSpan w:val="3"/>
            <w:tcBorders>
              <w:top w:val="nil"/>
              <w:left w:val="nil"/>
              <w:bottom w:val="nil"/>
              <w:right w:val="nil"/>
            </w:tcBorders>
            <w:shd w:val="clear" w:color="000000" w:fill="FFFFFF"/>
            <w:noWrap/>
            <w:vAlign w:val="bottom"/>
            <w:hideMark/>
          </w:tcPr>
          <w:p w14:paraId="0032712D" w14:textId="7CA981DD" w:rsidR="00BC1C67" w:rsidRPr="00B83335" w:rsidRDefault="00BC1C67" w:rsidP="00EB42D4">
            <w:pPr>
              <w:suppressAutoHyphens w:val="0"/>
              <w:spacing w:before="180"/>
              <w:rPr>
                <w:rFonts w:eastAsia="Times New Roman"/>
                <w:b/>
              </w:rPr>
            </w:pPr>
            <w:r w:rsidRPr="00B83335">
              <w:rPr>
                <w:rFonts w:eastAsia="Times New Roman"/>
                <w:b/>
              </w:rPr>
              <w:lastRenderedPageBreak/>
              <w:t>Table 5: Authorized entities</w:t>
            </w:r>
          </w:p>
        </w:tc>
        <w:tc>
          <w:tcPr>
            <w:tcW w:w="1320" w:type="dxa"/>
            <w:tcBorders>
              <w:top w:val="nil"/>
              <w:left w:val="nil"/>
              <w:bottom w:val="nil"/>
              <w:right w:val="nil"/>
            </w:tcBorders>
            <w:shd w:val="clear" w:color="000000" w:fill="FFFFFF"/>
            <w:noWrap/>
            <w:vAlign w:val="bottom"/>
            <w:hideMark/>
          </w:tcPr>
          <w:p w14:paraId="2A2C6C51"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20" w:type="dxa"/>
            <w:tcBorders>
              <w:top w:val="nil"/>
              <w:left w:val="nil"/>
              <w:bottom w:val="nil"/>
              <w:right w:val="nil"/>
            </w:tcBorders>
            <w:shd w:val="clear" w:color="000000" w:fill="FFFFFF"/>
            <w:noWrap/>
            <w:vAlign w:val="bottom"/>
            <w:hideMark/>
          </w:tcPr>
          <w:p w14:paraId="05443646"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055" w:type="dxa"/>
            <w:tcBorders>
              <w:top w:val="nil"/>
              <w:left w:val="nil"/>
              <w:bottom w:val="nil"/>
              <w:right w:val="nil"/>
            </w:tcBorders>
            <w:shd w:val="clear" w:color="000000" w:fill="FFFFFF"/>
            <w:noWrap/>
            <w:vAlign w:val="bottom"/>
            <w:hideMark/>
          </w:tcPr>
          <w:p w14:paraId="24E2CAF0"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74" w:type="dxa"/>
            <w:tcBorders>
              <w:top w:val="nil"/>
              <w:left w:val="nil"/>
              <w:bottom w:val="nil"/>
              <w:right w:val="nil"/>
            </w:tcBorders>
            <w:shd w:val="clear" w:color="000000" w:fill="FFFFFF"/>
            <w:noWrap/>
            <w:vAlign w:val="bottom"/>
            <w:hideMark/>
          </w:tcPr>
          <w:p w14:paraId="2B9012CF"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46" w:type="dxa"/>
            <w:tcBorders>
              <w:top w:val="nil"/>
              <w:left w:val="nil"/>
              <w:bottom w:val="nil"/>
              <w:right w:val="nil"/>
            </w:tcBorders>
            <w:shd w:val="clear" w:color="000000" w:fill="FFFFFF"/>
            <w:noWrap/>
            <w:vAlign w:val="bottom"/>
            <w:hideMark/>
          </w:tcPr>
          <w:p w14:paraId="512E5CD3"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r>
      <w:tr w:rsidR="00BC1C67" w:rsidRPr="00A85B5A" w14:paraId="5B41E25F" w14:textId="77777777" w:rsidTr="00D2464E">
        <w:trPr>
          <w:trHeight w:val="300"/>
        </w:trPr>
        <w:tc>
          <w:tcPr>
            <w:tcW w:w="1520" w:type="dxa"/>
            <w:vMerge w:val="restart"/>
            <w:tcBorders>
              <w:top w:val="single" w:sz="4" w:space="0" w:color="auto"/>
              <w:left w:val="nil"/>
              <w:bottom w:val="single" w:sz="8" w:space="0" w:color="000000"/>
              <w:right w:val="nil"/>
            </w:tcBorders>
            <w:shd w:val="clear" w:color="000000" w:fill="FFFFFF"/>
            <w:vAlign w:val="bottom"/>
            <w:hideMark/>
          </w:tcPr>
          <w:p w14:paraId="3071FB8C"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Date of the authorization</w:t>
            </w:r>
            <w:r w:rsidRPr="00B83335">
              <w:rPr>
                <w:rFonts w:eastAsia="Times New Roman"/>
                <w:i/>
                <w:sz w:val="16"/>
                <w:szCs w:val="16"/>
                <w:vertAlign w:val="superscript"/>
              </w:rPr>
              <w:t>a</w:t>
            </w:r>
          </w:p>
        </w:tc>
        <w:tc>
          <w:tcPr>
            <w:tcW w:w="3600" w:type="dxa"/>
            <w:gridSpan w:val="3"/>
            <w:tcBorders>
              <w:top w:val="single" w:sz="4" w:space="0" w:color="auto"/>
              <w:left w:val="nil"/>
              <w:bottom w:val="single" w:sz="4" w:space="0" w:color="auto"/>
              <w:right w:val="nil"/>
            </w:tcBorders>
            <w:shd w:val="clear" w:color="000000" w:fill="FFFFFF"/>
            <w:vAlign w:val="bottom"/>
            <w:hideMark/>
          </w:tcPr>
          <w:p w14:paraId="1FCC07E6"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Authorized entity</w:t>
            </w:r>
          </w:p>
        </w:tc>
        <w:tc>
          <w:tcPr>
            <w:tcW w:w="1320" w:type="dxa"/>
            <w:tcBorders>
              <w:top w:val="single" w:sz="4" w:space="0" w:color="auto"/>
              <w:left w:val="nil"/>
              <w:bottom w:val="nil"/>
              <w:right w:val="nil"/>
            </w:tcBorders>
            <w:shd w:val="clear" w:color="000000" w:fill="FFFFFF"/>
            <w:vAlign w:val="bottom"/>
            <w:hideMark/>
          </w:tcPr>
          <w:p w14:paraId="7157B474" w14:textId="77777777" w:rsidR="00BC1C67" w:rsidRPr="00B83335" w:rsidRDefault="00BC1C67" w:rsidP="00D2464E">
            <w:pPr>
              <w:suppressAutoHyphens w:val="0"/>
              <w:spacing w:line="240" w:lineRule="auto"/>
              <w:rPr>
                <w:rFonts w:eastAsia="Times New Roman"/>
                <w:i/>
                <w:sz w:val="16"/>
                <w:szCs w:val="16"/>
              </w:rPr>
            </w:pPr>
            <w:r w:rsidRPr="00B83335">
              <w:rPr>
                <w:rFonts w:eastAsia="Times New Roman"/>
                <w:i/>
                <w:sz w:val="16"/>
                <w:szCs w:val="16"/>
              </w:rPr>
              <w:t> </w:t>
            </w:r>
          </w:p>
        </w:tc>
        <w:tc>
          <w:tcPr>
            <w:tcW w:w="1055" w:type="dxa"/>
            <w:vMerge w:val="restart"/>
            <w:tcBorders>
              <w:top w:val="single" w:sz="4" w:space="0" w:color="auto"/>
              <w:left w:val="nil"/>
              <w:bottom w:val="single" w:sz="8" w:space="0" w:color="000000"/>
              <w:right w:val="nil"/>
            </w:tcBorders>
            <w:shd w:val="clear" w:color="000000" w:fill="FFFFFF"/>
            <w:vAlign w:val="bottom"/>
            <w:hideMark/>
          </w:tcPr>
          <w:p w14:paraId="4CB2C54B"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Conditions</w:t>
            </w:r>
            <w:r w:rsidRPr="00B83335">
              <w:rPr>
                <w:rFonts w:eastAsia="Times New Roman"/>
                <w:i/>
                <w:sz w:val="16"/>
                <w:szCs w:val="16"/>
                <w:vertAlign w:val="superscript"/>
              </w:rPr>
              <w:t>d</w:t>
            </w:r>
            <w:r w:rsidRPr="00B83335">
              <w:rPr>
                <w:rStyle w:val="EndnoteReference"/>
                <w:rFonts w:eastAsia="Times New Roman"/>
                <w:color w:val="FFFFFF" w:themeColor="background1"/>
                <w:szCs w:val="16"/>
              </w:rPr>
              <w:endnoteReference w:id="10"/>
            </w:r>
          </w:p>
        </w:tc>
        <w:tc>
          <w:tcPr>
            <w:tcW w:w="1774" w:type="dxa"/>
            <w:tcBorders>
              <w:top w:val="single" w:sz="4" w:space="0" w:color="auto"/>
              <w:left w:val="nil"/>
              <w:bottom w:val="nil"/>
              <w:right w:val="nil"/>
            </w:tcBorders>
            <w:shd w:val="clear" w:color="000000" w:fill="FFFFFF"/>
            <w:vAlign w:val="bottom"/>
            <w:hideMark/>
          </w:tcPr>
          <w:p w14:paraId="0147B188"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 </w:t>
            </w:r>
          </w:p>
        </w:tc>
        <w:tc>
          <w:tcPr>
            <w:tcW w:w="1746" w:type="dxa"/>
            <w:tcBorders>
              <w:top w:val="single" w:sz="4" w:space="0" w:color="auto"/>
              <w:left w:val="nil"/>
              <w:bottom w:val="nil"/>
              <w:right w:val="nil"/>
            </w:tcBorders>
            <w:shd w:val="clear" w:color="000000" w:fill="FFFFFF"/>
            <w:vAlign w:val="bottom"/>
            <w:hideMark/>
          </w:tcPr>
          <w:p w14:paraId="3672555F"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 </w:t>
            </w:r>
          </w:p>
        </w:tc>
      </w:tr>
      <w:tr w:rsidR="00BC1C67" w:rsidRPr="00A85B5A" w14:paraId="70F98DC6" w14:textId="77777777" w:rsidTr="00D2464E">
        <w:trPr>
          <w:trHeight w:val="600"/>
        </w:trPr>
        <w:tc>
          <w:tcPr>
            <w:tcW w:w="1520" w:type="dxa"/>
            <w:vMerge/>
            <w:tcBorders>
              <w:top w:val="single" w:sz="4" w:space="0" w:color="auto"/>
              <w:left w:val="nil"/>
              <w:bottom w:val="single" w:sz="8" w:space="0" w:color="000000"/>
              <w:right w:val="nil"/>
            </w:tcBorders>
            <w:vAlign w:val="center"/>
            <w:hideMark/>
          </w:tcPr>
          <w:p w14:paraId="0996390C" w14:textId="77777777" w:rsidR="00BC1C67" w:rsidRPr="00B83335" w:rsidRDefault="00BC1C67" w:rsidP="00D2464E">
            <w:pPr>
              <w:suppressAutoHyphens w:val="0"/>
              <w:spacing w:line="240" w:lineRule="auto"/>
              <w:rPr>
                <w:rFonts w:eastAsia="Times New Roman"/>
                <w:i/>
                <w:sz w:val="16"/>
                <w:szCs w:val="16"/>
              </w:rPr>
            </w:pPr>
          </w:p>
        </w:tc>
        <w:tc>
          <w:tcPr>
            <w:tcW w:w="1000" w:type="dxa"/>
            <w:tcBorders>
              <w:top w:val="nil"/>
              <w:left w:val="nil"/>
              <w:bottom w:val="single" w:sz="8" w:space="0" w:color="auto"/>
              <w:right w:val="nil"/>
            </w:tcBorders>
            <w:shd w:val="clear" w:color="000000" w:fill="FFFFFF"/>
            <w:vAlign w:val="bottom"/>
            <w:hideMark/>
          </w:tcPr>
          <w:p w14:paraId="63172F5D"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Name</w:t>
            </w:r>
          </w:p>
        </w:tc>
        <w:tc>
          <w:tcPr>
            <w:tcW w:w="1280" w:type="dxa"/>
            <w:tcBorders>
              <w:top w:val="nil"/>
              <w:left w:val="nil"/>
              <w:bottom w:val="single" w:sz="8" w:space="0" w:color="auto"/>
              <w:right w:val="nil"/>
            </w:tcBorders>
            <w:shd w:val="clear" w:color="000000" w:fill="FFFFFF"/>
            <w:vAlign w:val="bottom"/>
            <w:hideMark/>
          </w:tcPr>
          <w:p w14:paraId="0B80F0DC"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Country of incorporation</w:t>
            </w:r>
          </w:p>
        </w:tc>
        <w:tc>
          <w:tcPr>
            <w:tcW w:w="1320" w:type="dxa"/>
            <w:tcBorders>
              <w:top w:val="nil"/>
              <w:left w:val="nil"/>
              <w:bottom w:val="single" w:sz="8" w:space="0" w:color="auto"/>
              <w:right w:val="nil"/>
            </w:tcBorders>
            <w:shd w:val="clear" w:color="000000" w:fill="FFFFFF"/>
            <w:vAlign w:val="bottom"/>
            <w:hideMark/>
          </w:tcPr>
          <w:p w14:paraId="6CA4D4E0"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Identification number</w:t>
            </w:r>
            <w:r w:rsidRPr="00B83335">
              <w:rPr>
                <w:rFonts w:eastAsia="Times New Roman"/>
                <w:i/>
                <w:sz w:val="16"/>
                <w:szCs w:val="16"/>
                <w:vertAlign w:val="superscript"/>
              </w:rPr>
              <w:t>b</w:t>
            </w:r>
          </w:p>
        </w:tc>
        <w:tc>
          <w:tcPr>
            <w:tcW w:w="1320" w:type="dxa"/>
            <w:tcBorders>
              <w:top w:val="nil"/>
              <w:left w:val="nil"/>
              <w:bottom w:val="single" w:sz="8" w:space="0" w:color="auto"/>
              <w:right w:val="nil"/>
            </w:tcBorders>
            <w:shd w:val="clear" w:color="000000" w:fill="FFFFFF"/>
            <w:vAlign w:val="bottom"/>
            <w:hideMark/>
          </w:tcPr>
          <w:p w14:paraId="0A8794FB"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Cooperative approach ID</w:t>
            </w:r>
            <w:r w:rsidRPr="00B83335">
              <w:rPr>
                <w:rFonts w:eastAsia="Times New Roman"/>
                <w:i/>
                <w:sz w:val="16"/>
                <w:szCs w:val="16"/>
                <w:vertAlign w:val="superscript"/>
              </w:rPr>
              <w:t>c</w:t>
            </w:r>
          </w:p>
        </w:tc>
        <w:tc>
          <w:tcPr>
            <w:tcW w:w="1055" w:type="dxa"/>
            <w:vMerge/>
            <w:tcBorders>
              <w:top w:val="single" w:sz="4" w:space="0" w:color="auto"/>
              <w:left w:val="nil"/>
              <w:bottom w:val="single" w:sz="8" w:space="0" w:color="000000"/>
              <w:right w:val="nil"/>
            </w:tcBorders>
            <w:vAlign w:val="center"/>
            <w:hideMark/>
          </w:tcPr>
          <w:p w14:paraId="0E6B218D" w14:textId="77777777" w:rsidR="00BC1C67" w:rsidRPr="00B83335" w:rsidRDefault="00BC1C67" w:rsidP="00D2464E">
            <w:pPr>
              <w:suppressAutoHyphens w:val="0"/>
              <w:spacing w:line="240" w:lineRule="auto"/>
              <w:rPr>
                <w:rFonts w:eastAsia="Times New Roman"/>
                <w:i/>
                <w:sz w:val="16"/>
                <w:szCs w:val="16"/>
              </w:rPr>
            </w:pPr>
          </w:p>
        </w:tc>
        <w:tc>
          <w:tcPr>
            <w:tcW w:w="1774" w:type="dxa"/>
            <w:tcBorders>
              <w:top w:val="nil"/>
              <w:left w:val="nil"/>
              <w:bottom w:val="single" w:sz="8" w:space="0" w:color="auto"/>
              <w:right w:val="nil"/>
            </w:tcBorders>
            <w:shd w:val="clear" w:color="000000" w:fill="FFFFFF"/>
            <w:vAlign w:val="bottom"/>
            <w:hideMark/>
          </w:tcPr>
          <w:p w14:paraId="3EF2D2D3"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Change and revocation conditions</w:t>
            </w:r>
            <w:r w:rsidRPr="00B83335">
              <w:rPr>
                <w:rFonts w:eastAsia="Times New Roman"/>
                <w:i/>
                <w:sz w:val="16"/>
                <w:szCs w:val="16"/>
                <w:vertAlign w:val="superscript"/>
              </w:rPr>
              <w:t>e</w:t>
            </w:r>
          </w:p>
        </w:tc>
        <w:tc>
          <w:tcPr>
            <w:tcW w:w="1746" w:type="dxa"/>
            <w:tcBorders>
              <w:top w:val="nil"/>
              <w:left w:val="nil"/>
              <w:bottom w:val="single" w:sz="8" w:space="0" w:color="auto"/>
              <w:right w:val="nil"/>
            </w:tcBorders>
            <w:shd w:val="clear" w:color="000000" w:fill="FFFFFF"/>
            <w:vAlign w:val="bottom"/>
            <w:hideMark/>
          </w:tcPr>
          <w:p w14:paraId="048EAFC3" w14:textId="77777777" w:rsidR="00BC1C67" w:rsidRPr="00B83335" w:rsidRDefault="00BC1C67" w:rsidP="00D2464E">
            <w:pPr>
              <w:suppressAutoHyphens w:val="0"/>
              <w:spacing w:line="240" w:lineRule="auto"/>
              <w:jc w:val="center"/>
              <w:rPr>
                <w:rFonts w:eastAsia="Times New Roman"/>
                <w:i/>
                <w:sz w:val="16"/>
                <w:szCs w:val="16"/>
              </w:rPr>
            </w:pPr>
            <w:r w:rsidRPr="00B83335">
              <w:rPr>
                <w:rFonts w:eastAsia="Times New Roman"/>
                <w:i/>
                <w:sz w:val="16"/>
                <w:szCs w:val="16"/>
              </w:rPr>
              <w:t>Additional explanatory information</w:t>
            </w:r>
            <w:r w:rsidRPr="00B83335">
              <w:rPr>
                <w:rFonts w:eastAsia="Times New Roman"/>
                <w:i/>
                <w:sz w:val="16"/>
                <w:szCs w:val="16"/>
                <w:vertAlign w:val="superscript"/>
              </w:rPr>
              <w:t>f</w:t>
            </w:r>
          </w:p>
        </w:tc>
      </w:tr>
      <w:tr w:rsidR="00BC1C67" w:rsidRPr="00A85B5A" w14:paraId="5E55F1B7" w14:textId="77777777" w:rsidTr="00D2464E">
        <w:trPr>
          <w:trHeight w:val="288"/>
        </w:trPr>
        <w:tc>
          <w:tcPr>
            <w:tcW w:w="1520" w:type="dxa"/>
            <w:tcBorders>
              <w:top w:val="nil"/>
              <w:left w:val="nil"/>
              <w:bottom w:val="nil"/>
              <w:right w:val="nil"/>
            </w:tcBorders>
            <w:shd w:val="clear" w:color="000000" w:fill="FFFFFF"/>
            <w:vAlign w:val="bottom"/>
            <w:hideMark/>
          </w:tcPr>
          <w:p w14:paraId="30C0DF24"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000" w:type="dxa"/>
            <w:tcBorders>
              <w:top w:val="nil"/>
              <w:left w:val="nil"/>
              <w:bottom w:val="nil"/>
              <w:right w:val="nil"/>
            </w:tcBorders>
            <w:shd w:val="clear" w:color="000000" w:fill="FFFFFF"/>
            <w:vAlign w:val="bottom"/>
            <w:hideMark/>
          </w:tcPr>
          <w:p w14:paraId="723D2571"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280" w:type="dxa"/>
            <w:tcBorders>
              <w:top w:val="nil"/>
              <w:left w:val="nil"/>
              <w:bottom w:val="nil"/>
              <w:right w:val="nil"/>
            </w:tcBorders>
            <w:shd w:val="clear" w:color="000000" w:fill="FFFFFF"/>
            <w:vAlign w:val="bottom"/>
            <w:hideMark/>
          </w:tcPr>
          <w:p w14:paraId="2ED25730"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20" w:type="dxa"/>
            <w:tcBorders>
              <w:top w:val="nil"/>
              <w:left w:val="nil"/>
              <w:bottom w:val="nil"/>
              <w:right w:val="nil"/>
            </w:tcBorders>
            <w:shd w:val="clear" w:color="000000" w:fill="FFFFFF"/>
            <w:vAlign w:val="bottom"/>
            <w:hideMark/>
          </w:tcPr>
          <w:p w14:paraId="56679F15"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20" w:type="dxa"/>
            <w:tcBorders>
              <w:top w:val="nil"/>
              <w:left w:val="nil"/>
              <w:bottom w:val="nil"/>
              <w:right w:val="nil"/>
            </w:tcBorders>
            <w:shd w:val="clear" w:color="000000" w:fill="FFFFFF"/>
            <w:vAlign w:val="bottom"/>
            <w:hideMark/>
          </w:tcPr>
          <w:p w14:paraId="604ECFE1"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055" w:type="dxa"/>
            <w:tcBorders>
              <w:top w:val="nil"/>
              <w:left w:val="nil"/>
              <w:bottom w:val="nil"/>
              <w:right w:val="nil"/>
            </w:tcBorders>
            <w:shd w:val="clear" w:color="000000" w:fill="FFFFFF"/>
            <w:vAlign w:val="bottom"/>
            <w:hideMark/>
          </w:tcPr>
          <w:p w14:paraId="4A89D01E"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74" w:type="dxa"/>
            <w:tcBorders>
              <w:top w:val="nil"/>
              <w:left w:val="nil"/>
              <w:bottom w:val="nil"/>
              <w:right w:val="nil"/>
            </w:tcBorders>
            <w:shd w:val="clear" w:color="000000" w:fill="FFFFFF"/>
            <w:vAlign w:val="bottom"/>
            <w:hideMark/>
          </w:tcPr>
          <w:p w14:paraId="2401DF86"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46" w:type="dxa"/>
            <w:tcBorders>
              <w:top w:val="nil"/>
              <w:left w:val="nil"/>
              <w:bottom w:val="nil"/>
              <w:right w:val="nil"/>
            </w:tcBorders>
            <w:shd w:val="clear" w:color="000000" w:fill="FFFFFF"/>
            <w:vAlign w:val="bottom"/>
            <w:hideMark/>
          </w:tcPr>
          <w:p w14:paraId="76E8DC3C"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r>
      <w:tr w:rsidR="00BC1C67" w:rsidRPr="00A85B5A" w14:paraId="6D2AA73C" w14:textId="77777777" w:rsidTr="00D2464E">
        <w:trPr>
          <w:trHeight w:val="300"/>
        </w:trPr>
        <w:tc>
          <w:tcPr>
            <w:tcW w:w="1520" w:type="dxa"/>
            <w:tcBorders>
              <w:top w:val="nil"/>
              <w:left w:val="nil"/>
              <w:bottom w:val="single" w:sz="8" w:space="0" w:color="auto"/>
              <w:right w:val="nil"/>
            </w:tcBorders>
            <w:shd w:val="clear" w:color="000000" w:fill="FFFFFF"/>
            <w:vAlign w:val="center"/>
            <w:hideMark/>
          </w:tcPr>
          <w:p w14:paraId="2226E681" w14:textId="77777777" w:rsidR="00BC1C67" w:rsidRPr="00B83335" w:rsidRDefault="00BC1C67" w:rsidP="00D2464E">
            <w:pPr>
              <w:suppressAutoHyphens w:val="0"/>
              <w:spacing w:line="240" w:lineRule="auto"/>
              <w:rPr>
                <w:rFonts w:eastAsia="Times New Roman"/>
              </w:rPr>
            </w:pPr>
            <w:r w:rsidRPr="00B83335">
              <w:rPr>
                <w:rFonts w:eastAsia="Times New Roman"/>
              </w:rPr>
              <w:t> </w:t>
            </w:r>
          </w:p>
        </w:tc>
        <w:tc>
          <w:tcPr>
            <w:tcW w:w="1000" w:type="dxa"/>
            <w:tcBorders>
              <w:top w:val="nil"/>
              <w:left w:val="nil"/>
              <w:bottom w:val="single" w:sz="8" w:space="0" w:color="auto"/>
              <w:right w:val="nil"/>
            </w:tcBorders>
            <w:shd w:val="clear" w:color="000000" w:fill="FFFFFF"/>
            <w:vAlign w:val="bottom"/>
            <w:hideMark/>
          </w:tcPr>
          <w:p w14:paraId="4965A15A"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280" w:type="dxa"/>
            <w:tcBorders>
              <w:top w:val="nil"/>
              <w:left w:val="nil"/>
              <w:bottom w:val="single" w:sz="8" w:space="0" w:color="auto"/>
              <w:right w:val="nil"/>
            </w:tcBorders>
            <w:shd w:val="clear" w:color="000000" w:fill="FFFFFF"/>
            <w:vAlign w:val="bottom"/>
            <w:hideMark/>
          </w:tcPr>
          <w:p w14:paraId="5AEBE644"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20" w:type="dxa"/>
            <w:tcBorders>
              <w:top w:val="nil"/>
              <w:left w:val="nil"/>
              <w:bottom w:val="single" w:sz="8" w:space="0" w:color="auto"/>
              <w:right w:val="nil"/>
            </w:tcBorders>
            <w:shd w:val="clear" w:color="000000" w:fill="FFFFFF"/>
            <w:vAlign w:val="bottom"/>
            <w:hideMark/>
          </w:tcPr>
          <w:p w14:paraId="26EDA01D"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320" w:type="dxa"/>
            <w:tcBorders>
              <w:top w:val="nil"/>
              <w:left w:val="nil"/>
              <w:bottom w:val="single" w:sz="8" w:space="0" w:color="auto"/>
              <w:right w:val="nil"/>
            </w:tcBorders>
            <w:shd w:val="clear" w:color="000000" w:fill="FFFFFF"/>
            <w:vAlign w:val="bottom"/>
            <w:hideMark/>
          </w:tcPr>
          <w:p w14:paraId="0524311C"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055" w:type="dxa"/>
            <w:tcBorders>
              <w:top w:val="nil"/>
              <w:left w:val="nil"/>
              <w:bottom w:val="single" w:sz="8" w:space="0" w:color="auto"/>
              <w:right w:val="nil"/>
            </w:tcBorders>
            <w:shd w:val="clear" w:color="000000" w:fill="FFFFFF"/>
            <w:vAlign w:val="bottom"/>
            <w:hideMark/>
          </w:tcPr>
          <w:p w14:paraId="587CB7F7"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74" w:type="dxa"/>
            <w:tcBorders>
              <w:top w:val="nil"/>
              <w:left w:val="nil"/>
              <w:bottom w:val="single" w:sz="8" w:space="0" w:color="auto"/>
              <w:right w:val="nil"/>
            </w:tcBorders>
            <w:shd w:val="clear" w:color="000000" w:fill="FFFFFF"/>
            <w:vAlign w:val="bottom"/>
            <w:hideMark/>
          </w:tcPr>
          <w:p w14:paraId="43AA72CB"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c>
          <w:tcPr>
            <w:tcW w:w="1746" w:type="dxa"/>
            <w:tcBorders>
              <w:top w:val="nil"/>
              <w:left w:val="nil"/>
              <w:bottom w:val="single" w:sz="8" w:space="0" w:color="auto"/>
              <w:right w:val="nil"/>
            </w:tcBorders>
            <w:shd w:val="clear" w:color="000000" w:fill="FFFFFF"/>
            <w:vAlign w:val="bottom"/>
            <w:hideMark/>
          </w:tcPr>
          <w:p w14:paraId="7D02BD72" w14:textId="77777777" w:rsidR="00BC1C67" w:rsidRPr="00B83335" w:rsidRDefault="00BC1C67" w:rsidP="00D2464E">
            <w:pPr>
              <w:suppressAutoHyphens w:val="0"/>
              <w:spacing w:line="240" w:lineRule="auto"/>
              <w:rPr>
                <w:rFonts w:ascii="Calibri" w:eastAsia="Times New Roman" w:hAnsi="Calibri" w:cs="Calibri"/>
                <w:sz w:val="22"/>
                <w:szCs w:val="22"/>
              </w:rPr>
            </w:pPr>
            <w:r w:rsidRPr="00B83335">
              <w:rPr>
                <w:rFonts w:ascii="Calibri" w:eastAsia="Times New Roman" w:hAnsi="Calibri" w:cs="Calibri"/>
                <w:sz w:val="22"/>
                <w:szCs w:val="22"/>
              </w:rPr>
              <w:t> </w:t>
            </w:r>
          </w:p>
        </w:tc>
      </w:tr>
    </w:tbl>
    <w:p w14:paraId="66ADC678" w14:textId="50D1740F" w:rsidR="00CF0FE1" w:rsidRDefault="00CF0FE1" w:rsidP="00220927">
      <w:pPr>
        <w:pStyle w:val="EndnoteText"/>
        <w:tabs>
          <w:tab w:val="clear" w:pos="1021"/>
        </w:tabs>
        <w:spacing w:before="60" w:line="200" w:lineRule="exact"/>
        <w:ind w:left="0" w:right="0" w:firstLine="0"/>
      </w:pPr>
      <w:r w:rsidRPr="003521AB">
        <w:rPr>
          <w:vertAlign w:val="superscript"/>
        </w:rPr>
        <w:t>a</w:t>
      </w:r>
      <w:r w:rsidR="00F53DD6">
        <w:rPr>
          <w:vertAlign w:val="superscript"/>
        </w:rPr>
        <w:t xml:space="preserve"> </w:t>
      </w:r>
      <w:r w:rsidRPr="003521AB">
        <w:rPr>
          <w:vertAlign w:val="superscript"/>
        </w:rPr>
        <w:t xml:space="preserve"> </w:t>
      </w:r>
      <w:r w:rsidRPr="00F25F99">
        <w:rPr>
          <w:i w:val="0"/>
          <w:iCs/>
        </w:rPr>
        <w:t>Date on which the authorization was issued.</w:t>
      </w:r>
    </w:p>
    <w:p w14:paraId="33A3D0B2" w14:textId="11A65E2A" w:rsidR="00CF0FE1" w:rsidRDefault="00CF0FE1" w:rsidP="005F0261">
      <w:pPr>
        <w:pStyle w:val="EndnoteText"/>
        <w:tabs>
          <w:tab w:val="clear" w:pos="1021"/>
        </w:tabs>
        <w:spacing w:line="200" w:lineRule="exact"/>
        <w:ind w:left="0" w:right="0" w:firstLine="0"/>
      </w:pPr>
      <w:r>
        <w:rPr>
          <w:vertAlign w:val="superscript"/>
        </w:rPr>
        <w:t>b</w:t>
      </w:r>
      <w:r w:rsidR="00D11EE2">
        <w:rPr>
          <w:vertAlign w:val="superscript"/>
        </w:rPr>
        <w:t xml:space="preserve"> </w:t>
      </w:r>
      <w:r w:rsidRPr="00F25F99">
        <w:rPr>
          <w:i w:val="0"/>
          <w:iCs/>
          <w:vertAlign w:val="superscript"/>
        </w:rPr>
        <w:t xml:space="preserve"> </w:t>
      </w:r>
      <w:r w:rsidRPr="00F25F99">
        <w:rPr>
          <w:i w:val="0"/>
          <w:iCs/>
        </w:rPr>
        <w:t>Identification number in the country of incorporation.</w:t>
      </w:r>
    </w:p>
    <w:p w14:paraId="2E8A141B" w14:textId="36772D47" w:rsidR="00CF0FE1" w:rsidRDefault="00CF0FE1" w:rsidP="005F0261">
      <w:pPr>
        <w:pStyle w:val="EndnoteText"/>
        <w:tabs>
          <w:tab w:val="clear" w:pos="1021"/>
        </w:tabs>
        <w:spacing w:line="200" w:lineRule="exact"/>
        <w:ind w:left="0" w:right="0" w:firstLine="0"/>
        <w:rPr>
          <w:i w:val="0"/>
          <w:vertAlign w:val="superscript"/>
        </w:rPr>
      </w:pPr>
      <w:r>
        <w:rPr>
          <w:vertAlign w:val="superscript"/>
        </w:rPr>
        <w:t>c</w:t>
      </w:r>
      <w:r w:rsidR="00D11EE2">
        <w:rPr>
          <w:vertAlign w:val="superscript"/>
        </w:rPr>
        <w:t xml:space="preserve"> </w:t>
      </w:r>
      <w:r>
        <w:rPr>
          <w:vertAlign w:val="superscript"/>
        </w:rPr>
        <w:t xml:space="preserve"> </w:t>
      </w:r>
      <w:r w:rsidRPr="00F25F99">
        <w:rPr>
          <w:i w:val="0"/>
          <w:iCs/>
        </w:rPr>
        <w:t>Unique identifier of the cooperative approach as per common nomenclatures.</w:t>
      </w:r>
    </w:p>
    <w:p w14:paraId="023228AD" w14:textId="77777777" w:rsidR="00CF0FE1" w:rsidRDefault="00CF0FE1" w:rsidP="005F0261">
      <w:pPr>
        <w:pStyle w:val="EndnoteText"/>
        <w:tabs>
          <w:tab w:val="clear" w:pos="1021"/>
        </w:tabs>
        <w:spacing w:line="200" w:lineRule="exact"/>
        <w:ind w:left="0" w:right="0" w:firstLine="0"/>
        <w:rPr>
          <w:i w:val="0"/>
          <w:vertAlign w:val="superscript"/>
        </w:rPr>
      </w:pPr>
      <w:r>
        <w:rPr>
          <w:vertAlign w:val="superscript"/>
        </w:rPr>
        <w:t xml:space="preserve">d  </w:t>
      </w:r>
      <w:r w:rsidRPr="00F25F99">
        <w:rPr>
          <w:i w:val="0"/>
          <w:iCs/>
        </w:rPr>
        <w:t>This field is optional. The conditions under which the authorization was provided, as applicable.</w:t>
      </w:r>
    </w:p>
    <w:p w14:paraId="594F38A8" w14:textId="77777777" w:rsidR="00CF0FE1" w:rsidRDefault="00CF0FE1" w:rsidP="005F0261">
      <w:pPr>
        <w:pStyle w:val="EndnoteText"/>
        <w:tabs>
          <w:tab w:val="clear" w:pos="1021"/>
        </w:tabs>
        <w:spacing w:line="200" w:lineRule="exact"/>
        <w:ind w:left="0" w:right="0" w:firstLine="0"/>
        <w:rPr>
          <w:i w:val="0"/>
          <w:vertAlign w:val="superscript"/>
        </w:rPr>
      </w:pPr>
      <w:r>
        <w:rPr>
          <w:vertAlign w:val="superscript"/>
        </w:rPr>
        <w:t xml:space="preserve">e  </w:t>
      </w:r>
      <w:r w:rsidRPr="00F25F99">
        <w:rPr>
          <w:i w:val="0"/>
          <w:iCs/>
        </w:rPr>
        <w:t>This field is optional. Whether the authorization could be changed or revoked and under which conditions.</w:t>
      </w:r>
    </w:p>
    <w:p w14:paraId="4F3D6DA2" w14:textId="77777777" w:rsidR="00CF0FE1" w:rsidRPr="003521AB" w:rsidRDefault="00CF0FE1" w:rsidP="005F0261">
      <w:pPr>
        <w:pStyle w:val="EndnoteText"/>
        <w:tabs>
          <w:tab w:val="clear" w:pos="1021"/>
        </w:tabs>
        <w:spacing w:line="200" w:lineRule="exact"/>
        <w:ind w:left="0" w:right="0" w:firstLine="0"/>
        <w:rPr>
          <w:i w:val="0"/>
          <w:vertAlign w:val="superscript"/>
        </w:rPr>
      </w:pPr>
      <w:r>
        <w:rPr>
          <w:vertAlign w:val="superscript"/>
        </w:rPr>
        <w:t xml:space="preserve">f  </w:t>
      </w:r>
      <w:r w:rsidRPr="00F25F99">
        <w:rPr>
          <w:i w:val="0"/>
          <w:iCs/>
        </w:rPr>
        <w:t>This field is optional. The Party may use this field to provide any additional information.</w:t>
      </w:r>
    </w:p>
    <w:p w14:paraId="7085B541" w14:textId="047BD5DC" w:rsidR="00FC281D" w:rsidRPr="00CF0FE1" w:rsidRDefault="005471E6" w:rsidP="00CF0FE1">
      <w:pPr>
        <w:pStyle w:val="RegSingleTxtG"/>
        <w:numPr>
          <w:ilvl w:val="0"/>
          <w:numId w:val="0"/>
        </w:numPr>
        <w:spacing w:after="0"/>
        <w:jc w:val="right"/>
        <w:rPr>
          <w:i/>
          <w:iCs/>
        </w:rPr>
      </w:pPr>
      <w:r>
        <w:rPr>
          <w:i/>
          <w:iCs/>
        </w:rPr>
        <w:t>Resumed 11</w:t>
      </w:r>
      <w:r w:rsidRPr="005471E6">
        <w:rPr>
          <w:i/>
          <w:iCs/>
          <w:vertAlign w:val="superscript"/>
        </w:rPr>
        <w:t>th</w:t>
      </w:r>
      <w:r>
        <w:rPr>
          <w:i/>
          <w:iCs/>
        </w:rPr>
        <w:t xml:space="preserve"> </w:t>
      </w:r>
      <w:r w:rsidR="00CF0FE1" w:rsidRPr="00CF0FE1">
        <w:rPr>
          <w:i/>
          <w:iCs/>
        </w:rPr>
        <w:t>plenary meeting</w:t>
      </w:r>
    </w:p>
    <w:p w14:paraId="635847C8" w14:textId="03D387DA" w:rsidR="007F4347" w:rsidRPr="00CF0FE1" w:rsidRDefault="005471E6" w:rsidP="00CF0FE1">
      <w:pPr>
        <w:pStyle w:val="RegSingleTxtG"/>
        <w:numPr>
          <w:ilvl w:val="0"/>
          <w:numId w:val="0"/>
        </w:numPr>
        <w:spacing w:after="0"/>
        <w:jc w:val="right"/>
        <w:rPr>
          <w:i/>
          <w:iCs/>
        </w:rPr>
      </w:pPr>
      <w:r>
        <w:rPr>
          <w:i/>
          <w:iCs/>
        </w:rPr>
        <w:t>23</w:t>
      </w:r>
      <w:r w:rsidR="00CF0FE1" w:rsidRPr="00CF0FE1">
        <w:rPr>
          <w:i/>
          <w:iCs/>
        </w:rPr>
        <w:t xml:space="preserve"> November 2024</w:t>
      </w:r>
    </w:p>
    <w:p w14:paraId="49B40FA5" w14:textId="77777777" w:rsidR="00F25F99" w:rsidRDefault="00F25F99" w:rsidP="00492C76">
      <w:pPr>
        <w:pStyle w:val="RegHChG"/>
        <w:numPr>
          <w:ilvl w:val="0"/>
          <w:numId w:val="0"/>
        </w:numPr>
        <w:ind w:left="1135" w:hanging="454"/>
      </w:pPr>
    </w:p>
    <w:p w14:paraId="1BC918C4" w14:textId="0E9055F7" w:rsidR="00F25F99" w:rsidRDefault="00492C76" w:rsidP="00492C76">
      <w:pPr>
        <w:pStyle w:val="RegHChG"/>
        <w:numPr>
          <w:ilvl w:val="0"/>
          <w:numId w:val="0"/>
        </w:numPr>
        <w:tabs>
          <w:tab w:val="left" w:pos="1135"/>
        </w:tabs>
        <w:ind w:left="1135" w:hanging="454"/>
        <w:sectPr w:rsidR="00F25F99" w:rsidSect="008B66E4">
          <w:headerReference w:type="even" r:id="rId149"/>
          <w:headerReference w:type="default" r:id="rId150"/>
          <w:footerReference w:type="even" r:id="rId151"/>
          <w:footerReference w:type="default" r:id="rId152"/>
          <w:footnotePr>
            <w:numRestart w:val="eachSect"/>
          </w:footnotePr>
          <w:pgSz w:w="16838" w:h="11906" w:orient="landscape" w:code="9"/>
          <w:pgMar w:top="1134" w:right="1417" w:bottom="1134" w:left="1134" w:header="567" w:footer="567" w:gutter="0"/>
          <w:cols w:space="708"/>
          <w:docGrid w:linePitch="360"/>
        </w:sectPr>
      </w:pPr>
      <w:r>
        <w:t>I.</w:t>
      </w:r>
      <w:r>
        <w:tab/>
      </w:r>
    </w:p>
    <w:p w14:paraId="5DECE34C" w14:textId="67229164" w:rsidR="00325813" w:rsidRDefault="00325813" w:rsidP="00492C76">
      <w:pPr>
        <w:pStyle w:val="RegHChG"/>
        <w:numPr>
          <w:ilvl w:val="0"/>
          <w:numId w:val="0"/>
        </w:numPr>
        <w:ind w:left="1134" w:hanging="454"/>
      </w:pPr>
      <w:bookmarkStart w:id="25" w:name="decision5"/>
      <w:r>
        <w:lastRenderedPageBreak/>
        <w:t xml:space="preserve">Decision </w:t>
      </w:r>
      <w:r w:rsidR="00FA142C">
        <w:t>5/CMA.6</w:t>
      </w:r>
    </w:p>
    <w:bookmarkEnd w:id="25"/>
    <w:p w14:paraId="1119DC99" w14:textId="77777777" w:rsidR="00CB6EBE" w:rsidRPr="003D5232" w:rsidRDefault="00CB6EBE" w:rsidP="00CB6EBE">
      <w:pPr>
        <w:pStyle w:val="H1G"/>
        <w:ind w:firstLine="0"/>
        <w:rPr>
          <w:sz w:val="28"/>
          <w:szCs w:val="28"/>
        </w:rPr>
      </w:pPr>
      <w:r w:rsidRPr="003D5232">
        <w:rPr>
          <w:sz w:val="28"/>
          <w:szCs w:val="28"/>
        </w:rPr>
        <w:t>Guidance on the mechanism established by Article 6, paragraph 4, of the Paris Agreement</w:t>
      </w:r>
    </w:p>
    <w:p w14:paraId="2830A509" w14:textId="77777777" w:rsidR="00CB6EBE" w:rsidRDefault="00CB6EBE" w:rsidP="00CB6EBE">
      <w:pPr>
        <w:pStyle w:val="RegSingleTxtG"/>
        <w:numPr>
          <w:ilvl w:val="0"/>
          <w:numId w:val="0"/>
        </w:numPr>
        <w:ind w:left="1134"/>
        <w:rPr>
          <w:i/>
        </w:rPr>
      </w:pPr>
      <w:r>
        <w:rPr>
          <w:i/>
          <w:lang w:val="en-US"/>
        </w:rPr>
        <w:tab/>
      </w:r>
      <w:r w:rsidRPr="00DC51D4">
        <w:rPr>
          <w:i/>
          <w:iCs/>
        </w:rPr>
        <w:t>The Conference of the Parties serving as the meeting of the Parties to the Paris Agreement</w:t>
      </w:r>
      <w:r w:rsidRPr="00E63A0D">
        <w:t>,</w:t>
      </w:r>
    </w:p>
    <w:p w14:paraId="6D3820BC" w14:textId="47527273" w:rsidR="00CB6EBE" w:rsidRPr="00F02A57" w:rsidRDefault="00CB6EBE" w:rsidP="00CB6EBE">
      <w:pPr>
        <w:pStyle w:val="RegSingleTxtG"/>
        <w:numPr>
          <w:ilvl w:val="0"/>
          <w:numId w:val="0"/>
        </w:numPr>
        <w:ind w:left="1134"/>
        <w:rPr>
          <w:lang w:val="en-US"/>
        </w:rPr>
      </w:pPr>
      <w:r>
        <w:rPr>
          <w:i/>
          <w:lang w:val="en-US"/>
        </w:rPr>
        <w:tab/>
      </w:r>
      <w:r w:rsidRPr="00F02A57">
        <w:rPr>
          <w:i/>
          <w:lang w:val="en-US"/>
        </w:rPr>
        <w:t>Recalling</w:t>
      </w:r>
      <w:r w:rsidRPr="00F02A57">
        <w:rPr>
          <w:lang w:val="en-US"/>
        </w:rPr>
        <w:t xml:space="preserve"> decision </w:t>
      </w:r>
      <w:hyperlink r:id="rId153" w:history="1">
        <w:r w:rsidRPr="00514C67">
          <w:rPr>
            <w:rStyle w:val="Hyperlink"/>
            <w:lang w:val="en-US"/>
          </w:rPr>
          <w:t>3/CMA.3</w:t>
        </w:r>
      </w:hyperlink>
      <w:r w:rsidRPr="00F02A57">
        <w:rPr>
          <w:lang w:val="en-US"/>
        </w:rPr>
        <w:t>, paragraph 6(c–d),</w:t>
      </w:r>
      <w:r w:rsidRPr="00F02A57" w:rsidDel="00FB3F77">
        <w:rPr>
          <w:i/>
          <w:lang w:val="en-US"/>
        </w:rPr>
        <w:t xml:space="preserve"> </w:t>
      </w:r>
      <w:r w:rsidRPr="00F02A57">
        <w:rPr>
          <w:iCs/>
          <w:lang w:val="en-US"/>
        </w:rPr>
        <w:t>and</w:t>
      </w:r>
      <w:r w:rsidRPr="00F02A57">
        <w:rPr>
          <w:i/>
          <w:iCs/>
          <w:lang w:val="en-US"/>
        </w:rPr>
        <w:t xml:space="preserve"> </w:t>
      </w:r>
      <w:r w:rsidRPr="00F02A57">
        <w:rPr>
          <w:lang w:val="en-US"/>
        </w:rPr>
        <w:t>the request of the Conference of the Parties serving as the meeting of the Parties to the Paris Agreement to the Supervisory Body for the mechanism established by Article 6, paragraph 4, of the Paris Agreement to continue the relevant work to operationalize the mechanism,</w:t>
      </w:r>
      <w:r w:rsidRPr="00F02A57">
        <w:rPr>
          <w:rStyle w:val="FootnoteReference"/>
          <w:lang w:val="en-US"/>
        </w:rPr>
        <w:footnoteReference w:id="39"/>
      </w:r>
    </w:p>
    <w:p w14:paraId="1D4CBDAA" w14:textId="106B2C3E" w:rsidR="00CB6EBE" w:rsidRPr="00CB6EBE" w:rsidRDefault="00492C76" w:rsidP="00492C76">
      <w:pPr>
        <w:pStyle w:val="RegSingleTxtG"/>
        <w:numPr>
          <w:ilvl w:val="0"/>
          <w:numId w:val="0"/>
        </w:numPr>
        <w:ind w:left="1134"/>
        <w:rPr>
          <w:lang w:val="en-US"/>
        </w:rPr>
      </w:pPr>
      <w:r w:rsidRPr="00CB6EBE">
        <w:rPr>
          <w:lang w:val="en-US"/>
        </w:rPr>
        <w:t>1.</w:t>
      </w:r>
      <w:r w:rsidRPr="00CB6EBE">
        <w:rPr>
          <w:lang w:val="en-US"/>
        </w:rPr>
        <w:tab/>
      </w:r>
      <w:r w:rsidR="00CB6EBE" w:rsidRPr="00CB6EBE">
        <w:rPr>
          <w:i/>
          <w:lang w:val="en-US"/>
        </w:rPr>
        <w:t>Welcomes</w:t>
      </w:r>
      <w:r w:rsidR="00CB6EBE" w:rsidRPr="00F02A57">
        <w:t xml:space="preserve"> the annual reports of the Supervisory Body for </w:t>
      </w:r>
      <w:r w:rsidR="00CB6EBE" w:rsidRPr="00CB6EBE">
        <w:rPr>
          <w:iCs/>
        </w:rPr>
        <w:t>the mechanism established by Article 6, paragraph 4, of the Paris Agreement</w:t>
      </w:r>
      <w:r w:rsidR="00CB6EBE" w:rsidRPr="00F02A57">
        <w:t xml:space="preserve"> for 2023</w:t>
      </w:r>
      <w:r w:rsidR="00CB6EBE" w:rsidRPr="00F02A57">
        <w:rPr>
          <w:rStyle w:val="FootnoteReference"/>
        </w:rPr>
        <w:footnoteReference w:id="40"/>
      </w:r>
      <w:r w:rsidR="00CB6EBE" w:rsidRPr="00F02A57">
        <w:t xml:space="preserve"> and 2024</w:t>
      </w:r>
      <w:r w:rsidR="00CB6EBE" w:rsidRPr="00F02A57">
        <w:rPr>
          <w:rStyle w:val="FootnoteReference"/>
          <w:lang w:val="en-US"/>
        </w:rPr>
        <w:footnoteReference w:id="41"/>
      </w:r>
      <w:r w:rsidR="00CB6EBE" w:rsidRPr="00F02A57">
        <w:t xml:space="preserve">, and </w:t>
      </w:r>
      <w:r w:rsidR="00CB6EBE" w:rsidRPr="00CB6EBE">
        <w:rPr>
          <w:lang w:val="en-US"/>
        </w:rPr>
        <w:t xml:space="preserve">the work of the Supervisory Body </w:t>
      </w:r>
      <w:r w:rsidR="00CB6EBE" w:rsidRPr="00F02A57">
        <w:t xml:space="preserve">to operationalize the mechanism in response to the relevant mandates in decisions </w:t>
      </w:r>
      <w:hyperlink r:id="rId154" w:history="1">
        <w:r w:rsidR="00CB6EBE" w:rsidRPr="00514C67">
          <w:rPr>
            <w:rStyle w:val="Hyperlink"/>
          </w:rPr>
          <w:t>3/CMA.3</w:t>
        </w:r>
      </w:hyperlink>
      <w:r w:rsidR="00CB6EBE" w:rsidRPr="00F02A57">
        <w:t xml:space="preserve"> and </w:t>
      </w:r>
      <w:hyperlink r:id="rId155" w:history="1">
        <w:r w:rsidR="00CB6EBE" w:rsidRPr="00514C67">
          <w:rPr>
            <w:rStyle w:val="Hyperlink"/>
          </w:rPr>
          <w:t>7/CMA.4</w:t>
        </w:r>
      </w:hyperlink>
      <w:r w:rsidR="00CB6EBE" w:rsidRPr="00CB6EBE">
        <w:rPr>
          <w:lang w:val="en-US"/>
        </w:rPr>
        <w:t>;</w:t>
      </w:r>
    </w:p>
    <w:p w14:paraId="2414F5DB" w14:textId="497E974D" w:rsidR="00CB6EBE" w:rsidRPr="00F02A57" w:rsidRDefault="00492C76" w:rsidP="00492C76">
      <w:pPr>
        <w:pStyle w:val="RegSingleTxtG"/>
        <w:numPr>
          <w:ilvl w:val="0"/>
          <w:numId w:val="0"/>
        </w:numPr>
        <w:ind w:left="1134"/>
      </w:pPr>
      <w:bookmarkStart w:id="26" w:name="_Ref181909203"/>
      <w:r w:rsidRPr="00F02A57">
        <w:t>2.</w:t>
      </w:r>
      <w:r w:rsidRPr="00F02A57">
        <w:tab/>
      </w:r>
      <w:r w:rsidR="00CB6EBE" w:rsidRPr="00F02A57">
        <w:rPr>
          <w:i/>
          <w:iCs/>
        </w:rPr>
        <w:t>Takes note</w:t>
      </w:r>
      <w:r w:rsidR="00CB6EBE" w:rsidRPr="00F02A57">
        <w:t xml:space="preserve"> of the adoption by the Supervisory Body of the “Standard: Application of the requirements of Chapter V.B (Methodologies) for the development and assessment of Article 6.4 mechanism methodologies”</w:t>
      </w:r>
      <w:r w:rsidR="00CB6EBE" w:rsidRPr="00F02A57">
        <w:rPr>
          <w:rStyle w:val="FootnoteReference"/>
        </w:rPr>
        <w:footnoteReference w:id="42"/>
      </w:r>
      <w:r w:rsidR="00CB6EBE" w:rsidRPr="00F02A57">
        <w:t xml:space="preserve"> and the “Standard: Requirements for activities involving removals under the Article 6.4 mechanism”;</w:t>
      </w:r>
      <w:r w:rsidR="00CB6EBE" w:rsidRPr="00F02A57">
        <w:rPr>
          <w:rStyle w:val="FootnoteReference"/>
        </w:rPr>
        <w:footnoteReference w:id="43"/>
      </w:r>
      <w:bookmarkEnd w:id="26"/>
    </w:p>
    <w:p w14:paraId="7F558DA3" w14:textId="66F46975" w:rsidR="00CB6EBE" w:rsidRDefault="00492C76" w:rsidP="00492C76">
      <w:pPr>
        <w:pStyle w:val="RegSingleTxtG"/>
        <w:numPr>
          <w:ilvl w:val="0"/>
          <w:numId w:val="0"/>
        </w:numPr>
        <w:ind w:left="1134"/>
        <w:rPr>
          <w:lang w:val="en-US"/>
        </w:rPr>
      </w:pPr>
      <w:r>
        <w:rPr>
          <w:lang w:val="en-US"/>
        </w:rPr>
        <w:t>3.</w:t>
      </w:r>
      <w:r>
        <w:rPr>
          <w:lang w:val="en-US"/>
        </w:rPr>
        <w:tab/>
      </w:r>
      <w:r w:rsidR="00CB6EBE" w:rsidRPr="00F02A57">
        <w:rPr>
          <w:i/>
          <w:iCs/>
          <w:lang w:val="en-US"/>
        </w:rPr>
        <w:t xml:space="preserve">Notes </w:t>
      </w:r>
      <w:r w:rsidR="00CB6EBE" w:rsidRPr="00F02A57">
        <w:rPr>
          <w:iCs/>
          <w:lang w:val="en-US"/>
        </w:rPr>
        <w:t>that</w:t>
      </w:r>
      <w:r w:rsidR="00CB6EBE" w:rsidRPr="00F02A57">
        <w:rPr>
          <w:i/>
          <w:iCs/>
          <w:lang w:val="en-US"/>
        </w:rPr>
        <w:t xml:space="preserve"> </w:t>
      </w:r>
      <w:r w:rsidR="00CB6EBE" w:rsidRPr="00F02A57">
        <w:rPr>
          <w:lang w:val="en-US"/>
        </w:rPr>
        <w:t>the</w:t>
      </w:r>
      <w:r w:rsidR="00CB6EBE" w:rsidRPr="00F02A57" w:rsidDel="003B4526">
        <w:rPr>
          <w:lang w:val="en-US"/>
        </w:rPr>
        <w:t xml:space="preserve"> </w:t>
      </w:r>
      <w:r w:rsidR="00CB6EBE" w:rsidRPr="00F02A57">
        <w:rPr>
          <w:lang w:val="en-US"/>
        </w:rPr>
        <w:t xml:space="preserve">Supervisory Body will expeditiously elaborate and implement the standards referred to in paragraph 2 above, while striving to ensure regulatory stability, and will report on the progress made on the implementation of those standards in its annual report to the </w:t>
      </w:r>
      <w:r w:rsidR="00CB6EBE" w:rsidRPr="00F02A57">
        <w:t>Conference of the Parties serving as the meeting of the Parties to the Paris Agreement</w:t>
      </w:r>
      <w:r w:rsidR="00CB6EBE" w:rsidRPr="00F02A57">
        <w:rPr>
          <w:lang w:val="en-US"/>
        </w:rPr>
        <w:t>,</w:t>
      </w:r>
      <w:r w:rsidR="00CB6EBE" w:rsidRPr="00F02A57">
        <w:rPr>
          <w:rStyle w:val="FootnoteReference"/>
          <w:lang w:val="en-US"/>
        </w:rPr>
        <w:footnoteReference w:id="44"/>
      </w:r>
      <w:r w:rsidR="00CB6EBE" w:rsidRPr="00F02A57">
        <w:rPr>
          <w:lang w:val="en-US"/>
        </w:rPr>
        <w:t xml:space="preserve"> including on the need for further guidance, if any;</w:t>
      </w:r>
    </w:p>
    <w:p w14:paraId="7E940F3F" w14:textId="3A36E4CD" w:rsidR="00CB6EBE" w:rsidRDefault="00492C76" w:rsidP="00492C76">
      <w:pPr>
        <w:pStyle w:val="RegSingleTxtG"/>
        <w:numPr>
          <w:ilvl w:val="0"/>
          <w:numId w:val="0"/>
        </w:numPr>
        <w:ind w:left="1134"/>
        <w:rPr>
          <w:lang w:val="en-US"/>
        </w:rPr>
      </w:pPr>
      <w:r>
        <w:rPr>
          <w:lang w:val="en-US"/>
        </w:rPr>
        <w:t>4.</w:t>
      </w:r>
      <w:r>
        <w:rPr>
          <w:lang w:val="en-US"/>
        </w:rPr>
        <w:tab/>
      </w:r>
      <w:r w:rsidR="00CB6EBE" w:rsidRPr="00CB6EBE">
        <w:rPr>
          <w:i/>
          <w:iCs/>
          <w:lang w:val="en-US"/>
        </w:rPr>
        <w:t xml:space="preserve">Reiterates </w:t>
      </w:r>
      <w:r w:rsidR="00CB6EBE" w:rsidRPr="00CB6EBE">
        <w:rPr>
          <w:lang w:val="en-US"/>
        </w:rPr>
        <w:t xml:space="preserve">decision </w:t>
      </w:r>
      <w:hyperlink r:id="rId156" w:history="1">
        <w:r w:rsidR="00CB6EBE" w:rsidRPr="00514C67">
          <w:rPr>
            <w:rStyle w:val="Hyperlink"/>
            <w:lang w:val="en-US"/>
          </w:rPr>
          <w:t>3/CMA.3</w:t>
        </w:r>
      </w:hyperlink>
      <w:r w:rsidR="00CB6EBE" w:rsidRPr="00CB6EBE">
        <w:rPr>
          <w:lang w:val="en-US"/>
        </w:rPr>
        <w:t xml:space="preserve">, annex, paragraph 2, on its role </w:t>
      </w:r>
      <w:r w:rsidR="00081BB0">
        <w:rPr>
          <w:lang w:val="en-US"/>
        </w:rPr>
        <w:t>in</w:t>
      </w:r>
      <w:r w:rsidR="00081BB0" w:rsidRPr="00CB6EBE">
        <w:rPr>
          <w:lang w:val="en-US"/>
        </w:rPr>
        <w:t xml:space="preserve"> </w:t>
      </w:r>
      <w:r w:rsidR="00CB6EBE" w:rsidRPr="00CB6EBE">
        <w:rPr>
          <w:lang w:val="en-US"/>
        </w:rPr>
        <w:t>provid</w:t>
      </w:r>
      <w:r w:rsidR="00081BB0">
        <w:rPr>
          <w:lang w:val="en-US"/>
        </w:rPr>
        <w:t>ing</w:t>
      </w:r>
      <w:r w:rsidR="00CB6EBE" w:rsidRPr="00CB6EBE">
        <w:rPr>
          <w:lang w:val="en-US"/>
        </w:rPr>
        <w:t xml:space="preserve"> guidance to the Supervisory Body, as required, and</w:t>
      </w:r>
      <w:r w:rsidR="00CB6EBE" w:rsidRPr="00CB6EBE">
        <w:rPr>
          <w:i/>
          <w:iCs/>
          <w:lang w:val="en-US"/>
        </w:rPr>
        <w:t xml:space="preserve"> </w:t>
      </w:r>
      <w:r w:rsidR="00CB6EBE" w:rsidRPr="00CB6EBE">
        <w:rPr>
          <w:lang w:val="en-US"/>
        </w:rPr>
        <w:t xml:space="preserve">paragraph 3, which stipulates that the Supervisory Body shall supervise the mechanism referred to in paragraph 1 above under the authority and guidance of the </w:t>
      </w:r>
      <w:r w:rsidR="00CB6EBE" w:rsidRPr="00F02A57">
        <w:t xml:space="preserve">Conference of the Parties serving as the meeting of the Parties to the Paris Agreement </w:t>
      </w:r>
      <w:r w:rsidR="00CB6EBE" w:rsidRPr="00CB6EBE">
        <w:rPr>
          <w:lang w:val="en-US"/>
        </w:rPr>
        <w:t>and be fully accountable to it.</w:t>
      </w:r>
    </w:p>
    <w:p w14:paraId="5BF74AE4" w14:textId="10D37070" w:rsidR="00CB6EBE" w:rsidRDefault="00811A61" w:rsidP="00CB6EBE">
      <w:pPr>
        <w:pStyle w:val="RegSingleTxtG"/>
        <w:numPr>
          <w:ilvl w:val="0"/>
          <w:numId w:val="0"/>
        </w:numPr>
        <w:spacing w:after="0"/>
        <w:ind w:left="1134"/>
        <w:jc w:val="right"/>
        <w:rPr>
          <w:i/>
          <w:iCs/>
          <w:lang w:val="en-US"/>
        </w:rPr>
      </w:pPr>
      <w:r>
        <w:rPr>
          <w:i/>
          <w:iCs/>
          <w:lang w:val="en-US"/>
        </w:rPr>
        <w:t>1</w:t>
      </w:r>
      <w:r w:rsidR="00FD653C">
        <w:rPr>
          <w:i/>
          <w:iCs/>
          <w:vertAlign w:val="superscript"/>
          <w:lang w:val="en-US"/>
        </w:rPr>
        <w:t>st</w:t>
      </w:r>
      <w:r>
        <w:rPr>
          <w:i/>
          <w:iCs/>
          <w:lang w:val="en-US"/>
        </w:rPr>
        <w:t xml:space="preserve"> </w:t>
      </w:r>
      <w:r w:rsidR="00CB6EBE">
        <w:rPr>
          <w:i/>
          <w:iCs/>
          <w:lang w:val="en-US"/>
        </w:rPr>
        <w:t>plenary meeting</w:t>
      </w:r>
    </w:p>
    <w:p w14:paraId="541594EB" w14:textId="48B044C5" w:rsidR="00CB6EBE" w:rsidRPr="00CB6EBE" w:rsidRDefault="00FD653C" w:rsidP="00CB6EBE">
      <w:pPr>
        <w:pStyle w:val="RegSingleTxtG"/>
        <w:numPr>
          <w:ilvl w:val="0"/>
          <w:numId w:val="0"/>
        </w:numPr>
        <w:spacing w:after="0"/>
        <w:ind w:left="1134"/>
        <w:jc w:val="right"/>
        <w:rPr>
          <w:lang w:val="en-US"/>
        </w:rPr>
      </w:pPr>
      <w:r>
        <w:rPr>
          <w:i/>
          <w:iCs/>
          <w:lang w:val="en-US"/>
        </w:rPr>
        <w:t>11</w:t>
      </w:r>
      <w:r w:rsidR="00CB6EBE">
        <w:rPr>
          <w:i/>
          <w:iCs/>
          <w:lang w:val="en-US"/>
        </w:rPr>
        <w:t xml:space="preserve"> November 2024</w:t>
      </w:r>
    </w:p>
    <w:p w14:paraId="662D27F1" w14:textId="77777777" w:rsidR="00CB6EBE" w:rsidRDefault="00CB6EBE" w:rsidP="00492C76">
      <w:pPr>
        <w:pStyle w:val="RegHChG"/>
        <w:numPr>
          <w:ilvl w:val="0"/>
          <w:numId w:val="0"/>
        </w:numPr>
        <w:ind w:left="1135" w:hanging="454"/>
      </w:pPr>
    </w:p>
    <w:p w14:paraId="6D62265C" w14:textId="40A5F864" w:rsidR="00CB6EBE" w:rsidRDefault="00492C76" w:rsidP="00492C76">
      <w:pPr>
        <w:pStyle w:val="RegHChG"/>
        <w:numPr>
          <w:ilvl w:val="0"/>
          <w:numId w:val="0"/>
        </w:numPr>
        <w:tabs>
          <w:tab w:val="left" w:pos="1135"/>
        </w:tabs>
        <w:ind w:left="1135" w:hanging="454"/>
        <w:sectPr w:rsidR="00CB6EBE" w:rsidSect="005155B6">
          <w:headerReference w:type="even" r:id="rId157"/>
          <w:headerReference w:type="default" r:id="rId158"/>
          <w:footerReference w:type="even" r:id="rId159"/>
          <w:footerReference w:type="default" r:id="rId160"/>
          <w:footnotePr>
            <w:numRestart w:val="eachSect"/>
          </w:footnotePr>
          <w:pgSz w:w="11906" w:h="16838" w:code="9"/>
          <w:pgMar w:top="1417" w:right="1134" w:bottom="1134" w:left="1134" w:header="850" w:footer="567" w:gutter="0"/>
          <w:cols w:space="708"/>
          <w:docGrid w:linePitch="360"/>
        </w:sectPr>
      </w:pPr>
      <w:r>
        <w:t>I.</w:t>
      </w:r>
      <w:r>
        <w:tab/>
      </w:r>
    </w:p>
    <w:p w14:paraId="1C754DAC" w14:textId="1D30FAEC" w:rsidR="00CB6EBE" w:rsidRDefault="00CB6EBE" w:rsidP="00492C76">
      <w:pPr>
        <w:pStyle w:val="RegHChG"/>
        <w:numPr>
          <w:ilvl w:val="0"/>
          <w:numId w:val="0"/>
        </w:numPr>
        <w:ind w:left="1135" w:hanging="454"/>
      </w:pPr>
      <w:bookmarkStart w:id="27" w:name="decision6"/>
      <w:r>
        <w:lastRenderedPageBreak/>
        <w:t>Decision 6/CMA.6</w:t>
      </w:r>
    </w:p>
    <w:bookmarkEnd w:id="27"/>
    <w:p w14:paraId="2D957B60" w14:textId="77777777" w:rsidR="00F16033" w:rsidRPr="003705D6" w:rsidRDefault="00F16033" w:rsidP="00F16033">
      <w:pPr>
        <w:pStyle w:val="HChG"/>
        <w:ind w:firstLine="0"/>
      </w:pPr>
      <w:r w:rsidRPr="003705D6">
        <w:t>Further guidance</w:t>
      </w:r>
      <w:r w:rsidRPr="00DF0025">
        <w:t xml:space="preserve"> on the mechanism established by Article 6, paragraph 4, of the Paris Agreement</w:t>
      </w:r>
    </w:p>
    <w:p w14:paraId="5AAAEA70" w14:textId="5398AF9C" w:rsidR="00F16033" w:rsidRPr="0002002B" w:rsidRDefault="006A36BF" w:rsidP="006A36BF">
      <w:pPr>
        <w:pStyle w:val="RegSingleTxtG"/>
        <w:numPr>
          <w:ilvl w:val="0"/>
          <w:numId w:val="0"/>
        </w:numPr>
        <w:ind w:left="1134"/>
        <w:rPr>
          <w:rFonts w:asciiTheme="majorBidi" w:hAnsiTheme="majorBidi" w:cstheme="majorBidi"/>
          <w:color w:val="000000" w:themeColor="text1"/>
        </w:rPr>
      </w:pPr>
      <w:r>
        <w:rPr>
          <w:rFonts w:asciiTheme="majorBidi" w:hAnsiTheme="majorBidi" w:cstheme="majorBidi"/>
          <w:i/>
          <w:color w:val="000000" w:themeColor="text1"/>
        </w:rPr>
        <w:tab/>
      </w:r>
      <w:r w:rsidR="00F16033" w:rsidRPr="0002002B">
        <w:rPr>
          <w:rFonts w:asciiTheme="majorBidi" w:hAnsiTheme="majorBidi" w:cstheme="majorBidi"/>
          <w:i/>
          <w:color w:val="000000" w:themeColor="text1"/>
        </w:rPr>
        <w:t>The Conference of the Parties serving as the meeting of the Parties to the Paris Agreement</w:t>
      </w:r>
      <w:r w:rsidR="00F16033" w:rsidRPr="0002002B">
        <w:rPr>
          <w:rFonts w:asciiTheme="majorBidi" w:hAnsiTheme="majorBidi" w:cstheme="majorBidi"/>
          <w:color w:val="000000" w:themeColor="text1"/>
        </w:rPr>
        <w:t>,</w:t>
      </w:r>
    </w:p>
    <w:p w14:paraId="69F0BF59" w14:textId="78D16F97" w:rsidR="00F16033" w:rsidRPr="0002002B" w:rsidRDefault="006A36BF" w:rsidP="006A36BF">
      <w:pPr>
        <w:pStyle w:val="RegSingleTxtG"/>
        <w:numPr>
          <w:ilvl w:val="0"/>
          <w:numId w:val="0"/>
        </w:numPr>
        <w:ind w:left="1134"/>
        <w:rPr>
          <w:rFonts w:asciiTheme="majorBidi" w:hAnsiTheme="majorBidi" w:cstheme="majorBidi"/>
          <w:color w:val="000000" w:themeColor="text1"/>
        </w:rPr>
      </w:pPr>
      <w:r>
        <w:rPr>
          <w:rFonts w:asciiTheme="majorBidi" w:hAnsiTheme="majorBidi" w:cstheme="majorBidi"/>
          <w:i/>
          <w:color w:val="000000" w:themeColor="text1"/>
        </w:rPr>
        <w:tab/>
      </w:r>
      <w:r w:rsidR="00F16033" w:rsidRPr="0002002B">
        <w:rPr>
          <w:rFonts w:asciiTheme="majorBidi" w:hAnsiTheme="majorBidi" w:cstheme="majorBidi"/>
          <w:i/>
          <w:color w:val="000000" w:themeColor="text1"/>
        </w:rPr>
        <w:t>Recalling</w:t>
      </w:r>
      <w:r w:rsidR="00F16033" w:rsidRPr="0002002B">
        <w:rPr>
          <w:rFonts w:asciiTheme="majorBidi" w:hAnsiTheme="majorBidi" w:cstheme="majorBidi"/>
          <w:color w:val="000000" w:themeColor="text1"/>
        </w:rPr>
        <w:t xml:space="preserve"> the mechanism established by Article 6, paragraph 4, of the Paris Agreement and the aims referred to therein,</w:t>
      </w:r>
    </w:p>
    <w:p w14:paraId="53E9B26A" w14:textId="42BD25FB" w:rsidR="00F16033" w:rsidRPr="0002002B" w:rsidRDefault="006A36BF" w:rsidP="006A36BF">
      <w:pPr>
        <w:pStyle w:val="RegSingleTxtG"/>
        <w:numPr>
          <w:ilvl w:val="0"/>
          <w:numId w:val="0"/>
        </w:numPr>
        <w:ind w:left="1134"/>
        <w:rPr>
          <w:rFonts w:asciiTheme="majorBidi" w:hAnsiTheme="majorBidi" w:cstheme="majorBidi"/>
          <w:color w:val="000000" w:themeColor="text1"/>
        </w:rPr>
      </w:pPr>
      <w:r>
        <w:rPr>
          <w:rFonts w:asciiTheme="majorBidi" w:hAnsiTheme="majorBidi" w:cstheme="majorBidi"/>
          <w:i/>
          <w:color w:val="000000" w:themeColor="text1"/>
        </w:rPr>
        <w:tab/>
      </w:r>
      <w:r w:rsidR="00F16033" w:rsidRPr="0002002B">
        <w:rPr>
          <w:rFonts w:asciiTheme="majorBidi" w:hAnsiTheme="majorBidi" w:cstheme="majorBidi"/>
          <w:i/>
          <w:color w:val="000000" w:themeColor="text1"/>
        </w:rPr>
        <w:t>Also recalling</w:t>
      </w:r>
      <w:r w:rsidR="00F16033" w:rsidRPr="0002002B">
        <w:rPr>
          <w:rFonts w:asciiTheme="majorBidi" w:hAnsiTheme="majorBidi" w:cstheme="majorBidi"/>
          <w:color w:val="000000" w:themeColor="text1"/>
        </w:rPr>
        <w:t xml:space="preserve"> Article 6, paragraph 1, of the Paris Agreement,</w:t>
      </w:r>
    </w:p>
    <w:p w14:paraId="476E7ABA" w14:textId="1FEF7331" w:rsidR="00F16033" w:rsidRPr="0002002B" w:rsidRDefault="006A36BF" w:rsidP="006A36BF">
      <w:pPr>
        <w:pStyle w:val="RegSingleTxtG"/>
        <w:numPr>
          <w:ilvl w:val="0"/>
          <w:numId w:val="0"/>
        </w:numPr>
        <w:ind w:left="1134"/>
        <w:rPr>
          <w:rFonts w:asciiTheme="majorBidi" w:hAnsiTheme="majorBidi" w:cstheme="majorBidi"/>
          <w:color w:val="000000" w:themeColor="text1"/>
        </w:rPr>
      </w:pPr>
      <w:r>
        <w:rPr>
          <w:rFonts w:asciiTheme="majorBidi" w:hAnsiTheme="majorBidi" w:cstheme="majorBidi"/>
          <w:i/>
          <w:color w:val="000000" w:themeColor="text1"/>
        </w:rPr>
        <w:tab/>
      </w:r>
      <w:r w:rsidR="00F16033" w:rsidRPr="0002002B">
        <w:rPr>
          <w:rFonts w:asciiTheme="majorBidi" w:hAnsiTheme="majorBidi" w:cstheme="majorBidi"/>
          <w:i/>
          <w:color w:val="000000" w:themeColor="text1"/>
        </w:rPr>
        <w:t>Further recalling</w:t>
      </w:r>
      <w:r w:rsidR="00F16033" w:rsidRPr="0002002B">
        <w:rPr>
          <w:rFonts w:asciiTheme="majorBidi" w:hAnsiTheme="majorBidi" w:cstheme="majorBidi"/>
          <w:color w:val="000000" w:themeColor="text1"/>
        </w:rPr>
        <w:t xml:space="preserve"> the eleventh preambular paragraph of the Paris Agreement, according to which, acknowledging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746712D3" w14:textId="459424B2" w:rsidR="00F16033" w:rsidRPr="0002002B" w:rsidRDefault="006A36BF" w:rsidP="006A36BF">
      <w:pPr>
        <w:pStyle w:val="RegSingleTxtG"/>
        <w:numPr>
          <w:ilvl w:val="0"/>
          <w:numId w:val="0"/>
        </w:numPr>
        <w:ind w:left="1134"/>
        <w:rPr>
          <w:rFonts w:asciiTheme="majorBidi" w:hAnsiTheme="majorBidi" w:cstheme="majorBidi"/>
          <w:color w:val="000000" w:themeColor="text1"/>
        </w:rPr>
      </w:pPr>
      <w:r>
        <w:rPr>
          <w:rFonts w:asciiTheme="majorBidi" w:hAnsiTheme="majorBidi" w:cstheme="majorBidi"/>
          <w:i/>
          <w:color w:val="000000" w:themeColor="text1"/>
        </w:rPr>
        <w:tab/>
      </w:r>
      <w:r w:rsidR="00F16033" w:rsidRPr="0002002B">
        <w:rPr>
          <w:rFonts w:asciiTheme="majorBidi" w:hAnsiTheme="majorBidi" w:cstheme="majorBidi"/>
          <w:i/>
          <w:color w:val="000000" w:themeColor="text1"/>
        </w:rPr>
        <w:t>Recalling</w:t>
      </w:r>
      <w:r w:rsidR="00F16033" w:rsidRPr="0002002B">
        <w:rPr>
          <w:rFonts w:asciiTheme="majorBidi" w:hAnsiTheme="majorBidi" w:cstheme="majorBidi"/>
          <w:color w:val="000000" w:themeColor="text1"/>
        </w:rPr>
        <w:t xml:space="preserve"> decision </w:t>
      </w:r>
      <w:hyperlink r:id="rId161" w:history="1">
        <w:r w:rsidR="00F16033" w:rsidRPr="00514C67">
          <w:rPr>
            <w:rStyle w:val="Hyperlink"/>
            <w:rFonts w:asciiTheme="majorBidi" w:hAnsiTheme="majorBidi" w:cstheme="majorBidi"/>
          </w:rPr>
          <w:t>3/CMA.3</w:t>
        </w:r>
      </w:hyperlink>
      <w:r w:rsidR="00F16033" w:rsidRPr="0002002B">
        <w:rPr>
          <w:rFonts w:asciiTheme="majorBidi" w:hAnsiTheme="majorBidi" w:cstheme="majorBidi"/>
          <w:color w:val="000000" w:themeColor="text1"/>
        </w:rPr>
        <w:t xml:space="preserve"> and its annex and decision</w:t>
      </w:r>
      <w:r w:rsidR="00F16033" w:rsidRPr="0002002B">
        <w:rPr>
          <w:rFonts w:asciiTheme="majorBidi" w:hAnsiTheme="majorBidi" w:cstheme="majorBidi"/>
          <w:i/>
          <w:color w:val="000000" w:themeColor="text1"/>
        </w:rPr>
        <w:t xml:space="preserve"> </w:t>
      </w:r>
      <w:hyperlink r:id="rId162" w:history="1">
        <w:r w:rsidR="00F16033" w:rsidRPr="00514C67">
          <w:rPr>
            <w:rStyle w:val="Hyperlink"/>
            <w:rFonts w:asciiTheme="majorBidi" w:hAnsiTheme="majorBidi" w:cstheme="majorBidi"/>
          </w:rPr>
          <w:t>7/CMA.4</w:t>
        </w:r>
      </w:hyperlink>
      <w:r w:rsidR="00F16033" w:rsidRPr="0002002B">
        <w:rPr>
          <w:rFonts w:asciiTheme="majorBidi" w:hAnsiTheme="majorBidi" w:cstheme="majorBidi"/>
          <w:color w:val="000000" w:themeColor="text1"/>
        </w:rPr>
        <w:t xml:space="preserve"> and its annexes,</w:t>
      </w:r>
    </w:p>
    <w:p w14:paraId="314A2004" w14:textId="716DF6F7" w:rsidR="00F16033" w:rsidRPr="00E66ECA" w:rsidRDefault="006A36BF" w:rsidP="006A36BF">
      <w:pPr>
        <w:pStyle w:val="RegSingleTxtG"/>
        <w:numPr>
          <w:ilvl w:val="0"/>
          <w:numId w:val="0"/>
        </w:numPr>
        <w:ind w:left="1134"/>
        <w:rPr>
          <w:rFonts w:asciiTheme="majorBidi" w:hAnsiTheme="majorBidi" w:cstheme="majorBidi"/>
          <w:color w:val="000000" w:themeColor="text1"/>
        </w:rPr>
      </w:pPr>
      <w:r>
        <w:rPr>
          <w:rStyle w:val="normaltextrun"/>
          <w:rFonts w:asciiTheme="majorBidi" w:hAnsiTheme="majorBidi" w:cstheme="majorBidi"/>
          <w:i/>
          <w:color w:val="000000" w:themeColor="text1"/>
        </w:rPr>
        <w:tab/>
      </w:r>
      <w:r w:rsidR="00F16033" w:rsidRPr="00E66ECA">
        <w:rPr>
          <w:rStyle w:val="normaltextrun"/>
          <w:rFonts w:asciiTheme="majorBidi" w:hAnsiTheme="majorBidi" w:cstheme="majorBidi"/>
          <w:i/>
          <w:color w:val="000000" w:themeColor="text1"/>
        </w:rPr>
        <w:t>Also recalling</w:t>
      </w:r>
      <w:r w:rsidR="00F16033" w:rsidRPr="00E66ECA">
        <w:rPr>
          <w:rStyle w:val="normaltextrun"/>
          <w:rFonts w:asciiTheme="majorBidi" w:hAnsiTheme="majorBidi" w:cstheme="majorBidi"/>
          <w:color w:val="000000" w:themeColor="text1"/>
        </w:rPr>
        <w:t xml:space="preserve"> decision </w:t>
      </w:r>
      <w:hyperlink r:id="rId163" w:history="1">
        <w:r w:rsidR="00F16033" w:rsidRPr="00514C67">
          <w:rPr>
            <w:rStyle w:val="Hyperlink"/>
            <w:rFonts w:asciiTheme="majorBidi" w:hAnsiTheme="majorBidi" w:cstheme="majorBidi"/>
          </w:rPr>
          <w:t>2/CMA.3</w:t>
        </w:r>
      </w:hyperlink>
      <w:r w:rsidR="00F16033" w:rsidRPr="00E66ECA">
        <w:rPr>
          <w:rStyle w:val="normaltextrun"/>
          <w:rFonts w:asciiTheme="majorBidi" w:hAnsiTheme="majorBidi" w:cstheme="majorBidi"/>
          <w:color w:val="000000" w:themeColor="text1"/>
        </w:rPr>
        <w:t xml:space="preserve">, annex, paragraphs 1(g) and 2, </w:t>
      </w:r>
    </w:p>
    <w:p w14:paraId="03BAFA92" w14:textId="0937E702" w:rsidR="00F16033" w:rsidRPr="00F16033" w:rsidRDefault="00492C76" w:rsidP="00492C76">
      <w:pPr>
        <w:pStyle w:val="RegHChG"/>
        <w:numPr>
          <w:ilvl w:val="0"/>
          <w:numId w:val="0"/>
        </w:numPr>
        <w:tabs>
          <w:tab w:val="left" w:pos="1135"/>
        </w:tabs>
        <w:ind w:left="1135" w:hanging="454"/>
        <w:rPr>
          <w:szCs w:val="28"/>
        </w:rPr>
      </w:pPr>
      <w:r w:rsidRPr="00F16033">
        <w:rPr>
          <w:szCs w:val="28"/>
        </w:rPr>
        <w:t>I.</w:t>
      </w:r>
      <w:r w:rsidRPr="00F16033">
        <w:rPr>
          <w:szCs w:val="28"/>
        </w:rPr>
        <w:tab/>
      </w:r>
      <w:r w:rsidR="00F16033" w:rsidRPr="00F16033">
        <w:rPr>
          <w:szCs w:val="28"/>
        </w:rPr>
        <w:t>Operation of the mechanism established by Article 6, paragraph 4, of the Paris Agreement</w:t>
      </w:r>
    </w:p>
    <w:p w14:paraId="372B6099" w14:textId="6F2C153E" w:rsidR="00F16033" w:rsidRPr="00F16033" w:rsidRDefault="00492C76" w:rsidP="00492C76">
      <w:pPr>
        <w:pStyle w:val="RegSingleTxtG"/>
        <w:numPr>
          <w:ilvl w:val="0"/>
          <w:numId w:val="0"/>
        </w:numPr>
        <w:ind w:left="1134"/>
        <w:rPr>
          <w:rFonts w:asciiTheme="majorBidi" w:hAnsiTheme="majorBidi" w:cstheme="majorBidi"/>
          <w:color w:val="000000" w:themeColor="text1"/>
        </w:rPr>
      </w:pPr>
      <w:r w:rsidRPr="00F16033">
        <w:rPr>
          <w:rFonts w:asciiTheme="majorBidi" w:hAnsiTheme="majorBidi" w:cstheme="majorBidi"/>
          <w:color w:val="000000" w:themeColor="text1"/>
        </w:rPr>
        <w:t>1.</w:t>
      </w:r>
      <w:r w:rsidRPr="00F16033">
        <w:rPr>
          <w:rFonts w:asciiTheme="majorBidi" w:hAnsiTheme="majorBidi" w:cstheme="majorBidi"/>
          <w:color w:val="000000" w:themeColor="text1"/>
        </w:rPr>
        <w:tab/>
      </w:r>
      <w:r w:rsidR="00F16033" w:rsidRPr="00F16033">
        <w:rPr>
          <w:rFonts w:asciiTheme="majorBidi" w:hAnsiTheme="majorBidi" w:cstheme="majorBidi"/>
          <w:i/>
          <w:iCs/>
          <w:color w:val="000000" w:themeColor="text1"/>
        </w:rPr>
        <w:t>Requests</w:t>
      </w:r>
      <w:r w:rsidR="00F16033" w:rsidRPr="00F16033">
        <w:rPr>
          <w:rFonts w:asciiTheme="majorBidi" w:hAnsiTheme="majorBidi" w:cstheme="majorBidi"/>
          <w:color w:val="000000" w:themeColor="text1"/>
        </w:rPr>
        <w:t xml:space="preserve"> </w:t>
      </w:r>
      <w:r w:rsidR="00F16033" w:rsidRPr="00C74EAF">
        <w:t>the</w:t>
      </w:r>
      <w:r w:rsidR="00F16033" w:rsidRPr="00F16033">
        <w:rPr>
          <w:rFonts w:asciiTheme="majorBidi" w:hAnsiTheme="majorBidi" w:cstheme="majorBidi"/>
          <w:color w:val="000000" w:themeColor="text1"/>
        </w:rPr>
        <w:t xml:space="preserve"> Supervisory Body for the mechanism established by Article</w:t>
      </w:r>
      <w:r w:rsidR="00F16033" w:rsidRPr="00E66ECA">
        <w:rPr>
          <w:rStyle w:val="FootnoteReference"/>
          <w:rFonts w:cstheme="majorBidi"/>
          <w:color w:val="000000" w:themeColor="text1"/>
        </w:rPr>
        <w:footnoteReference w:id="45"/>
      </w:r>
      <w:r w:rsidR="00F16033" w:rsidRPr="00F16033">
        <w:rPr>
          <w:rFonts w:asciiTheme="majorBidi" w:hAnsiTheme="majorBidi" w:cstheme="majorBidi"/>
          <w:color w:val="000000" w:themeColor="text1"/>
        </w:rPr>
        <w:t xml:space="preserve"> 6, paragraph 4, and the secretariat to ensure that adequate technical and scientific expertise is available to support their work on methodologies, removals and related operational elements;</w:t>
      </w:r>
    </w:p>
    <w:p w14:paraId="162591D8" w14:textId="381DED79" w:rsidR="00F16033" w:rsidRPr="00E66ECA" w:rsidRDefault="00492C76" w:rsidP="00492C76">
      <w:pPr>
        <w:pStyle w:val="RegSingleTxtG"/>
        <w:numPr>
          <w:ilvl w:val="0"/>
          <w:numId w:val="0"/>
        </w:numPr>
        <w:ind w:left="1134"/>
      </w:pPr>
      <w:r w:rsidRPr="00E66ECA">
        <w:t>2.</w:t>
      </w:r>
      <w:r w:rsidRPr="00E66ECA">
        <w:tab/>
      </w:r>
      <w:r w:rsidR="00F16033" w:rsidRPr="00E66ECA">
        <w:rPr>
          <w:i/>
          <w:iCs/>
        </w:rPr>
        <w:t>Also requests</w:t>
      </w:r>
      <w:r w:rsidR="00F16033" w:rsidRPr="00E66ECA">
        <w:t xml:space="preserve"> the Supervisory Body to engage, in consultation with interested stakeholders, further independent scientific and technical expertise and local communities, include the knowledge, sciences and practices of Indigenous Peoples, as relevant, to support its work, including through its expert panels, to review proposals as necessary and receive independent scientific and technical advice; </w:t>
      </w:r>
    </w:p>
    <w:p w14:paraId="3A58D127" w14:textId="7F59EE75" w:rsidR="00F16033" w:rsidRPr="00E66ECA" w:rsidRDefault="00492C76" w:rsidP="00492C76">
      <w:pPr>
        <w:pStyle w:val="RegSingleTxtG"/>
        <w:numPr>
          <w:ilvl w:val="0"/>
          <w:numId w:val="0"/>
        </w:numPr>
        <w:ind w:left="1134"/>
      </w:pPr>
      <w:r w:rsidRPr="00E66ECA">
        <w:t>3.</w:t>
      </w:r>
      <w:r w:rsidRPr="00E66ECA">
        <w:tab/>
      </w:r>
      <w:r w:rsidR="00F16033" w:rsidRPr="00AA7D07">
        <w:rPr>
          <w:i/>
        </w:rPr>
        <w:t>Further requests</w:t>
      </w:r>
      <w:r w:rsidR="00F16033" w:rsidRPr="00E66ECA">
        <w:t xml:space="preserve"> the Supervisory Body to consider relevant international environmental agreements when carrying out its work, including when implementing the “</w:t>
      </w:r>
      <w:r w:rsidR="00624866">
        <w:t xml:space="preserve">Standard: </w:t>
      </w:r>
      <w:r w:rsidR="00F16033" w:rsidRPr="00E66ECA">
        <w:t xml:space="preserve">Application of the requirements of Chapter V.B (Methodologies) for the development and assessment of </w:t>
      </w:r>
      <w:r w:rsidR="00F16033" w:rsidRPr="00E66ECA" w:rsidDel="006A1C57">
        <w:t>Article 6.4 mechanism</w:t>
      </w:r>
      <w:r w:rsidR="00F16033" w:rsidRPr="00E66ECA">
        <w:t xml:space="preserve"> methodologies”</w:t>
      </w:r>
      <w:r w:rsidR="00F16033">
        <w:t>,</w:t>
      </w:r>
      <w:r w:rsidR="00F16033" w:rsidRPr="00E66ECA">
        <w:rPr>
          <w:rStyle w:val="FootnoteReference"/>
        </w:rPr>
        <w:footnoteReference w:id="46"/>
      </w:r>
      <w:r w:rsidR="00F16033" w:rsidRPr="00E66ECA">
        <w:t xml:space="preserve"> the “Standard: Requirements for activities involving removals under the </w:t>
      </w:r>
      <w:r w:rsidR="00F16033" w:rsidRPr="00E66ECA" w:rsidDel="006A1C57">
        <w:t>Article 6.4 mechanism</w:t>
      </w:r>
      <w:r w:rsidR="00F16033" w:rsidRPr="00E66ECA">
        <w:t>”</w:t>
      </w:r>
      <w:r w:rsidR="00F16033" w:rsidRPr="00E66ECA">
        <w:rPr>
          <w:rStyle w:val="FootnoteReference"/>
        </w:rPr>
        <w:footnoteReference w:id="47"/>
      </w:r>
      <w:r w:rsidR="00F16033" w:rsidRPr="00E66ECA">
        <w:t xml:space="preserve"> and the “Article 6.4 sustainable development tool”;</w:t>
      </w:r>
      <w:r w:rsidR="00F16033" w:rsidRPr="00E66ECA">
        <w:rPr>
          <w:rStyle w:val="FootnoteReference"/>
        </w:rPr>
        <w:footnoteReference w:id="48"/>
      </w:r>
    </w:p>
    <w:p w14:paraId="7C5C9C28" w14:textId="73542D47" w:rsidR="00F16033" w:rsidRPr="00E66ECA" w:rsidDel="00364057" w:rsidRDefault="00492C76" w:rsidP="00492C76">
      <w:pPr>
        <w:pStyle w:val="RegSingleTxtG"/>
        <w:numPr>
          <w:ilvl w:val="0"/>
          <w:numId w:val="0"/>
        </w:numPr>
        <w:ind w:left="1134"/>
      </w:pPr>
      <w:r w:rsidRPr="00E66ECA" w:rsidDel="00364057">
        <w:t>4.</w:t>
      </w:r>
      <w:r w:rsidRPr="00E66ECA" w:rsidDel="00364057">
        <w:tab/>
      </w:r>
      <w:r w:rsidR="00F16033" w:rsidRPr="00E66ECA">
        <w:rPr>
          <w:i/>
          <w:iCs/>
        </w:rPr>
        <w:t>R</w:t>
      </w:r>
      <w:r w:rsidR="00F16033" w:rsidRPr="00E66ECA" w:rsidDel="00364057">
        <w:rPr>
          <w:i/>
          <w:iCs/>
        </w:rPr>
        <w:t xml:space="preserve">equests </w:t>
      </w:r>
      <w:r w:rsidR="00F16033" w:rsidRPr="00E66ECA" w:rsidDel="00364057">
        <w:t xml:space="preserve">the secretariat to strengthen </w:t>
      </w:r>
      <w:r w:rsidR="00F16033" w:rsidRPr="00E66ECA">
        <w:t xml:space="preserve">and reinforce </w:t>
      </w:r>
      <w:r w:rsidR="00F16033" w:rsidRPr="00E66ECA" w:rsidDel="00364057">
        <w:t>its capacity to support the Supervisory Body</w:t>
      </w:r>
      <w:r w:rsidR="00F16033" w:rsidRPr="00E66ECA">
        <w:t>,</w:t>
      </w:r>
      <w:r w:rsidR="00F16033" w:rsidRPr="00E66ECA" w:rsidDel="00364057">
        <w:t xml:space="preserve"> particularly in </w:t>
      </w:r>
      <w:r w:rsidR="00F16033" w:rsidRPr="00E66ECA">
        <w:t xml:space="preserve">its </w:t>
      </w:r>
      <w:r w:rsidR="00F16033" w:rsidRPr="00E66ECA" w:rsidDel="00364057">
        <w:t xml:space="preserve">work </w:t>
      </w:r>
      <w:r w:rsidR="00F16033" w:rsidRPr="00E66ECA">
        <w:t>related to</w:t>
      </w:r>
      <w:r w:rsidR="00F16033" w:rsidRPr="00E66ECA" w:rsidDel="00364057">
        <w:t xml:space="preserve"> standard</w:t>
      </w:r>
      <w:r w:rsidR="00F16033" w:rsidRPr="00E66ECA">
        <w:t>-setting</w:t>
      </w:r>
      <w:r w:rsidR="00F16033" w:rsidRPr="00E66ECA" w:rsidDel="00364057">
        <w:t xml:space="preserve"> and methodologi</w:t>
      </w:r>
      <w:r w:rsidR="00F16033" w:rsidRPr="00E66ECA">
        <w:t>cal matters</w:t>
      </w:r>
      <w:r w:rsidR="00F16033" w:rsidRPr="00E66ECA" w:rsidDel="00364057">
        <w:t>;</w:t>
      </w:r>
      <w:r w:rsidR="00F16033" w:rsidRPr="00E66ECA" w:rsidDel="005F7669">
        <w:t xml:space="preserve"> </w:t>
      </w:r>
    </w:p>
    <w:p w14:paraId="07DFA651" w14:textId="5BAF68CB" w:rsidR="00F16033" w:rsidRPr="00E66ECA" w:rsidRDefault="00492C76" w:rsidP="00492C76">
      <w:pPr>
        <w:pStyle w:val="RegSingleTxtG"/>
        <w:numPr>
          <w:ilvl w:val="0"/>
          <w:numId w:val="0"/>
        </w:numPr>
        <w:ind w:left="1134"/>
        <w:rPr>
          <w:rFonts w:asciiTheme="majorBidi" w:hAnsiTheme="majorBidi" w:cstheme="majorBidi"/>
          <w:color w:val="000000" w:themeColor="text1"/>
        </w:rPr>
      </w:pPr>
      <w:r w:rsidRPr="00E66ECA">
        <w:rPr>
          <w:rFonts w:asciiTheme="majorBidi" w:hAnsiTheme="majorBidi" w:cstheme="majorBidi"/>
          <w:color w:val="000000" w:themeColor="text1"/>
        </w:rPr>
        <w:t>5.</w:t>
      </w:r>
      <w:r w:rsidRPr="00E66ECA">
        <w:rPr>
          <w:rFonts w:asciiTheme="majorBidi" w:hAnsiTheme="majorBidi" w:cstheme="majorBidi"/>
          <w:color w:val="000000" w:themeColor="text1"/>
        </w:rPr>
        <w:tab/>
      </w:r>
      <w:r w:rsidR="00F16033" w:rsidRPr="00E66ECA">
        <w:rPr>
          <w:rFonts w:asciiTheme="majorBidi" w:hAnsiTheme="majorBidi" w:cstheme="majorBidi"/>
          <w:i/>
          <w:iCs/>
          <w:color w:val="000000" w:themeColor="text1"/>
        </w:rPr>
        <w:t xml:space="preserve">Urges </w:t>
      </w:r>
      <w:r w:rsidR="00F16033" w:rsidRPr="00E66ECA">
        <w:rPr>
          <w:rFonts w:asciiTheme="majorBidi" w:hAnsiTheme="majorBidi" w:cstheme="majorBidi"/>
          <w:color w:val="000000" w:themeColor="text1"/>
        </w:rPr>
        <w:t xml:space="preserve">the Supervisory Body and the secretariat to expedite the establishment of the mechanism registry and the relevant procedures therefor; </w:t>
      </w:r>
    </w:p>
    <w:p w14:paraId="29FC279A" w14:textId="04982426" w:rsidR="00F16033" w:rsidRPr="00E66ECA" w:rsidRDefault="00492C76" w:rsidP="00492C76">
      <w:pPr>
        <w:pStyle w:val="RegSingleTxtG"/>
        <w:numPr>
          <w:ilvl w:val="0"/>
          <w:numId w:val="0"/>
        </w:numPr>
        <w:ind w:left="1134"/>
      </w:pPr>
      <w:r w:rsidRPr="00E66ECA">
        <w:t>6.</w:t>
      </w:r>
      <w:r w:rsidRPr="00E66ECA">
        <w:tab/>
      </w:r>
      <w:r w:rsidR="00F16033" w:rsidRPr="00E66ECA">
        <w:rPr>
          <w:rFonts w:asciiTheme="majorBidi" w:hAnsiTheme="majorBidi" w:cstheme="majorBidi"/>
          <w:i/>
          <w:iCs/>
          <w:color w:val="000000" w:themeColor="text1"/>
        </w:rPr>
        <w:t>Requests</w:t>
      </w:r>
      <w:r w:rsidR="00F16033" w:rsidRPr="00E66ECA">
        <w:rPr>
          <w:rFonts w:asciiTheme="majorBidi" w:hAnsiTheme="majorBidi" w:cstheme="majorBidi"/>
          <w:color w:val="000000" w:themeColor="text1"/>
        </w:rPr>
        <w:t xml:space="preserve"> the Supervisory Body, while ensuring ongoing continuous improvements to reflect </w:t>
      </w:r>
      <w:r w:rsidR="00F16033">
        <w:rPr>
          <w:rFonts w:asciiTheme="majorBidi" w:hAnsiTheme="majorBidi" w:cstheme="majorBidi"/>
          <w:color w:val="000000" w:themeColor="text1"/>
        </w:rPr>
        <w:t xml:space="preserve">the </w:t>
      </w:r>
      <w:r w:rsidR="00F16033" w:rsidRPr="00E66ECA">
        <w:rPr>
          <w:rFonts w:asciiTheme="majorBidi" w:hAnsiTheme="majorBidi" w:cstheme="majorBidi"/>
          <w:color w:val="000000" w:themeColor="text1"/>
        </w:rPr>
        <w:t>best available science, to strive to ensure regulatory stability by</w:t>
      </w:r>
      <w:r w:rsidR="00F16033" w:rsidRPr="00E66ECA">
        <w:t xml:space="preserve"> a</w:t>
      </w:r>
      <w:r w:rsidR="00F16033" w:rsidRPr="00E66ECA">
        <w:rPr>
          <w:rFonts w:asciiTheme="majorBidi" w:hAnsiTheme="majorBidi" w:cstheme="majorBidi"/>
          <w:color w:val="000000" w:themeColor="text1"/>
        </w:rPr>
        <w:t xml:space="preserve">voiding frequent substantive revisions to its adopted standards, tools and procedures; </w:t>
      </w:r>
    </w:p>
    <w:p w14:paraId="4987FEEF" w14:textId="77A80A18" w:rsidR="00F16033" w:rsidRPr="00E66ECA" w:rsidRDefault="00492C76" w:rsidP="00492C76">
      <w:pPr>
        <w:pStyle w:val="RegSingleTxtG"/>
        <w:numPr>
          <w:ilvl w:val="0"/>
          <w:numId w:val="0"/>
        </w:numPr>
        <w:ind w:left="1134"/>
        <w:rPr>
          <w:rStyle w:val="RegSingleTxtGChar"/>
          <w:rFonts w:asciiTheme="majorBidi" w:hAnsiTheme="majorBidi" w:cstheme="majorBidi"/>
          <w:color w:val="000000" w:themeColor="text1"/>
        </w:rPr>
      </w:pPr>
      <w:r w:rsidRPr="00E66ECA">
        <w:rPr>
          <w:rStyle w:val="RegSingleTxtGChar"/>
          <w:rFonts w:asciiTheme="majorBidi" w:hAnsiTheme="majorBidi" w:cstheme="majorBidi"/>
          <w:color w:val="000000" w:themeColor="text1"/>
        </w:rPr>
        <w:lastRenderedPageBreak/>
        <w:t>7.</w:t>
      </w:r>
      <w:r w:rsidRPr="00E66ECA">
        <w:rPr>
          <w:rStyle w:val="RegSingleTxtGChar"/>
          <w:rFonts w:asciiTheme="majorBidi" w:hAnsiTheme="majorBidi" w:cstheme="majorBidi"/>
          <w:color w:val="000000" w:themeColor="text1"/>
        </w:rPr>
        <w:tab/>
      </w:r>
      <w:r w:rsidR="00F16033" w:rsidRPr="00E66ECA">
        <w:rPr>
          <w:rFonts w:asciiTheme="majorBidi" w:hAnsiTheme="majorBidi" w:cstheme="majorBidi"/>
          <w:i/>
          <w:iCs/>
          <w:color w:val="000000" w:themeColor="text1"/>
        </w:rPr>
        <w:t>Also requests</w:t>
      </w:r>
      <w:r w:rsidR="00F16033" w:rsidRPr="00E66ECA">
        <w:rPr>
          <w:rStyle w:val="RegSingleTxtGChar"/>
        </w:rPr>
        <w:t xml:space="preserve"> the Chair and the Vice-Chair of the Supervisory Body to orally </w:t>
      </w:r>
      <w:r w:rsidR="00F16033" w:rsidRPr="00E66ECA">
        <w:rPr>
          <w:rFonts w:asciiTheme="majorBidi" w:hAnsiTheme="majorBidi" w:cstheme="majorBidi"/>
          <w:color w:val="000000" w:themeColor="text1"/>
        </w:rPr>
        <w:t>report</w:t>
      </w:r>
      <w:r w:rsidR="00F16033" w:rsidRPr="00E66ECA">
        <w:rPr>
          <w:rFonts w:asciiTheme="majorBidi" w:hAnsiTheme="majorBidi" w:cstheme="majorBidi"/>
          <w:i/>
          <w:iCs/>
          <w:color w:val="000000" w:themeColor="text1"/>
        </w:rPr>
        <w:t xml:space="preserve"> </w:t>
      </w:r>
      <w:r w:rsidR="00F16033" w:rsidRPr="00E66ECA">
        <w:rPr>
          <w:rStyle w:val="RegSingleTxtGChar"/>
        </w:rPr>
        <w:t>to the Conference of the Parties serving as the meeting of the Parties to the Paris Agreement at each of its sessions on the Supervisory Body’s progress in implementing its work during the calendar year based on its mandates;</w:t>
      </w:r>
    </w:p>
    <w:p w14:paraId="014BF550" w14:textId="203DA322" w:rsidR="00F16033" w:rsidRPr="00820931" w:rsidRDefault="00492C76" w:rsidP="00492C76">
      <w:pPr>
        <w:pStyle w:val="RegHChG"/>
        <w:numPr>
          <w:ilvl w:val="0"/>
          <w:numId w:val="0"/>
        </w:numPr>
        <w:tabs>
          <w:tab w:val="left" w:pos="1135"/>
        </w:tabs>
        <w:ind w:left="1135" w:hanging="454"/>
        <w:rPr>
          <w:szCs w:val="28"/>
        </w:rPr>
      </w:pPr>
      <w:r w:rsidRPr="00820931">
        <w:rPr>
          <w:szCs w:val="28"/>
        </w:rPr>
        <w:t>II.</w:t>
      </w:r>
      <w:r w:rsidRPr="00820931">
        <w:rPr>
          <w:szCs w:val="28"/>
        </w:rPr>
        <w:tab/>
      </w:r>
      <w:r w:rsidR="00F16033" w:rsidRPr="00E66ECA">
        <w:rPr>
          <w:szCs w:val="28"/>
        </w:rPr>
        <w:t>Methodologies</w:t>
      </w:r>
      <w:r w:rsidR="00F16033" w:rsidRPr="00E66ECA">
        <w:t xml:space="preserve"> </w:t>
      </w:r>
      <w:r w:rsidR="00F16033" w:rsidRPr="00E66ECA">
        <w:rPr>
          <w:szCs w:val="28"/>
        </w:rPr>
        <w:t xml:space="preserve">under the mechanism established by Article 6, paragraph 4, of the </w:t>
      </w:r>
      <w:r w:rsidR="00F16033" w:rsidRPr="00820931">
        <w:rPr>
          <w:szCs w:val="28"/>
        </w:rPr>
        <w:t>Paris Agreement</w:t>
      </w:r>
    </w:p>
    <w:p w14:paraId="5A0EB369" w14:textId="5E9FD941" w:rsidR="00F16033" w:rsidRPr="00820931" w:rsidRDefault="00492C76" w:rsidP="00492C76">
      <w:pPr>
        <w:pStyle w:val="RegSingleTxtG"/>
        <w:numPr>
          <w:ilvl w:val="0"/>
          <w:numId w:val="0"/>
        </w:numPr>
        <w:ind w:left="1134"/>
        <w:rPr>
          <w:rFonts w:asciiTheme="majorBidi" w:hAnsiTheme="majorBidi" w:cstheme="majorBidi"/>
          <w:color w:val="000000" w:themeColor="text1"/>
        </w:rPr>
      </w:pPr>
      <w:bookmarkStart w:id="28" w:name="_Ref182830343"/>
      <w:r w:rsidRPr="00820931">
        <w:rPr>
          <w:rFonts w:asciiTheme="majorBidi" w:hAnsiTheme="majorBidi" w:cstheme="majorBidi"/>
          <w:color w:val="000000" w:themeColor="text1"/>
        </w:rPr>
        <w:t>8.</w:t>
      </w:r>
      <w:r w:rsidRPr="00820931">
        <w:rPr>
          <w:rFonts w:asciiTheme="majorBidi" w:hAnsiTheme="majorBidi" w:cstheme="majorBidi"/>
          <w:color w:val="000000" w:themeColor="text1"/>
        </w:rPr>
        <w:tab/>
      </w:r>
      <w:r w:rsidR="00F16033" w:rsidRPr="00820931">
        <w:rPr>
          <w:rFonts w:asciiTheme="majorBidi" w:hAnsiTheme="majorBidi" w:cstheme="majorBidi"/>
          <w:i/>
          <w:iCs/>
          <w:color w:val="000000" w:themeColor="text1"/>
        </w:rPr>
        <w:t>Encourages</w:t>
      </w:r>
      <w:r w:rsidR="00F16033" w:rsidRPr="00820931">
        <w:rPr>
          <w:rFonts w:asciiTheme="majorBidi" w:hAnsiTheme="majorBidi" w:cstheme="majorBidi"/>
          <w:color w:val="000000" w:themeColor="text1"/>
        </w:rPr>
        <w:t xml:space="preserve"> the Supervisory Body, noting that it has already developed its preliminary workplan for 2025, to expedite its work on </w:t>
      </w:r>
      <w:r w:rsidR="00F16033" w:rsidRPr="00820931">
        <w:t xml:space="preserve">further standards, tools and guidelines relating to baselines, downward adjustment, standardized baselines, suppressed demand, additionality, and leakage, as well as non-permanence and reversals including aspects of post-crediting period monitoring, reversal risk assessments, and remediation measures; </w:t>
      </w:r>
    </w:p>
    <w:p w14:paraId="0105A994" w14:textId="7A425ABC" w:rsidR="00F16033" w:rsidRPr="00E66ECA" w:rsidRDefault="00492C76" w:rsidP="00492C76">
      <w:pPr>
        <w:pStyle w:val="RegSingleTxtG"/>
        <w:numPr>
          <w:ilvl w:val="0"/>
          <w:numId w:val="0"/>
        </w:numPr>
        <w:ind w:left="1134"/>
        <w:rPr>
          <w:rFonts w:asciiTheme="majorBidi" w:hAnsiTheme="majorBidi" w:cstheme="majorBidi"/>
          <w:color w:val="000000" w:themeColor="text1"/>
        </w:rPr>
      </w:pPr>
      <w:r w:rsidRPr="00E66ECA">
        <w:rPr>
          <w:rFonts w:asciiTheme="majorBidi" w:hAnsiTheme="majorBidi" w:cstheme="majorBidi"/>
          <w:color w:val="000000" w:themeColor="text1"/>
        </w:rPr>
        <w:t>9.</w:t>
      </w:r>
      <w:r w:rsidRPr="00E66ECA">
        <w:rPr>
          <w:rFonts w:asciiTheme="majorBidi" w:hAnsiTheme="majorBidi" w:cstheme="majorBidi"/>
          <w:color w:val="000000" w:themeColor="text1"/>
        </w:rPr>
        <w:tab/>
      </w:r>
      <w:r w:rsidR="00F16033" w:rsidRPr="00820931">
        <w:rPr>
          <w:rFonts w:asciiTheme="majorBidi" w:hAnsiTheme="majorBidi" w:cstheme="majorBidi"/>
          <w:i/>
          <w:iCs/>
          <w:color w:val="000000" w:themeColor="text1"/>
        </w:rPr>
        <w:t>Requests</w:t>
      </w:r>
      <w:r w:rsidR="00F16033" w:rsidRPr="00820931">
        <w:rPr>
          <w:rFonts w:asciiTheme="majorBidi" w:hAnsiTheme="majorBidi" w:cstheme="majorBidi"/>
          <w:color w:val="000000" w:themeColor="text1"/>
        </w:rPr>
        <w:t xml:space="preserve"> the Supervisory Body, recalling</w:t>
      </w:r>
      <w:r w:rsidR="00F16033" w:rsidRPr="00820931">
        <w:rPr>
          <w:rFonts w:asciiTheme="majorBidi" w:hAnsiTheme="majorBidi" w:cstheme="majorBidi"/>
          <w:i/>
          <w:iCs/>
          <w:color w:val="000000" w:themeColor="text1"/>
        </w:rPr>
        <w:t xml:space="preserve"> </w:t>
      </w:r>
      <w:r w:rsidR="00F16033" w:rsidRPr="00820931">
        <w:rPr>
          <w:rFonts w:asciiTheme="majorBidi" w:hAnsiTheme="majorBidi" w:cstheme="majorBidi"/>
          <w:color w:val="000000" w:themeColor="text1"/>
        </w:rPr>
        <w:t xml:space="preserve">decision </w:t>
      </w:r>
      <w:hyperlink r:id="rId164" w:history="1">
        <w:r w:rsidR="00F16033" w:rsidRPr="00514C67">
          <w:rPr>
            <w:rStyle w:val="Hyperlink"/>
            <w:rFonts w:asciiTheme="majorBidi" w:hAnsiTheme="majorBidi" w:cstheme="majorBidi"/>
          </w:rPr>
          <w:t>3/CMA.3</w:t>
        </w:r>
      </w:hyperlink>
      <w:r w:rsidR="00F16033" w:rsidRPr="00820931">
        <w:rPr>
          <w:rFonts w:asciiTheme="majorBidi" w:hAnsiTheme="majorBidi" w:cstheme="majorBidi"/>
          <w:color w:val="000000" w:themeColor="text1"/>
        </w:rPr>
        <w:t>, paragraph 5(b)(i), to accelerate the revision of the baseline and monitoring methodologies in use for the clean development mechanism under Article 12 of the Kyoto</w:t>
      </w:r>
      <w:r w:rsidR="00F16033" w:rsidRPr="00E66ECA">
        <w:rPr>
          <w:rFonts w:asciiTheme="majorBidi" w:hAnsiTheme="majorBidi" w:cstheme="majorBidi"/>
          <w:color w:val="000000" w:themeColor="text1"/>
        </w:rPr>
        <w:t xml:space="preserve"> Protocol with a view to applying them with revisions, as appropriate, pursuant to decision </w:t>
      </w:r>
      <w:hyperlink r:id="rId165" w:history="1">
        <w:r w:rsidR="00F16033" w:rsidRPr="00514C67">
          <w:rPr>
            <w:rStyle w:val="Hyperlink"/>
            <w:rFonts w:asciiTheme="majorBidi" w:hAnsiTheme="majorBidi" w:cstheme="majorBidi"/>
          </w:rPr>
          <w:t>3/CMA.3</w:t>
        </w:r>
      </w:hyperlink>
      <w:r w:rsidR="00F16033" w:rsidRPr="00E66ECA">
        <w:rPr>
          <w:rFonts w:asciiTheme="majorBidi" w:hAnsiTheme="majorBidi" w:cstheme="majorBidi"/>
          <w:color w:val="000000" w:themeColor="text1"/>
        </w:rPr>
        <w:t>, annex, chapter V.B (Methodologies), for activities under the mechanism established by Article 6, paragraph 4;</w:t>
      </w:r>
    </w:p>
    <w:bookmarkEnd w:id="28"/>
    <w:p w14:paraId="514736F5" w14:textId="06049E87" w:rsidR="00F16033" w:rsidRPr="00E66ECA" w:rsidRDefault="00492C76" w:rsidP="00492C76">
      <w:pPr>
        <w:pStyle w:val="RegHChG"/>
        <w:numPr>
          <w:ilvl w:val="0"/>
          <w:numId w:val="0"/>
        </w:numPr>
        <w:tabs>
          <w:tab w:val="left" w:pos="1135"/>
        </w:tabs>
        <w:ind w:left="1135" w:hanging="454"/>
        <w:rPr>
          <w:szCs w:val="28"/>
        </w:rPr>
      </w:pPr>
      <w:r w:rsidRPr="00E66ECA">
        <w:rPr>
          <w:szCs w:val="28"/>
        </w:rPr>
        <w:t>III.</w:t>
      </w:r>
      <w:r w:rsidRPr="00E66ECA">
        <w:rPr>
          <w:szCs w:val="28"/>
        </w:rPr>
        <w:tab/>
      </w:r>
      <w:r w:rsidR="00F16033" w:rsidRPr="00E66ECA">
        <w:rPr>
          <w:rStyle w:val="normaltextrun"/>
        </w:rPr>
        <w:t>Authorization of Article 6, paragraph 4, emission reductions</w:t>
      </w:r>
      <w:r w:rsidR="00F16033" w:rsidRPr="00E66ECA">
        <w:rPr>
          <w:szCs w:val="28"/>
        </w:rPr>
        <w:t xml:space="preserve"> </w:t>
      </w:r>
    </w:p>
    <w:p w14:paraId="34142494" w14:textId="3E2E01B7" w:rsidR="00F16033" w:rsidRPr="00E66ECA" w:rsidRDefault="00492C76" w:rsidP="00492C76">
      <w:pPr>
        <w:pStyle w:val="RegSingleTxtG"/>
        <w:numPr>
          <w:ilvl w:val="0"/>
          <w:numId w:val="0"/>
        </w:numPr>
        <w:ind w:left="1134"/>
      </w:pPr>
      <w:r w:rsidRPr="00E66ECA">
        <w:t>10.</w:t>
      </w:r>
      <w:r w:rsidRPr="00E66ECA">
        <w:tab/>
      </w:r>
      <w:r w:rsidR="00F16033" w:rsidRPr="00E66ECA">
        <w:rPr>
          <w:i/>
          <w:iCs/>
        </w:rPr>
        <w:t>Recalls</w:t>
      </w:r>
      <w:r w:rsidR="00F16033" w:rsidRPr="00E66ECA">
        <w:t xml:space="preserve"> that, pursuant to decision </w:t>
      </w:r>
      <w:hyperlink r:id="rId166" w:history="1">
        <w:r w:rsidR="00F16033" w:rsidRPr="00514C67">
          <w:rPr>
            <w:rStyle w:val="Hyperlink"/>
          </w:rPr>
          <w:t>7/CMA.4</w:t>
        </w:r>
      </w:hyperlink>
      <w:r w:rsidR="00F16033" w:rsidRPr="00E66ECA">
        <w:t xml:space="preserve">, annex I, paragraph 38, the mechanism registry administrator shall, at the time of issuance of </w:t>
      </w:r>
      <w:r w:rsidR="00F16033">
        <w:t>Article 6, paragraph 4</w:t>
      </w:r>
      <w:r w:rsidR="00F16033" w:rsidRPr="00E66ECA">
        <w:t xml:space="preserve">, </w:t>
      </w:r>
      <w:r w:rsidR="00F16033">
        <w:t xml:space="preserve">emission reductions, </w:t>
      </w:r>
      <w:r w:rsidR="00F16033" w:rsidRPr="00E66ECA">
        <w:t xml:space="preserve">assign their authorization status in accordance with the statement by the host Party provided to the Supervisory Body pursuant to decision </w:t>
      </w:r>
      <w:hyperlink r:id="rId167" w:history="1">
        <w:r w:rsidR="00F16033" w:rsidRPr="00514C67">
          <w:rPr>
            <w:rStyle w:val="Hyperlink"/>
          </w:rPr>
          <w:t>3/CMA.3</w:t>
        </w:r>
      </w:hyperlink>
      <w:r w:rsidR="00F16033" w:rsidRPr="00E66ECA">
        <w:t xml:space="preserve">, annex, paragraph 42, and </w:t>
      </w:r>
      <w:r w:rsidR="00F16033" w:rsidRPr="00E66ECA">
        <w:rPr>
          <w:i/>
          <w:iCs/>
        </w:rPr>
        <w:t>encourages</w:t>
      </w:r>
      <w:r w:rsidR="00F16033" w:rsidRPr="00E66ECA">
        <w:t xml:space="preserve"> the host Party to provide to the Supervisory Body the statement of authorization of </w:t>
      </w:r>
      <w:r w:rsidR="00F16033">
        <w:t>Article 6, paragraph 4, emission reductions</w:t>
      </w:r>
      <w:r w:rsidR="00F16033" w:rsidRPr="00E66ECA">
        <w:t xml:space="preserve"> as early as possible; </w:t>
      </w:r>
    </w:p>
    <w:p w14:paraId="03CC2354" w14:textId="753CF272" w:rsidR="00F16033" w:rsidRPr="00E66ECA" w:rsidRDefault="00492C76" w:rsidP="00492C76">
      <w:pPr>
        <w:pStyle w:val="RegSingleTxtG"/>
        <w:numPr>
          <w:ilvl w:val="0"/>
          <w:numId w:val="0"/>
        </w:numPr>
        <w:ind w:left="1134"/>
        <w:rPr>
          <w:rStyle w:val="normaltextrun"/>
        </w:rPr>
      </w:pPr>
      <w:r w:rsidRPr="00E66ECA">
        <w:rPr>
          <w:rStyle w:val="normaltextrun"/>
        </w:rPr>
        <w:t>11.</w:t>
      </w:r>
      <w:r w:rsidRPr="00E66ECA">
        <w:rPr>
          <w:rStyle w:val="normaltextrun"/>
        </w:rPr>
        <w:tab/>
      </w:r>
      <w:r w:rsidR="00F16033" w:rsidRPr="00E66ECA">
        <w:rPr>
          <w:rStyle w:val="normaltextrun"/>
          <w:i/>
          <w:iCs/>
        </w:rPr>
        <w:t xml:space="preserve">Clarifies </w:t>
      </w:r>
      <w:r w:rsidR="00F16033" w:rsidRPr="00E66ECA">
        <w:rPr>
          <w:rStyle w:val="normaltextrun"/>
        </w:rPr>
        <w:t>that the statement referred to in paragraph 10 above shall contain information, which may be included as part of the approval of the Article 6, paragraph 4, activity by the host Party, on whether it:</w:t>
      </w:r>
    </w:p>
    <w:p w14:paraId="4973EDA9" w14:textId="5BD42930" w:rsidR="00F16033" w:rsidRPr="00E66ECA" w:rsidRDefault="00492C76" w:rsidP="00492C76">
      <w:pPr>
        <w:pStyle w:val="RegSingleTxtG2"/>
        <w:numPr>
          <w:ilvl w:val="0"/>
          <w:numId w:val="0"/>
        </w:numPr>
        <w:tabs>
          <w:tab w:val="left" w:pos="1702"/>
        </w:tabs>
        <w:ind w:left="1134" w:firstLine="567"/>
        <w:rPr>
          <w:rStyle w:val="normaltextrun"/>
        </w:rPr>
      </w:pPr>
      <w:r w:rsidRPr="00E66ECA">
        <w:rPr>
          <w:rStyle w:val="normaltextrun"/>
          <w:szCs w:val="28"/>
        </w:rPr>
        <w:t>(a)</w:t>
      </w:r>
      <w:r w:rsidRPr="00E66ECA">
        <w:rPr>
          <w:rStyle w:val="normaltextrun"/>
          <w:szCs w:val="28"/>
        </w:rPr>
        <w:tab/>
      </w:r>
      <w:r w:rsidR="00F16033" w:rsidRPr="00E66ECA">
        <w:rPr>
          <w:rStyle w:val="normaltextrun"/>
        </w:rPr>
        <w:t xml:space="preserve">Authorizes, in full or in part, the </w:t>
      </w:r>
      <w:r w:rsidR="00F16033">
        <w:t>Article 6, paragraph 4, emission reductions</w:t>
      </w:r>
      <w:r w:rsidR="00F16033" w:rsidRPr="00E66ECA">
        <w:t xml:space="preserve"> </w:t>
      </w:r>
      <w:r w:rsidR="00F16033" w:rsidRPr="00E66ECA">
        <w:rPr>
          <w:rStyle w:val="normaltextrun"/>
        </w:rPr>
        <w:t xml:space="preserve">to be issued for the underlying activity for use towards achievement of </w:t>
      </w:r>
      <w:r w:rsidR="00F16033">
        <w:rPr>
          <w:rStyle w:val="normaltextrun"/>
        </w:rPr>
        <w:t>nationally determined contributions</w:t>
      </w:r>
      <w:r w:rsidR="00F16033" w:rsidRPr="00E66ECA">
        <w:rPr>
          <w:rStyle w:val="normaltextrun"/>
        </w:rPr>
        <w:t xml:space="preserve"> and/or for other international mitigation purposes pursuant to decision </w:t>
      </w:r>
      <w:hyperlink r:id="rId168" w:history="1">
        <w:r w:rsidR="00F16033" w:rsidRPr="00514C67">
          <w:rPr>
            <w:rStyle w:val="Hyperlink"/>
          </w:rPr>
          <w:t>2/CMA.3</w:t>
        </w:r>
      </w:hyperlink>
      <w:r w:rsidR="00F16033" w:rsidRPr="00E66ECA">
        <w:rPr>
          <w:rStyle w:val="normaltextrun"/>
        </w:rPr>
        <w:t xml:space="preserve">, annex, paragraph 1(d) and (f); </w:t>
      </w:r>
    </w:p>
    <w:p w14:paraId="7F71434F" w14:textId="1B13A601" w:rsidR="00F16033" w:rsidRPr="00E66ECA" w:rsidRDefault="00492C76" w:rsidP="00492C76">
      <w:pPr>
        <w:pStyle w:val="RegSingleTxtG2"/>
        <w:numPr>
          <w:ilvl w:val="0"/>
          <w:numId w:val="0"/>
        </w:numPr>
        <w:tabs>
          <w:tab w:val="left" w:pos="1702"/>
        </w:tabs>
        <w:ind w:left="1134" w:firstLine="567"/>
        <w:rPr>
          <w:rStyle w:val="normaltextrun"/>
        </w:rPr>
      </w:pPr>
      <w:r w:rsidRPr="00E66ECA">
        <w:rPr>
          <w:rStyle w:val="normaltextrun"/>
          <w:szCs w:val="28"/>
        </w:rPr>
        <w:t>(b)</w:t>
      </w:r>
      <w:r w:rsidRPr="00E66ECA">
        <w:rPr>
          <w:rStyle w:val="normaltextrun"/>
          <w:szCs w:val="28"/>
        </w:rPr>
        <w:tab/>
      </w:r>
      <w:r w:rsidR="00F16033" w:rsidRPr="00E66ECA">
        <w:rPr>
          <w:rStyle w:val="normaltextrun"/>
        </w:rPr>
        <w:t xml:space="preserve">Does not authorize any </w:t>
      </w:r>
      <w:r w:rsidR="00F16033">
        <w:t>Article 6, paragraph 4, emission reductions</w:t>
      </w:r>
      <w:r w:rsidR="00F16033" w:rsidRPr="00E66ECA">
        <w:rPr>
          <w:rStyle w:val="normaltextrun"/>
        </w:rPr>
        <w:t xml:space="preserve"> to be issued for the underlying activity for use towards achievement of </w:t>
      </w:r>
      <w:r w:rsidR="00F16033">
        <w:rPr>
          <w:rStyle w:val="normaltextrun"/>
        </w:rPr>
        <w:t>nationally determined contributions</w:t>
      </w:r>
      <w:r w:rsidR="00F16033" w:rsidRPr="00E66ECA">
        <w:rPr>
          <w:rStyle w:val="normaltextrun"/>
        </w:rPr>
        <w:t xml:space="preserve"> and/or for other international mitigation purposes pursuant to decision </w:t>
      </w:r>
      <w:hyperlink r:id="rId169" w:history="1">
        <w:r w:rsidR="00F16033" w:rsidRPr="00514C67">
          <w:rPr>
            <w:rStyle w:val="Hyperlink"/>
          </w:rPr>
          <w:t>2/CMA.3</w:t>
        </w:r>
      </w:hyperlink>
      <w:r w:rsidR="00F16033" w:rsidRPr="00E66ECA">
        <w:rPr>
          <w:rStyle w:val="normaltextrun"/>
        </w:rPr>
        <w:t xml:space="preserve">, annex, paragraph 1(d) and (f); </w:t>
      </w:r>
    </w:p>
    <w:p w14:paraId="37302283" w14:textId="6E6E5DDC" w:rsidR="00F16033" w:rsidRPr="00E66ECA" w:rsidRDefault="00492C76" w:rsidP="00492C76">
      <w:pPr>
        <w:pStyle w:val="RegSingleTxtG2"/>
        <w:numPr>
          <w:ilvl w:val="0"/>
          <w:numId w:val="0"/>
        </w:numPr>
        <w:tabs>
          <w:tab w:val="left" w:pos="1702"/>
        </w:tabs>
        <w:ind w:left="1134" w:firstLine="567"/>
        <w:rPr>
          <w:rStyle w:val="normaltextrun"/>
        </w:rPr>
      </w:pPr>
      <w:r w:rsidRPr="00E66ECA">
        <w:rPr>
          <w:rStyle w:val="normaltextrun"/>
          <w:szCs w:val="28"/>
        </w:rPr>
        <w:t>(c)</w:t>
      </w:r>
      <w:r w:rsidRPr="00E66ECA">
        <w:rPr>
          <w:rStyle w:val="normaltextrun"/>
          <w:szCs w:val="28"/>
        </w:rPr>
        <w:tab/>
      </w:r>
      <w:r w:rsidR="00F16033" w:rsidRPr="00E66ECA">
        <w:rPr>
          <w:rStyle w:val="normaltextrun"/>
        </w:rPr>
        <w:t xml:space="preserve">Allows mitigation contribution </w:t>
      </w:r>
      <w:r w:rsidR="00F16033">
        <w:t>Article 6, paragraph 4, emission reductions</w:t>
      </w:r>
      <w:r w:rsidR="00F16033" w:rsidRPr="00E66ECA">
        <w:t xml:space="preserve"> </w:t>
      </w:r>
      <w:r w:rsidR="00F16033" w:rsidRPr="00E66ECA">
        <w:rPr>
          <w:rStyle w:val="normaltextrun"/>
        </w:rPr>
        <w:t xml:space="preserve">to be issued for the underlying activity, while noting that the host Party may authorize the </w:t>
      </w:r>
      <w:r w:rsidR="00F16033">
        <w:rPr>
          <w:rStyle w:val="normaltextrun"/>
        </w:rPr>
        <w:t xml:space="preserve">Article 6, paragraph 4, </w:t>
      </w:r>
      <w:r w:rsidR="00F16033">
        <w:t>emission reductions</w:t>
      </w:r>
      <w:r w:rsidR="00F16033" w:rsidRPr="00E66ECA">
        <w:t xml:space="preserve"> </w:t>
      </w:r>
      <w:r w:rsidR="00F16033" w:rsidRPr="00E66ECA">
        <w:rPr>
          <w:rStyle w:val="normaltextrun"/>
        </w:rPr>
        <w:t xml:space="preserve">at a later stage subject to the provisions referred to in paragraph 12 below; </w:t>
      </w:r>
    </w:p>
    <w:p w14:paraId="4CA8DC52" w14:textId="361F6B91" w:rsidR="00F16033" w:rsidRPr="00E66ECA" w:rsidRDefault="00492C76" w:rsidP="00492C76">
      <w:pPr>
        <w:pStyle w:val="RegSingleTxtG"/>
        <w:numPr>
          <w:ilvl w:val="0"/>
          <w:numId w:val="0"/>
        </w:numPr>
        <w:ind w:left="1134"/>
        <w:rPr>
          <w:rStyle w:val="normaltextrun"/>
          <w:sz w:val="22"/>
          <w:szCs w:val="22"/>
        </w:rPr>
      </w:pPr>
      <w:r w:rsidRPr="00E66ECA">
        <w:rPr>
          <w:rStyle w:val="normaltextrun"/>
          <w:szCs w:val="22"/>
        </w:rPr>
        <w:t>12.</w:t>
      </w:r>
      <w:r w:rsidRPr="00E66ECA">
        <w:rPr>
          <w:rStyle w:val="normaltextrun"/>
          <w:szCs w:val="22"/>
        </w:rPr>
        <w:tab/>
      </w:r>
      <w:r w:rsidR="00F16033" w:rsidRPr="00E66ECA">
        <w:rPr>
          <w:rStyle w:val="normaltextrun"/>
          <w:i/>
          <w:iCs/>
        </w:rPr>
        <w:t>Decides</w:t>
      </w:r>
      <w:r w:rsidR="00F16033" w:rsidRPr="00E66ECA">
        <w:rPr>
          <w:rStyle w:val="normaltextrun"/>
        </w:rPr>
        <w:t xml:space="preserve"> that the host Party may authorize, for use towards achievement of nationally determined contributions and/or for other international mitigation purposes, as defined in decision </w:t>
      </w:r>
      <w:hyperlink r:id="rId170" w:history="1">
        <w:r w:rsidR="00F16033" w:rsidRPr="00514C67">
          <w:rPr>
            <w:rStyle w:val="Hyperlink"/>
          </w:rPr>
          <w:t>2/CMA.3</w:t>
        </w:r>
      </w:hyperlink>
      <w:r w:rsidR="00F16033" w:rsidRPr="00E66ECA">
        <w:rPr>
          <w:rStyle w:val="normaltextrun"/>
        </w:rPr>
        <w:t xml:space="preserve">, annex, paragraph 1(d) and (f), mitigation contribution </w:t>
      </w:r>
      <w:r w:rsidR="00F16033">
        <w:t>Article 6, paragraph 4, emission reductions</w:t>
      </w:r>
      <w:r w:rsidR="00F16033" w:rsidRPr="00E66ECA">
        <w:t xml:space="preserve"> </w:t>
      </w:r>
      <w:r w:rsidR="00F16033" w:rsidRPr="00E66ECA">
        <w:rPr>
          <w:rStyle w:val="normaltextrun"/>
        </w:rPr>
        <w:t xml:space="preserve">already issued by providing to the Supervisory Body a statement of authorization within the specified time frame referred to in paragraph 13 below, which applies from the date of issuance prior to any transfer of the mitigation contribution </w:t>
      </w:r>
      <w:r w:rsidR="00F16033">
        <w:t>Article 6, paragraph 4, emission reductions</w:t>
      </w:r>
      <w:r w:rsidR="00F16033" w:rsidRPr="00E66ECA">
        <w:t xml:space="preserve"> </w:t>
      </w:r>
      <w:r w:rsidR="00F16033" w:rsidRPr="00E66ECA">
        <w:rPr>
          <w:rStyle w:val="normaltextrun"/>
        </w:rPr>
        <w:t>in or out of the mechanism registry,</w:t>
      </w:r>
      <w:r w:rsidR="00F16033" w:rsidRPr="00E66ECA" w:rsidDel="00596DEC">
        <w:rPr>
          <w:rStyle w:val="normaltextrun"/>
        </w:rPr>
        <w:t xml:space="preserve"> </w:t>
      </w:r>
      <w:r w:rsidR="00F16033" w:rsidRPr="00E66ECA">
        <w:rPr>
          <w:rStyle w:val="normaltextrun"/>
        </w:rPr>
        <w:t xml:space="preserve">and applying the requirements for corresponding adjustments with respect to the corresponding mitigation contribution </w:t>
      </w:r>
      <w:r w:rsidR="00F16033">
        <w:t>Article 6, paragraph 4, emission reductions</w:t>
      </w:r>
      <w:r w:rsidR="00F16033" w:rsidRPr="00E66ECA">
        <w:t xml:space="preserve"> </w:t>
      </w:r>
      <w:r w:rsidR="00F16033" w:rsidRPr="00E66ECA">
        <w:rPr>
          <w:rStyle w:val="normaltextrun"/>
        </w:rPr>
        <w:t xml:space="preserve">already forwarded for </w:t>
      </w:r>
      <w:r w:rsidR="001D736A">
        <w:rPr>
          <w:rStyle w:val="normaltextrun"/>
        </w:rPr>
        <w:t>the</w:t>
      </w:r>
      <w:r w:rsidR="00F16033" w:rsidRPr="00E66ECA">
        <w:rPr>
          <w:rStyle w:val="normaltextrun"/>
        </w:rPr>
        <w:t xml:space="preserve"> share of proceeds for adaptation pursuant to decision </w:t>
      </w:r>
      <w:hyperlink r:id="rId171" w:history="1">
        <w:r w:rsidR="00F16033" w:rsidRPr="00514C67">
          <w:rPr>
            <w:rStyle w:val="Hyperlink"/>
          </w:rPr>
          <w:t>7/CMA.4</w:t>
        </w:r>
      </w:hyperlink>
      <w:r w:rsidR="00F16033" w:rsidRPr="00E66ECA">
        <w:rPr>
          <w:rStyle w:val="normaltextrun"/>
        </w:rPr>
        <w:t xml:space="preserve">, annex I, paragraph 39, and cancelled to deliver overall mitigation in global emissions pursuant to decision </w:t>
      </w:r>
      <w:hyperlink r:id="rId172" w:history="1">
        <w:r w:rsidR="00F16033" w:rsidRPr="00514C67">
          <w:rPr>
            <w:rStyle w:val="Hyperlink"/>
          </w:rPr>
          <w:t>7/CMA.4</w:t>
        </w:r>
      </w:hyperlink>
      <w:r w:rsidR="00F16033" w:rsidRPr="00E66ECA">
        <w:rPr>
          <w:rStyle w:val="normaltextrun"/>
        </w:rPr>
        <w:t>, annex I, paragraph 40;</w:t>
      </w:r>
    </w:p>
    <w:p w14:paraId="051922BD" w14:textId="198FA0FB" w:rsidR="00F16033" w:rsidRPr="00820931" w:rsidRDefault="00492C76" w:rsidP="00492C76">
      <w:pPr>
        <w:pStyle w:val="RegSingleTxtG"/>
        <w:numPr>
          <w:ilvl w:val="0"/>
          <w:numId w:val="0"/>
        </w:numPr>
        <w:ind w:left="1134"/>
        <w:rPr>
          <w:rStyle w:val="normaltextrun"/>
        </w:rPr>
      </w:pPr>
      <w:r w:rsidRPr="00820931">
        <w:rPr>
          <w:rStyle w:val="normaltextrun"/>
        </w:rPr>
        <w:lastRenderedPageBreak/>
        <w:t>13.</w:t>
      </w:r>
      <w:r w:rsidRPr="00820931">
        <w:rPr>
          <w:rStyle w:val="normaltextrun"/>
        </w:rPr>
        <w:tab/>
      </w:r>
      <w:r w:rsidR="00F16033" w:rsidRPr="00AA7D07">
        <w:rPr>
          <w:rStyle w:val="normaltextrun"/>
          <w:i/>
        </w:rPr>
        <w:t>Requests</w:t>
      </w:r>
      <w:r w:rsidR="00F16033" w:rsidRPr="00E66ECA">
        <w:rPr>
          <w:rStyle w:val="normaltextrun"/>
        </w:rPr>
        <w:t xml:space="preserve"> the Supervisory Body to consider and determine whether, based on its experience, there is a need to </w:t>
      </w:r>
      <w:r w:rsidR="00F16033" w:rsidRPr="00820931">
        <w:rPr>
          <w:rStyle w:val="normaltextrun"/>
        </w:rPr>
        <w:t>set a time limit, from the date of issuance to when the host Party shall provide a statement of authorization, and report back in its annual report to the Conference of the Parties serving as the meeting of the Parties to the Paris Agreement at its seventh session (November 2025);</w:t>
      </w:r>
    </w:p>
    <w:p w14:paraId="3056642F" w14:textId="798C61C4" w:rsidR="00F16033" w:rsidRPr="00820931" w:rsidRDefault="00492C76" w:rsidP="00492C76">
      <w:pPr>
        <w:pStyle w:val="RegSingleTxtG"/>
        <w:numPr>
          <w:ilvl w:val="0"/>
          <w:numId w:val="0"/>
        </w:numPr>
        <w:ind w:left="1134"/>
        <w:rPr>
          <w:rStyle w:val="normaltextrun"/>
        </w:rPr>
      </w:pPr>
      <w:r w:rsidRPr="00820931">
        <w:rPr>
          <w:rStyle w:val="normaltextrun"/>
        </w:rPr>
        <w:t>14.</w:t>
      </w:r>
      <w:r w:rsidRPr="00820931">
        <w:rPr>
          <w:rStyle w:val="normaltextrun"/>
        </w:rPr>
        <w:tab/>
      </w:r>
      <w:r w:rsidR="00F16033" w:rsidRPr="00820931">
        <w:rPr>
          <w:rStyle w:val="normaltextrun"/>
          <w:i/>
          <w:iCs/>
        </w:rPr>
        <w:t>Also requests</w:t>
      </w:r>
      <w:r w:rsidR="00F16033" w:rsidRPr="00820931">
        <w:rPr>
          <w:rStyle w:val="normaltextrun"/>
        </w:rPr>
        <w:t xml:space="preserve"> the secretariat, with the approval of</w:t>
      </w:r>
      <w:r w:rsidR="00F16033" w:rsidRPr="00820931" w:rsidDel="007E0A99">
        <w:rPr>
          <w:rStyle w:val="normaltextrun"/>
        </w:rPr>
        <w:t xml:space="preserve"> the </w:t>
      </w:r>
      <w:r w:rsidR="00F16033" w:rsidRPr="00820931">
        <w:rPr>
          <w:rStyle w:val="normaltextrun"/>
        </w:rPr>
        <w:t>Supervisory Body, to establish necessary guidelines for and operationalize the process referred to in paragraph 12 above, ensuring that:</w:t>
      </w:r>
    </w:p>
    <w:p w14:paraId="7D4E2966" w14:textId="046D8B79" w:rsidR="00F16033" w:rsidRPr="00820931" w:rsidRDefault="00492C76" w:rsidP="00492C76">
      <w:pPr>
        <w:pStyle w:val="RegSingleTxtG2"/>
        <w:numPr>
          <w:ilvl w:val="0"/>
          <w:numId w:val="0"/>
        </w:numPr>
        <w:tabs>
          <w:tab w:val="left" w:pos="1702"/>
        </w:tabs>
        <w:ind w:left="1134" w:firstLine="567"/>
        <w:rPr>
          <w:rStyle w:val="normaltextrun"/>
        </w:rPr>
      </w:pPr>
      <w:r w:rsidRPr="00820931">
        <w:rPr>
          <w:rStyle w:val="normaltextrun"/>
          <w:szCs w:val="28"/>
        </w:rPr>
        <w:t>(a)</w:t>
      </w:r>
      <w:r w:rsidRPr="00820931">
        <w:rPr>
          <w:rStyle w:val="normaltextrun"/>
          <w:szCs w:val="28"/>
        </w:rPr>
        <w:tab/>
      </w:r>
      <w:r w:rsidR="00F16033" w:rsidRPr="00820931">
        <w:rPr>
          <w:rStyle w:val="normaltextrun"/>
        </w:rPr>
        <w:t xml:space="preserve">Respective mitigation contribution </w:t>
      </w:r>
      <w:r w:rsidR="00F16033">
        <w:t>Article 6, paragraph 4, emission reductions</w:t>
      </w:r>
      <w:r w:rsidR="00F16033" w:rsidRPr="00E66ECA">
        <w:t xml:space="preserve"> </w:t>
      </w:r>
      <w:r w:rsidR="00F16033" w:rsidRPr="00820931">
        <w:rPr>
          <w:rStyle w:val="normaltextrun"/>
        </w:rPr>
        <w:t>are still held by the mitigation activity participants and have not been transferred in or out of the mechanism registry;</w:t>
      </w:r>
    </w:p>
    <w:p w14:paraId="3A973573" w14:textId="10681801" w:rsidR="00F16033" w:rsidRPr="00820931" w:rsidRDefault="00492C76" w:rsidP="00492C76">
      <w:pPr>
        <w:pStyle w:val="RegSingleTxtG2"/>
        <w:numPr>
          <w:ilvl w:val="0"/>
          <w:numId w:val="0"/>
        </w:numPr>
        <w:tabs>
          <w:tab w:val="left" w:pos="1702"/>
        </w:tabs>
        <w:ind w:left="1134" w:firstLine="567"/>
        <w:rPr>
          <w:rStyle w:val="normaltextrun"/>
        </w:rPr>
      </w:pPr>
      <w:r w:rsidRPr="00820931">
        <w:rPr>
          <w:rStyle w:val="normaltextrun"/>
          <w:szCs w:val="28"/>
        </w:rPr>
        <w:t>(b)</w:t>
      </w:r>
      <w:r w:rsidRPr="00820931">
        <w:rPr>
          <w:rStyle w:val="normaltextrun"/>
          <w:szCs w:val="28"/>
        </w:rPr>
        <w:tab/>
      </w:r>
      <w:r w:rsidR="00F16033" w:rsidRPr="00820931">
        <w:rPr>
          <w:rStyle w:val="normaltextrun"/>
        </w:rPr>
        <w:t xml:space="preserve">Corresponding adjustments pursuant to decision </w:t>
      </w:r>
      <w:hyperlink r:id="rId173" w:history="1">
        <w:r w:rsidR="00F16033" w:rsidRPr="00514C67">
          <w:rPr>
            <w:rStyle w:val="Hyperlink"/>
          </w:rPr>
          <w:t>2/CMA.3</w:t>
        </w:r>
      </w:hyperlink>
      <w:r w:rsidR="00F16033" w:rsidRPr="00820931">
        <w:rPr>
          <w:rStyle w:val="normaltextrun"/>
        </w:rPr>
        <w:t>, annex, chapter III (Corresponding adjustments), are applied by the host Party as if the authorization had been provided no later than at issuance;</w:t>
      </w:r>
    </w:p>
    <w:p w14:paraId="55EA5F4F" w14:textId="4DF378A4" w:rsidR="00F16033" w:rsidRPr="00E66ECA" w:rsidRDefault="00492C76" w:rsidP="00492C76">
      <w:pPr>
        <w:pStyle w:val="RegSingleTxtG2"/>
        <w:numPr>
          <w:ilvl w:val="0"/>
          <w:numId w:val="0"/>
        </w:numPr>
        <w:tabs>
          <w:tab w:val="left" w:pos="1702"/>
        </w:tabs>
        <w:ind w:left="1134" w:firstLine="567"/>
        <w:rPr>
          <w:rStyle w:val="normaltextrun"/>
        </w:rPr>
      </w:pPr>
      <w:r w:rsidRPr="00E66ECA">
        <w:rPr>
          <w:rStyle w:val="normaltextrun"/>
          <w:szCs w:val="28"/>
        </w:rPr>
        <w:t>(c)</w:t>
      </w:r>
      <w:r w:rsidRPr="00E66ECA">
        <w:rPr>
          <w:rStyle w:val="normaltextrun"/>
          <w:szCs w:val="28"/>
        </w:rPr>
        <w:tab/>
      </w:r>
      <w:r w:rsidR="00F16033" w:rsidRPr="00820931">
        <w:rPr>
          <w:rStyle w:val="normaltextrun"/>
        </w:rPr>
        <w:t xml:space="preserve">Respective shares of proceeds for adaptation received by the Adaptation Fund pursuant to decision </w:t>
      </w:r>
      <w:hyperlink r:id="rId174" w:history="1">
        <w:r w:rsidR="00F16033" w:rsidRPr="00514C67">
          <w:rPr>
            <w:rStyle w:val="Hyperlink"/>
          </w:rPr>
          <w:t>3/CMA.3</w:t>
        </w:r>
      </w:hyperlink>
      <w:r w:rsidR="00F16033" w:rsidRPr="00820931">
        <w:rPr>
          <w:rStyle w:val="normaltextrun"/>
        </w:rPr>
        <w:t>, annex, chapter VII (</w:t>
      </w:r>
      <w:r w:rsidR="00F16033" w:rsidRPr="00820931">
        <w:rPr>
          <w:rStyle w:val="ui-provider"/>
        </w:rPr>
        <w:t>Levy of share of proceeds for adaptation and administrative expenses</w:t>
      </w:r>
      <w:r w:rsidR="00F16033" w:rsidRPr="00820931">
        <w:rPr>
          <w:rStyle w:val="normaltextrun"/>
        </w:rPr>
        <w:t xml:space="preserve">), are comprised of authorized </w:t>
      </w:r>
      <w:r w:rsidR="00F16033">
        <w:t>Article 6, paragraph 4, emission reductions</w:t>
      </w:r>
      <w:r w:rsidR="00F16033" w:rsidRPr="00E66ECA">
        <w:t xml:space="preserve"> </w:t>
      </w:r>
      <w:r w:rsidR="00F16033" w:rsidRPr="00820931">
        <w:rPr>
          <w:rStyle w:val="normaltextrun"/>
        </w:rPr>
        <w:t xml:space="preserve">rather than of mitigation contribution </w:t>
      </w:r>
      <w:r w:rsidR="00F16033">
        <w:t>Article 6, paragraph 4, emission reductions</w:t>
      </w:r>
      <w:r w:rsidR="00F16033" w:rsidRPr="00E66ECA">
        <w:rPr>
          <w:rStyle w:val="normaltextrun"/>
        </w:rPr>
        <w:t>;</w:t>
      </w:r>
    </w:p>
    <w:p w14:paraId="1B572E12" w14:textId="6076F074" w:rsidR="00F16033" w:rsidRPr="00E66ECA" w:rsidRDefault="00492C76" w:rsidP="00492C76">
      <w:pPr>
        <w:pStyle w:val="RegSingleTxtG"/>
        <w:numPr>
          <w:ilvl w:val="0"/>
          <w:numId w:val="0"/>
        </w:numPr>
        <w:ind w:left="1134"/>
        <w:rPr>
          <w:rStyle w:val="normaltextrun"/>
        </w:rPr>
      </w:pPr>
      <w:r w:rsidRPr="00E66ECA">
        <w:rPr>
          <w:rStyle w:val="normaltextrun"/>
        </w:rPr>
        <w:t>15.</w:t>
      </w:r>
      <w:r w:rsidRPr="00E66ECA">
        <w:rPr>
          <w:rStyle w:val="normaltextrun"/>
        </w:rPr>
        <w:tab/>
      </w:r>
      <w:r w:rsidR="00F16033" w:rsidRPr="00E66ECA">
        <w:rPr>
          <w:rStyle w:val="normaltextrun"/>
          <w:i/>
          <w:iCs/>
        </w:rPr>
        <w:t xml:space="preserve">Further requests </w:t>
      </w:r>
      <w:r w:rsidR="00F16033" w:rsidRPr="00E66ECA">
        <w:rPr>
          <w:rStyle w:val="normaltextrun"/>
        </w:rPr>
        <w:t xml:space="preserve">the secretariat to develop a template for the statement referred to in paragraph 10 above, to include the relevant applicable elements contained in paragraph </w:t>
      </w:r>
      <w:r w:rsidR="00F16033">
        <w:rPr>
          <w:rStyle w:val="normaltextrun"/>
        </w:rPr>
        <w:t>5</w:t>
      </w:r>
      <w:r w:rsidR="00F16033" w:rsidRPr="00E66ECA">
        <w:rPr>
          <w:rStyle w:val="normaltextrun"/>
        </w:rPr>
        <w:t xml:space="preserve"> of decision </w:t>
      </w:r>
      <w:hyperlink r:id="rId175" w:history="1">
        <w:r w:rsidR="000D04CE" w:rsidRPr="008F1B16">
          <w:rPr>
            <w:rStyle w:val="Hyperlink"/>
          </w:rPr>
          <w:t>4/</w:t>
        </w:r>
        <w:r w:rsidR="000D04CE" w:rsidRPr="008F1B16" w:rsidDel="006A1C57">
          <w:rPr>
            <w:rStyle w:val="Hyperlink"/>
          </w:rPr>
          <w:t>CMA</w:t>
        </w:r>
        <w:r w:rsidR="000D04CE" w:rsidRPr="008F1B16">
          <w:rPr>
            <w:rStyle w:val="Hyperlink"/>
          </w:rPr>
          <w:t>.6</w:t>
        </w:r>
      </w:hyperlink>
      <w:r w:rsidR="00F16033" w:rsidRPr="00E66ECA">
        <w:rPr>
          <w:rStyle w:val="normaltextrun"/>
        </w:rPr>
        <w:t xml:space="preserve"> in order to enable the identification of authorized </w:t>
      </w:r>
      <w:r w:rsidR="00F16033">
        <w:t>Article 6, paragraph 4, emission reductions</w:t>
      </w:r>
      <w:r w:rsidR="00F16033" w:rsidRPr="00E66ECA">
        <w:rPr>
          <w:rStyle w:val="normaltextrun"/>
        </w:rPr>
        <w:t xml:space="preserve"> in the mechanism registry;</w:t>
      </w:r>
    </w:p>
    <w:p w14:paraId="7A8F303E" w14:textId="5C13036A" w:rsidR="00F16033" w:rsidRPr="00820931" w:rsidRDefault="00492C76" w:rsidP="00492C76">
      <w:pPr>
        <w:pStyle w:val="RegHChG"/>
        <w:numPr>
          <w:ilvl w:val="0"/>
          <w:numId w:val="0"/>
        </w:numPr>
        <w:tabs>
          <w:tab w:val="left" w:pos="1135"/>
        </w:tabs>
        <w:ind w:left="1135" w:hanging="454"/>
        <w:rPr>
          <w:szCs w:val="28"/>
        </w:rPr>
      </w:pPr>
      <w:r w:rsidRPr="00820931">
        <w:rPr>
          <w:szCs w:val="28"/>
        </w:rPr>
        <w:t>IV.</w:t>
      </w:r>
      <w:r w:rsidRPr="00820931">
        <w:rPr>
          <w:szCs w:val="28"/>
        </w:rPr>
        <w:tab/>
      </w:r>
      <w:r w:rsidR="00F16033" w:rsidRPr="00E66ECA">
        <w:rPr>
          <w:rStyle w:val="normaltextrun"/>
        </w:rPr>
        <w:t xml:space="preserve">Article 6, </w:t>
      </w:r>
      <w:r w:rsidR="00F16033" w:rsidRPr="00820931">
        <w:rPr>
          <w:rStyle w:val="normaltextrun"/>
        </w:rPr>
        <w:t>paragraph 4, mechanism registry</w:t>
      </w:r>
      <w:r w:rsidR="00F16033" w:rsidRPr="00820931">
        <w:rPr>
          <w:szCs w:val="28"/>
        </w:rPr>
        <w:t xml:space="preserve"> </w:t>
      </w:r>
    </w:p>
    <w:p w14:paraId="623AB435" w14:textId="005871D1" w:rsidR="00F16033" w:rsidRPr="00820931" w:rsidRDefault="00492C76" w:rsidP="00492C76">
      <w:pPr>
        <w:pStyle w:val="RegSingleTxtG"/>
        <w:numPr>
          <w:ilvl w:val="0"/>
          <w:numId w:val="0"/>
        </w:numPr>
        <w:ind w:left="1134"/>
        <w:rPr>
          <w:rStyle w:val="normaltextrun"/>
        </w:rPr>
      </w:pPr>
      <w:r w:rsidRPr="00820931">
        <w:rPr>
          <w:rStyle w:val="normaltextrun"/>
        </w:rPr>
        <w:t>16.</w:t>
      </w:r>
      <w:r w:rsidRPr="00820931">
        <w:rPr>
          <w:rStyle w:val="normaltextrun"/>
        </w:rPr>
        <w:tab/>
      </w:r>
      <w:r w:rsidR="00F16033" w:rsidRPr="00820931">
        <w:rPr>
          <w:rStyle w:val="normaltextrun"/>
          <w:i/>
          <w:iCs/>
        </w:rPr>
        <w:t>Takes note</w:t>
      </w:r>
      <w:r w:rsidR="00F16033" w:rsidRPr="00820931">
        <w:rPr>
          <w:rStyle w:val="normaltextrun"/>
        </w:rPr>
        <w:t xml:space="preserve"> of section IX</w:t>
      </w:r>
      <w:r w:rsidR="00F16033">
        <w:rPr>
          <w:rStyle w:val="normaltextrun"/>
        </w:rPr>
        <w:t>.</w:t>
      </w:r>
      <w:r w:rsidR="00F16033" w:rsidRPr="00820931">
        <w:rPr>
          <w:rStyle w:val="normaltextrun"/>
        </w:rPr>
        <w:t xml:space="preserve">A of decision </w:t>
      </w:r>
      <w:hyperlink r:id="rId176" w:history="1">
        <w:r w:rsidR="009953D1" w:rsidRPr="008F1B16">
          <w:rPr>
            <w:rStyle w:val="Hyperlink"/>
          </w:rPr>
          <w:t>4/</w:t>
        </w:r>
        <w:r w:rsidR="009953D1" w:rsidRPr="008F1B16" w:rsidDel="006A1C57">
          <w:rPr>
            <w:rStyle w:val="Hyperlink"/>
          </w:rPr>
          <w:t>CMA</w:t>
        </w:r>
        <w:r w:rsidR="009953D1" w:rsidRPr="008F1B16">
          <w:rPr>
            <w:rStyle w:val="Hyperlink"/>
          </w:rPr>
          <w:t>.6</w:t>
        </w:r>
      </w:hyperlink>
      <w:r w:rsidR="007B2CCF">
        <w:fldChar w:fldCharType="begin"/>
      </w:r>
      <w:r w:rsidR="007B2CCF">
        <w:fldChar w:fldCharType="separate"/>
      </w:r>
      <w:r w:rsidR="007B2CCF" w:rsidRPr="008F1B16">
        <w:rPr>
          <w:rStyle w:val="Hyperlink"/>
        </w:rPr>
        <w:t>4</w:t>
      </w:r>
      <w:r w:rsidR="00F16033" w:rsidRPr="008F1B16">
        <w:rPr>
          <w:rStyle w:val="Hyperlink"/>
        </w:rPr>
        <w:t>/CMA.6</w:t>
      </w:r>
      <w:r w:rsidR="007B2CCF">
        <w:fldChar w:fldCharType="end"/>
      </w:r>
      <w:r w:rsidR="00F16033" w:rsidRPr="00820931">
        <w:rPr>
          <w:rStyle w:val="normaltextrun"/>
        </w:rPr>
        <w:t>;</w:t>
      </w:r>
    </w:p>
    <w:p w14:paraId="01202E7F" w14:textId="007AC15B" w:rsidR="00F16033" w:rsidRPr="00E66ECA" w:rsidRDefault="00492C76" w:rsidP="00492C76">
      <w:pPr>
        <w:pStyle w:val="RegSingleTxtG"/>
        <w:numPr>
          <w:ilvl w:val="0"/>
          <w:numId w:val="0"/>
        </w:numPr>
        <w:ind w:left="1134"/>
      </w:pPr>
      <w:r w:rsidRPr="00E66ECA">
        <w:t>17.</w:t>
      </w:r>
      <w:r w:rsidRPr="00E66ECA">
        <w:tab/>
      </w:r>
      <w:r w:rsidR="00F16033" w:rsidRPr="00820931">
        <w:rPr>
          <w:i/>
        </w:rPr>
        <w:t>Decides</w:t>
      </w:r>
      <w:r w:rsidR="00F16033" w:rsidRPr="00820931">
        <w:t xml:space="preserve"> that the participating Party registries referred to in decision </w:t>
      </w:r>
      <w:hyperlink r:id="rId177" w:history="1">
        <w:r w:rsidR="00F16033" w:rsidRPr="00514C67">
          <w:rPr>
            <w:rStyle w:val="Hyperlink"/>
          </w:rPr>
          <w:t>2/CMA.3</w:t>
        </w:r>
      </w:hyperlink>
      <w:r w:rsidR="00F16033" w:rsidRPr="00820931">
        <w:t>, annex, paragraph 29, may voluntarily connect</w:t>
      </w:r>
      <w:r w:rsidR="00F16033" w:rsidRPr="00E66ECA">
        <w:t xml:space="preserve"> to the </w:t>
      </w:r>
      <w:r w:rsidR="00F16033" w:rsidRPr="00E66ECA" w:rsidDel="006A1C57">
        <w:t>mechanism</w:t>
      </w:r>
      <w:r w:rsidR="00F16033" w:rsidRPr="00E66ECA">
        <w:t xml:space="preserve"> registry, and the connection shall enable the transfer of authorized </w:t>
      </w:r>
      <w:r w:rsidR="00F16033">
        <w:t>Article 6, paragraph 4, emission reductions</w:t>
      </w:r>
      <w:r w:rsidR="00F16033" w:rsidRPr="00E66ECA">
        <w:t xml:space="preserve">, consistent with decision </w:t>
      </w:r>
      <w:hyperlink r:id="rId178" w:history="1">
        <w:r w:rsidR="00F16033" w:rsidRPr="00514C67">
          <w:rPr>
            <w:rStyle w:val="Hyperlink"/>
          </w:rPr>
          <w:t>6/CMA.4</w:t>
        </w:r>
      </w:hyperlink>
      <w:r w:rsidR="00F16033" w:rsidRPr="00E66ECA">
        <w:t xml:space="preserve">, annex I, chapter I.B, paragraphs 9–10, while ensuring avoidance of double counting, and the ability to pull and view data and information on holdings and the action history of authorized </w:t>
      </w:r>
      <w:r w:rsidR="00F16033">
        <w:t>Article 6, paragraph 4, emission reductions</w:t>
      </w:r>
      <w:r w:rsidR="00F16033" w:rsidRPr="00E66ECA">
        <w:t>;</w:t>
      </w:r>
    </w:p>
    <w:p w14:paraId="4AA47E6D" w14:textId="364497A7" w:rsidR="00F16033" w:rsidRPr="00E66ECA" w:rsidRDefault="00492C76" w:rsidP="00492C76">
      <w:pPr>
        <w:pStyle w:val="RegSingleTxtG"/>
        <w:numPr>
          <w:ilvl w:val="0"/>
          <w:numId w:val="0"/>
        </w:numPr>
        <w:ind w:left="1134"/>
      </w:pPr>
      <w:r w:rsidRPr="00E66ECA">
        <w:t>18.</w:t>
      </w:r>
      <w:r w:rsidRPr="00E66ECA">
        <w:tab/>
      </w:r>
      <w:r w:rsidR="00F16033" w:rsidRPr="00E66ECA">
        <w:rPr>
          <w:i/>
          <w:iCs/>
        </w:rPr>
        <w:t xml:space="preserve">Requests </w:t>
      </w:r>
      <w:r w:rsidR="00F16033" w:rsidRPr="00E66ECA">
        <w:t>the secretariat to implement the mechanism registry in a manner that will make the registry available for use by all Parties participating in the mechanism;</w:t>
      </w:r>
    </w:p>
    <w:p w14:paraId="2392EF98" w14:textId="7B7E45B1" w:rsidR="00F16033" w:rsidRPr="00E66ECA" w:rsidRDefault="00492C76" w:rsidP="00492C76">
      <w:pPr>
        <w:pStyle w:val="RegHChG"/>
        <w:numPr>
          <w:ilvl w:val="0"/>
          <w:numId w:val="0"/>
        </w:numPr>
        <w:tabs>
          <w:tab w:val="left" w:pos="1135"/>
        </w:tabs>
        <w:ind w:left="1135" w:hanging="454"/>
        <w:rPr>
          <w:rStyle w:val="normaltextrun"/>
        </w:rPr>
      </w:pPr>
      <w:r w:rsidRPr="00E66ECA">
        <w:rPr>
          <w:rStyle w:val="normaltextrun"/>
        </w:rPr>
        <w:t>V.</w:t>
      </w:r>
      <w:r w:rsidRPr="00E66ECA">
        <w:rPr>
          <w:rStyle w:val="normaltextrun"/>
        </w:rPr>
        <w:tab/>
      </w:r>
      <w:r w:rsidR="00F16033" w:rsidRPr="00E66ECA">
        <w:rPr>
          <w:rStyle w:val="normaltextrun"/>
        </w:rPr>
        <w:t xml:space="preserve">Special circumstances of the least developed countries and small island developing States with respect to </w:t>
      </w:r>
      <w:r w:rsidR="001D736A">
        <w:rPr>
          <w:rStyle w:val="normaltextrun"/>
        </w:rPr>
        <w:t xml:space="preserve">the </w:t>
      </w:r>
      <w:r w:rsidR="00F16033" w:rsidRPr="00E66ECA">
        <w:rPr>
          <w:rStyle w:val="normaltextrun"/>
        </w:rPr>
        <w:t>share of proceeds for adaptation</w:t>
      </w:r>
    </w:p>
    <w:p w14:paraId="56FE70E9" w14:textId="4252BF36" w:rsidR="00F16033" w:rsidRPr="00E66ECA" w:rsidRDefault="00492C76" w:rsidP="00492C76">
      <w:pPr>
        <w:pStyle w:val="RegSingleTxtG"/>
        <w:numPr>
          <w:ilvl w:val="0"/>
          <w:numId w:val="0"/>
        </w:numPr>
        <w:ind w:left="1134"/>
        <w:rPr>
          <w:color w:val="000000" w:themeColor="text1"/>
        </w:rPr>
      </w:pPr>
      <w:r w:rsidRPr="00E66ECA">
        <w:rPr>
          <w:color w:val="000000" w:themeColor="text1"/>
        </w:rPr>
        <w:t>19.</w:t>
      </w:r>
      <w:r w:rsidRPr="00E66ECA">
        <w:rPr>
          <w:color w:val="000000" w:themeColor="text1"/>
        </w:rPr>
        <w:tab/>
      </w:r>
      <w:r w:rsidR="00F16033" w:rsidRPr="00E66ECA">
        <w:rPr>
          <w:i/>
          <w:iCs/>
          <w:color w:val="000000" w:themeColor="text1"/>
        </w:rPr>
        <w:t>Notes</w:t>
      </w:r>
      <w:r w:rsidR="00F16033" w:rsidRPr="00E66ECA">
        <w:rPr>
          <w:color w:val="000000" w:themeColor="text1"/>
        </w:rPr>
        <w:t xml:space="preserve"> the annual reports of the Supervisory Body for 2023</w:t>
      </w:r>
      <w:r w:rsidR="00F16033" w:rsidRPr="00E66ECA">
        <w:rPr>
          <w:rStyle w:val="FootnoteReference"/>
          <w:color w:val="000000" w:themeColor="text1"/>
        </w:rPr>
        <w:footnoteReference w:id="49"/>
      </w:r>
      <w:r w:rsidR="00F16033" w:rsidRPr="00E66ECA">
        <w:rPr>
          <w:color w:val="000000" w:themeColor="text1"/>
        </w:rPr>
        <w:t xml:space="preserve"> and 2024,</w:t>
      </w:r>
      <w:r w:rsidR="00F16033" w:rsidRPr="00E66ECA">
        <w:rPr>
          <w:rStyle w:val="FootnoteReference"/>
          <w:color w:val="000000" w:themeColor="text1"/>
        </w:rPr>
        <w:footnoteReference w:id="50"/>
      </w:r>
      <w:r w:rsidR="00F16033" w:rsidRPr="00E66ECA">
        <w:rPr>
          <w:color w:val="000000" w:themeColor="text1"/>
        </w:rPr>
        <w:t xml:space="preserve"> in which it is recommended that </w:t>
      </w:r>
      <w:r w:rsidR="00F16033" w:rsidRPr="00E66ECA">
        <w:rPr>
          <w:rFonts w:asciiTheme="majorBidi" w:hAnsiTheme="majorBidi" w:cstheme="majorBidi"/>
          <w:color w:val="000000" w:themeColor="text1"/>
        </w:rPr>
        <w:t>Article 6, paragraph 4, activities</w:t>
      </w:r>
      <w:r w:rsidR="00F16033" w:rsidRPr="00E66ECA">
        <w:rPr>
          <w:color w:val="000000" w:themeColor="text1"/>
        </w:rPr>
        <w:t xml:space="preserve"> in the least developed countries be exempted from the share of proceeds for adaptation, while recognizing that the </w:t>
      </w:r>
      <w:r w:rsidR="00F16033">
        <w:rPr>
          <w:color w:val="000000" w:themeColor="text1"/>
        </w:rPr>
        <w:t>least developed countries</w:t>
      </w:r>
      <w:r w:rsidR="00F16033" w:rsidRPr="00E66ECA">
        <w:rPr>
          <w:color w:val="000000" w:themeColor="text1"/>
        </w:rPr>
        <w:t xml:space="preserve"> may choose not to make use of this exemption;</w:t>
      </w:r>
    </w:p>
    <w:p w14:paraId="7A3E7A8D" w14:textId="37EAB5F1" w:rsidR="00F16033" w:rsidRPr="00E66ECA" w:rsidRDefault="00492C76" w:rsidP="00492C76">
      <w:pPr>
        <w:pStyle w:val="RegSingleTxtG"/>
        <w:numPr>
          <w:ilvl w:val="0"/>
          <w:numId w:val="0"/>
        </w:numPr>
        <w:ind w:left="1134"/>
        <w:rPr>
          <w:color w:val="000000" w:themeColor="text1"/>
        </w:rPr>
      </w:pPr>
      <w:r w:rsidRPr="00E66ECA">
        <w:rPr>
          <w:color w:val="000000" w:themeColor="text1"/>
        </w:rPr>
        <w:t>20.</w:t>
      </w:r>
      <w:r w:rsidRPr="00E66ECA">
        <w:rPr>
          <w:color w:val="000000" w:themeColor="text1"/>
        </w:rPr>
        <w:tab/>
      </w:r>
      <w:r w:rsidR="00F16033" w:rsidRPr="00E66ECA">
        <w:rPr>
          <w:rFonts w:asciiTheme="majorBidi" w:hAnsiTheme="majorBidi" w:cstheme="majorBidi"/>
          <w:i/>
          <w:iCs/>
          <w:color w:val="000000" w:themeColor="text1"/>
        </w:rPr>
        <w:t>Decides</w:t>
      </w:r>
      <w:r w:rsidR="00F16033" w:rsidRPr="00E66ECA">
        <w:rPr>
          <w:rFonts w:asciiTheme="majorBidi" w:hAnsiTheme="majorBidi" w:cstheme="majorBidi"/>
          <w:color w:val="000000" w:themeColor="text1"/>
        </w:rPr>
        <w:t xml:space="preserve"> to exempt Article 6, paragraph 4, activities in the least developed countries and small island developing States from the share of proceeds for adaptation, while acknowledging that the least developed countries and small island developing States may choose not to make use of this exemption; </w:t>
      </w:r>
    </w:p>
    <w:p w14:paraId="49F0603E" w14:textId="00F45197" w:rsidR="00F16033" w:rsidRPr="00E66ECA" w:rsidRDefault="00492C76" w:rsidP="00492C76">
      <w:pPr>
        <w:pStyle w:val="RegHChG"/>
        <w:numPr>
          <w:ilvl w:val="0"/>
          <w:numId w:val="0"/>
        </w:numPr>
        <w:tabs>
          <w:tab w:val="left" w:pos="1135"/>
        </w:tabs>
        <w:ind w:left="1135" w:hanging="454"/>
        <w:rPr>
          <w:rStyle w:val="normaltextrun"/>
        </w:rPr>
      </w:pPr>
      <w:r w:rsidRPr="00E66ECA">
        <w:rPr>
          <w:rStyle w:val="normaltextrun"/>
        </w:rPr>
        <w:lastRenderedPageBreak/>
        <w:t>VI.</w:t>
      </w:r>
      <w:r w:rsidRPr="00E66ECA">
        <w:rPr>
          <w:rStyle w:val="normaltextrun"/>
        </w:rPr>
        <w:tab/>
      </w:r>
      <w:r w:rsidR="00F16033" w:rsidRPr="00E66ECA">
        <w:rPr>
          <w:rStyle w:val="normaltextrun"/>
        </w:rPr>
        <w:t>Transition of clean development mechanism activities</w:t>
      </w:r>
    </w:p>
    <w:p w14:paraId="25A90F74" w14:textId="798F13B7" w:rsidR="00F16033" w:rsidRPr="00E66ECA" w:rsidRDefault="00492C76" w:rsidP="00492C76">
      <w:pPr>
        <w:pStyle w:val="RegSingleTxtG"/>
        <w:numPr>
          <w:ilvl w:val="0"/>
          <w:numId w:val="0"/>
        </w:numPr>
        <w:ind w:left="1134"/>
      </w:pPr>
      <w:r w:rsidRPr="00E66ECA">
        <w:t>21.</w:t>
      </w:r>
      <w:r w:rsidRPr="00E66ECA">
        <w:tab/>
      </w:r>
      <w:r w:rsidR="00F16033" w:rsidRPr="006576F2">
        <w:rPr>
          <w:i/>
          <w:iCs/>
        </w:rPr>
        <w:t>Decides</w:t>
      </w:r>
      <w:r w:rsidR="00F16033" w:rsidRPr="00E66ECA">
        <w:t xml:space="preserve"> that afforestation and reforestation project activities and programmes of activities registered under the clean development mechanism may transition to the mechanism established by Article 6, paragraph 4, and be registered as Article 6, paragraph</w:t>
      </w:r>
      <w:r w:rsidR="00F16033">
        <w:t> </w:t>
      </w:r>
      <w:r w:rsidR="00F16033" w:rsidRPr="00E66ECA">
        <w:t>4, activities subject to the following conditions being met:</w:t>
      </w:r>
    </w:p>
    <w:p w14:paraId="61C2A251" w14:textId="509EDCF2" w:rsidR="00F16033" w:rsidRPr="00E66ECA" w:rsidRDefault="00492C76" w:rsidP="00492C76">
      <w:pPr>
        <w:pStyle w:val="RegSingleTxtG2"/>
        <w:numPr>
          <w:ilvl w:val="0"/>
          <w:numId w:val="0"/>
        </w:numPr>
        <w:tabs>
          <w:tab w:val="left" w:pos="1702"/>
        </w:tabs>
        <w:ind w:left="1134" w:firstLine="567"/>
      </w:pPr>
      <w:r w:rsidRPr="00E66ECA">
        <w:rPr>
          <w:szCs w:val="28"/>
        </w:rPr>
        <w:t>(a)</w:t>
      </w:r>
      <w:r w:rsidRPr="00E66ECA">
        <w:rPr>
          <w:szCs w:val="28"/>
        </w:rPr>
        <w:tab/>
      </w:r>
      <w:r w:rsidR="00F16033" w:rsidRPr="00E66ECA">
        <w:t>The request to transition the registered clean development mechanism afforestation and reforestation project activity or programme of activities being made to the secretariat and to the designated national authority for the mechanism established by Article</w:t>
      </w:r>
      <w:r w:rsidR="00F16033">
        <w:t> </w:t>
      </w:r>
      <w:r w:rsidR="00F16033" w:rsidRPr="00E66ECA">
        <w:t xml:space="preserve">6, paragraph 4, of the clean development mechanism host Party by or on behalf of the project participants of a registered afforestation and </w:t>
      </w:r>
      <w:r w:rsidR="00F16033">
        <w:t xml:space="preserve">reforestation clean development mechanism </w:t>
      </w:r>
      <w:r w:rsidR="00F16033" w:rsidRPr="00E66ECA">
        <w:t xml:space="preserve">project activity or by or on behalf of the coordinating/managing entity of a </w:t>
      </w:r>
      <w:r w:rsidR="00F16033">
        <w:t xml:space="preserve">registered clean development mechanism </w:t>
      </w:r>
      <w:r w:rsidR="00F16033" w:rsidRPr="00E66ECA">
        <w:t xml:space="preserve">afforestation and </w:t>
      </w:r>
      <w:r w:rsidR="00F16033">
        <w:t xml:space="preserve">reforestation programme of activities </w:t>
      </w:r>
      <w:r w:rsidR="00F16033" w:rsidRPr="00E66ECA">
        <w:t xml:space="preserve">by no later than 31 December 2025; </w:t>
      </w:r>
    </w:p>
    <w:p w14:paraId="02D9DAB7" w14:textId="0ACC09C1" w:rsidR="00F16033" w:rsidRPr="00E66ECA" w:rsidRDefault="00492C76" w:rsidP="00492C76">
      <w:pPr>
        <w:pStyle w:val="RegSingleTxtG2"/>
        <w:numPr>
          <w:ilvl w:val="0"/>
          <w:numId w:val="0"/>
        </w:numPr>
        <w:tabs>
          <w:tab w:val="left" w:pos="1702"/>
        </w:tabs>
        <w:ind w:left="1134" w:firstLine="567"/>
      </w:pPr>
      <w:r w:rsidRPr="00E66ECA">
        <w:rPr>
          <w:szCs w:val="28"/>
        </w:rPr>
        <w:t>(b)</w:t>
      </w:r>
      <w:r w:rsidRPr="00E66ECA">
        <w:rPr>
          <w:szCs w:val="28"/>
        </w:rPr>
        <w:tab/>
      </w:r>
      <w:r w:rsidR="00F16033" w:rsidRPr="00E66ECA">
        <w:t xml:space="preserve">The approval of a request to transition the registered clean development mechanism afforestation and reforestation project activity or programme of activities being provided to the Supervisory Body by </w:t>
      </w:r>
      <w:r w:rsidR="00F16033">
        <w:t xml:space="preserve">the designated national authority </w:t>
      </w:r>
      <w:r w:rsidR="00F16033" w:rsidRPr="00E66ECA">
        <w:t xml:space="preserve">for the mechanism established by Article 6, paragraph 4, of </w:t>
      </w:r>
      <w:r w:rsidR="00F16033">
        <w:t xml:space="preserve">a clean development mechanism </w:t>
      </w:r>
      <w:r w:rsidR="00F16033" w:rsidRPr="00E66ECA">
        <w:t xml:space="preserve">host Party by no later than 31 December 2025; </w:t>
      </w:r>
    </w:p>
    <w:p w14:paraId="7AA8576C" w14:textId="1B439587" w:rsidR="00F16033" w:rsidRPr="00E66ECA" w:rsidRDefault="00492C76" w:rsidP="00492C76">
      <w:pPr>
        <w:pStyle w:val="RegSingleTxtG2"/>
        <w:numPr>
          <w:ilvl w:val="0"/>
          <w:numId w:val="0"/>
        </w:numPr>
        <w:tabs>
          <w:tab w:val="left" w:pos="1702"/>
        </w:tabs>
        <w:ind w:left="1134" w:firstLine="567"/>
      </w:pPr>
      <w:r w:rsidRPr="00E66ECA">
        <w:rPr>
          <w:szCs w:val="28"/>
        </w:rPr>
        <w:t>(c)</w:t>
      </w:r>
      <w:r w:rsidRPr="00E66ECA">
        <w:rPr>
          <w:szCs w:val="28"/>
        </w:rPr>
        <w:tab/>
      </w:r>
      <w:r w:rsidR="00F16033" w:rsidRPr="00E66ECA">
        <w:t>The clean development mechanism afforestation and reforestation project activity or programme of activities complying with the rules, modalities and procedures for the mechanism established by Article 6, paragraph 4;</w:t>
      </w:r>
      <w:r w:rsidR="00F16033" w:rsidRPr="00E66ECA">
        <w:rPr>
          <w:rStyle w:val="FootnoteReference"/>
        </w:rPr>
        <w:footnoteReference w:id="51"/>
      </w:r>
      <w:r w:rsidR="00F16033" w:rsidRPr="00E66ECA">
        <w:t xml:space="preserve"> the respective applicable requirements for activities involving removals under the mechanism contained in the Supervisory Body standard “Requirements for activities involving removals under the </w:t>
      </w:r>
      <w:r w:rsidR="00F16033" w:rsidRPr="00E66ECA" w:rsidDel="006A1C57">
        <w:t>Article 6.4 mechanism</w:t>
      </w:r>
      <w:r w:rsidR="00F16033" w:rsidRPr="00E66ECA">
        <w:t>”; and any future relevant decisions of the Conference of the Parties serving as the meeting of the Parties to the Paris Agreement;</w:t>
      </w:r>
    </w:p>
    <w:p w14:paraId="272ECC3D" w14:textId="0B74CF5B" w:rsidR="00F16033" w:rsidRPr="00DF0025" w:rsidRDefault="00492C76" w:rsidP="00492C76">
      <w:pPr>
        <w:pStyle w:val="RegHChG"/>
        <w:numPr>
          <w:ilvl w:val="0"/>
          <w:numId w:val="0"/>
        </w:numPr>
        <w:tabs>
          <w:tab w:val="left" w:pos="1135"/>
        </w:tabs>
        <w:ind w:left="1135" w:hanging="454"/>
        <w:rPr>
          <w:szCs w:val="28"/>
        </w:rPr>
      </w:pPr>
      <w:r w:rsidRPr="00DF0025">
        <w:rPr>
          <w:szCs w:val="28"/>
        </w:rPr>
        <w:t>VII.</w:t>
      </w:r>
      <w:r w:rsidRPr="00DF0025">
        <w:rPr>
          <w:szCs w:val="28"/>
        </w:rPr>
        <w:tab/>
      </w:r>
      <w:r w:rsidR="00F16033" w:rsidRPr="00DF0025">
        <w:rPr>
          <w:szCs w:val="28"/>
        </w:rPr>
        <w:t xml:space="preserve">Management of financial resources </w:t>
      </w:r>
    </w:p>
    <w:p w14:paraId="495E1042" w14:textId="06A5387D" w:rsidR="00F16033" w:rsidRPr="0002002B" w:rsidRDefault="00492C76" w:rsidP="00492C76">
      <w:pPr>
        <w:pStyle w:val="RegSingleTxtG"/>
        <w:numPr>
          <w:ilvl w:val="0"/>
          <w:numId w:val="0"/>
        </w:numPr>
        <w:ind w:left="1134"/>
        <w:rPr>
          <w:rFonts w:asciiTheme="majorBidi" w:hAnsiTheme="majorBidi" w:cstheme="majorBidi"/>
          <w:color w:val="000000" w:themeColor="text1"/>
        </w:rPr>
      </w:pPr>
      <w:bookmarkStart w:id="29" w:name="_Ref182833159"/>
      <w:r w:rsidRPr="0002002B">
        <w:rPr>
          <w:rFonts w:asciiTheme="majorBidi" w:hAnsiTheme="majorBidi" w:cstheme="majorBidi"/>
          <w:color w:val="000000" w:themeColor="text1"/>
        </w:rPr>
        <w:t>22.</w:t>
      </w:r>
      <w:r w:rsidRPr="0002002B">
        <w:rPr>
          <w:rFonts w:asciiTheme="majorBidi" w:hAnsiTheme="majorBidi" w:cstheme="majorBidi"/>
          <w:color w:val="000000" w:themeColor="text1"/>
        </w:rPr>
        <w:tab/>
      </w:r>
      <w:r w:rsidR="00F16033" w:rsidRPr="0002002B">
        <w:rPr>
          <w:rFonts w:asciiTheme="majorBidi" w:hAnsiTheme="majorBidi" w:cstheme="majorBidi"/>
          <w:i/>
          <w:color w:val="000000" w:themeColor="text1"/>
        </w:rPr>
        <w:t>Takes note</w:t>
      </w:r>
      <w:r w:rsidR="00F16033" w:rsidRPr="0002002B">
        <w:rPr>
          <w:rFonts w:asciiTheme="majorBidi" w:hAnsiTheme="majorBidi" w:cstheme="majorBidi"/>
          <w:color w:val="000000" w:themeColor="text1"/>
        </w:rPr>
        <w:t xml:space="preserve"> of </w:t>
      </w:r>
      <w:r w:rsidR="00F16033" w:rsidRPr="0002002B">
        <w:rPr>
          <w:color w:val="000000" w:themeColor="text1"/>
        </w:rPr>
        <w:t>the</w:t>
      </w:r>
      <w:r w:rsidR="00F16033" w:rsidRPr="0002002B">
        <w:rPr>
          <w:rFonts w:asciiTheme="majorBidi" w:hAnsiTheme="majorBidi" w:cstheme="majorBidi"/>
          <w:color w:val="000000" w:themeColor="text1"/>
        </w:rPr>
        <w:t xml:space="preserve"> </w:t>
      </w:r>
      <w:r w:rsidR="00F16033" w:rsidRPr="0002002B">
        <w:rPr>
          <w:color w:val="000000" w:themeColor="text1"/>
        </w:rPr>
        <w:t>agreed</w:t>
      </w:r>
      <w:r w:rsidR="00F16033" w:rsidRPr="0002002B">
        <w:rPr>
          <w:rFonts w:asciiTheme="majorBidi" w:hAnsiTheme="majorBidi" w:cstheme="majorBidi"/>
          <w:color w:val="000000" w:themeColor="text1"/>
        </w:rPr>
        <w:t xml:space="preserve"> business and resource allocation plan of the Supervisory Body for 2024</w:t>
      </w:r>
      <w:r w:rsidR="00F16033" w:rsidRPr="0002002B">
        <w:rPr>
          <w:color w:val="000000" w:themeColor="text1"/>
        </w:rPr>
        <w:t>–</w:t>
      </w:r>
      <w:r w:rsidR="00F16033" w:rsidRPr="0002002B">
        <w:rPr>
          <w:rFonts w:asciiTheme="majorBidi" w:hAnsiTheme="majorBidi" w:cstheme="majorBidi"/>
          <w:color w:val="000000" w:themeColor="text1"/>
        </w:rPr>
        <w:t>2025,</w:t>
      </w:r>
      <w:r w:rsidR="00F16033" w:rsidRPr="00C74EAF">
        <w:rPr>
          <w:rStyle w:val="FootnoteReference"/>
          <w:rFonts w:asciiTheme="majorBidi" w:hAnsiTheme="majorBidi" w:cstheme="majorBidi"/>
          <w:color w:val="000000" w:themeColor="text1"/>
          <w:szCs w:val="18"/>
        </w:rPr>
        <w:footnoteReference w:id="52"/>
      </w:r>
      <w:r w:rsidR="00F16033" w:rsidRPr="0002002B">
        <w:rPr>
          <w:rFonts w:asciiTheme="majorBidi" w:hAnsiTheme="majorBidi" w:cstheme="majorBidi"/>
          <w:color w:val="000000" w:themeColor="text1"/>
        </w:rPr>
        <w:t xml:space="preserve"> which provides an estimated budget for its work</w:t>
      </w:r>
      <w:r w:rsidR="00F16033" w:rsidRPr="0002002B" w:rsidDel="00E54383">
        <w:rPr>
          <w:rFonts w:asciiTheme="majorBidi" w:hAnsiTheme="majorBidi" w:cstheme="majorBidi"/>
          <w:color w:val="000000" w:themeColor="text1"/>
        </w:rPr>
        <w:t xml:space="preserve"> </w:t>
      </w:r>
      <w:r w:rsidR="00F16033" w:rsidRPr="0002002B">
        <w:rPr>
          <w:rFonts w:asciiTheme="majorBidi" w:hAnsiTheme="majorBidi" w:cstheme="majorBidi"/>
          <w:color w:val="000000" w:themeColor="text1"/>
        </w:rPr>
        <w:t>and activities deemed essential for operationalizing the mechanism</w:t>
      </w:r>
      <w:r w:rsidR="00F16033">
        <w:rPr>
          <w:rFonts w:asciiTheme="majorBidi" w:hAnsiTheme="majorBidi" w:cstheme="majorBidi"/>
          <w:color w:val="000000" w:themeColor="text1"/>
        </w:rPr>
        <w:t xml:space="preserve"> established by Article 6, paragraph 4</w:t>
      </w:r>
      <w:r w:rsidR="00F16033" w:rsidRPr="0002002B">
        <w:rPr>
          <w:rFonts w:asciiTheme="majorBidi" w:hAnsiTheme="majorBidi" w:cstheme="majorBidi"/>
          <w:color w:val="000000" w:themeColor="text1"/>
        </w:rPr>
        <w:t>;</w:t>
      </w:r>
    </w:p>
    <w:bookmarkEnd w:id="29"/>
    <w:p w14:paraId="38A2947C" w14:textId="2EEAF427" w:rsidR="00F16033" w:rsidRPr="00E66ECA" w:rsidRDefault="00492C76" w:rsidP="00492C76">
      <w:pPr>
        <w:pStyle w:val="RegSingleTxtG"/>
        <w:numPr>
          <w:ilvl w:val="0"/>
          <w:numId w:val="0"/>
        </w:numPr>
        <w:ind w:left="1134"/>
        <w:rPr>
          <w:rFonts w:asciiTheme="majorBidi" w:hAnsiTheme="majorBidi" w:cstheme="majorBidi"/>
          <w:color w:val="000000" w:themeColor="text1"/>
        </w:rPr>
      </w:pPr>
      <w:r w:rsidRPr="00E66ECA">
        <w:rPr>
          <w:rFonts w:asciiTheme="majorBidi" w:hAnsiTheme="majorBidi" w:cstheme="majorBidi"/>
          <w:color w:val="000000" w:themeColor="text1"/>
        </w:rPr>
        <w:t>23.</w:t>
      </w:r>
      <w:r w:rsidRPr="00E66ECA">
        <w:rPr>
          <w:rFonts w:asciiTheme="majorBidi" w:hAnsiTheme="majorBidi" w:cstheme="majorBidi"/>
          <w:color w:val="000000" w:themeColor="text1"/>
        </w:rPr>
        <w:tab/>
      </w:r>
      <w:r w:rsidR="00F16033" w:rsidRPr="00E66ECA">
        <w:rPr>
          <w:i/>
          <w:iCs/>
        </w:rPr>
        <w:t xml:space="preserve">Also takes note </w:t>
      </w:r>
      <w:r w:rsidR="00F16033" w:rsidRPr="00E66ECA">
        <w:t>that</w:t>
      </w:r>
      <w:r w:rsidR="00F16033" w:rsidRPr="00E66ECA">
        <w:rPr>
          <w:i/>
          <w:iCs/>
        </w:rPr>
        <w:t xml:space="preserve"> </w:t>
      </w:r>
      <w:r w:rsidR="00F16033" w:rsidRPr="00E66ECA">
        <w:t xml:space="preserve">a USD 3.1 million shortfall in funding for the mechanism is expected in 2025, based on the plan referred to in </w:t>
      </w:r>
      <w:r w:rsidR="00F16033" w:rsidRPr="00FF02CB">
        <w:t>paragraph 22</w:t>
      </w:r>
      <w:r w:rsidR="00F16033" w:rsidRPr="00E66ECA">
        <w:t xml:space="preserve"> above and</w:t>
      </w:r>
      <w:r w:rsidR="00F16033" w:rsidRPr="00E66ECA">
        <w:rPr>
          <w:rFonts w:asciiTheme="majorBidi" w:hAnsiTheme="majorBidi" w:cstheme="majorBidi"/>
          <w:color w:val="000000" w:themeColor="text1"/>
        </w:rPr>
        <w:t xml:space="preserve"> the 2024 report of the Supervisory Body;</w:t>
      </w:r>
    </w:p>
    <w:p w14:paraId="785C996B" w14:textId="2AE50484" w:rsidR="00EA5C98" w:rsidRDefault="00492C76" w:rsidP="00492C76">
      <w:pPr>
        <w:pStyle w:val="RegSingleTxtG"/>
        <w:numPr>
          <w:ilvl w:val="0"/>
          <w:numId w:val="0"/>
        </w:numPr>
        <w:ind w:left="1134"/>
        <w:rPr>
          <w:rFonts w:asciiTheme="majorBidi" w:hAnsiTheme="majorBidi" w:cstheme="majorBidi"/>
          <w:color w:val="000000" w:themeColor="text1"/>
        </w:rPr>
      </w:pPr>
      <w:r>
        <w:rPr>
          <w:rFonts w:asciiTheme="majorBidi" w:hAnsiTheme="majorBidi" w:cstheme="majorBidi"/>
          <w:color w:val="000000" w:themeColor="text1"/>
        </w:rPr>
        <w:t>24.</w:t>
      </w:r>
      <w:r>
        <w:rPr>
          <w:rFonts w:asciiTheme="majorBidi" w:hAnsiTheme="majorBidi" w:cstheme="majorBidi"/>
          <w:color w:val="000000" w:themeColor="text1"/>
        </w:rPr>
        <w:tab/>
      </w:r>
      <w:r w:rsidR="00F16033" w:rsidRPr="00E66ECA">
        <w:rPr>
          <w:rFonts w:asciiTheme="majorBidi" w:hAnsiTheme="majorBidi" w:cstheme="majorBidi"/>
          <w:i/>
          <w:color w:val="000000" w:themeColor="text1"/>
        </w:rPr>
        <w:t>Further takes note</w:t>
      </w:r>
      <w:r w:rsidR="00F16033" w:rsidRPr="00E66ECA">
        <w:rPr>
          <w:rFonts w:asciiTheme="majorBidi" w:hAnsiTheme="majorBidi" w:cstheme="majorBidi"/>
          <w:color w:val="000000" w:themeColor="text1"/>
        </w:rPr>
        <w:t xml:space="preserve"> of the </w:t>
      </w:r>
      <w:r w:rsidR="00F16033" w:rsidRPr="00E66ECA">
        <w:rPr>
          <w:color w:val="000000" w:themeColor="text1"/>
        </w:rPr>
        <w:t>estimated</w:t>
      </w:r>
      <w:r w:rsidR="00F16033" w:rsidRPr="00E66ECA">
        <w:rPr>
          <w:rFonts w:asciiTheme="majorBidi" w:hAnsiTheme="majorBidi" w:cstheme="majorBidi"/>
          <w:color w:val="000000" w:themeColor="text1"/>
        </w:rPr>
        <w:t xml:space="preserve"> </w:t>
      </w:r>
      <w:r w:rsidR="00F16033" w:rsidRPr="00E66ECA">
        <w:rPr>
          <w:color w:val="000000" w:themeColor="text1"/>
        </w:rPr>
        <w:t>budgetary</w:t>
      </w:r>
      <w:r w:rsidR="00F16033" w:rsidRPr="00E66ECA">
        <w:rPr>
          <w:rFonts w:asciiTheme="majorBidi" w:hAnsiTheme="majorBidi" w:cstheme="majorBidi"/>
          <w:color w:val="000000" w:themeColor="text1"/>
        </w:rPr>
        <w:t xml:space="preserve"> implications of the activities to be undertaken by the secretariat referred to in this decision;</w:t>
      </w:r>
    </w:p>
    <w:p w14:paraId="37B172FF" w14:textId="2C11332D" w:rsidR="00F16033" w:rsidRPr="00EA5C98" w:rsidRDefault="00492C76" w:rsidP="00492C76">
      <w:pPr>
        <w:pStyle w:val="RegSingleTxtG"/>
        <w:numPr>
          <w:ilvl w:val="0"/>
          <w:numId w:val="0"/>
        </w:numPr>
        <w:ind w:left="1134"/>
        <w:rPr>
          <w:rFonts w:asciiTheme="majorBidi" w:hAnsiTheme="majorBidi" w:cstheme="majorBidi"/>
          <w:color w:val="000000" w:themeColor="text1"/>
        </w:rPr>
      </w:pPr>
      <w:r w:rsidRPr="00EA5C98">
        <w:rPr>
          <w:rFonts w:asciiTheme="majorBidi" w:hAnsiTheme="majorBidi" w:cstheme="majorBidi"/>
          <w:color w:val="000000" w:themeColor="text1"/>
        </w:rPr>
        <w:t>25.</w:t>
      </w:r>
      <w:r w:rsidRPr="00EA5C98">
        <w:rPr>
          <w:rFonts w:asciiTheme="majorBidi" w:hAnsiTheme="majorBidi" w:cstheme="majorBidi"/>
          <w:color w:val="000000" w:themeColor="text1"/>
        </w:rPr>
        <w:tab/>
      </w:r>
      <w:r w:rsidR="00F16033" w:rsidRPr="00EA5C98">
        <w:rPr>
          <w:i/>
        </w:rPr>
        <w:t>Requests</w:t>
      </w:r>
      <w:r w:rsidR="00F16033" w:rsidRPr="0002002B">
        <w:t xml:space="preserve"> that the actions of the secretariat called for in this decision be undertaken subject to the availability of financial resources.</w:t>
      </w:r>
    </w:p>
    <w:p w14:paraId="47649E9E" w14:textId="50AA889F" w:rsidR="00EA5C98" w:rsidRDefault="004F2055" w:rsidP="00EA5C98">
      <w:pPr>
        <w:pStyle w:val="RegSingleTxtG"/>
        <w:numPr>
          <w:ilvl w:val="0"/>
          <w:numId w:val="0"/>
        </w:numPr>
        <w:spacing w:after="0"/>
        <w:ind w:left="1134"/>
        <w:jc w:val="right"/>
        <w:rPr>
          <w:i/>
        </w:rPr>
      </w:pPr>
      <w:r>
        <w:rPr>
          <w:i/>
        </w:rPr>
        <w:t>Resumed 11</w:t>
      </w:r>
      <w:r w:rsidRPr="004F2055">
        <w:rPr>
          <w:i/>
          <w:vertAlign w:val="superscript"/>
        </w:rPr>
        <w:t>th</w:t>
      </w:r>
      <w:r>
        <w:rPr>
          <w:i/>
        </w:rPr>
        <w:t xml:space="preserve"> </w:t>
      </w:r>
      <w:r w:rsidR="00EA5C98">
        <w:rPr>
          <w:i/>
        </w:rPr>
        <w:t>plenary meeting</w:t>
      </w:r>
    </w:p>
    <w:p w14:paraId="17946D98" w14:textId="5DC23058" w:rsidR="00EA5C98" w:rsidRPr="00090B04" w:rsidRDefault="004F2055" w:rsidP="00090B04">
      <w:pPr>
        <w:pStyle w:val="RegSingleTxtG"/>
        <w:numPr>
          <w:ilvl w:val="0"/>
          <w:numId w:val="0"/>
        </w:numPr>
        <w:spacing w:after="0"/>
        <w:ind w:left="1134"/>
        <w:jc w:val="right"/>
        <w:rPr>
          <w:rFonts w:asciiTheme="majorBidi" w:hAnsiTheme="majorBidi" w:cstheme="majorBidi"/>
          <w:color w:val="000000" w:themeColor="text1"/>
        </w:rPr>
      </w:pPr>
      <w:r>
        <w:rPr>
          <w:i/>
        </w:rPr>
        <w:t>23</w:t>
      </w:r>
      <w:r w:rsidR="00EA5C98">
        <w:rPr>
          <w:i/>
        </w:rPr>
        <w:t xml:space="preserve"> November 2024</w:t>
      </w:r>
    </w:p>
    <w:p w14:paraId="6821A932" w14:textId="77777777" w:rsidR="00090B04" w:rsidRDefault="00090B04" w:rsidP="00492C76">
      <w:pPr>
        <w:pStyle w:val="RegHChG"/>
        <w:numPr>
          <w:ilvl w:val="0"/>
          <w:numId w:val="0"/>
        </w:numPr>
        <w:ind w:hanging="454"/>
      </w:pPr>
    </w:p>
    <w:p w14:paraId="5E6E898E" w14:textId="77777777" w:rsidR="00730734" w:rsidRPr="00730734" w:rsidRDefault="00730734" w:rsidP="00492C76">
      <w:pPr>
        <w:pStyle w:val="RegH1G"/>
        <w:numPr>
          <w:ilvl w:val="0"/>
          <w:numId w:val="0"/>
        </w:numPr>
        <w:ind w:left="851" w:hanging="454"/>
        <w:sectPr w:rsidR="00730734" w:rsidRPr="00730734" w:rsidSect="004B64A4">
          <w:headerReference w:type="even" r:id="rId179"/>
          <w:headerReference w:type="default" r:id="rId180"/>
          <w:footerReference w:type="even" r:id="rId181"/>
          <w:footerReference w:type="default" r:id="rId182"/>
          <w:footnotePr>
            <w:numRestart w:val="eachSect"/>
          </w:footnotePr>
          <w:pgSz w:w="11906" w:h="16838" w:code="9"/>
          <w:pgMar w:top="1417" w:right="1134" w:bottom="1134" w:left="1134" w:header="850" w:footer="567" w:gutter="0"/>
          <w:cols w:space="708"/>
          <w:docGrid w:linePitch="360"/>
        </w:sectPr>
      </w:pPr>
    </w:p>
    <w:p w14:paraId="0287E509" w14:textId="4B4592B7" w:rsidR="00090B04" w:rsidRDefault="00090B04" w:rsidP="00492C76">
      <w:pPr>
        <w:pStyle w:val="RegHChG"/>
        <w:numPr>
          <w:ilvl w:val="0"/>
          <w:numId w:val="0"/>
        </w:numPr>
        <w:ind w:left="1135" w:hanging="454"/>
      </w:pPr>
      <w:bookmarkStart w:id="30" w:name="decision7"/>
      <w:r>
        <w:lastRenderedPageBreak/>
        <w:t xml:space="preserve">Decision </w:t>
      </w:r>
      <w:r w:rsidR="00F0694E">
        <w:t>7</w:t>
      </w:r>
      <w:r>
        <w:t>/CMA.6</w:t>
      </w:r>
    </w:p>
    <w:bookmarkEnd w:id="30"/>
    <w:p w14:paraId="707E6ECD" w14:textId="2D59C965" w:rsidR="00F0694E" w:rsidRPr="00E944B9" w:rsidRDefault="00F0694E" w:rsidP="00F0694E">
      <w:pPr>
        <w:pStyle w:val="HChG"/>
        <w:tabs>
          <w:tab w:val="clear" w:pos="851"/>
        </w:tabs>
        <w:ind w:firstLine="0"/>
      </w:pPr>
      <w:r w:rsidRPr="00AF7882">
        <w:t xml:space="preserve">Work programme under the framework for non-market approaches referred to in Article 6, paragraph 8, of </w:t>
      </w:r>
      <w:r w:rsidRPr="00AF7882">
        <w:br/>
        <w:t xml:space="preserve">the Paris Agreement and in decision </w:t>
      </w:r>
      <w:r w:rsidRPr="006468E2">
        <w:t>4/CMA.3</w:t>
      </w:r>
    </w:p>
    <w:p w14:paraId="3D6DB532" w14:textId="77777777" w:rsidR="00F0694E" w:rsidRPr="003C00D1" w:rsidRDefault="00F0694E" w:rsidP="00F0694E">
      <w:pPr>
        <w:pStyle w:val="RegSingleTxtG"/>
        <w:numPr>
          <w:ilvl w:val="0"/>
          <w:numId w:val="0"/>
        </w:numPr>
        <w:tabs>
          <w:tab w:val="clear" w:pos="1701"/>
          <w:tab w:val="left" w:pos="1985"/>
        </w:tabs>
        <w:ind w:left="1134" w:firstLine="567"/>
        <w:rPr>
          <w:i/>
          <w:color w:val="000000" w:themeColor="text1"/>
        </w:rPr>
      </w:pPr>
      <w:r w:rsidRPr="003C00D1">
        <w:rPr>
          <w:i/>
          <w:color w:val="000000" w:themeColor="text1"/>
        </w:rPr>
        <w:t>The Conference of the Parties serving as the meeting of the Parties to the Paris Agreement</w:t>
      </w:r>
      <w:r w:rsidRPr="003C00D1">
        <w:rPr>
          <w:color w:val="000000" w:themeColor="text1"/>
        </w:rPr>
        <w:t>,</w:t>
      </w:r>
    </w:p>
    <w:p w14:paraId="34CD096B" w14:textId="324D8DAB" w:rsidR="00F0694E" w:rsidRPr="003C00D1" w:rsidRDefault="00F0694E" w:rsidP="00F0694E">
      <w:pPr>
        <w:pStyle w:val="RegSingleTxtG"/>
        <w:numPr>
          <w:ilvl w:val="0"/>
          <w:numId w:val="0"/>
        </w:numPr>
        <w:ind w:left="1134" w:firstLine="567"/>
        <w:rPr>
          <w:color w:val="000000" w:themeColor="text1"/>
        </w:rPr>
      </w:pPr>
      <w:r w:rsidRPr="003C00D1">
        <w:rPr>
          <w:i/>
          <w:color w:val="000000" w:themeColor="text1"/>
        </w:rPr>
        <w:t>Recalling</w:t>
      </w:r>
      <w:r w:rsidRPr="003C00D1">
        <w:rPr>
          <w:color w:val="000000" w:themeColor="text1"/>
        </w:rPr>
        <w:t xml:space="preserve"> </w:t>
      </w:r>
      <w:bookmarkStart w:id="31" w:name="_Hlk149217634"/>
      <w:r w:rsidRPr="003C00D1">
        <w:rPr>
          <w:color w:val="000000" w:themeColor="text1"/>
        </w:rPr>
        <w:t>decision</w:t>
      </w:r>
      <w:r>
        <w:rPr>
          <w:color w:val="000000" w:themeColor="text1"/>
        </w:rPr>
        <w:t>s</w:t>
      </w:r>
      <w:r w:rsidRPr="003C00D1">
        <w:rPr>
          <w:color w:val="000000" w:themeColor="text1"/>
        </w:rPr>
        <w:t xml:space="preserve"> </w:t>
      </w:r>
      <w:hyperlink r:id="rId183" w:history="1">
        <w:r w:rsidRPr="00514C67">
          <w:rPr>
            <w:rStyle w:val="Hyperlink"/>
          </w:rPr>
          <w:t>4/CMA.3</w:t>
        </w:r>
      </w:hyperlink>
      <w:r w:rsidRPr="003C00D1">
        <w:rPr>
          <w:color w:val="000000" w:themeColor="text1"/>
        </w:rPr>
        <w:t xml:space="preserve">, </w:t>
      </w:r>
      <w:hyperlink r:id="rId184" w:history="1">
        <w:r w:rsidRPr="00514C67">
          <w:rPr>
            <w:rStyle w:val="Hyperlink"/>
          </w:rPr>
          <w:t>8/CMA.4</w:t>
        </w:r>
        <w:bookmarkEnd w:id="31"/>
      </w:hyperlink>
      <w:r>
        <w:rPr>
          <w:color w:val="000000" w:themeColor="text1"/>
        </w:rPr>
        <w:t xml:space="preserve"> and</w:t>
      </w:r>
      <w:r w:rsidDel="00CC6E87">
        <w:rPr>
          <w:color w:val="000000" w:themeColor="text1"/>
        </w:rPr>
        <w:t xml:space="preserve"> </w:t>
      </w:r>
      <w:hyperlink r:id="rId185" w:history="1">
        <w:r w:rsidRPr="00514C67">
          <w:rPr>
            <w:rStyle w:val="Hyperlink"/>
          </w:rPr>
          <w:t>17/CMA.5</w:t>
        </w:r>
      </w:hyperlink>
      <w:r w:rsidRPr="003C00D1">
        <w:rPr>
          <w:color w:val="000000" w:themeColor="text1"/>
        </w:rPr>
        <w:t xml:space="preserve"> and the Paris Agreement,</w:t>
      </w:r>
    </w:p>
    <w:p w14:paraId="38EF27F0" w14:textId="77777777" w:rsidR="00F0694E" w:rsidRPr="003C00D1" w:rsidRDefault="00F0694E" w:rsidP="00F0694E">
      <w:pPr>
        <w:pStyle w:val="RegSingleTxtG"/>
        <w:numPr>
          <w:ilvl w:val="0"/>
          <w:numId w:val="0"/>
        </w:numPr>
        <w:tabs>
          <w:tab w:val="clear" w:pos="1701"/>
        </w:tabs>
        <w:ind w:left="1134" w:firstLine="567"/>
        <w:rPr>
          <w:color w:val="000000" w:themeColor="text1"/>
        </w:rPr>
      </w:pPr>
      <w:r w:rsidRPr="003C00D1">
        <w:rPr>
          <w:i/>
          <w:color w:val="000000" w:themeColor="text1"/>
        </w:rPr>
        <w:t>Noting with appreciation</w:t>
      </w:r>
      <w:r w:rsidRPr="003C00D1">
        <w:rPr>
          <w:color w:val="000000" w:themeColor="text1"/>
        </w:rPr>
        <w:t xml:space="preserve"> the contributions received from Parties and observers in support of implementing the framework for non-market approaches referred to in Article 6, paragraph 9, of the Paris Agreement,</w:t>
      </w:r>
    </w:p>
    <w:p w14:paraId="49DBE267" w14:textId="036746BB" w:rsidR="00F0694E" w:rsidRPr="003C00D1" w:rsidRDefault="00492C76" w:rsidP="00492C76">
      <w:pPr>
        <w:pStyle w:val="RegSingleTxtG"/>
        <w:numPr>
          <w:ilvl w:val="0"/>
          <w:numId w:val="0"/>
        </w:numPr>
        <w:ind w:left="1134"/>
        <w:rPr>
          <w:color w:val="000000" w:themeColor="text1"/>
        </w:rPr>
      </w:pPr>
      <w:r w:rsidRPr="003C00D1">
        <w:rPr>
          <w:iCs/>
          <w:color w:val="000000" w:themeColor="text1"/>
        </w:rPr>
        <w:t>1.</w:t>
      </w:r>
      <w:r w:rsidRPr="003C00D1">
        <w:rPr>
          <w:iCs/>
          <w:color w:val="000000" w:themeColor="text1"/>
        </w:rPr>
        <w:tab/>
      </w:r>
      <w:r w:rsidR="00F0694E" w:rsidRPr="003C00D1">
        <w:rPr>
          <w:i/>
          <w:color w:val="000000" w:themeColor="text1"/>
        </w:rPr>
        <w:t>Welcomes</w:t>
      </w:r>
      <w:r w:rsidR="00F0694E" w:rsidRPr="003C00D1">
        <w:rPr>
          <w:color w:val="000000" w:themeColor="text1"/>
        </w:rPr>
        <w:t xml:space="preserve"> the report of the Glasgow Committee on Non-market Approaches,</w:t>
      </w:r>
      <w:r w:rsidR="00F0694E" w:rsidRPr="003C00D1">
        <w:rPr>
          <w:rStyle w:val="FootnoteReference"/>
          <w:color w:val="000000" w:themeColor="text1"/>
        </w:rPr>
        <w:footnoteReference w:id="53"/>
      </w:r>
      <w:r w:rsidR="00F0694E" w:rsidRPr="003C00D1">
        <w:rPr>
          <w:color w:val="000000" w:themeColor="text1"/>
        </w:rPr>
        <w:t xml:space="preserve"> which includes information on progress in implementing the work programme under the framework for non-market approaches referred to in Article 6, paragraph 8, of the Paris Agreement and in decision </w:t>
      </w:r>
      <w:hyperlink r:id="rId186" w:history="1">
        <w:r w:rsidR="00F0694E" w:rsidRPr="00514C67">
          <w:rPr>
            <w:rStyle w:val="Hyperlink"/>
          </w:rPr>
          <w:t>4/CMA.3</w:t>
        </w:r>
      </w:hyperlink>
      <w:r w:rsidR="00F0694E" w:rsidRPr="003C00D1">
        <w:rPr>
          <w:color w:val="000000" w:themeColor="text1"/>
        </w:rPr>
        <w:t>;</w:t>
      </w:r>
    </w:p>
    <w:p w14:paraId="13895673" w14:textId="44A1848F" w:rsidR="00F0694E" w:rsidRPr="00230D6C" w:rsidRDefault="00492C76" w:rsidP="00492C76">
      <w:pPr>
        <w:pStyle w:val="RegSingleTxtG"/>
        <w:numPr>
          <w:ilvl w:val="0"/>
          <w:numId w:val="0"/>
        </w:numPr>
        <w:ind w:left="1134"/>
        <w:rPr>
          <w:color w:val="000000" w:themeColor="text1"/>
        </w:rPr>
      </w:pPr>
      <w:r w:rsidRPr="00230D6C">
        <w:rPr>
          <w:iCs/>
          <w:color w:val="000000" w:themeColor="text1"/>
        </w:rPr>
        <w:t>2.</w:t>
      </w:r>
      <w:r w:rsidRPr="00230D6C">
        <w:rPr>
          <w:iCs/>
          <w:color w:val="000000" w:themeColor="text1"/>
        </w:rPr>
        <w:tab/>
      </w:r>
      <w:r w:rsidR="00F0694E" w:rsidRPr="003C00D1">
        <w:rPr>
          <w:i/>
          <w:iCs/>
          <w:color w:val="000000" w:themeColor="text1"/>
        </w:rPr>
        <w:t>Recalls</w:t>
      </w:r>
      <w:r w:rsidR="00F0694E" w:rsidRPr="003C00D1">
        <w:rPr>
          <w:color w:val="000000" w:themeColor="text1"/>
        </w:rPr>
        <w:t xml:space="preserve"> that the reports of the Glasgow Committee on Non-market Approaches </w:t>
      </w:r>
      <w:r w:rsidR="00F0694E" w:rsidRPr="003C00D1">
        <w:rPr>
          <w:iCs/>
          <w:color w:val="000000" w:themeColor="text1"/>
        </w:rPr>
        <w:t xml:space="preserve">will serve as inputs to the review of the work programme </w:t>
      </w:r>
      <w:r w:rsidR="00650789">
        <w:t>by</w:t>
      </w:r>
      <w:r w:rsidR="00F0694E">
        <w:t xml:space="preserve"> the</w:t>
      </w:r>
      <w:r w:rsidR="00F0694E" w:rsidRPr="003C00D1">
        <w:t xml:space="preserve"> </w:t>
      </w:r>
      <w:r w:rsidR="00F0694E">
        <w:t>Co</w:t>
      </w:r>
      <w:r w:rsidR="00F0694E" w:rsidRPr="00305021">
        <w:t>nference of the Parties serving as the meeting of the Parties to the Paris Agreement</w:t>
      </w:r>
      <w:r w:rsidR="00F0694E">
        <w:t xml:space="preserve"> at its seventh session</w:t>
      </w:r>
      <w:r w:rsidR="00F0694E" w:rsidRPr="003C00D1">
        <w:t xml:space="preserve"> (</w:t>
      </w:r>
      <w:r w:rsidR="00F0694E" w:rsidRPr="003C00D1" w:rsidDel="00B86A7D">
        <w:t xml:space="preserve">November </w:t>
      </w:r>
      <w:r w:rsidR="00F0694E" w:rsidRPr="003C00D1">
        <w:t>2025);</w:t>
      </w:r>
      <w:r w:rsidR="00F0694E">
        <w:rPr>
          <w:rStyle w:val="FootnoteReference"/>
        </w:rPr>
        <w:footnoteReference w:id="54"/>
      </w:r>
      <w:r w:rsidR="00F0694E" w:rsidRPr="003C00D1">
        <w:t xml:space="preserve"> </w:t>
      </w:r>
      <w:bookmarkStart w:id="32" w:name="_Ref173326870"/>
    </w:p>
    <w:p w14:paraId="16C622C4" w14:textId="5D273823" w:rsidR="00F0694E" w:rsidRPr="00A90E7A" w:rsidRDefault="00492C76" w:rsidP="00492C76">
      <w:pPr>
        <w:pStyle w:val="RegSingleTxtG"/>
        <w:numPr>
          <w:ilvl w:val="0"/>
          <w:numId w:val="0"/>
        </w:numPr>
        <w:ind w:left="1134"/>
        <w:rPr>
          <w:color w:val="000000" w:themeColor="text1"/>
        </w:rPr>
      </w:pPr>
      <w:r w:rsidRPr="00A90E7A">
        <w:rPr>
          <w:iCs/>
          <w:color w:val="000000" w:themeColor="text1"/>
        </w:rPr>
        <w:t>3.</w:t>
      </w:r>
      <w:r w:rsidRPr="00A90E7A">
        <w:rPr>
          <w:iCs/>
          <w:color w:val="000000" w:themeColor="text1"/>
        </w:rPr>
        <w:tab/>
      </w:r>
      <w:r w:rsidR="00F0694E" w:rsidRPr="00230D6C">
        <w:rPr>
          <w:i/>
          <w:iCs/>
          <w:color w:val="000000" w:themeColor="text1"/>
        </w:rPr>
        <w:t>Notes</w:t>
      </w:r>
      <w:r w:rsidR="00F0694E" w:rsidRPr="00EB3A7C">
        <w:rPr>
          <w:color w:val="000000" w:themeColor="text1"/>
        </w:rPr>
        <w:t xml:space="preserve"> </w:t>
      </w:r>
      <w:r w:rsidR="00F0694E" w:rsidRPr="004E378D">
        <w:rPr>
          <w:i/>
          <w:iCs/>
          <w:color w:val="000000" w:themeColor="text1"/>
        </w:rPr>
        <w:t>with appreciation</w:t>
      </w:r>
      <w:r w:rsidR="00F0694E" w:rsidRPr="00EB3A7C">
        <w:rPr>
          <w:color w:val="000000" w:themeColor="text1"/>
        </w:rPr>
        <w:t xml:space="preserve"> the progress in the development of non-market approaches</w:t>
      </w:r>
      <w:r w:rsidR="00F0694E">
        <w:rPr>
          <w:color w:val="000000" w:themeColor="text1"/>
        </w:rPr>
        <w:t>;</w:t>
      </w:r>
    </w:p>
    <w:p w14:paraId="4A307A64" w14:textId="3109B9BC" w:rsidR="00FB3AC1" w:rsidRPr="00FB3AC1" w:rsidRDefault="00492C76" w:rsidP="00492C76">
      <w:pPr>
        <w:pStyle w:val="RegSingleTxtG"/>
        <w:numPr>
          <w:ilvl w:val="0"/>
          <w:numId w:val="0"/>
        </w:numPr>
        <w:ind w:left="1134"/>
        <w:rPr>
          <w:color w:val="000000" w:themeColor="text1"/>
        </w:rPr>
      </w:pPr>
      <w:bookmarkStart w:id="33" w:name="_Ref173327974"/>
      <w:r w:rsidRPr="00FB3AC1">
        <w:rPr>
          <w:iCs/>
          <w:color w:val="000000" w:themeColor="text1"/>
        </w:rPr>
        <w:t>4.</w:t>
      </w:r>
      <w:r w:rsidRPr="00FB3AC1">
        <w:rPr>
          <w:iCs/>
          <w:color w:val="000000" w:themeColor="text1"/>
        </w:rPr>
        <w:tab/>
      </w:r>
      <w:r w:rsidR="00F0694E">
        <w:rPr>
          <w:i/>
          <w:iCs/>
          <w:color w:val="000000" w:themeColor="text1"/>
        </w:rPr>
        <w:t>R</w:t>
      </w:r>
      <w:r w:rsidR="00F0694E" w:rsidRPr="003C00D1">
        <w:rPr>
          <w:i/>
          <w:iCs/>
          <w:color w:val="000000" w:themeColor="text1"/>
        </w:rPr>
        <w:t xml:space="preserve">ecalls </w:t>
      </w:r>
      <w:r w:rsidR="00F0694E">
        <w:rPr>
          <w:color w:val="000000" w:themeColor="text1"/>
        </w:rPr>
        <w:t>its</w:t>
      </w:r>
      <w:r w:rsidR="00F0694E" w:rsidRPr="006F2853">
        <w:t xml:space="preserve"> request</w:t>
      </w:r>
      <w:r w:rsidR="00F0694E">
        <w:rPr>
          <w:rStyle w:val="FootnoteReference"/>
        </w:rPr>
        <w:footnoteReference w:id="55"/>
      </w:r>
      <w:r w:rsidR="00F0694E" w:rsidRPr="006F2853">
        <w:t xml:space="preserve"> </w:t>
      </w:r>
      <w:r w:rsidR="00F0694E">
        <w:t xml:space="preserve">to </w:t>
      </w:r>
      <w:r w:rsidR="00F0694E" w:rsidRPr="006F2853">
        <w:t>the Glasgow Committee on Non-market Approaches to undertake</w:t>
      </w:r>
      <w:r w:rsidR="00F0694E">
        <w:t xml:space="preserve">, </w:t>
      </w:r>
      <w:r w:rsidR="00F0694E" w:rsidRPr="006F2853">
        <w:t xml:space="preserve">at its </w:t>
      </w:r>
      <w:r w:rsidR="00F0694E">
        <w:t>6</w:t>
      </w:r>
      <w:r w:rsidR="00F0694E" w:rsidRPr="00B03F6F">
        <w:rPr>
          <w:vertAlign w:val="superscript"/>
        </w:rPr>
        <w:t>th</w:t>
      </w:r>
      <w:r w:rsidR="00F0694E" w:rsidRPr="006F2853">
        <w:t xml:space="preserve"> meeting, an expedited and simple assessment of the progress and outcomes of the first phase</w:t>
      </w:r>
      <w:r w:rsidR="00F0694E">
        <w:t xml:space="preserve"> (2023</w:t>
      </w:r>
      <w:r w:rsidR="00F0694E">
        <w:rPr>
          <w:rFonts w:ascii="Symbol" w:eastAsia="Symbol" w:hAnsi="Symbol" w:cs="Symbol"/>
        </w:rPr>
        <w:t>-</w:t>
      </w:r>
      <w:r w:rsidR="00F0694E">
        <w:t>2024)</w:t>
      </w:r>
      <w:r w:rsidR="00F0694E" w:rsidRPr="006F2853">
        <w:t xml:space="preserve"> </w:t>
      </w:r>
      <w:r w:rsidR="00F0694E">
        <w:t>of implementing the work programme activities</w:t>
      </w:r>
      <w:r w:rsidR="00F0694E">
        <w:rPr>
          <w:rStyle w:val="FootnoteReference"/>
        </w:rPr>
        <w:footnoteReference w:id="56"/>
      </w:r>
      <w:r w:rsidR="00F0694E">
        <w:t xml:space="preserve"> </w:t>
      </w:r>
      <w:r w:rsidR="00F0694E" w:rsidRPr="006F2853">
        <w:t xml:space="preserve">referred to in </w:t>
      </w:r>
      <w:r w:rsidR="00F0694E">
        <w:t xml:space="preserve">decision </w:t>
      </w:r>
      <w:hyperlink r:id="rId187" w:history="1">
        <w:r w:rsidR="00F0694E" w:rsidRPr="00514C67">
          <w:rPr>
            <w:rStyle w:val="Hyperlink"/>
          </w:rPr>
          <w:t>4/CMA.3</w:t>
        </w:r>
      </w:hyperlink>
      <w:r w:rsidR="00F0694E">
        <w:t xml:space="preserve">, annex, chapter V, </w:t>
      </w:r>
      <w:r w:rsidR="00F0694E" w:rsidRPr="006F2853">
        <w:t>with a view to improving and recommending the schedule for implementing the work programme activities for the second phase</w:t>
      </w:r>
      <w:r w:rsidR="00F0694E">
        <w:t xml:space="preserve"> (2025</w:t>
      </w:r>
      <w:r w:rsidR="00F0694E">
        <w:rPr>
          <w:rFonts w:ascii="Symbol" w:eastAsia="Symbol" w:hAnsi="Symbol" w:cs="Symbol"/>
        </w:rPr>
        <w:t>-</w:t>
      </w:r>
      <w:r w:rsidR="00F0694E">
        <w:t>2026);</w:t>
      </w:r>
      <w:r w:rsidR="00F0694E">
        <w:rPr>
          <w:rStyle w:val="FootnoteReference"/>
        </w:rPr>
        <w:footnoteReference w:id="57"/>
      </w:r>
      <w:bookmarkEnd w:id="32"/>
      <w:bookmarkEnd w:id="33"/>
    </w:p>
    <w:p w14:paraId="40D42937" w14:textId="59DDE792" w:rsidR="00F0694E" w:rsidRPr="00DF067D" w:rsidRDefault="00492C76" w:rsidP="00492C76">
      <w:pPr>
        <w:pStyle w:val="RegHChG"/>
        <w:numPr>
          <w:ilvl w:val="0"/>
          <w:numId w:val="0"/>
        </w:numPr>
        <w:tabs>
          <w:tab w:val="left" w:pos="1135"/>
        </w:tabs>
        <w:ind w:left="1135" w:hanging="454"/>
        <w:rPr>
          <w:color w:val="000000" w:themeColor="text1"/>
        </w:rPr>
      </w:pPr>
      <w:r w:rsidRPr="00DF067D">
        <w:rPr>
          <w:color w:val="000000" w:themeColor="text1"/>
        </w:rPr>
        <w:t>I.</w:t>
      </w:r>
      <w:r w:rsidRPr="00DF067D">
        <w:rPr>
          <w:color w:val="000000" w:themeColor="text1"/>
        </w:rPr>
        <w:tab/>
      </w:r>
      <w:r w:rsidR="00F0694E" w:rsidRPr="00880982">
        <w:t xml:space="preserve">First phase of </w:t>
      </w:r>
      <w:r w:rsidR="00F0694E" w:rsidRPr="00F84D3A">
        <w:t>implementing</w:t>
      </w:r>
      <w:r w:rsidR="00F0694E" w:rsidRPr="00880982">
        <w:t xml:space="preserve"> the work programme activities</w:t>
      </w:r>
    </w:p>
    <w:p w14:paraId="263E097C" w14:textId="288D9019" w:rsidR="00F0694E" w:rsidRPr="00D455F4" w:rsidRDefault="00492C76" w:rsidP="00492C76">
      <w:pPr>
        <w:pStyle w:val="RegSingleTxtG"/>
        <w:numPr>
          <w:ilvl w:val="0"/>
          <w:numId w:val="0"/>
        </w:numPr>
        <w:ind w:left="1134"/>
        <w:rPr>
          <w:color w:val="000000" w:themeColor="text1"/>
        </w:rPr>
      </w:pPr>
      <w:r w:rsidRPr="00D455F4">
        <w:rPr>
          <w:iCs/>
          <w:color w:val="000000" w:themeColor="text1"/>
        </w:rPr>
        <w:t>5.</w:t>
      </w:r>
      <w:r w:rsidRPr="00D455F4">
        <w:rPr>
          <w:iCs/>
          <w:color w:val="000000" w:themeColor="text1"/>
        </w:rPr>
        <w:tab/>
      </w:r>
      <w:r w:rsidR="00F0694E">
        <w:rPr>
          <w:i/>
          <w:color w:val="000000" w:themeColor="text1"/>
        </w:rPr>
        <w:t>Welcomes</w:t>
      </w:r>
      <w:r w:rsidR="00F0694E" w:rsidRPr="003C00D1">
        <w:rPr>
          <w:i/>
          <w:color w:val="000000" w:themeColor="text1"/>
        </w:rPr>
        <w:t xml:space="preserve"> </w:t>
      </w:r>
      <w:r w:rsidR="00F0694E">
        <w:rPr>
          <w:iCs/>
          <w:color w:val="000000" w:themeColor="text1"/>
        </w:rPr>
        <w:t xml:space="preserve">the expedited and simple assessment of the first phase of implementing the work programme activities undertaken by the Glasgow Committee on Non-market Approaches at its </w:t>
      </w:r>
      <w:r w:rsidR="00F0694E">
        <w:t>6</w:t>
      </w:r>
      <w:r w:rsidR="00F0694E" w:rsidRPr="00E043EE">
        <w:rPr>
          <w:vertAlign w:val="superscript"/>
        </w:rPr>
        <w:t>th</w:t>
      </w:r>
      <w:r w:rsidR="00F0694E">
        <w:rPr>
          <w:iCs/>
          <w:color w:val="000000" w:themeColor="text1"/>
        </w:rPr>
        <w:t xml:space="preserve"> meeting;</w:t>
      </w:r>
    </w:p>
    <w:p w14:paraId="34FEA01B" w14:textId="1F700C1E" w:rsidR="00F0694E" w:rsidRDefault="00492C76" w:rsidP="00492C76">
      <w:pPr>
        <w:pStyle w:val="RegSingleTxtG"/>
        <w:numPr>
          <w:ilvl w:val="0"/>
          <w:numId w:val="0"/>
        </w:numPr>
        <w:ind w:left="1134"/>
      </w:pPr>
      <w:r>
        <w:rPr>
          <w:iCs/>
        </w:rPr>
        <w:t>6.</w:t>
      </w:r>
      <w:r>
        <w:rPr>
          <w:iCs/>
        </w:rPr>
        <w:tab/>
      </w:r>
      <w:r w:rsidR="00F0694E" w:rsidRPr="007C3014">
        <w:rPr>
          <w:i/>
          <w:iCs/>
          <w:color w:val="000000" w:themeColor="text1"/>
        </w:rPr>
        <w:t>Notes</w:t>
      </w:r>
      <w:r w:rsidR="00F0694E" w:rsidRPr="007C3014">
        <w:rPr>
          <w:color w:val="000000" w:themeColor="text1"/>
        </w:rPr>
        <w:t xml:space="preserve"> that</w:t>
      </w:r>
      <w:r w:rsidR="00F0694E">
        <w:rPr>
          <w:color w:val="000000" w:themeColor="text1"/>
        </w:rPr>
        <w:t>,</w:t>
      </w:r>
      <w:r w:rsidR="00F0694E" w:rsidRPr="007C3014">
        <w:rPr>
          <w:color w:val="000000" w:themeColor="text1"/>
        </w:rPr>
        <w:t xml:space="preserve"> </w:t>
      </w:r>
      <w:r w:rsidR="00F0694E">
        <w:rPr>
          <w:color w:val="000000" w:themeColor="text1"/>
        </w:rPr>
        <w:t xml:space="preserve">in </w:t>
      </w:r>
      <w:r w:rsidR="00F0694E" w:rsidRPr="007C3014">
        <w:rPr>
          <w:color w:val="000000" w:themeColor="text1"/>
        </w:rPr>
        <w:t>the first phase</w:t>
      </w:r>
      <w:r w:rsidR="00F0694E">
        <w:rPr>
          <w:color w:val="000000" w:themeColor="text1"/>
        </w:rPr>
        <w:t>, Parties</w:t>
      </w:r>
      <w:r w:rsidR="00F0694E" w:rsidRPr="007C3014">
        <w:rPr>
          <w:color w:val="000000" w:themeColor="text1"/>
        </w:rPr>
        <w:t xml:space="preserve"> </w:t>
      </w:r>
      <w:r w:rsidR="00F0694E">
        <w:rPr>
          <w:color w:val="000000" w:themeColor="text1"/>
        </w:rPr>
        <w:t>have</w:t>
      </w:r>
      <w:r w:rsidR="00F0694E" w:rsidRPr="007C3014">
        <w:rPr>
          <w:color w:val="000000" w:themeColor="text1"/>
        </w:rPr>
        <w:t xml:space="preserve"> identif</w:t>
      </w:r>
      <w:r w:rsidR="00F0694E">
        <w:rPr>
          <w:color w:val="000000" w:themeColor="text1"/>
        </w:rPr>
        <w:t>ied</w:t>
      </w:r>
      <w:r w:rsidR="00F0694E" w:rsidRPr="007C3014">
        <w:rPr>
          <w:color w:val="000000" w:themeColor="text1"/>
        </w:rPr>
        <w:t xml:space="preserve"> and fram</w:t>
      </w:r>
      <w:r w:rsidR="00F0694E">
        <w:rPr>
          <w:color w:val="000000" w:themeColor="text1"/>
        </w:rPr>
        <w:t>ed</w:t>
      </w:r>
      <w:r w:rsidR="00F0694E" w:rsidRPr="007C3014">
        <w:rPr>
          <w:color w:val="000000" w:themeColor="text1"/>
        </w:rPr>
        <w:t xml:space="preserve"> all relevant elements of </w:t>
      </w:r>
      <w:r w:rsidR="00F0694E">
        <w:rPr>
          <w:color w:val="000000" w:themeColor="text1"/>
        </w:rPr>
        <w:t xml:space="preserve">the </w:t>
      </w:r>
      <w:r w:rsidR="00F0694E" w:rsidRPr="007C3014">
        <w:rPr>
          <w:color w:val="000000" w:themeColor="text1"/>
        </w:rPr>
        <w:t>work programme activities</w:t>
      </w:r>
      <w:r w:rsidR="00F0694E">
        <w:rPr>
          <w:color w:val="000000" w:themeColor="text1"/>
        </w:rPr>
        <w:t>,</w:t>
      </w:r>
      <w:r w:rsidR="00F0694E" w:rsidRPr="007C3014">
        <w:rPr>
          <w:color w:val="000000" w:themeColor="text1"/>
        </w:rPr>
        <w:t xml:space="preserve"> and </w:t>
      </w:r>
      <w:r w:rsidR="00F0694E">
        <w:rPr>
          <w:color w:val="000000" w:themeColor="text1"/>
        </w:rPr>
        <w:t xml:space="preserve">the secretariat has developed </w:t>
      </w:r>
      <w:r w:rsidR="00F0694E" w:rsidRPr="007C3014">
        <w:rPr>
          <w:color w:val="000000" w:themeColor="text1"/>
        </w:rPr>
        <w:t>the NMA Platform</w:t>
      </w:r>
      <w:r w:rsidR="00F0694E">
        <w:rPr>
          <w:rStyle w:val="FootnoteReference"/>
          <w:color w:val="000000" w:themeColor="text1"/>
        </w:rPr>
        <w:footnoteReference w:id="58"/>
      </w:r>
      <w:r w:rsidR="00F0694E" w:rsidRPr="007C3014">
        <w:rPr>
          <w:color w:val="000000" w:themeColor="text1"/>
        </w:rPr>
        <w:t xml:space="preserve"> </w:t>
      </w:r>
      <w:r w:rsidR="00F0694E">
        <w:rPr>
          <w:color w:val="000000" w:themeColor="text1"/>
        </w:rPr>
        <w:t>and an associated user manual</w:t>
      </w:r>
      <w:r w:rsidR="00F0694E">
        <w:t xml:space="preserve">; </w:t>
      </w:r>
    </w:p>
    <w:p w14:paraId="2E0FC966" w14:textId="587BC637" w:rsidR="00671A86" w:rsidRDefault="00492C76" w:rsidP="00492C76">
      <w:pPr>
        <w:pStyle w:val="RegSingleTxtG"/>
        <w:numPr>
          <w:ilvl w:val="0"/>
          <w:numId w:val="0"/>
        </w:numPr>
        <w:ind w:left="1134"/>
      </w:pPr>
      <w:r>
        <w:rPr>
          <w:iCs/>
        </w:rPr>
        <w:t>7.</w:t>
      </w:r>
      <w:r>
        <w:rPr>
          <w:iCs/>
        </w:rPr>
        <w:tab/>
      </w:r>
      <w:r w:rsidR="00671A86" w:rsidRPr="007A1BE5">
        <w:rPr>
          <w:i/>
          <w:iCs/>
        </w:rPr>
        <w:t>Recognizes</w:t>
      </w:r>
      <w:r w:rsidR="00671A86" w:rsidRPr="00EE3AC6">
        <w:t xml:space="preserve"> that</w:t>
      </w:r>
      <w:r w:rsidR="00EE3AC6" w:rsidRPr="00EE3AC6">
        <w:t xml:space="preserve"> one non-market approach has been submitted by Parties to</w:t>
      </w:r>
      <w:r w:rsidR="00671A86" w:rsidRPr="00EE3AC6" w:rsidDel="00EE3AC6">
        <w:t xml:space="preserve"> </w:t>
      </w:r>
      <w:r w:rsidR="00671A86" w:rsidRPr="00EE3AC6">
        <w:t xml:space="preserve">the NMA Platform </w:t>
      </w:r>
      <w:r w:rsidR="00EE3AC6" w:rsidRPr="00EE3AC6">
        <w:t xml:space="preserve">since its recent </w:t>
      </w:r>
      <w:r w:rsidR="00FD54AF" w:rsidRPr="00EE3AC6">
        <w:t>launch</w:t>
      </w:r>
      <w:r w:rsidR="00FD54AF" w:rsidRPr="00FD54AF">
        <w:t>,</w:t>
      </w:r>
      <w:r w:rsidR="00671A86" w:rsidRPr="00EE3AC6" w:rsidDel="00671A86">
        <w:t xml:space="preserve"> </w:t>
      </w:r>
      <w:r w:rsidR="00671A86" w:rsidRPr="00EE3AC6">
        <w:t>with submissions</w:t>
      </w:r>
      <w:r w:rsidR="00671A86" w:rsidRPr="00EE3AC6" w:rsidDel="00671A86">
        <w:t xml:space="preserve"> </w:t>
      </w:r>
      <w:r w:rsidR="00671A86" w:rsidRPr="00EE3AC6">
        <w:t>anticipated to increase over time</w:t>
      </w:r>
      <w:r w:rsidR="00671A86">
        <w:t>;</w:t>
      </w:r>
    </w:p>
    <w:p w14:paraId="695E2DF8" w14:textId="7035BC0A" w:rsidR="00F0694E" w:rsidRPr="00A47FB1" w:rsidRDefault="00492C76" w:rsidP="00492C76">
      <w:pPr>
        <w:pStyle w:val="RegSingleTxtG"/>
        <w:numPr>
          <w:ilvl w:val="0"/>
          <w:numId w:val="0"/>
        </w:numPr>
        <w:ind w:left="1134"/>
      </w:pPr>
      <w:r w:rsidRPr="00A47FB1">
        <w:rPr>
          <w:iCs/>
        </w:rPr>
        <w:t>8.</w:t>
      </w:r>
      <w:r w:rsidRPr="00A47FB1">
        <w:rPr>
          <w:iCs/>
        </w:rPr>
        <w:tab/>
      </w:r>
      <w:r w:rsidR="00F0694E">
        <w:rPr>
          <w:i/>
          <w:iCs/>
          <w:color w:val="000000" w:themeColor="text1"/>
        </w:rPr>
        <w:t>Acknowledges</w:t>
      </w:r>
      <w:r w:rsidR="00F0694E">
        <w:rPr>
          <w:color w:val="000000" w:themeColor="text1"/>
        </w:rPr>
        <w:t xml:space="preserve"> the use of work programme modalities</w:t>
      </w:r>
      <w:r w:rsidR="00F0694E">
        <w:rPr>
          <w:rStyle w:val="FootnoteReference"/>
          <w:iCs/>
          <w:color w:val="000000" w:themeColor="text1"/>
        </w:rPr>
        <w:footnoteReference w:id="59"/>
      </w:r>
      <w:r w:rsidR="00F0694E">
        <w:rPr>
          <w:color w:val="000000" w:themeColor="text1"/>
        </w:rPr>
        <w:t xml:space="preserve"> during </w:t>
      </w:r>
      <w:r w:rsidR="00F0694E">
        <w:rPr>
          <w:iCs/>
          <w:color w:val="000000" w:themeColor="text1"/>
        </w:rPr>
        <w:t>the first phase</w:t>
      </w:r>
      <w:r w:rsidR="00F0694E">
        <w:rPr>
          <w:color w:val="000000" w:themeColor="text1"/>
        </w:rPr>
        <w:t xml:space="preserve"> as a starting point for i</w:t>
      </w:r>
      <w:r w:rsidR="00F0694E" w:rsidRPr="008C3403">
        <w:rPr>
          <w:color w:val="000000" w:themeColor="text1"/>
        </w:rPr>
        <w:t xml:space="preserve">dentifying existing </w:t>
      </w:r>
      <w:r w:rsidR="00F0694E">
        <w:rPr>
          <w:color w:val="000000" w:themeColor="text1"/>
        </w:rPr>
        <w:t>n</w:t>
      </w:r>
      <w:r w:rsidR="00F0694E" w:rsidRPr="00EB7BE9">
        <w:rPr>
          <w:color w:val="000000" w:themeColor="text1"/>
        </w:rPr>
        <w:t xml:space="preserve">on-market </w:t>
      </w:r>
      <w:r w:rsidR="00F0694E">
        <w:rPr>
          <w:color w:val="000000" w:themeColor="text1"/>
        </w:rPr>
        <w:t>a</w:t>
      </w:r>
      <w:r w:rsidR="00F0694E" w:rsidRPr="00EB7BE9">
        <w:rPr>
          <w:color w:val="000000" w:themeColor="text1"/>
        </w:rPr>
        <w:t>pproaches</w:t>
      </w:r>
      <w:r w:rsidR="00F0694E" w:rsidRPr="008C3403">
        <w:rPr>
          <w:color w:val="000000" w:themeColor="text1"/>
        </w:rPr>
        <w:t xml:space="preserve"> under the framework</w:t>
      </w:r>
      <w:r w:rsidR="00F0694E" w:rsidRPr="00ED6A13">
        <w:t xml:space="preserve"> </w:t>
      </w:r>
      <w:r w:rsidR="00F0694E">
        <w:t xml:space="preserve">and for identifying and </w:t>
      </w:r>
      <w:r w:rsidR="00F0694E" w:rsidRPr="00E45E09">
        <w:t xml:space="preserve">sharing information, best practices, lessons learned and case studies in relation to developing and implementing </w:t>
      </w:r>
      <w:r w:rsidR="00F0694E">
        <w:rPr>
          <w:color w:val="000000" w:themeColor="text1"/>
        </w:rPr>
        <w:t>n</w:t>
      </w:r>
      <w:r w:rsidR="00F0694E" w:rsidRPr="00EB7BE9">
        <w:rPr>
          <w:color w:val="000000" w:themeColor="text1"/>
        </w:rPr>
        <w:t xml:space="preserve">on-market </w:t>
      </w:r>
      <w:r w:rsidR="00F0694E">
        <w:rPr>
          <w:color w:val="000000" w:themeColor="text1"/>
        </w:rPr>
        <w:t>a</w:t>
      </w:r>
      <w:r w:rsidR="00F0694E" w:rsidRPr="00EB7BE9">
        <w:rPr>
          <w:color w:val="000000" w:themeColor="text1"/>
        </w:rPr>
        <w:t>pproaches</w:t>
      </w:r>
      <w:r w:rsidR="00F0694E">
        <w:rPr>
          <w:color w:val="000000" w:themeColor="text1"/>
        </w:rPr>
        <w:t>, including:</w:t>
      </w:r>
    </w:p>
    <w:p w14:paraId="5D166180" w14:textId="22AD5F82" w:rsidR="00F0694E" w:rsidRDefault="00492C76" w:rsidP="00492C76">
      <w:pPr>
        <w:pStyle w:val="RegSingleTxtG2"/>
        <w:numPr>
          <w:ilvl w:val="0"/>
          <w:numId w:val="0"/>
        </w:numPr>
        <w:tabs>
          <w:tab w:val="left" w:pos="1702"/>
        </w:tabs>
        <w:ind w:left="1134" w:firstLine="567"/>
      </w:pPr>
      <w:r>
        <w:rPr>
          <w:szCs w:val="28"/>
        </w:rPr>
        <w:t>(a)</w:t>
      </w:r>
      <w:r>
        <w:rPr>
          <w:szCs w:val="28"/>
        </w:rPr>
        <w:tab/>
      </w:r>
      <w:r w:rsidR="00F0694E">
        <w:t>In-session workshops;</w:t>
      </w:r>
    </w:p>
    <w:p w14:paraId="3EA7669C" w14:textId="65E52445" w:rsidR="00F0694E" w:rsidRDefault="00492C76" w:rsidP="00492C76">
      <w:pPr>
        <w:pStyle w:val="RegSingleTxtG2"/>
        <w:numPr>
          <w:ilvl w:val="0"/>
          <w:numId w:val="0"/>
        </w:numPr>
        <w:tabs>
          <w:tab w:val="left" w:pos="1702"/>
        </w:tabs>
        <w:ind w:left="1134" w:firstLine="567"/>
      </w:pPr>
      <w:r>
        <w:rPr>
          <w:szCs w:val="28"/>
        </w:rPr>
        <w:lastRenderedPageBreak/>
        <w:t>(b)</w:t>
      </w:r>
      <w:r>
        <w:rPr>
          <w:szCs w:val="28"/>
        </w:rPr>
        <w:tab/>
      </w:r>
      <w:r w:rsidR="00F0694E">
        <w:t>Spin-off groups, which enabled interested Parties to discuss specific topics in more detail;</w:t>
      </w:r>
    </w:p>
    <w:p w14:paraId="371832DC" w14:textId="29F2E26C" w:rsidR="00F0694E" w:rsidRDefault="00492C76" w:rsidP="00492C76">
      <w:pPr>
        <w:pStyle w:val="RegSingleTxtG2"/>
        <w:numPr>
          <w:ilvl w:val="0"/>
          <w:numId w:val="0"/>
        </w:numPr>
        <w:tabs>
          <w:tab w:val="left" w:pos="1702"/>
        </w:tabs>
        <w:ind w:left="1134" w:firstLine="567"/>
      </w:pPr>
      <w:r>
        <w:rPr>
          <w:szCs w:val="28"/>
        </w:rPr>
        <w:t>(c)</w:t>
      </w:r>
      <w:r>
        <w:rPr>
          <w:szCs w:val="28"/>
        </w:rPr>
        <w:tab/>
      </w:r>
      <w:r w:rsidR="00F0694E">
        <w:t>F</w:t>
      </w:r>
      <w:r w:rsidR="00F0694E" w:rsidRPr="008D1C83">
        <w:t>ive calls for intersessional submissions</w:t>
      </w:r>
      <w:r w:rsidR="00F0694E">
        <w:t xml:space="preserve"> from Parties and non-Party stakeholders;</w:t>
      </w:r>
    </w:p>
    <w:p w14:paraId="3663E0A3" w14:textId="5CFE7C49" w:rsidR="00F0694E" w:rsidRDefault="00492C76" w:rsidP="00492C76">
      <w:pPr>
        <w:pStyle w:val="RegSingleTxtG2"/>
        <w:numPr>
          <w:ilvl w:val="0"/>
          <w:numId w:val="0"/>
        </w:numPr>
        <w:tabs>
          <w:tab w:val="left" w:pos="1702"/>
        </w:tabs>
        <w:ind w:left="1134" w:firstLine="567"/>
      </w:pPr>
      <w:r>
        <w:rPr>
          <w:szCs w:val="28"/>
        </w:rPr>
        <w:t>(d)</w:t>
      </w:r>
      <w:r>
        <w:rPr>
          <w:szCs w:val="28"/>
        </w:rPr>
        <w:tab/>
      </w:r>
      <w:r w:rsidR="00F0694E">
        <w:t>Two</w:t>
      </w:r>
      <w:r w:rsidR="00F0694E" w:rsidRPr="0046310B">
        <w:t xml:space="preserve"> synthesis reports</w:t>
      </w:r>
      <w:r w:rsidR="00F0694E">
        <w:t>;</w:t>
      </w:r>
      <w:r w:rsidR="00F0694E">
        <w:rPr>
          <w:rStyle w:val="FootnoteReference"/>
        </w:rPr>
        <w:footnoteReference w:id="60"/>
      </w:r>
      <w:r w:rsidR="00F0694E">
        <w:t xml:space="preserve"> </w:t>
      </w:r>
    </w:p>
    <w:p w14:paraId="30ADA854" w14:textId="07EAFD27" w:rsidR="00F0694E" w:rsidRPr="001765DA" w:rsidRDefault="00492C76" w:rsidP="00492C76">
      <w:pPr>
        <w:pStyle w:val="RegSingleTxtG2"/>
        <w:numPr>
          <w:ilvl w:val="0"/>
          <w:numId w:val="0"/>
        </w:numPr>
        <w:tabs>
          <w:tab w:val="left" w:pos="1702"/>
        </w:tabs>
        <w:ind w:left="1134" w:firstLine="567"/>
      </w:pPr>
      <w:r w:rsidRPr="001765DA">
        <w:rPr>
          <w:szCs w:val="28"/>
        </w:rPr>
        <w:t>(e)</w:t>
      </w:r>
      <w:r w:rsidRPr="001765DA">
        <w:rPr>
          <w:szCs w:val="28"/>
        </w:rPr>
        <w:tab/>
      </w:r>
      <w:r w:rsidR="00F0694E">
        <w:t>One</w:t>
      </w:r>
      <w:r w:rsidR="00F0694E" w:rsidRPr="00101A1C">
        <w:t xml:space="preserve"> technical paper</w:t>
      </w:r>
      <w:r w:rsidR="00F0694E">
        <w:t>;</w:t>
      </w:r>
      <w:r w:rsidR="00F0694E">
        <w:rPr>
          <w:rStyle w:val="FootnoteReference"/>
        </w:rPr>
        <w:footnoteReference w:id="61"/>
      </w:r>
      <w:r w:rsidR="00F0694E" w:rsidRPr="001765DA">
        <w:t xml:space="preserve"> </w:t>
      </w:r>
    </w:p>
    <w:p w14:paraId="111F7390" w14:textId="72E9A1A4" w:rsidR="00F0694E" w:rsidRPr="003C00D1" w:rsidRDefault="00492C76" w:rsidP="00492C76">
      <w:pPr>
        <w:pStyle w:val="RegHChG"/>
        <w:numPr>
          <w:ilvl w:val="0"/>
          <w:numId w:val="0"/>
        </w:numPr>
        <w:tabs>
          <w:tab w:val="left" w:pos="1135"/>
        </w:tabs>
        <w:ind w:left="1135" w:hanging="454"/>
      </w:pPr>
      <w:r w:rsidRPr="003C00D1">
        <w:t>II.</w:t>
      </w:r>
      <w:r w:rsidRPr="003C00D1">
        <w:tab/>
      </w:r>
      <w:r w:rsidR="00F0694E">
        <w:t xml:space="preserve">Second phase of implementing the </w:t>
      </w:r>
      <w:r w:rsidR="00F0694E" w:rsidRPr="003C00D1">
        <w:t xml:space="preserve">work programme </w:t>
      </w:r>
      <w:r w:rsidR="00F0694E">
        <w:t>activities</w:t>
      </w:r>
      <w:r w:rsidR="00F0694E" w:rsidRPr="003C00D1">
        <w:t xml:space="preserve"> </w:t>
      </w:r>
    </w:p>
    <w:p w14:paraId="7EA11501" w14:textId="6D9B1E63" w:rsidR="00F0694E" w:rsidRPr="001765DA" w:rsidRDefault="00492C76" w:rsidP="00492C76">
      <w:pPr>
        <w:pStyle w:val="RegSingleTxtG"/>
        <w:numPr>
          <w:ilvl w:val="0"/>
          <w:numId w:val="0"/>
        </w:numPr>
        <w:ind w:left="1134"/>
      </w:pPr>
      <w:r w:rsidRPr="001765DA">
        <w:rPr>
          <w:iCs/>
        </w:rPr>
        <w:t>9.</w:t>
      </w:r>
      <w:r w:rsidRPr="001765DA">
        <w:rPr>
          <w:iCs/>
        </w:rPr>
        <w:tab/>
      </w:r>
      <w:r w:rsidR="00F0694E" w:rsidRPr="001765DA">
        <w:rPr>
          <w:i/>
          <w:iCs/>
        </w:rPr>
        <w:t>Acknowledges</w:t>
      </w:r>
      <w:r w:rsidR="00F0694E" w:rsidRPr="001765DA">
        <w:t xml:space="preserve"> the need to continue work on non-market approaches in the context of all relevant elements of the work programme activities; </w:t>
      </w:r>
    </w:p>
    <w:p w14:paraId="04AFC253" w14:textId="7FF4CE4B" w:rsidR="00F0694E" w:rsidRPr="001765DA" w:rsidRDefault="00492C76" w:rsidP="00492C76">
      <w:pPr>
        <w:pStyle w:val="RegSingleTxtG"/>
        <w:numPr>
          <w:ilvl w:val="0"/>
          <w:numId w:val="0"/>
        </w:numPr>
        <w:ind w:left="1134"/>
      </w:pPr>
      <w:r w:rsidRPr="001765DA">
        <w:rPr>
          <w:iCs/>
        </w:rPr>
        <w:t>10.</w:t>
      </w:r>
      <w:r w:rsidRPr="001765DA">
        <w:rPr>
          <w:iCs/>
        </w:rPr>
        <w:tab/>
      </w:r>
      <w:r w:rsidR="00F0694E" w:rsidRPr="001765DA">
        <w:rPr>
          <w:i/>
          <w:iCs/>
        </w:rPr>
        <w:t>Recalls</w:t>
      </w:r>
      <w:r w:rsidR="00F0694E" w:rsidRPr="001765DA">
        <w:t xml:space="preserve"> that the second phase </w:t>
      </w:r>
      <w:r w:rsidR="00F0694E">
        <w:rPr>
          <w:iCs/>
          <w:color w:val="000000" w:themeColor="text1"/>
        </w:rPr>
        <w:t>of implementing the work programme activities will focus on fully implementing the activities following a learning-by-doing approach and drawing on inputs from the first phase;</w:t>
      </w:r>
      <w:r w:rsidR="00F0694E">
        <w:rPr>
          <w:rStyle w:val="FootnoteReference"/>
          <w:iCs/>
          <w:color w:val="000000" w:themeColor="text1"/>
        </w:rPr>
        <w:footnoteReference w:id="62"/>
      </w:r>
    </w:p>
    <w:p w14:paraId="65BEA079" w14:textId="7D780215" w:rsidR="00F0694E" w:rsidRPr="001765DA" w:rsidRDefault="00492C76" w:rsidP="00492C76">
      <w:pPr>
        <w:pStyle w:val="RegSingleTxtG"/>
        <w:numPr>
          <w:ilvl w:val="0"/>
          <w:numId w:val="0"/>
        </w:numPr>
        <w:ind w:left="1134"/>
      </w:pPr>
      <w:r w:rsidRPr="001765DA">
        <w:rPr>
          <w:iCs/>
        </w:rPr>
        <w:t>11.</w:t>
      </w:r>
      <w:r w:rsidRPr="001765DA">
        <w:rPr>
          <w:iCs/>
        </w:rPr>
        <w:tab/>
      </w:r>
      <w:r w:rsidR="00F0694E" w:rsidRPr="001765DA">
        <w:rPr>
          <w:i/>
          <w:iCs/>
        </w:rPr>
        <w:t xml:space="preserve">Also recalls </w:t>
      </w:r>
      <w:r w:rsidR="00F0694E">
        <w:t xml:space="preserve">the scope of non-market approaches under the framework, as set out in </w:t>
      </w:r>
      <w:bookmarkStart w:id="34" w:name="_Hlk177998030"/>
      <w:r w:rsidR="00F0694E">
        <w:t xml:space="preserve">decision </w:t>
      </w:r>
      <w:hyperlink r:id="rId188" w:history="1">
        <w:r w:rsidR="00F0694E" w:rsidRPr="00514C67">
          <w:rPr>
            <w:rStyle w:val="Hyperlink"/>
          </w:rPr>
          <w:t>4/CMA.3</w:t>
        </w:r>
      </w:hyperlink>
      <w:r w:rsidR="00F0694E">
        <w:t>, annex, chapter II</w:t>
      </w:r>
      <w:bookmarkEnd w:id="34"/>
      <w:r w:rsidR="00F0694E">
        <w:t>;</w:t>
      </w:r>
    </w:p>
    <w:p w14:paraId="5D1F363F" w14:textId="5330429A" w:rsidR="00F0694E" w:rsidRPr="001765DA" w:rsidRDefault="00492C76" w:rsidP="00492C76">
      <w:pPr>
        <w:pStyle w:val="RegSingleTxtG"/>
        <w:numPr>
          <w:ilvl w:val="0"/>
          <w:numId w:val="0"/>
        </w:numPr>
        <w:ind w:left="1134"/>
      </w:pPr>
      <w:r w:rsidRPr="001765DA">
        <w:rPr>
          <w:iCs/>
        </w:rPr>
        <w:t>12.</w:t>
      </w:r>
      <w:r w:rsidRPr="001765DA">
        <w:rPr>
          <w:iCs/>
        </w:rPr>
        <w:tab/>
      </w:r>
      <w:r w:rsidR="00F0694E" w:rsidRPr="001765DA">
        <w:rPr>
          <w:i/>
          <w:iCs/>
        </w:rPr>
        <w:t>Further recalls</w:t>
      </w:r>
      <w:r w:rsidR="00F0694E" w:rsidRPr="001765DA">
        <w:t xml:space="preserve"> the eleventh preambular paragraph of the Paris Agreement;</w:t>
      </w:r>
    </w:p>
    <w:p w14:paraId="1170E522" w14:textId="47138709" w:rsidR="00F0694E" w:rsidRPr="001765DA" w:rsidRDefault="00492C76" w:rsidP="00492C76">
      <w:pPr>
        <w:pStyle w:val="RegSingleTxtG"/>
        <w:numPr>
          <w:ilvl w:val="0"/>
          <w:numId w:val="0"/>
        </w:numPr>
        <w:ind w:left="1134"/>
      </w:pPr>
      <w:r w:rsidRPr="001765DA">
        <w:rPr>
          <w:iCs/>
        </w:rPr>
        <w:t>13.</w:t>
      </w:r>
      <w:r w:rsidRPr="001765DA">
        <w:rPr>
          <w:iCs/>
        </w:rPr>
        <w:tab/>
      </w:r>
      <w:r w:rsidR="00F0694E" w:rsidRPr="001765DA">
        <w:rPr>
          <w:i/>
          <w:iCs/>
        </w:rPr>
        <w:t>Recognizes</w:t>
      </w:r>
      <w:r w:rsidR="00F0694E" w:rsidRPr="001765DA">
        <w:t xml:space="preserve"> the importance of developing and implementing integrated, holistic and balanced non-market approaches, which may include joint mitigation and adaptation approaches for implementation under the framework for non-market approaches, which can link addressing climate change to biodiversity conservation and sustainable development, considering the benefits that may arise from such approaches, including </w:t>
      </w:r>
      <w:r w:rsidR="00F0694E" w:rsidRPr="00696DDD">
        <w:t>“Mother Earth Centric Actions</w:t>
      </w:r>
      <w:r w:rsidR="00F0694E">
        <w:t>”</w:t>
      </w:r>
      <w:r w:rsidR="00B93258">
        <w:t>,</w:t>
      </w:r>
      <w:r w:rsidR="00F0694E" w:rsidRPr="001765DA">
        <w:t xml:space="preserve"> as recognized by some cultures, the benefits of which include, but are not limited to:</w:t>
      </w:r>
    </w:p>
    <w:p w14:paraId="3312FF73" w14:textId="0B89F89E" w:rsidR="00F0694E" w:rsidRPr="001765DA" w:rsidRDefault="00492C76" w:rsidP="00492C76">
      <w:pPr>
        <w:pStyle w:val="RegSingleTxtG2"/>
        <w:numPr>
          <w:ilvl w:val="0"/>
          <w:numId w:val="0"/>
        </w:numPr>
        <w:tabs>
          <w:tab w:val="left" w:pos="1702"/>
        </w:tabs>
        <w:ind w:left="1134" w:firstLine="567"/>
      </w:pPr>
      <w:r w:rsidRPr="001765DA">
        <w:rPr>
          <w:szCs w:val="28"/>
        </w:rPr>
        <w:t>(a)</w:t>
      </w:r>
      <w:r w:rsidRPr="001765DA">
        <w:rPr>
          <w:szCs w:val="28"/>
        </w:rPr>
        <w:tab/>
      </w:r>
      <w:r w:rsidR="00F0694E" w:rsidRPr="001765DA">
        <w:t>Ensuring the integrity of all ecosystems and the conservation of biodiversity when addressing climate change;</w:t>
      </w:r>
      <w:r w:rsidR="00F0694E">
        <w:t xml:space="preserve"> </w:t>
      </w:r>
    </w:p>
    <w:p w14:paraId="7ADEBE28" w14:textId="5827D7AD" w:rsidR="00F0694E" w:rsidRPr="001765DA" w:rsidRDefault="00492C76" w:rsidP="00492C76">
      <w:pPr>
        <w:pStyle w:val="RegSingleTxtG2"/>
        <w:numPr>
          <w:ilvl w:val="0"/>
          <w:numId w:val="0"/>
        </w:numPr>
        <w:tabs>
          <w:tab w:val="left" w:pos="1702"/>
        </w:tabs>
        <w:ind w:left="1134" w:firstLine="567"/>
      </w:pPr>
      <w:r w:rsidRPr="001765DA">
        <w:rPr>
          <w:szCs w:val="28"/>
        </w:rPr>
        <w:t>(b)</w:t>
      </w:r>
      <w:r w:rsidRPr="001765DA">
        <w:rPr>
          <w:szCs w:val="28"/>
        </w:rPr>
        <w:tab/>
      </w:r>
      <w:r w:rsidR="00F0694E" w:rsidRPr="001765DA">
        <w:t>Enhancing different value systems, including for living in balance and harmony with Mother Earth, as recognized by some cultures, in the context of addressing climate change</w:t>
      </w:r>
      <w:r w:rsidR="00F0694E">
        <w:t>;</w:t>
      </w:r>
    </w:p>
    <w:p w14:paraId="4E320D80" w14:textId="73E0165C" w:rsidR="00F0694E" w:rsidRPr="001765DA" w:rsidRDefault="00492C76" w:rsidP="00492C76">
      <w:pPr>
        <w:pStyle w:val="RegSingleTxtG"/>
        <w:numPr>
          <w:ilvl w:val="0"/>
          <w:numId w:val="0"/>
        </w:numPr>
        <w:ind w:left="1134"/>
        <w:rPr>
          <w:color w:val="000000" w:themeColor="text1"/>
        </w:rPr>
      </w:pPr>
      <w:bookmarkStart w:id="35" w:name="_Ref182603549"/>
      <w:r w:rsidRPr="001765DA">
        <w:rPr>
          <w:iCs/>
          <w:color w:val="000000" w:themeColor="text1"/>
        </w:rPr>
        <w:t>14.</w:t>
      </w:r>
      <w:r w:rsidRPr="001765DA">
        <w:rPr>
          <w:iCs/>
          <w:color w:val="000000" w:themeColor="text1"/>
        </w:rPr>
        <w:tab/>
      </w:r>
      <w:r w:rsidR="00F0694E" w:rsidRPr="001765DA">
        <w:rPr>
          <w:i/>
          <w:iCs/>
        </w:rPr>
        <w:t>Encourages</w:t>
      </w:r>
      <w:r w:rsidR="00F0694E" w:rsidRPr="001765DA">
        <w:t>, with regard to spin-off groups:</w:t>
      </w:r>
      <w:bookmarkEnd w:id="35"/>
    </w:p>
    <w:p w14:paraId="713CC2D6" w14:textId="10750226" w:rsidR="00F0694E" w:rsidRPr="001765DA" w:rsidRDefault="00492C76" w:rsidP="00492C76">
      <w:pPr>
        <w:pStyle w:val="RegSingleTxtG2"/>
        <w:numPr>
          <w:ilvl w:val="0"/>
          <w:numId w:val="0"/>
        </w:numPr>
        <w:tabs>
          <w:tab w:val="left" w:pos="1702"/>
        </w:tabs>
        <w:ind w:left="1134" w:firstLine="567"/>
        <w:rPr>
          <w:color w:val="000000" w:themeColor="text1"/>
        </w:rPr>
      </w:pPr>
      <w:r w:rsidRPr="001765DA">
        <w:rPr>
          <w:szCs w:val="28"/>
        </w:rPr>
        <w:t>(a)</w:t>
      </w:r>
      <w:r w:rsidRPr="001765DA">
        <w:rPr>
          <w:szCs w:val="28"/>
        </w:rPr>
        <w:tab/>
      </w:r>
      <w:r w:rsidR="00F0694E" w:rsidRPr="001765DA">
        <w:t xml:space="preserve">A continuous focus on knowledge-sharing pertaining to </w:t>
      </w:r>
      <w:r w:rsidR="00F0694E" w:rsidRPr="001765DA" w:rsidDel="00D56636">
        <w:t xml:space="preserve">the </w:t>
      </w:r>
      <w:r w:rsidR="00F0694E" w:rsidRPr="001765DA">
        <w:t>implementation of</w:t>
      </w:r>
      <w:r w:rsidR="00F0694E" w:rsidRPr="001765DA" w:rsidDel="00D56636">
        <w:t xml:space="preserve"> </w:t>
      </w:r>
      <w:r w:rsidR="00F0694E" w:rsidRPr="001765DA">
        <w:t xml:space="preserve">non-market approaches and support provided; </w:t>
      </w:r>
    </w:p>
    <w:p w14:paraId="430B75B1" w14:textId="1E647F51" w:rsidR="00F0694E" w:rsidRPr="001765DA" w:rsidRDefault="00492C76" w:rsidP="00492C76">
      <w:pPr>
        <w:pStyle w:val="RegSingleTxtG2"/>
        <w:numPr>
          <w:ilvl w:val="0"/>
          <w:numId w:val="0"/>
        </w:numPr>
        <w:tabs>
          <w:tab w:val="left" w:pos="1702"/>
        </w:tabs>
        <w:ind w:left="1134" w:firstLine="567"/>
        <w:rPr>
          <w:color w:val="000000" w:themeColor="text1"/>
        </w:rPr>
      </w:pPr>
      <w:r w:rsidRPr="001765DA">
        <w:rPr>
          <w:szCs w:val="28"/>
        </w:rPr>
        <w:t>(b)</w:t>
      </w:r>
      <w:r w:rsidRPr="001765DA">
        <w:rPr>
          <w:szCs w:val="28"/>
        </w:rPr>
        <w:tab/>
      </w:r>
      <w:r w:rsidR="00F0694E" w:rsidRPr="001765DA">
        <w:t>Broader participation, including of public and private sector stakeholders such as technical experts, businesses, civil society organizations and financial institutions;</w:t>
      </w:r>
      <w:r w:rsidR="00F0694E">
        <w:rPr>
          <w:color w:val="0070C0"/>
        </w:rPr>
        <w:t xml:space="preserve"> </w:t>
      </w:r>
    </w:p>
    <w:p w14:paraId="29AEDB26" w14:textId="78CAFD4E" w:rsidR="00F0694E" w:rsidRPr="001765DA" w:rsidRDefault="00492C76" w:rsidP="00492C76">
      <w:pPr>
        <w:pStyle w:val="RegSingleTxtG2"/>
        <w:numPr>
          <w:ilvl w:val="0"/>
          <w:numId w:val="0"/>
        </w:numPr>
        <w:tabs>
          <w:tab w:val="left" w:pos="1702"/>
        </w:tabs>
        <w:ind w:left="1134" w:firstLine="567"/>
        <w:rPr>
          <w:color w:val="000000" w:themeColor="text1"/>
        </w:rPr>
      </w:pPr>
      <w:r w:rsidRPr="001765DA">
        <w:rPr>
          <w:szCs w:val="28"/>
        </w:rPr>
        <w:t>(c)</w:t>
      </w:r>
      <w:r w:rsidRPr="001765DA">
        <w:rPr>
          <w:szCs w:val="28"/>
        </w:rPr>
        <w:tab/>
      </w:r>
      <w:r w:rsidR="00F0694E" w:rsidRPr="001765DA">
        <w:t xml:space="preserve">Timely delivery of invitations to give recipients sufficient notice of upcoming events; </w:t>
      </w:r>
    </w:p>
    <w:p w14:paraId="3419FE19" w14:textId="128532EA" w:rsidR="00F0694E" w:rsidRPr="001765DA" w:rsidRDefault="00492C76" w:rsidP="00492C76">
      <w:pPr>
        <w:pStyle w:val="RegSingleTxtG2"/>
        <w:numPr>
          <w:ilvl w:val="0"/>
          <w:numId w:val="0"/>
        </w:numPr>
        <w:tabs>
          <w:tab w:val="left" w:pos="1702"/>
        </w:tabs>
        <w:ind w:left="1134" w:firstLine="567"/>
        <w:rPr>
          <w:color w:val="000000" w:themeColor="text1"/>
        </w:rPr>
      </w:pPr>
      <w:bookmarkStart w:id="36" w:name="_Ref182603522"/>
      <w:r w:rsidRPr="001765DA">
        <w:rPr>
          <w:szCs w:val="28"/>
        </w:rPr>
        <w:t>(d)</w:t>
      </w:r>
      <w:r w:rsidRPr="001765DA">
        <w:rPr>
          <w:szCs w:val="28"/>
        </w:rPr>
        <w:tab/>
      </w:r>
      <w:r w:rsidR="00F0694E" w:rsidRPr="001765DA">
        <w:t>The identification of topics in advance by the Glasgow Committee on Non</w:t>
      </w:r>
      <w:r w:rsidR="00F0694E">
        <w:noBreakHyphen/>
      </w:r>
      <w:r w:rsidR="00F0694E" w:rsidRPr="001765DA">
        <w:t>market Approaches</w:t>
      </w:r>
      <w:r w:rsidR="00F0694E" w:rsidRPr="008A54A3">
        <w:t>, and Parties to facilitate the discussion on their proposed topics</w:t>
      </w:r>
      <w:r w:rsidR="00F0694E" w:rsidRPr="008A54A3">
        <w:rPr>
          <w:color w:val="000000" w:themeColor="text1"/>
        </w:rPr>
        <w:t>;</w:t>
      </w:r>
      <w:bookmarkEnd w:id="36"/>
    </w:p>
    <w:p w14:paraId="6435CEE2" w14:textId="62784F56" w:rsidR="00F0694E" w:rsidRPr="001765DA" w:rsidRDefault="00492C76" w:rsidP="00492C76">
      <w:pPr>
        <w:pStyle w:val="RegSingleTxtG"/>
        <w:numPr>
          <w:ilvl w:val="0"/>
          <w:numId w:val="0"/>
        </w:numPr>
        <w:ind w:left="1134"/>
      </w:pPr>
      <w:bookmarkStart w:id="37" w:name="_Ref182331411"/>
      <w:r w:rsidRPr="001765DA">
        <w:rPr>
          <w:iCs/>
        </w:rPr>
        <w:t>15.</w:t>
      </w:r>
      <w:r w:rsidRPr="001765DA">
        <w:rPr>
          <w:iCs/>
        </w:rPr>
        <w:tab/>
      </w:r>
      <w:r w:rsidR="00F0694E" w:rsidRPr="001765DA">
        <w:rPr>
          <w:i/>
          <w:iCs/>
        </w:rPr>
        <w:t>Recogniz</w:t>
      </w:r>
      <w:r w:rsidR="00F0694E">
        <w:rPr>
          <w:i/>
          <w:iCs/>
        </w:rPr>
        <w:t xml:space="preserve">es </w:t>
      </w:r>
      <w:r w:rsidR="00F0694E">
        <w:t xml:space="preserve">paragraph </w:t>
      </w:r>
      <w:r w:rsidR="00F0694E">
        <w:rPr>
          <w:cs/>
        </w:rPr>
        <w:t>‎</w:t>
      </w:r>
      <w:r w:rsidR="00F0694E">
        <w:t>14</w:t>
      </w:r>
      <w:r w:rsidR="00F0694E">
        <w:rPr>
          <w:cs/>
        </w:rPr>
        <w:t>‎</w:t>
      </w:r>
      <w:r w:rsidR="00F0694E">
        <w:t>(d) above</w:t>
      </w:r>
      <w:r w:rsidR="00F0694E" w:rsidRPr="001765DA">
        <w:t>,</w:t>
      </w:r>
      <w:r w:rsidR="00F0694E">
        <w:t xml:space="preserve"> </w:t>
      </w:r>
      <w:r w:rsidR="00F0694E" w:rsidRPr="00145645">
        <w:rPr>
          <w:i/>
          <w:iCs/>
        </w:rPr>
        <w:t>notes</w:t>
      </w:r>
      <w:r w:rsidR="00F0694E" w:rsidRPr="006F01E6">
        <w:rPr>
          <w:i/>
          <w:iCs/>
        </w:rPr>
        <w:t xml:space="preserve"> with appreciation</w:t>
      </w:r>
      <w:r w:rsidR="00F0694E">
        <w:t xml:space="preserve"> the synthesis report by the secretariat on topics for spin-off groups and existing non-market approaches in the initial focus areas of the work programme activities</w:t>
      </w:r>
      <w:r w:rsidR="00F0694E">
        <w:rPr>
          <w:rStyle w:val="FootnoteReference"/>
        </w:rPr>
        <w:footnoteReference w:id="63"/>
      </w:r>
      <w:r w:rsidR="00F0694E">
        <w:t xml:space="preserve"> and </w:t>
      </w:r>
      <w:r w:rsidR="00F0694E" w:rsidRPr="006F01E6">
        <w:rPr>
          <w:i/>
          <w:iCs/>
        </w:rPr>
        <w:t>notes</w:t>
      </w:r>
      <w:r w:rsidR="00F0694E">
        <w:t xml:space="preserve"> that Parties may consider </w:t>
      </w:r>
      <w:r w:rsidR="00F0694E" w:rsidRPr="001765DA">
        <w:t>th</w:t>
      </w:r>
      <w:r w:rsidR="00F0694E">
        <w:t>o</w:t>
      </w:r>
      <w:r w:rsidR="00F0694E" w:rsidRPr="001765DA">
        <w:t>se</w:t>
      </w:r>
      <w:r w:rsidR="00F0694E">
        <w:t xml:space="preserve"> as potential </w:t>
      </w:r>
      <w:r w:rsidR="00F0694E" w:rsidRPr="001765DA">
        <w:t>themes</w:t>
      </w:r>
      <w:r w:rsidR="00F0694E">
        <w:t xml:space="preserve"> for spin-off groups during the 7</w:t>
      </w:r>
      <w:r w:rsidR="00F0694E" w:rsidRPr="002E6551">
        <w:rPr>
          <w:vertAlign w:val="superscript"/>
        </w:rPr>
        <w:t>th</w:t>
      </w:r>
      <w:r w:rsidR="00F0694E">
        <w:t xml:space="preserve"> and 8</w:t>
      </w:r>
      <w:r w:rsidR="00F0694E" w:rsidRPr="002E6551">
        <w:rPr>
          <w:vertAlign w:val="superscript"/>
        </w:rPr>
        <w:t>th</w:t>
      </w:r>
      <w:r w:rsidR="00F0694E">
        <w:t xml:space="preserve"> meetings of the Glasgow Committee on Non-market</w:t>
      </w:r>
      <w:r w:rsidR="00F0694E">
        <w:rPr>
          <w:spacing w:val="-4"/>
        </w:rPr>
        <w:t xml:space="preserve"> </w:t>
      </w:r>
      <w:r w:rsidR="00F0694E">
        <w:t>Approaches</w:t>
      </w:r>
      <w:r w:rsidR="00F0694E" w:rsidRPr="001765DA">
        <w:t xml:space="preserve">; </w:t>
      </w:r>
      <w:bookmarkEnd w:id="37"/>
    </w:p>
    <w:p w14:paraId="7F4EB114" w14:textId="31569AAB" w:rsidR="00F0694E" w:rsidRPr="001765DA" w:rsidRDefault="00492C76" w:rsidP="00492C76">
      <w:pPr>
        <w:pStyle w:val="RegSingleTxtG"/>
        <w:numPr>
          <w:ilvl w:val="0"/>
          <w:numId w:val="0"/>
        </w:numPr>
        <w:ind w:left="1134"/>
      </w:pPr>
      <w:r w:rsidRPr="001765DA">
        <w:rPr>
          <w:iCs/>
        </w:rPr>
        <w:lastRenderedPageBreak/>
        <w:t>16.</w:t>
      </w:r>
      <w:r w:rsidRPr="001765DA">
        <w:rPr>
          <w:iCs/>
        </w:rPr>
        <w:tab/>
      </w:r>
      <w:r w:rsidR="00F0694E">
        <w:rPr>
          <w:i/>
          <w:iCs/>
        </w:rPr>
        <w:t xml:space="preserve">Also notes </w:t>
      </w:r>
      <w:r w:rsidR="00F0694E">
        <w:t>that</w:t>
      </w:r>
      <w:r w:rsidR="00F0694E" w:rsidRPr="001765DA">
        <w:t xml:space="preserve"> </w:t>
      </w:r>
      <w:r w:rsidR="00F0694E">
        <w:t xml:space="preserve">the </w:t>
      </w:r>
      <w:r w:rsidR="00275ADD">
        <w:t>non-market app</w:t>
      </w:r>
      <w:r w:rsidR="00307023">
        <w:t>roaches</w:t>
      </w:r>
      <w:r w:rsidR="00F0694E">
        <w:t xml:space="preserve"> referred to in paragraph </w:t>
      </w:r>
      <w:r w:rsidR="00F0694E">
        <w:rPr>
          <w:cs/>
        </w:rPr>
        <w:t>‎</w:t>
      </w:r>
      <w:r w:rsidR="00F0694E">
        <w:t>24 below may be used to identify potential themes for spin-off groups during the 7</w:t>
      </w:r>
      <w:r w:rsidR="00F0694E" w:rsidRPr="002E6551">
        <w:rPr>
          <w:vertAlign w:val="superscript"/>
        </w:rPr>
        <w:t>th</w:t>
      </w:r>
      <w:r w:rsidR="00F0694E">
        <w:t xml:space="preserve"> and 8</w:t>
      </w:r>
      <w:r w:rsidR="00F0694E" w:rsidRPr="002E6551">
        <w:rPr>
          <w:vertAlign w:val="superscript"/>
        </w:rPr>
        <w:t>th</w:t>
      </w:r>
      <w:r w:rsidR="00F0694E">
        <w:t xml:space="preserve"> meetings of the Glasgow Committee on Non-market</w:t>
      </w:r>
      <w:r w:rsidR="00F0694E">
        <w:rPr>
          <w:spacing w:val="-4"/>
        </w:rPr>
        <w:t xml:space="preserve"> </w:t>
      </w:r>
      <w:r w:rsidR="00F0694E">
        <w:t>Approaches;</w:t>
      </w:r>
    </w:p>
    <w:p w14:paraId="08EC4B93" w14:textId="36A6A00B" w:rsidR="00F0694E" w:rsidRPr="001765DA" w:rsidRDefault="00492C76" w:rsidP="00492C76">
      <w:pPr>
        <w:pStyle w:val="RegSingleTxtG"/>
        <w:numPr>
          <w:ilvl w:val="0"/>
          <w:numId w:val="0"/>
        </w:numPr>
        <w:ind w:left="1134"/>
      </w:pPr>
      <w:r w:rsidRPr="001765DA">
        <w:rPr>
          <w:iCs/>
        </w:rPr>
        <w:t>17.</w:t>
      </w:r>
      <w:r w:rsidRPr="001765DA">
        <w:rPr>
          <w:iCs/>
        </w:rPr>
        <w:tab/>
      </w:r>
      <w:r w:rsidR="00F0694E">
        <w:rPr>
          <w:i/>
        </w:rPr>
        <w:t xml:space="preserve">Requests </w:t>
      </w:r>
      <w:r w:rsidR="00F0694E">
        <w:t>the Glasgow Committee on Non-market Approaches to continue inviting representatives of the Local Communities and Indigenous Peoples Platform</w:t>
      </w:r>
      <w:r w:rsidR="00F0694E" w:rsidRPr="001765DA">
        <w:t xml:space="preserve"> </w:t>
      </w:r>
      <w:r w:rsidR="00F0694E">
        <w:t>to each in</w:t>
      </w:r>
      <w:r w:rsidR="00F0694E">
        <w:noBreakHyphen/>
        <w:t xml:space="preserve">session </w:t>
      </w:r>
      <w:r w:rsidR="00F0694E" w:rsidRPr="001765DA">
        <w:t>workshop</w:t>
      </w:r>
      <w:r w:rsidR="00F0694E">
        <w:rPr>
          <w:rStyle w:val="FootnoteReference"/>
        </w:rPr>
        <w:footnoteReference w:id="64"/>
      </w:r>
      <w:r w:rsidR="00F0694E">
        <w:rPr>
          <w:spacing w:val="38"/>
          <w:position w:val="6"/>
          <w:sz w:val="12"/>
        </w:rPr>
        <w:t xml:space="preserve"> </w:t>
      </w:r>
      <w:r w:rsidR="009E7B31">
        <w:t xml:space="preserve">as well as </w:t>
      </w:r>
      <w:r w:rsidR="00F0694E">
        <w:t xml:space="preserve">representatives of Indigenous Peoples </w:t>
      </w:r>
      <w:r w:rsidR="009E7B31">
        <w:t xml:space="preserve">and </w:t>
      </w:r>
      <w:r w:rsidR="00F0694E">
        <w:t>representatives of local communities;</w:t>
      </w:r>
    </w:p>
    <w:p w14:paraId="6C1BEAE4" w14:textId="3887391B" w:rsidR="00F0694E" w:rsidRPr="00D27A42" w:rsidRDefault="00492C76" w:rsidP="00492C76">
      <w:pPr>
        <w:pStyle w:val="RegSingleTxtG"/>
        <w:numPr>
          <w:ilvl w:val="0"/>
          <w:numId w:val="0"/>
        </w:numPr>
        <w:ind w:left="1134"/>
      </w:pPr>
      <w:r w:rsidRPr="00D27A42">
        <w:rPr>
          <w:iCs/>
        </w:rPr>
        <w:t>18.</w:t>
      </w:r>
      <w:r w:rsidRPr="00D27A42">
        <w:rPr>
          <w:iCs/>
        </w:rPr>
        <w:tab/>
      </w:r>
      <w:r w:rsidR="00F0694E" w:rsidRPr="00D27A42">
        <w:rPr>
          <w:i/>
          <w:iCs/>
        </w:rPr>
        <w:t>Also</w:t>
      </w:r>
      <w:r w:rsidR="00F0694E">
        <w:rPr>
          <w:i/>
          <w:spacing w:val="-7"/>
        </w:rPr>
        <w:t xml:space="preserve"> </w:t>
      </w:r>
      <w:r w:rsidR="00F0694E" w:rsidRPr="00D27A42">
        <w:rPr>
          <w:i/>
          <w:iCs/>
        </w:rPr>
        <w:t>requests</w:t>
      </w:r>
      <w:r w:rsidR="00F0694E">
        <w:rPr>
          <w:i/>
          <w:spacing w:val="-6"/>
        </w:rPr>
        <w:t xml:space="preserve"> </w:t>
      </w:r>
      <w:r w:rsidR="00F0694E">
        <w:t>the</w:t>
      </w:r>
      <w:r w:rsidR="00F0694E">
        <w:rPr>
          <w:spacing w:val="-6"/>
        </w:rPr>
        <w:t xml:space="preserve"> </w:t>
      </w:r>
      <w:r w:rsidR="00F0694E">
        <w:t>secretariat</w:t>
      </w:r>
      <w:r w:rsidR="00F0694E">
        <w:rPr>
          <w:spacing w:val="-7"/>
        </w:rPr>
        <w:t xml:space="preserve"> </w:t>
      </w:r>
      <w:r w:rsidR="00F0694E">
        <w:t>to</w:t>
      </w:r>
      <w:r w:rsidR="00F0694E">
        <w:rPr>
          <w:spacing w:val="-6"/>
        </w:rPr>
        <w:t xml:space="preserve"> </w:t>
      </w:r>
      <w:r w:rsidR="00F0694E">
        <w:t>continuously</w:t>
      </w:r>
      <w:r w:rsidR="00F0694E">
        <w:rPr>
          <w:spacing w:val="-7"/>
        </w:rPr>
        <w:t xml:space="preserve"> </w:t>
      </w:r>
      <w:r w:rsidR="00F0694E">
        <w:t>improve</w:t>
      </w:r>
      <w:r w:rsidR="00F0694E">
        <w:rPr>
          <w:spacing w:val="-6"/>
        </w:rPr>
        <w:t xml:space="preserve"> </w:t>
      </w:r>
      <w:r w:rsidR="00F0694E">
        <w:t>the</w:t>
      </w:r>
      <w:r w:rsidR="00F0694E">
        <w:rPr>
          <w:spacing w:val="-8"/>
        </w:rPr>
        <w:t xml:space="preserve"> </w:t>
      </w:r>
      <w:r w:rsidR="00F0694E">
        <w:t>quality</w:t>
      </w:r>
      <w:r w:rsidR="00F0694E">
        <w:rPr>
          <w:spacing w:val="-6"/>
        </w:rPr>
        <w:t xml:space="preserve"> </w:t>
      </w:r>
      <w:r w:rsidR="00F0694E">
        <w:t>and</w:t>
      </w:r>
      <w:r w:rsidR="00F0694E">
        <w:rPr>
          <w:spacing w:val="-6"/>
        </w:rPr>
        <w:t xml:space="preserve"> </w:t>
      </w:r>
      <w:r w:rsidR="00F0694E">
        <w:t>efficiency</w:t>
      </w:r>
      <w:r w:rsidR="00F0694E">
        <w:rPr>
          <w:spacing w:val="-7"/>
        </w:rPr>
        <w:t xml:space="preserve"> </w:t>
      </w:r>
      <w:r w:rsidR="00F0694E">
        <w:t>of</w:t>
      </w:r>
      <w:r w:rsidR="00F0694E">
        <w:rPr>
          <w:spacing w:val="-7"/>
        </w:rPr>
        <w:t xml:space="preserve"> </w:t>
      </w:r>
      <w:r w:rsidR="00F0694E">
        <w:t xml:space="preserve">the in-session workshops, including </w:t>
      </w:r>
      <w:r w:rsidR="00F0694E" w:rsidRPr="00593D2B">
        <w:t xml:space="preserve">through full utilization of </w:t>
      </w:r>
      <w:r w:rsidR="00F0694E">
        <w:t>in-session workshops</w:t>
      </w:r>
      <w:r w:rsidR="00F0694E" w:rsidRPr="001765DA">
        <w:t xml:space="preserve">, </w:t>
      </w:r>
      <w:r w:rsidR="00F0694E">
        <w:t>including dynamic discussions in the style of World Cafés</w:t>
      </w:r>
      <w:r w:rsidR="00F0694E" w:rsidRPr="00D27A42">
        <w:t xml:space="preserve">; </w:t>
      </w:r>
    </w:p>
    <w:p w14:paraId="060F1847" w14:textId="7DC6390A" w:rsidR="00F0694E" w:rsidRPr="001765DA" w:rsidRDefault="00492C76" w:rsidP="00492C76">
      <w:pPr>
        <w:pStyle w:val="RegSingleTxtG"/>
        <w:numPr>
          <w:ilvl w:val="0"/>
          <w:numId w:val="0"/>
        </w:numPr>
        <w:ind w:left="1134"/>
      </w:pPr>
      <w:r w:rsidRPr="001765DA">
        <w:rPr>
          <w:iCs/>
        </w:rPr>
        <w:t>19.</w:t>
      </w:r>
      <w:r w:rsidRPr="001765DA">
        <w:rPr>
          <w:iCs/>
        </w:rPr>
        <w:tab/>
      </w:r>
      <w:r w:rsidR="00F0694E">
        <w:rPr>
          <w:i/>
          <w:iCs/>
        </w:rPr>
        <w:t>Further requests</w:t>
      </w:r>
      <w:r w:rsidR="00F0694E">
        <w:rPr>
          <w:i/>
        </w:rPr>
        <w:t xml:space="preserve"> </w:t>
      </w:r>
      <w:r w:rsidR="00F0694E">
        <w:t xml:space="preserve">the secretariat to provide regular updates on the status of the development of the NMA Platform and provide a quantitative </w:t>
      </w:r>
      <w:r w:rsidR="00F0694E" w:rsidRPr="001765DA">
        <w:t xml:space="preserve">report </w:t>
      </w:r>
      <w:r w:rsidR="00F0694E">
        <w:t xml:space="preserve">on the activities on the NMA Platform for each meeting of the Glasgow Committee on Non-market Approaches, which may include the number of nominated national focal points </w:t>
      </w:r>
      <w:r w:rsidR="00F0694E" w:rsidRPr="001765DA">
        <w:t>for Article 6, paragraph 8, of the Paris Agreement</w:t>
      </w:r>
      <w:r w:rsidR="00F0694E">
        <w:t>, the number of submitted non-market approaches</w:t>
      </w:r>
      <w:r w:rsidR="00F0694E" w:rsidRPr="001765DA">
        <w:t xml:space="preserve"> </w:t>
      </w:r>
      <w:r w:rsidR="00F0694E">
        <w:t xml:space="preserve">and other relevant information; </w:t>
      </w:r>
    </w:p>
    <w:p w14:paraId="0C23218E" w14:textId="587E3BBA" w:rsidR="00F0694E" w:rsidRPr="001765DA" w:rsidRDefault="00492C76" w:rsidP="00492C76">
      <w:pPr>
        <w:pStyle w:val="RegSingleTxtG"/>
        <w:numPr>
          <w:ilvl w:val="0"/>
          <w:numId w:val="0"/>
        </w:numPr>
        <w:ind w:left="1134"/>
      </w:pPr>
      <w:r w:rsidRPr="001765DA">
        <w:rPr>
          <w:iCs/>
        </w:rPr>
        <w:t>20.</w:t>
      </w:r>
      <w:r w:rsidRPr="001765DA">
        <w:rPr>
          <w:iCs/>
        </w:rPr>
        <w:tab/>
      </w:r>
      <w:r w:rsidR="00F0694E" w:rsidRPr="001765DA">
        <w:rPr>
          <w:i/>
          <w:iCs/>
        </w:rPr>
        <w:t>Invites</w:t>
      </w:r>
      <w:r w:rsidR="00F0694E" w:rsidRPr="001765DA">
        <w:t xml:space="preserve"> interested </w:t>
      </w:r>
      <w:r w:rsidR="00F0694E">
        <w:t xml:space="preserve">Parties and other stakeholders </w:t>
      </w:r>
      <w:r w:rsidR="00F0694E" w:rsidRPr="001765DA">
        <w:t>to conduct outreach efforts on non</w:t>
      </w:r>
      <w:r w:rsidR="00F0694E">
        <w:noBreakHyphen/>
      </w:r>
      <w:r w:rsidR="00F0694E" w:rsidRPr="001765DA">
        <w:t xml:space="preserve">market approaches with a view to engaging with a broad range of non-Party stakeholders in order to enhance the involvement of </w:t>
      </w:r>
      <w:r w:rsidR="00F0694E">
        <w:t>public and private sectors and civil society organizations in implementing nationally determined contributions</w:t>
      </w:r>
      <w:r w:rsidR="00F0694E" w:rsidRPr="001765DA">
        <w:t>;</w:t>
      </w:r>
    </w:p>
    <w:p w14:paraId="3ACAFC2F" w14:textId="47C12A3D" w:rsidR="00F0694E" w:rsidRPr="0002020C" w:rsidRDefault="00492C76" w:rsidP="00492C76">
      <w:pPr>
        <w:pStyle w:val="RegHChG"/>
        <w:numPr>
          <w:ilvl w:val="0"/>
          <w:numId w:val="0"/>
        </w:numPr>
        <w:tabs>
          <w:tab w:val="left" w:pos="1135"/>
        </w:tabs>
        <w:ind w:left="1135" w:hanging="454"/>
      </w:pPr>
      <w:r w:rsidRPr="0002020C">
        <w:t>III.</w:t>
      </w:r>
      <w:r w:rsidRPr="0002020C">
        <w:tab/>
      </w:r>
      <w:r w:rsidR="00F0694E">
        <w:t>NMA Platform</w:t>
      </w:r>
    </w:p>
    <w:p w14:paraId="18396860" w14:textId="5223F029" w:rsidR="00F0694E" w:rsidRPr="00FC6FDF" w:rsidRDefault="00492C76" w:rsidP="00492C76">
      <w:pPr>
        <w:pStyle w:val="RegSingleTxtG"/>
        <w:numPr>
          <w:ilvl w:val="0"/>
          <w:numId w:val="0"/>
        </w:numPr>
        <w:ind w:left="1134"/>
      </w:pPr>
      <w:r w:rsidRPr="00FC6FDF">
        <w:rPr>
          <w:iCs/>
        </w:rPr>
        <w:t>21.</w:t>
      </w:r>
      <w:r w:rsidRPr="00FC6FDF">
        <w:rPr>
          <w:iCs/>
        </w:rPr>
        <w:tab/>
      </w:r>
      <w:r w:rsidR="00F0694E" w:rsidRPr="00FC6FDF">
        <w:rPr>
          <w:i/>
          <w:iCs/>
        </w:rPr>
        <w:t>Welcomes</w:t>
      </w:r>
      <w:r w:rsidR="00F0694E">
        <w:t xml:space="preserve"> the operationalization of the NMA Platform;</w:t>
      </w:r>
    </w:p>
    <w:p w14:paraId="6D65E16C" w14:textId="734C5348" w:rsidR="00F0694E" w:rsidRPr="00F255D6" w:rsidRDefault="00492C76" w:rsidP="00492C76">
      <w:pPr>
        <w:pStyle w:val="RegSingleTxtG"/>
        <w:numPr>
          <w:ilvl w:val="0"/>
          <w:numId w:val="0"/>
        </w:numPr>
        <w:ind w:left="1134"/>
      </w:pPr>
      <w:r w:rsidRPr="00F255D6">
        <w:rPr>
          <w:iCs/>
        </w:rPr>
        <w:t>22.</w:t>
      </w:r>
      <w:r w:rsidRPr="00F255D6">
        <w:rPr>
          <w:iCs/>
        </w:rPr>
        <w:tab/>
      </w:r>
      <w:r w:rsidR="00F0694E">
        <w:rPr>
          <w:i/>
          <w:iCs/>
        </w:rPr>
        <w:t>R</w:t>
      </w:r>
      <w:r w:rsidR="00F0694E" w:rsidRPr="00A6102B">
        <w:rPr>
          <w:i/>
          <w:iCs/>
        </w:rPr>
        <w:t>eiterates</w:t>
      </w:r>
      <w:r w:rsidR="00F0694E" w:rsidRPr="00F255D6">
        <w:t xml:space="preserve"> its invitation</w:t>
      </w:r>
      <w:r w:rsidR="00F0694E">
        <w:rPr>
          <w:rStyle w:val="FootnoteReference"/>
        </w:rPr>
        <w:footnoteReference w:id="65"/>
      </w:r>
      <w:r w:rsidR="00F0694E" w:rsidRPr="00F255D6">
        <w:t xml:space="preserve"> </w:t>
      </w:r>
      <w:r w:rsidR="00F0694E">
        <w:t xml:space="preserve">to </w:t>
      </w:r>
      <w:r w:rsidR="00F0694E" w:rsidRPr="00E6697D">
        <w:t>interested Parties, relevant bodies</w:t>
      </w:r>
      <w:r w:rsidR="00F0694E">
        <w:t xml:space="preserve"> and representatives of</w:t>
      </w:r>
      <w:r w:rsidR="00F0694E" w:rsidRPr="00E6697D">
        <w:t xml:space="preserve"> institutional arrangements and processes under the Convention and the Paris Agreement related to, inter alia, mitigation, adaptation, finance, technology development and transfer, and capacity-building, including United Nations bodies, multilateral, bilateral and other public donors, and private and non-governmental organizations</w:t>
      </w:r>
      <w:r w:rsidR="00F0694E">
        <w:t>,</w:t>
      </w:r>
      <w:r w:rsidR="00F0694E" w:rsidRPr="00E6697D">
        <w:t xml:space="preserve"> to provide information on financial, technology and capacity-building support available or provided for identifying, developing or implementing non-market approaches for recording on the </w:t>
      </w:r>
      <w:r w:rsidR="00F0694E">
        <w:t>NMA</w:t>
      </w:r>
      <w:r w:rsidR="00F0694E" w:rsidRPr="00992E1E">
        <w:t xml:space="preserve"> </w:t>
      </w:r>
      <w:r w:rsidR="00F0694E">
        <w:t>P</w:t>
      </w:r>
      <w:r w:rsidR="00F0694E" w:rsidRPr="00992E1E">
        <w:t>latform</w:t>
      </w:r>
      <w:r w:rsidR="00F0694E" w:rsidRPr="00F255D6">
        <w:t>;</w:t>
      </w:r>
    </w:p>
    <w:p w14:paraId="7885CF10" w14:textId="73B1490C" w:rsidR="00F0694E" w:rsidRDefault="00492C76" w:rsidP="00492C76">
      <w:pPr>
        <w:pStyle w:val="RegSingleTxtG"/>
        <w:numPr>
          <w:ilvl w:val="0"/>
          <w:numId w:val="0"/>
        </w:numPr>
        <w:ind w:left="1134"/>
      </w:pPr>
      <w:r>
        <w:rPr>
          <w:iCs/>
        </w:rPr>
        <w:t>23.</w:t>
      </w:r>
      <w:r>
        <w:rPr>
          <w:iCs/>
        </w:rPr>
        <w:tab/>
      </w:r>
      <w:r w:rsidR="00F0694E" w:rsidRPr="00911611">
        <w:rPr>
          <w:i/>
          <w:iCs/>
        </w:rPr>
        <w:t xml:space="preserve">Recognizes </w:t>
      </w:r>
      <w:r w:rsidR="00F0694E">
        <w:t xml:space="preserve">the information thereon provided by nine such </w:t>
      </w:r>
      <w:r w:rsidR="00F0694E" w:rsidRPr="004521C8">
        <w:t xml:space="preserve">Parties, bodies </w:t>
      </w:r>
      <w:r w:rsidR="00F0694E">
        <w:t xml:space="preserve">and representatives as at </w:t>
      </w:r>
      <w:r w:rsidR="00F0694E" w:rsidRPr="00C26B41">
        <w:t>1</w:t>
      </w:r>
      <w:r w:rsidR="00F0694E" w:rsidRPr="008E4BB4">
        <w:t>5</w:t>
      </w:r>
      <w:r w:rsidR="00F0694E">
        <w:t xml:space="preserve"> November 2024;</w:t>
      </w:r>
    </w:p>
    <w:p w14:paraId="40658921" w14:textId="490CD422" w:rsidR="00F0694E" w:rsidRDefault="00492C76" w:rsidP="00492C76">
      <w:pPr>
        <w:pStyle w:val="RegSingleTxtG"/>
        <w:numPr>
          <w:ilvl w:val="0"/>
          <w:numId w:val="0"/>
        </w:numPr>
        <w:ind w:left="1134"/>
      </w:pPr>
      <w:bookmarkStart w:id="38" w:name="_Ref182605566"/>
      <w:r>
        <w:rPr>
          <w:iCs/>
        </w:rPr>
        <w:t>24.</w:t>
      </w:r>
      <w:r>
        <w:rPr>
          <w:iCs/>
        </w:rPr>
        <w:tab/>
      </w:r>
      <w:r w:rsidR="00F0694E">
        <w:rPr>
          <w:i/>
          <w:iCs/>
        </w:rPr>
        <w:t>E</w:t>
      </w:r>
      <w:r w:rsidR="00F0694E" w:rsidRPr="005A6C46">
        <w:rPr>
          <w:i/>
          <w:iCs/>
        </w:rPr>
        <w:t>ncourages</w:t>
      </w:r>
      <w:r w:rsidR="00F0694E" w:rsidRPr="00F255D6">
        <w:t xml:space="preserve"> interested Parties to </w:t>
      </w:r>
      <w:r w:rsidR="00F0694E">
        <w:t>showcase examples of</w:t>
      </w:r>
      <w:r w:rsidR="00F0694E" w:rsidRPr="00F255D6">
        <w:t xml:space="preserve"> non-market approaches</w:t>
      </w:r>
      <w:r w:rsidR="00F0694E">
        <w:t xml:space="preserve"> by recording them on</w:t>
      </w:r>
      <w:r w:rsidR="00F0694E" w:rsidRPr="00F255D6">
        <w:t xml:space="preserve"> the </w:t>
      </w:r>
      <w:r w:rsidR="00F0694E">
        <w:t>NMA P</w:t>
      </w:r>
      <w:r w:rsidR="00F0694E" w:rsidRPr="00F255D6">
        <w:t>latform;</w:t>
      </w:r>
      <w:r w:rsidR="00F0694E">
        <w:rPr>
          <w:rStyle w:val="FootnoteReference"/>
        </w:rPr>
        <w:footnoteReference w:id="66"/>
      </w:r>
      <w:bookmarkEnd w:id="38"/>
      <w:r w:rsidR="00F0694E">
        <w:t xml:space="preserve"> </w:t>
      </w:r>
    </w:p>
    <w:p w14:paraId="124A9B9F" w14:textId="0A1454FB" w:rsidR="00F0694E" w:rsidRDefault="00492C76" w:rsidP="00492C76">
      <w:pPr>
        <w:pStyle w:val="RegSingleTxtG"/>
        <w:numPr>
          <w:ilvl w:val="0"/>
          <w:numId w:val="0"/>
        </w:numPr>
        <w:ind w:left="1134"/>
      </w:pPr>
      <w:r>
        <w:rPr>
          <w:iCs/>
        </w:rPr>
        <w:t>25.</w:t>
      </w:r>
      <w:r>
        <w:rPr>
          <w:iCs/>
        </w:rPr>
        <w:tab/>
      </w:r>
      <w:r w:rsidR="00F0694E" w:rsidRPr="0004247F">
        <w:rPr>
          <w:i/>
          <w:iCs/>
        </w:rPr>
        <w:t>Acknowledges</w:t>
      </w:r>
      <w:r w:rsidR="00F0694E">
        <w:t xml:space="preserve"> that, as at </w:t>
      </w:r>
      <w:r w:rsidR="00F0694E" w:rsidRPr="00C26B41">
        <w:t>15</w:t>
      </w:r>
      <w:r w:rsidR="00F0694E">
        <w:t xml:space="preserve"> November 2024, </w:t>
      </w:r>
      <w:r w:rsidR="00F0694E" w:rsidRPr="00C26B41">
        <w:t>7</w:t>
      </w:r>
      <w:r w:rsidR="00F0694E">
        <w:t>9</w:t>
      </w:r>
      <w:r w:rsidR="00F0694E" w:rsidRPr="00B835B7">
        <w:t xml:space="preserve"> </w:t>
      </w:r>
      <w:r w:rsidR="00F0694E">
        <w:t>Parties had notified the secretariat of their</w:t>
      </w:r>
      <w:r w:rsidR="00F0694E" w:rsidRPr="00B835B7">
        <w:t xml:space="preserve"> national focal points for Article 6, paragraph 8, of the Paris Agreement</w:t>
      </w:r>
      <w:r w:rsidR="00F0694E">
        <w:t>;</w:t>
      </w:r>
      <w:r w:rsidR="00F0694E">
        <w:rPr>
          <w:rStyle w:val="FootnoteReference"/>
        </w:rPr>
        <w:footnoteReference w:id="67"/>
      </w:r>
      <w:r w:rsidR="00F0694E">
        <w:t xml:space="preserve"> </w:t>
      </w:r>
    </w:p>
    <w:p w14:paraId="5340D410" w14:textId="4CEF0EB7" w:rsidR="00F0694E" w:rsidRDefault="00492C76" w:rsidP="00492C76">
      <w:pPr>
        <w:pStyle w:val="RegSingleTxtG"/>
        <w:numPr>
          <w:ilvl w:val="0"/>
          <w:numId w:val="0"/>
        </w:numPr>
        <w:ind w:left="1134"/>
      </w:pPr>
      <w:r>
        <w:rPr>
          <w:iCs/>
        </w:rPr>
        <w:t>26.</w:t>
      </w:r>
      <w:r>
        <w:rPr>
          <w:iCs/>
        </w:rPr>
        <w:tab/>
      </w:r>
      <w:r w:rsidR="00F0694E" w:rsidRPr="0034151D">
        <w:rPr>
          <w:i/>
          <w:iCs/>
        </w:rPr>
        <w:t>Reiterates</w:t>
      </w:r>
      <w:r w:rsidR="00F0694E">
        <w:t xml:space="preserve"> its</w:t>
      </w:r>
      <w:r w:rsidR="00F0694E" w:rsidRPr="00F255D6">
        <w:t xml:space="preserve"> </w:t>
      </w:r>
      <w:r w:rsidR="00F0694E">
        <w:t>invitation</w:t>
      </w:r>
      <w:r w:rsidR="00F0694E">
        <w:rPr>
          <w:rStyle w:val="FootnoteReference"/>
        </w:rPr>
        <w:footnoteReference w:id="68"/>
      </w:r>
      <w:r w:rsidR="00F0694E">
        <w:t xml:space="preserve"> to </w:t>
      </w:r>
      <w:r w:rsidR="00F0694E" w:rsidRPr="00F255D6">
        <w:t xml:space="preserve">interested Parties to notify the secretariat of their national focal points </w:t>
      </w:r>
      <w:r w:rsidR="00F0694E" w:rsidRPr="00B835B7">
        <w:t>for Article 6, paragraph 8, of the Paris Agreement</w:t>
      </w:r>
      <w:r w:rsidR="00F0694E" w:rsidRPr="00F255D6" w:rsidDel="005E4892">
        <w:t xml:space="preserve"> to</w:t>
      </w:r>
      <w:r w:rsidR="00F0694E" w:rsidRPr="00F255D6">
        <w:t xml:space="preserve"> enable them to access the </w:t>
      </w:r>
      <w:r w:rsidR="00F0694E">
        <w:t>NMA Platform</w:t>
      </w:r>
      <w:r w:rsidR="00F0694E" w:rsidRPr="00F255D6">
        <w:t>;</w:t>
      </w:r>
    </w:p>
    <w:p w14:paraId="79145794" w14:textId="765F7C04" w:rsidR="00F0694E" w:rsidRPr="001765DA" w:rsidRDefault="00492C76" w:rsidP="00492C76">
      <w:pPr>
        <w:pStyle w:val="RegSingleTxtG"/>
        <w:numPr>
          <w:ilvl w:val="0"/>
          <w:numId w:val="0"/>
        </w:numPr>
        <w:ind w:left="1134"/>
      </w:pPr>
      <w:bookmarkStart w:id="39" w:name="_Ref182604467"/>
      <w:r w:rsidRPr="001765DA">
        <w:rPr>
          <w:iCs/>
        </w:rPr>
        <w:t>27.</w:t>
      </w:r>
      <w:r w:rsidRPr="001765DA">
        <w:rPr>
          <w:iCs/>
        </w:rPr>
        <w:tab/>
      </w:r>
      <w:r w:rsidR="00F0694E" w:rsidRPr="001765DA">
        <w:rPr>
          <w:i/>
          <w:iCs/>
        </w:rPr>
        <w:t xml:space="preserve">Invites </w:t>
      </w:r>
      <w:r w:rsidR="00F0694E" w:rsidRPr="001765DA">
        <w:t>Parties and observers to submit via the submission portal</w:t>
      </w:r>
      <w:r w:rsidR="00F0694E">
        <w:rPr>
          <w:rStyle w:val="FootnoteReference"/>
        </w:rPr>
        <w:footnoteReference w:id="69"/>
      </w:r>
      <w:r w:rsidR="00F0694E" w:rsidRPr="001765DA">
        <w:t xml:space="preserve"> by 31 March 2025 </w:t>
      </w:r>
      <w:r w:rsidR="00F0694E">
        <w:t xml:space="preserve">their </w:t>
      </w:r>
      <w:r w:rsidR="00F0694E" w:rsidRPr="001765DA">
        <w:t>views on:</w:t>
      </w:r>
      <w:bookmarkEnd w:id="39"/>
    </w:p>
    <w:p w14:paraId="1C70CCF1" w14:textId="4298AE32" w:rsidR="00F0694E" w:rsidRPr="001765DA" w:rsidRDefault="00492C76" w:rsidP="00492C76">
      <w:pPr>
        <w:pStyle w:val="RegSingleTxtG2"/>
        <w:numPr>
          <w:ilvl w:val="0"/>
          <w:numId w:val="0"/>
        </w:numPr>
        <w:tabs>
          <w:tab w:val="left" w:pos="1702"/>
        </w:tabs>
        <w:ind w:left="1134" w:firstLine="567"/>
      </w:pPr>
      <w:r w:rsidRPr="001765DA">
        <w:rPr>
          <w:szCs w:val="28"/>
        </w:rPr>
        <w:t>(a)</w:t>
      </w:r>
      <w:r w:rsidRPr="001765DA">
        <w:rPr>
          <w:szCs w:val="28"/>
        </w:rPr>
        <w:tab/>
      </w:r>
      <w:r w:rsidR="00F0694E" w:rsidRPr="001765DA">
        <w:t>Barriers to using the NMA Platform and potential solutions, with a view to enabling the NMA Platform to be used to its full potential;</w:t>
      </w:r>
    </w:p>
    <w:p w14:paraId="2E72FCEA" w14:textId="6F559DEE" w:rsidR="00F0694E" w:rsidRPr="001765DA" w:rsidRDefault="00492C76" w:rsidP="00492C76">
      <w:pPr>
        <w:pStyle w:val="RegSingleTxtG2"/>
        <w:numPr>
          <w:ilvl w:val="0"/>
          <w:numId w:val="0"/>
        </w:numPr>
        <w:tabs>
          <w:tab w:val="left" w:pos="1702"/>
        </w:tabs>
        <w:ind w:left="1134" w:firstLine="567"/>
      </w:pPr>
      <w:r w:rsidRPr="001765DA">
        <w:rPr>
          <w:szCs w:val="28"/>
        </w:rPr>
        <w:lastRenderedPageBreak/>
        <w:t>(b)</w:t>
      </w:r>
      <w:r w:rsidRPr="001765DA">
        <w:rPr>
          <w:szCs w:val="28"/>
        </w:rPr>
        <w:tab/>
      </w:r>
      <w:r w:rsidR="00F0694E" w:rsidRPr="001765DA">
        <w:t xml:space="preserve">Their engagement with the NMA Platform and </w:t>
      </w:r>
      <w:r w:rsidR="00F0694E">
        <w:t xml:space="preserve">the </w:t>
      </w:r>
      <w:r w:rsidR="00F0694E" w:rsidRPr="00817C87">
        <w:t xml:space="preserve">challenges encountered </w:t>
      </w:r>
      <w:r w:rsidR="00F0694E">
        <w:t xml:space="preserve">in </w:t>
      </w:r>
      <w:r w:rsidR="00F0694E" w:rsidRPr="00817C87">
        <w:t>unlock</w:t>
      </w:r>
      <w:r w:rsidR="00F0694E">
        <w:t>ing</w:t>
      </w:r>
      <w:r w:rsidR="00F0694E" w:rsidRPr="00817C87">
        <w:t xml:space="preserve"> its full potential</w:t>
      </w:r>
      <w:r w:rsidR="00F0694E" w:rsidRPr="001765DA">
        <w:t>;</w:t>
      </w:r>
    </w:p>
    <w:p w14:paraId="0C5D5BCD" w14:textId="0DEA4494" w:rsidR="00F0694E" w:rsidRPr="001765DA" w:rsidRDefault="00492C76" w:rsidP="00492C76">
      <w:pPr>
        <w:pStyle w:val="RegSingleTxtG2"/>
        <w:numPr>
          <w:ilvl w:val="0"/>
          <w:numId w:val="0"/>
        </w:numPr>
        <w:tabs>
          <w:tab w:val="left" w:pos="1702"/>
        </w:tabs>
        <w:ind w:left="1134" w:firstLine="567"/>
      </w:pPr>
      <w:r w:rsidRPr="001765DA">
        <w:rPr>
          <w:szCs w:val="28"/>
        </w:rPr>
        <w:t>(c)</w:t>
      </w:r>
      <w:r w:rsidRPr="001765DA">
        <w:rPr>
          <w:szCs w:val="28"/>
        </w:rPr>
        <w:tab/>
      </w:r>
      <w:r w:rsidR="00F0694E" w:rsidRPr="001765DA">
        <w:t>How non-market approaches can support a Party’s implementation</w:t>
      </w:r>
      <w:r w:rsidR="00F0694E">
        <w:t xml:space="preserve"> of its nationally determined contribution</w:t>
      </w:r>
      <w:r w:rsidR="00F0694E" w:rsidRPr="001765DA">
        <w:t>;</w:t>
      </w:r>
    </w:p>
    <w:p w14:paraId="74978330" w14:textId="3E2433F6" w:rsidR="00F0694E" w:rsidRDefault="00492C76" w:rsidP="00492C76">
      <w:pPr>
        <w:pStyle w:val="RegSingleTxtG"/>
        <w:numPr>
          <w:ilvl w:val="0"/>
          <w:numId w:val="0"/>
        </w:numPr>
        <w:ind w:left="1134"/>
      </w:pPr>
      <w:r>
        <w:rPr>
          <w:iCs/>
        </w:rPr>
        <w:t>28.</w:t>
      </w:r>
      <w:r>
        <w:rPr>
          <w:iCs/>
        </w:rPr>
        <w:tab/>
      </w:r>
      <w:r w:rsidR="00F0694E" w:rsidRPr="00B32715">
        <w:rPr>
          <w:i/>
          <w:iCs/>
        </w:rPr>
        <w:t>Request</w:t>
      </w:r>
      <w:r w:rsidR="00F0694E">
        <w:rPr>
          <w:i/>
          <w:iCs/>
        </w:rPr>
        <w:t>s</w:t>
      </w:r>
      <w:r w:rsidR="00F0694E" w:rsidRPr="00B32715">
        <w:rPr>
          <w:i/>
          <w:iCs/>
        </w:rPr>
        <w:t xml:space="preserve"> </w:t>
      </w:r>
      <w:r w:rsidR="00F0694E" w:rsidRPr="00C26B41">
        <w:t xml:space="preserve">the secretariat to notify Parties and observers </w:t>
      </w:r>
      <w:r w:rsidR="00775D37">
        <w:t>via</w:t>
      </w:r>
      <w:r w:rsidR="00775D37" w:rsidRPr="00C26B41">
        <w:t xml:space="preserve"> </w:t>
      </w:r>
      <w:r w:rsidR="00F0694E" w:rsidRPr="00C26B41">
        <w:t xml:space="preserve">the Glasgow Committee on Non-market Approaches email distribution list when the submission portal opens </w:t>
      </w:r>
      <w:r w:rsidR="00F0694E" w:rsidRPr="001765DA">
        <w:t>to enable them to provide their views and information</w:t>
      </w:r>
      <w:r w:rsidR="00F0694E">
        <w:t xml:space="preserve"> </w:t>
      </w:r>
      <w:r w:rsidR="00F0694E" w:rsidRPr="001765DA">
        <w:t xml:space="preserve">on </w:t>
      </w:r>
      <w:r w:rsidR="00F0694E">
        <w:t>the</w:t>
      </w:r>
      <w:r w:rsidR="00F0694E" w:rsidRPr="00C26B41">
        <w:t xml:space="preserve"> topics referred </w:t>
      </w:r>
      <w:r w:rsidR="00F0694E">
        <w:t xml:space="preserve">to </w:t>
      </w:r>
      <w:r w:rsidR="00F0694E" w:rsidRPr="00C26B41">
        <w:t>in paragraph</w:t>
      </w:r>
      <w:r w:rsidR="00F0694E">
        <w:t xml:space="preserve"> </w:t>
      </w:r>
      <w:r w:rsidR="00F0694E">
        <w:rPr>
          <w:cs/>
        </w:rPr>
        <w:t>‎</w:t>
      </w:r>
      <w:r w:rsidR="00F0694E">
        <w:t>27 above;</w:t>
      </w:r>
    </w:p>
    <w:p w14:paraId="7390BFB8" w14:textId="262D97C5" w:rsidR="00F0694E" w:rsidRDefault="00492C76" w:rsidP="00492C76">
      <w:pPr>
        <w:pStyle w:val="RegSingleTxtG"/>
        <w:numPr>
          <w:ilvl w:val="0"/>
          <w:numId w:val="0"/>
        </w:numPr>
        <w:ind w:left="1134"/>
      </w:pPr>
      <w:r>
        <w:rPr>
          <w:iCs/>
        </w:rPr>
        <w:t>29.</w:t>
      </w:r>
      <w:r>
        <w:rPr>
          <w:iCs/>
        </w:rPr>
        <w:tab/>
      </w:r>
      <w:r w:rsidR="00F0694E">
        <w:rPr>
          <w:i/>
          <w:iCs/>
        </w:rPr>
        <w:t>Also requests</w:t>
      </w:r>
      <w:r w:rsidR="00F0694E" w:rsidRPr="00031829">
        <w:t xml:space="preserve"> the </w:t>
      </w:r>
      <w:r w:rsidR="00F0694E">
        <w:t>secretariat to clearly state the scope of non-market approaches under the framework</w:t>
      </w:r>
      <w:r w:rsidR="00F0694E">
        <w:rPr>
          <w:rStyle w:val="FootnoteReference"/>
        </w:rPr>
        <w:footnoteReference w:id="70"/>
      </w:r>
      <w:r w:rsidR="00F0694E">
        <w:t xml:space="preserve"> on the NMA Platform</w:t>
      </w:r>
      <w:r w:rsidR="00F0694E" w:rsidRPr="00BD5D05">
        <w:t xml:space="preserve"> </w:t>
      </w:r>
      <w:r w:rsidR="00F0694E">
        <w:t>and in all written materials on the subject</w:t>
      </w:r>
      <w:r w:rsidR="00F0694E" w:rsidRPr="00963A9E">
        <w:t xml:space="preserve"> to </w:t>
      </w:r>
      <w:r w:rsidR="00F0694E">
        <w:t>manage the expectations</w:t>
      </w:r>
      <w:r w:rsidR="00F0694E" w:rsidRPr="00963A9E">
        <w:t xml:space="preserve"> </w:t>
      </w:r>
      <w:r w:rsidR="00F0694E">
        <w:t>o</w:t>
      </w:r>
      <w:r w:rsidR="00F0694E" w:rsidRPr="00963A9E">
        <w:t xml:space="preserve">f Parties and </w:t>
      </w:r>
      <w:r w:rsidR="00F0694E" w:rsidRPr="00E93083">
        <w:t xml:space="preserve">non-Party stakeholders </w:t>
      </w:r>
      <w:r w:rsidR="00F0694E">
        <w:t xml:space="preserve">and </w:t>
      </w:r>
      <w:r w:rsidR="00F0694E" w:rsidRPr="00963A9E">
        <w:t xml:space="preserve">facilitate </w:t>
      </w:r>
      <w:r w:rsidR="00F0694E">
        <w:t>mutually beneficial</w:t>
      </w:r>
      <w:r w:rsidR="00F0694E" w:rsidRPr="00963A9E">
        <w:t xml:space="preserve"> discussions</w:t>
      </w:r>
      <w:r w:rsidR="00F0694E">
        <w:t>;</w:t>
      </w:r>
    </w:p>
    <w:p w14:paraId="1317FCA5" w14:textId="2B3EE03F" w:rsidR="00F0694E" w:rsidRPr="00F255D6" w:rsidRDefault="00492C76" w:rsidP="00492C76">
      <w:pPr>
        <w:pStyle w:val="RegSingleTxtG"/>
        <w:numPr>
          <w:ilvl w:val="0"/>
          <w:numId w:val="0"/>
        </w:numPr>
        <w:ind w:left="1134"/>
      </w:pPr>
      <w:r w:rsidRPr="00F255D6">
        <w:rPr>
          <w:iCs/>
        </w:rPr>
        <w:t>30.</w:t>
      </w:r>
      <w:r w:rsidRPr="00F255D6">
        <w:rPr>
          <w:iCs/>
        </w:rPr>
        <w:tab/>
      </w:r>
      <w:r w:rsidR="00F0694E" w:rsidRPr="0022402E">
        <w:rPr>
          <w:color w:val="0070C0"/>
        </w:rPr>
        <w:t xml:space="preserve"> </w:t>
      </w:r>
      <w:r w:rsidR="00F0694E" w:rsidRPr="008C61AF">
        <w:rPr>
          <w:i/>
          <w:iCs/>
        </w:rPr>
        <w:t>Notes</w:t>
      </w:r>
      <w:r w:rsidR="00F0694E" w:rsidRPr="008C61AF">
        <w:t xml:space="preserve"> that </w:t>
      </w:r>
      <w:r w:rsidR="00F0694E">
        <w:t xml:space="preserve">the </w:t>
      </w:r>
      <w:r w:rsidR="00F0694E" w:rsidRPr="008C61AF">
        <w:t>submissions referred to in paragraph</w:t>
      </w:r>
      <w:r w:rsidR="00F0694E">
        <w:t xml:space="preserve"> </w:t>
      </w:r>
      <w:r w:rsidR="00F0694E">
        <w:rPr>
          <w:cs/>
        </w:rPr>
        <w:t>‎</w:t>
      </w:r>
      <w:r w:rsidR="00F0694E">
        <w:t>27 above</w:t>
      </w:r>
      <w:r w:rsidR="00F0694E" w:rsidRPr="008C61AF">
        <w:t xml:space="preserve"> may be used to identify potential topic</w:t>
      </w:r>
      <w:r w:rsidR="00F0694E">
        <w:t>s</w:t>
      </w:r>
      <w:r w:rsidR="00F0694E" w:rsidRPr="008C61AF">
        <w:t xml:space="preserve"> for the next in-session workshop at the </w:t>
      </w:r>
      <w:r w:rsidR="00F0694E">
        <w:t>7</w:t>
      </w:r>
      <w:r w:rsidR="00F0694E" w:rsidRPr="004B3618">
        <w:rPr>
          <w:vertAlign w:val="superscript"/>
        </w:rPr>
        <w:t>th</w:t>
      </w:r>
      <w:r w:rsidR="00F0694E">
        <w:t xml:space="preserve"> </w:t>
      </w:r>
      <w:r w:rsidR="00F0694E" w:rsidRPr="008C61AF">
        <w:t>meeting of the Glasgow Committee on Non-market Approaches;</w:t>
      </w:r>
    </w:p>
    <w:p w14:paraId="1A43F0BA" w14:textId="4138631B" w:rsidR="00F0694E" w:rsidRPr="003C00D1" w:rsidRDefault="00492C76" w:rsidP="00492C76">
      <w:pPr>
        <w:pStyle w:val="RegHChG"/>
        <w:numPr>
          <w:ilvl w:val="0"/>
          <w:numId w:val="0"/>
        </w:numPr>
        <w:tabs>
          <w:tab w:val="left" w:pos="1135"/>
        </w:tabs>
        <w:ind w:left="1135" w:hanging="454"/>
      </w:pPr>
      <w:r w:rsidRPr="003C00D1">
        <w:t>IV.</w:t>
      </w:r>
      <w:r w:rsidRPr="003C00D1">
        <w:tab/>
      </w:r>
      <w:r w:rsidR="00F0694E" w:rsidRPr="003C00D1">
        <w:t>Capacity</w:t>
      </w:r>
      <w:r w:rsidR="00F0694E">
        <w:t>-</w:t>
      </w:r>
      <w:r w:rsidR="00F0694E" w:rsidRPr="003C00D1">
        <w:t>building</w:t>
      </w:r>
    </w:p>
    <w:p w14:paraId="3B76DE8C" w14:textId="335AE60E" w:rsidR="00F0694E" w:rsidRPr="000D21FE" w:rsidRDefault="00492C76" w:rsidP="00492C76">
      <w:pPr>
        <w:pStyle w:val="RegSingleTxtG"/>
        <w:numPr>
          <w:ilvl w:val="0"/>
          <w:numId w:val="0"/>
        </w:numPr>
        <w:ind w:left="1134"/>
        <w:rPr>
          <w:color w:val="000000" w:themeColor="text1"/>
        </w:rPr>
      </w:pPr>
      <w:r w:rsidRPr="000D21FE">
        <w:rPr>
          <w:iCs/>
          <w:color w:val="000000" w:themeColor="text1"/>
        </w:rPr>
        <w:t>31.</w:t>
      </w:r>
      <w:r w:rsidRPr="000D21FE">
        <w:rPr>
          <w:iCs/>
          <w:color w:val="000000" w:themeColor="text1"/>
        </w:rPr>
        <w:tab/>
      </w:r>
      <w:r w:rsidR="00F0694E">
        <w:rPr>
          <w:i/>
          <w:iCs/>
          <w:color w:val="000000" w:themeColor="text1"/>
        </w:rPr>
        <w:t>Reiterates</w:t>
      </w:r>
      <w:r w:rsidR="00F0694E" w:rsidRPr="000D21FE">
        <w:rPr>
          <w:color w:val="000000" w:themeColor="text1"/>
        </w:rPr>
        <w:t xml:space="preserve"> the </w:t>
      </w:r>
      <w:r w:rsidR="00F0694E">
        <w:rPr>
          <w:color w:val="000000" w:themeColor="text1"/>
        </w:rPr>
        <w:t>request</w:t>
      </w:r>
      <w:r w:rsidR="00427676">
        <w:rPr>
          <w:rStyle w:val="FootnoteReference"/>
          <w:color w:val="000000" w:themeColor="text1"/>
        </w:rPr>
        <w:footnoteReference w:id="71"/>
      </w:r>
      <w:r w:rsidR="00F0694E">
        <w:rPr>
          <w:color w:val="000000" w:themeColor="text1"/>
        </w:rPr>
        <w:t xml:space="preserve"> to the </w:t>
      </w:r>
      <w:r w:rsidR="00F0694E" w:rsidRPr="000D21FE">
        <w:rPr>
          <w:color w:val="000000" w:themeColor="text1"/>
        </w:rPr>
        <w:t>secretariat to include, as part of its broader capacity</w:t>
      </w:r>
      <w:r w:rsidR="00F0694E">
        <w:rPr>
          <w:color w:val="000000" w:themeColor="text1"/>
        </w:rPr>
        <w:noBreakHyphen/>
      </w:r>
      <w:r w:rsidR="00F0694E" w:rsidRPr="000D21FE">
        <w:rPr>
          <w:color w:val="000000" w:themeColor="text1"/>
        </w:rPr>
        <w:t>building programme related to Article 6 of the Paris Agreement, activities related to the work programme under the framework for non-market approaches;</w:t>
      </w:r>
      <w:r w:rsidR="00F0694E" w:rsidRPr="000D21FE">
        <w:rPr>
          <w:rStyle w:val="FootnoteReference"/>
          <w:color w:val="000000" w:themeColor="text1"/>
        </w:rPr>
        <w:t xml:space="preserve"> </w:t>
      </w:r>
    </w:p>
    <w:p w14:paraId="5A446591" w14:textId="023B2DDB" w:rsidR="00F0694E" w:rsidRDefault="00492C76" w:rsidP="00492C76">
      <w:pPr>
        <w:pStyle w:val="RegSingleTxtG"/>
        <w:numPr>
          <w:ilvl w:val="0"/>
          <w:numId w:val="0"/>
        </w:numPr>
        <w:ind w:left="1134"/>
        <w:rPr>
          <w:color w:val="000000" w:themeColor="text1"/>
        </w:rPr>
      </w:pPr>
      <w:r>
        <w:rPr>
          <w:iCs/>
          <w:color w:val="000000" w:themeColor="text1"/>
        </w:rPr>
        <w:t>32.</w:t>
      </w:r>
      <w:r>
        <w:rPr>
          <w:iCs/>
          <w:color w:val="000000" w:themeColor="text1"/>
        </w:rPr>
        <w:tab/>
      </w:r>
      <w:r w:rsidR="00F0694E">
        <w:rPr>
          <w:i/>
          <w:iCs/>
          <w:color w:val="000000" w:themeColor="text1"/>
        </w:rPr>
        <w:t xml:space="preserve">Welcomes </w:t>
      </w:r>
      <w:r w:rsidR="00F0694E">
        <w:t>the capacity-building activities undertaken thus far by the secretariat in relation to Article 6, paragraph 8, of the Paris Agreement;</w:t>
      </w:r>
      <w:r w:rsidR="00F0694E">
        <w:rPr>
          <w:rStyle w:val="FootnoteReference"/>
        </w:rPr>
        <w:footnoteReference w:id="72"/>
      </w:r>
      <w:r w:rsidR="00F0694E">
        <w:t xml:space="preserve"> </w:t>
      </w:r>
    </w:p>
    <w:p w14:paraId="0CF95B2C" w14:textId="6F847710" w:rsidR="00F0694E" w:rsidRDefault="00492C76" w:rsidP="00492C76">
      <w:pPr>
        <w:pStyle w:val="RegSingleTxtG"/>
        <w:numPr>
          <w:ilvl w:val="0"/>
          <w:numId w:val="0"/>
        </w:numPr>
        <w:ind w:left="1134"/>
        <w:rPr>
          <w:color w:val="000000" w:themeColor="text1"/>
        </w:rPr>
      </w:pPr>
      <w:r>
        <w:rPr>
          <w:iCs/>
          <w:color w:val="000000" w:themeColor="text1"/>
        </w:rPr>
        <w:t>33.</w:t>
      </w:r>
      <w:r>
        <w:rPr>
          <w:iCs/>
          <w:color w:val="000000" w:themeColor="text1"/>
        </w:rPr>
        <w:tab/>
      </w:r>
      <w:r w:rsidR="00F0694E">
        <w:rPr>
          <w:i/>
          <w:iCs/>
          <w:color w:val="000000" w:themeColor="text1"/>
        </w:rPr>
        <w:t>R</w:t>
      </w:r>
      <w:r w:rsidR="00F0694E" w:rsidRPr="00E850C9">
        <w:rPr>
          <w:i/>
          <w:iCs/>
          <w:color w:val="000000" w:themeColor="text1"/>
        </w:rPr>
        <w:t xml:space="preserve">equests </w:t>
      </w:r>
      <w:r w:rsidR="00F0694E" w:rsidRPr="0024377E">
        <w:rPr>
          <w:color w:val="000000" w:themeColor="text1"/>
        </w:rPr>
        <w:t xml:space="preserve">the </w:t>
      </w:r>
      <w:r w:rsidR="00F0694E">
        <w:rPr>
          <w:color w:val="000000" w:themeColor="text1"/>
        </w:rPr>
        <w:t xml:space="preserve">secretariat to continue its </w:t>
      </w:r>
      <w:r w:rsidR="00F0694E" w:rsidRPr="00E850C9">
        <w:rPr>
          <w:color w:val="000000" w:themeColor="text1"/>
        </w:rPr>
        <w:t>capacity</w:t>
      </w:r>
      <w:r w:rsidR="00F0694E">
        <w:rPr>
          <w:color w:val="000000" w:themeColor="text1"/>
        </w:rPr>
        <w:t>-</w:t>
      </w:r>
      <w:r w:rsidR="00F0694E" w:rsidRPr="00E850C9">
        <w:rPr>
          <w:color w:val="000000" w:themeColor="text1"/>
        </w:rPr>
        <w:t xml:space="preserve">building </w:t>
      </w:r>
      <w:r w:rsidR="00F0694E">
        <w:rPr>
          <w:color w:val="000000" w:themeColor="text1"/>
        </w:rPr>
        <w:t>activities for all</w:t>
      </w:r>
      <w:r w:rsidR="00F0694E" w:rsidRPr="00E850C9">
        <w:rPr>
          <w:color w:val="000000" w:themeColor="text1"/>
        </w:rPr>
        <w:t xml:space="preserve"> </w:t>
      </w:r>
      <w:r w:rsidR="00F0694E">
        <w:rPr>
          <w:color w:val="000000" w:themeColor="text1"/>
        </w:rPr>
        <w:t>interested stakeholders</w:t>
      </w:r>
      <w:r w:rsidR="00F0694E" w:rsidRPr="00F02BCE">
        <w:rPr>
          <w:color w:val="000000" w:themeColor="text1"/>
        </w:rPr>
        <w:t xml:space="preserve"> </w:t>
      </w:r>
      <w:r w:rsidR="00F0694E" w:rsidRPr="00E850C9">
        <w:rPr>
          <w:color w:val="000000" w:themeColor="text1"/>
        </w:rPr>
        <w:t>in the second phase</w:t>
      </w:r>
      <w:r w:rsidR="00F0694E">
        <w:rPr>
          <w:color w:val="000000" w:themeColor="text1"/>
        </w:rPr>
        <w:t xml:space="preserve"> of implementing the work programme activities,</w:t>
      </w:r>
      <w:r w:rsidR="00F0694E" w:rsidRPr="00E13D9D">
        <w:rPr>
          <w:color w:val="000000" w:themeColor="text1"/>
        </w:rPr>
        <w:t xml:space="preserve"> </w:t>
      </w:r>
      <w:r w:rsidR="00F0694E" w:rsidRPr="00F02BCE">
        <w:rPr>
          <w:color w:val="000000" w:themeColor="text1"/>
        </w:rPr>
        <w:t>prioritizing</w:t>
      </w:r>
      <w:r w:rsidR="00F0694E">
        <w:rPr>
          <w:color w:val="000000" w:themeColor="text1"/>
        </w:rPr>
        <w:t xml:space="preserve"> </w:t>
      </w:r>
      <w:r w:rsidR="00F0694E" w:rsidRPr="00544582">
        <w:rPr>
          <w:color w:val="000000" w:themeColor="text1"/>
        </w:rPr>
        <w:t>national focal points for Article 6, paragraph 8, of the Paris Agreement</w:t>
      </w:r>
      <w:r w:rsidR="00F0694E">
        <w:rPr>
          <w:color w:val="000000" w:themeColor="text1"/>
        </w:rPr>
        <w:t>;</w:t>
      </w:r>
      <w:r w:rsidR="00F0694E" w:rsidRPr="009B1483">
        <w:rPr>
          <w:color w:val="0070C0"/>
        </w:rPr>
        <w:t xml:space="preserve"> </w:t>
      </w:r>
    </w:p>
    <w:p w14:paraId="552B6540" w14:textId="14A74165" w:rsidR="00F0694E" w:rsidRPr="003C00D1" w:rsidRDefault="00492C76" w:rsidP="00492C76">
      <w:pPr>
        <w:pStyle w:val="RegHChG"/>
        <w:numPr>
          <w:ilvl w:val="0"/>
          <w:numId w:val="0"/>
        </w:numPr>
        <w:tabs>
          <w:tab w:val="left" w:pos="1135"/>
        </w:tabs>
        <w:ind w:left="1135" w:hanging="454"/>
      </w:pPr>
      <w:r w:rsidRPr="003C00D1">
        <w:t>V.</w:t>
      </w:r>
      <w:r w:rsidRPr="003C00D1">
        <w:tab/>
      </w:r>
      <w:r w:rsidR="00F0694E" w:rsidRPr="003C00D1">
        <w:t>Other matters</w:t>
      </w:r>
    </w:p>
    <w:p w14:paraId="39C19063" w14:textId="0377593E" w:rsidR="00C336A5" w:rsidRDefault="00492C76" w:rsidP="00492C76">
      <w:pPr>
        <w:pStyle w:val="RegSingleTxtG"/>
        <w:numPr>
          <w:ilvl w:val="0"/>
          <w:numId w:val="0"/>
        </w:numPr>
        <w:ind w:left="1134"/>
      </w:pPr>
      <w:r>
        <w:rPr>
          <w:iCs/>
        </w:rPr>
        <w:t>34.</w:t>
      </w:r>
      <w:r>
        <w:rPr>
          <w:iCs/>
        </w:rPr>
        <w:tab/>
      </w:r>
      <w:r w:rsidR="00F0694E" w:rsidRPr="006E3F1A">
        <w:rPr>
          <w:i/>
          <w:iCs/>
        </w:rPr>
        <w:t>Takes note</w:t>
      </w:r>
      <w:r w:rsidR="00F0694E" w:rsidRPr="003C00D1">
        <w:t xml:space="preserve"> of the </w:t>
      </w:r>
      <w:r w:rsidR="00F0694E">
        <w:t>estimated budgetary implications of the activities to be undertaken by the secretariat referred to in this decision;</w:t>
      </w:r>
      <w:r w:rsidR="00F0694E" w:rsidRPr="003C00D1">
        <w:t xml:space="preserve"> </w:t>
      </w:r>
    </w:p>
    <w:p w14:paraId="4180425B" w14:textId="19E864FF" w:rsidR="00F0694E" w:rsidRDefault="00492C76" w:rsidP="00492C76">
      <w:pPr>
        <w:pStyle w:val="RegSingleTxtG"/>
        <w:numPr>
          <w:ilvl w:val="0"/>
          <w:numId w:val="0"/>
        </w:numPr>
        <w:ind w:left="1134"/>
      </w:pPr>
      <w:r>
        <w:rPr>
          <w:iCs/>
        </w:rPr>
        <w:t>35.</w:t>
      </w:r>
      <w:r>
        <w:rPr>
          <w:iCs/>
        </w:rPr>
        <w:tab/>
      </w:r>
      <w:r w:rsidR="00F0694E" w:rsidRPr="00C336A5">
        <w:rPr>
          <w:i/>
          <w:iCs/>
        </w:rPr>
        <w:t>R</w:t>
      </w:r>
      <w:r w:rsidR="00F0694E" w:rsidRPr="00C336A5">
        <w:rPr>
          <w:i/>
        </w:rPr>
        <w:t>equests</w:t>
      </w:r>
      <w:r w:rsidR="00F0694E" w:rsidRPr="003C00D1">
        <w:t xml:space="preserve"> that the actions </w:t>
      </w:r>
      <w:r w:rsidR="00F0694E">
        <w:t xml:space="preserve">of the secretariat </w:t>
      </w:r>
      <w:r w:rsidR="00F0694E" w:rsidRPr="003C00D1">
        <w:t>called for in this decision be undertaken subject to the availability of financial resources.</w:t>
      </w:r>
    </w:p>
    <w:p w14:paraId="3DA9F419" w14:textId="67C7606C" w:rsidR="00C336A5" w:rsidRDefault="00064CFF" w:rsidP="00C336A5">
      <w:pPr>
        <w:pStyle w:val="RegSingleTxtG"/>
        <w:numPr>
          <w:ilvl w:val="0"/>
          <w:numId w:val="0"/>
        </w:numPr>
        <w:spacing w:after="0"/>
        <w:ind w:left="1134"/>
        <w:jc w:val="right"/>
        <w:rPr>
          <w:i/>
          <w:iCs/>
        </w:rPr>
      </w:pPr>
      <w:r>
        <w:rPr>
          <w:i/>
          <w:iCs/>
        </w:rPr>
        <w:t>5</w:t>
      </w:r>
      <w:r w:rsidRPr="00064CFF">
        <w:rPr>
          <w:i/>
          <w:iCs/>
          <w:vertAlign w:val="superscript"/>
        </w:rPr>
        <w:t>th</w:t>
      </w:r>
      <w:r>
        <w:rPr>
          <w:i/>
          <w:iCs/>
        </w:rPr>
        <w:t xml:space="preserve"> </w:t>
      </w:r>
      <w:r w:rsidR="00C336A5">
        <w:rPr>
          <w:i/>
          <w:iCs/>
        </w:rPr>
        <w:t>plenary meeting</w:t>
      </w:r>
    </w:p>
    <w:p w14:paraId="482F05D1" w14:textId="7D249E2A" w:rsidR="00C336A5" w:rsidRDefault="00064CFF" w:rsidP="00C336A5">
      <w:pPr>
        <w:pStyle w:val="RegSingleTxtG"/>
        <w:numPr>
          <w:ilvl w:val="0"/>
          <w:numId w:val="0"/>
        </w:numPr>
        <w:spacing w:after="0"/>
        <w:ind w:left="1134"/>
        <w:jc w:val="right"/>
        <w:rPr>
          <w:i/>
          <w:iCs/>
        </w:rPr>
      </w:pPr>
      <w:r>
        <w:rPr>
          <w:i/>
          <w:iCs/>
        </w:rPr>
        <w:t>18</w:t>
      </w:r>
      <w:r w:rsidR="00C336A5">
        <w:rPr>
          <w:i/>
          <w:iCs/>
        </w:rPr>
        <w:t xml:space="preserve"> November 2024</w:t>
      </w:r>
    </w:p>
    <w:p w14:paraId="271D9DB6" w14:textId="4D2DD328" w:rsidR="00C336A5" w:rsidRDefault="00C336A5" w:rsidP="002C2667">
      <w:pPr>
        <w:spacing w:before="240"/>
        <w:ind w:left="1134" w:right="1134"/>
        <w:jc w:val="center"/>
      </w:pPr>
      <w:r>
        <w:rPr>
          <w:u w:val="single"/>
        </w:rPr>
        <w:tab/>
      </w:r>
      <w:r>
        <w:rPr>
          <w:u w:val="single"/>
        </w:rPr>
        <w:tab/>
      </w:r>
      <w:r>
        <w:rPr>
          <w:u w:val="single"/>
        </w:rPr>
        <w:tab/>
      </w:r>
      <w:r>
        <w:rPr>
          <w:u w:val="single"/>
        </w:rPr>
        <w:tab/>
      </w:r>
    </w:p>
    <w:sectPr w:rsidR="00C336A5" w:rsidSect="00D8268B">
      <w:headerReference w:type="even" r:id="rId189"/>
      <w:headerReference w:type="default" r:id="rId190"/>
      <w:footerReference w:type="even" r:id="rId191"/>
      <w:footerReference w:type="default" r:id="rId192"/>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1660F" w14:textId="77777777" w:rsidR="00A628CE" w:rsidRPr="008362C4" w:rsidRDefault="00A628CE" w:rsidP="008362C4">
      <w:pPr>
        <w:spacing w:line="14" w:lineRule="exact"/>
        <w:rPr>
          <w:color w:val="FFFFFF" w:themeColor="background1"/>
        </w:rPr>
      </w:pPr>
      <w:r w:rsidRPr="008362C4">
        <w:rPr>
          <w:color w:val="FFFFFF" w:themeColor="background1"/>
        </w:rPr>
        <w:separator/>
      </w:r>
    </w:p>
  </w:endnote>
  <w:endnote w:type="continuationSeparator" w:id="0">
    <w:p w14:paraId="4437B740" w14:textId="77777777" w:rsidR="00A628CE" w:rsidRDefault="00A628CE" w:rsidP="00A70A64">
      <w:r>
        <w:continuationSeparator/>
      </w:r>
    </w:p>
  </w:endnote>
  <w:endnote w:type="continuationNotice" w:id="1">
    <w:p w14:paraId="7FC617D2" w14:textId="77777777" w:rsidR="00A628CE" w:rsidRPr="00F53DD6" w:rsidRDefault="00A628CE" w:rsidP="00F53DD6">
      <w:pPr>
        <w:pStyle w:val="Footer"/>
        <w:rPr>
          <w:sz w:val="2"/>
          <w:szCs w:val="2"/>
        </w:rPr>
      </w:pPr>
    </w:p>
  </w:endnote>
  <w:endnote w:id="2">
    <w:p w14:paraId="6A04FA7E" w14:textId="77777777" w:rsidR="003C38D5" w:rsidRPr="00B83335" w:rsidRDefault="003C38D5" w:rsidP="00C54412">
      <w:pPr>
        <w:pStyle w:val="EndnoteText"/>
        <w:tabs>
          <w:tab w:val="clear" w:pos="1021"/>
        </w:tabs>
        <w:spacing w:before="60" w:line="200" w:lineRule="exact"/>
        <w:ind w:left="567" w:right="0" w:firstLine="567"/>
      </w:pPr>
      <w:r w:rsidRPr="00D506BA">
        <w:rPr>
          <w:rStyle w:val="EndnoteReference"/>
          <w:i/>
        </w:rPr>
        <w:endnoteRef/>
      </w:r>
      <w:r w:rsidRPr="00D506BA">
        <w:t xml:space="preserve"> </w:t>
      </w:r>
      <w:r>
        <w:t xml:space="preserve"> </w:t>
      </w:r>
      <w:r w:rsidRPr="000C0874">
        <w:rPr>
          <w:i w:val="0"/>
          <w:iCs/>
        </w:rPr>
        <w:t>Reporting Party as per common nomenclatures.</w:t>
      </w:r>
    </w:p>
  </w:endnote>
  <w:endnote w:id="3">
    <w:p w14:paraId="5C0A9C12" w14:textId="77777777" w:rsidR="003C38D5" w:rsidRPr="00B83335" w:rsidRDefault="003C38D5" w:rsidP="00B1148E">
      <w:pPr>
        <w:pStyle w:val="EndnoteText"/>
        <w:tabs>
          <w:tab w:val="clear" w:pos="1021"/>
        </w:tabs>
        <w:spacing w:line="200" w:lineRule="exact"/>
        <w:ind w:left="567" w:right="0" w:firstLine="567"/>
      </w:pPr>
      <w:r w:rsidRPr="0098643F">
        <w:rPr>
          <w:rStyle w:val="EndnoteReference"/>
          <w:i/>
        </w:rPr>
        <w:endnoteRef/>
      </w:r>
      <w:r w:rsidRPr="0098643F">
        <w:t xml:space="preserve"> </w:t>
      </w:r>
      <w:r>
        <w:t xml:space="preserve"> </w:t>
      </w:r>
      <w:r w:rsidRPr="000C0874">
        <w:rPr>
          <w:i w:val="0"/>
          <w:iCs/>
        </w:rPr>
        <w:t>The annual period from 1 January to 31 December during which actions occurred.</w:t>
      </w:r>
    </w:p>
  </w:endnote>
  <w:endnote w:id="4">
    <w:p w14:paraId="1E1258C0" w14:textId="39F2A166" w:rsidR="003C38D5" w:rsidRPr="00B83335" w:rsidRDefault="003C38D5" w:rsidP="00B1148E">
      <w:pPr>
        <w:pStyle w:val="EndnoteText"/>
        <w:tabs>
          <w:tab w:val="clear" w:pos="1021"/>
        </w:tabs>
        <w:spacing w:line="200" w:lineRule="exact"/>
        <w:ind w:left="567" w:right="0" w:firstLine="567"/>
      </w:pPr>
      <w:r w:rsidRPr="00877A8C">
        <w:rPr>
          <w:rStyle w:val="EndnoteReference"/>
          <w:i/>
        </w:rPr>
        <w:endnoteRef/>
      </w:r>
      <w:r w:rsidRPr="00877A8C">
        <w:t xml:space="preserve"> </w:t>
      </w:r>
      <w:r>
        <w:t xml:space="preserve"> </w:t>
      </w:r>
      <w:r w:rsidRPr="000C0874">
        <w:rPr>
          <w:i w:val="0"/>
          <w:iCs/>
        </w:rPr>
        <w:t xml:space="preserve">Review status as per paragraph </w:t>
      </w:r>
      <w:r w:rsidR="003805B6">
        <w:rPr>
          <w:i w:val="0"/>
          <w:iCs/>
        </w:rPr>
        <w:t>37</w:t>
      </w:r>
      <w:r w:rsidRPr="000C0874">
        <w:rPr>
          <w:i w:val="0"/>
          <w:iCs/>
        </w:rPr>
        <w:t xml:space="preserve"> above. This field is populated by the CARP as a result of the review of the initial report.</w:t>
      </w:r>
    </w:p>
  </w:endnote>
  <w:endnote w:id="5">
    <w:p w14:paraId="40E37B0B" w14:textId="595E4F25" w:rsidR="003C38D5" w:rsidRPr="00B83335" w:rsidRDefault="003C38D5" w:rsidP="00B1148E">
      <w:pPr>
        <w:pStyle w:val="EndnoteText"/>
        <w:tabs>
          <w:tab w:val="clear" w:pos="1021"/>
        </w:tabs>
        <w:spacing w:line="200" w:lineRule="exact"/>
        <w:ind w:left="567" w:right="0" w:firstLine="567"/>
      </w:pPr>
      <w:r w:rsidRPr="00877A8C">
        <w:rPr>
          <w:rStyle w:val="EndnoteReference"/>
          <w:i/>
        </w:rPr>
        <w:endnoteRef/>
      </w:r>
      <w:r w:rsidRPr="00877A8C">
        <w:t xml:space="preserve"> </w:t>
      </w:r>
      <w:r>
        <w:t xml:space="preserve"> </w:t>
      </w:r>
      <w:r w:rsidRPr="000C0874">
        <w:rPr>
          <w:i w:val="0"/>
          <w:iCs/>
        </w:rPr>
        <w:t xml:space="preserve">Result of the consistency check as per paragraph </w:t>
      </w:r>
      <w:r w:rsidR="003805B6">
        <w:rPr>
          <w:i w:val="0"/>
          <w:iCs/>
        </w:rPr>
        <w:t>29</w:t>
      </w:r>
      <w:r w:rsidRPr="000C0874">
        <w:rPr>
          <w:i w:val="0"/>
          <w:iCs/>
        </w:rPr>
        <w:t xml:space="preserve"> above. Information in this field is populated by the CARP as a result of the consistency check procedure. </w:t>
      </w:r>
    </w:p>
  </w:endnote>
  <w:endnote w:id="6">
    <w:p w14:paraId="71F41ECC" w14:textId="77777777" w:rsidR="003C38D5" w:rsidRPr="00B83335" w:rsidRDefault="003C38D5" w:rsidP="00B1148E">
      <w:pPr>
        <w:pStyle w:val="EndnoteText"/>
        <w:tabs>
          <w:tab w:val="clear" w:pos="1021"/>
        </w:tabs>
        <w:spacing w:line="200" w:lineRule="exact"/>
        <w:ind w:left="567" w:right="0" w:firstLine="567"/>
      </w:pPr>
      <w:r w:rsidRPr="00FE6806">
        <w:rPr>
          <w:rStyle w:val="EndnoteReference"/>
          <w:i/>
        </w:rPr>
        <w:endnoteRef/>
      </w:r>
      <w:r w:rsidRPr="00FE6806">
        <w:t xml:space="preserve"> </w:t>
      </w:r>
      <w:r>
        <w:t xml:space="preserve"> </w:t>
      </w:r>
      <w:r w:rsidRPr="000C0874">
        <w:rPr>
          <w:i w:val="0"/>
          <w:iCs/>
        </w:rPr>
        <w:t>Hyperlink to the Article 6 technical expert review report of the initial report. This field is populated by the CARP as a result of the review of the initial report.</w:t>
      </w:r>
      <w:r>
        <w:t> </w:t>
      </w:r>
    </w:p>
  </w:endnote>
  <w:endnote w:id="7">
    <w:p w14:paraId="4CC07D60" w14:textId="77777777" w:rsidR="009C6A63" w:rsidRDefault="009C6A63" w:rsidP="00D6712F">
      <w:pPr>
        <w:pStyle w:val="EndnoteText"/>
        <w:tabs>
          <w:tab w:val="clear" w:pos="1021"/>
        </w:tabs>
        <w:spacing w:before="60" w:line="200" w:lineRule="exact"/>
        <w:ind w:left="0" w:right="0" w:firstLine="0"/>
      </w:pPr>
      <w:r w:rsidRPr="00FB37B5">
        <w:rPr>
          <w:rStyle w:val="EndnoteReference"/>
          <w:i/>
        </w:rPr>
        <w:endnoteRef/>
      </w:r>
      <w:r w:rsidRPr="00FB37B5">
        <w:t xml:space="preserve"> </w:t>
      </w:r>
      <w:r>
        <w:t xml:space="preserve"> </w:t>
      </w:r>
      <w:r w:rsidRPr="00590820">
        <w:rPr>
          <w:i w:val="0"/>
          <w:iCs/>
        </w:rPr>
        <w:t>Authorization ID as assigned by the reporting Party.</w:t>
      </w:r>
    </w:p>
    <w:p w14:paraId="0F96A558" w14:textId="77777777" w:rsidR="009C6A63" w:rsidRDefault="009C6A63" w:rsidP="004A7D53">
      <w:pPr>
        <w:pStyle w:val="EndnoteText"/>
        <w:tabs>
          <w:tab w:val="clear" w:pos="1021"/>
        </w:tabs>
        <w:spacing w:line="200" w:lineRule="exact"/>
        <w:ind w:left="0" w:right="0" w:firstLine="0"/>
      </w:pPr>
      <w:r w:rsidRPr="00810B51">
        <w:rPr>
          <w:iCs/>
          <w:vertAlign w:val="superscript"/>
        </w:rPr>
        <w:t xml:space="preserve">b  </w:t>
      </w:r>
      <w:r w:rsidRPr="00590820">
        <w:rPr>
          <w:i w:val="0"/>
          <w:iCs/>
        </w:rPr>
        <w:t>Date on which the authorization was issued.</w:t>
      </w:r>
    </w:p>
    <w:p w14:paraId="2151CFCD" w14:textId="77777777" w:rsidR="009C6A63" w:rsidRDefault="009C6A63" w:rsidP="004A7D53">
      <w:pPr>
        <w:pStyle w:val="EndnoteText"/>
        <w:spacing w:line="200" w:lineRule="exact"/>
        <w:ind w:left="0" w:right="0" w:firstLine="0"/>
      </w:pPr>
      <w:r w:rsidRPr="00810B51">
        <w:rPr>
          <w:iCs/>
          <w:vertAlign w:val="superscript"/>
        </w:rPr>
        <w:t xml:space="preserve">c  </w:t>
      </w:r>
      <w:r w:rsidRPr="00590820">
        <w:rPr>
          <w:i w:val="0"/>
          <w:iCs/>
        </w:rPr>
        <w:t>Unique identifier of the cooperative approach as per common nomenclatures.</w:t>
      </w:r>
    </w:p>
    <w:p w14:paraId="5A9DB31A" w14:textId="77777777" w:rsidR="009C6A63" w:rsidRDefault="009C6A63" w:rsidP="004A7D53">
      <w:pPr>
        <w:pStyle w:val="EndnoteText"/>
        <w:spacing w:line="200" w:lineRule="exact"/>
        <w:ind w:left="0" w:right="0" w:firstLine="0"/>
      </w:pPr>
      <w:r w:rsidRPr="00810B51">
        <w:rPr>
          <w:iCs/>
          <w:vertAlign w:val="superscript"/>
        </w:rPr>
        <w:t xml:space="preserve">d  </w:t>
      </w:r>
      <w:r w:rsidRPr="00590820">
        <w:rPr>
          <w:i w:val="0"/>
          <w:iCs/>
        </w:rPr>
        <w:t>This field is optional. It may be used to specify the maximum quantity of mitigation outcomes that are authorized for use towards an NDC and/or OIMP</w:t>
      </w:r>
    </w:p>
    <w:p w14:paraId="6EECDF28" w14:textId="5D161FA9" w:rsidR="009C6A63" w:rsidRDefault="009C6A63" w:rsidP="004A7D53">
      <w:pPr>
        <w:pStyle w:val="EndnoteText"/>
        <w:spacing w:line="200" w:lineRule="exact"/>
        <w:ind w:left="0" w:right="0" w:firstLine="0"/>
      </w:pPr>
      <w:r w:rsidRPr="00810B51">
        <w:rPr>
          <w:iCs/>
          <w:vertAlign w:val="superscript"/>
        </w:rPr>
        <w:t xml:space="preserve">e  </w:t>
      </w:r>
      <w:r w:rsidRPr="00590820">
        <w:rPr>
          <w:i w:val="0"/>
          <w:iCs/>
        </w:rPr>
        <w:t>If the mitigation outcome involves a non-CO2 greenhouse gas(es), the global warming potential (GWP) value(s) applied, consistent with the relevant CMA decisions (e.g., ‘100-year values from 5th assessment report by the IPCC’).</w:t>
      </w:r>
    </w:p>
    <w:p w14:paraId="103A0542" w14:textId="77777777" w:rsidR="009C6A63" w:rsidRDefault="009C6A63" w:rsidP="004A7D53">
      <w:pPr>
        <w:pStyle w:val="EndnoteText"/>
        <w:spacing w:line="200" w:lineRule="exact"/>
        <w:ind w:left="0" w:right="0" w:firstLine="0"/>
      </w:pPr>
      <w:r w:rsidRPr="00810B51">
        <w:rPr>
          <w:iCs/>
          <w:vertAlign w:val="superscript"/>
        </w:rPr>
        <w:t xml:space="preserve">f  </w:t>
      </w:r>
      <w:r w:rsidRPr="00590820">
        <w:rPr>
          <w:i w:val="0"/>
          <w:iCs/>
        </w:rPr>
        <w:t>Type of non-GHG metric applied (e.g., ‘megawatt hours of renewable electricity generation’). This field should be reported as ‘Not applicable’ (NA) if the ITMOs are in a GHG metric.</w:t>
      </w:r>
    </w:p>
    <w:p w14:paraId="1CE8750B" w14:textId="77777777" w:rsidR="009C6A63" w:rsidRDefault="009C6A63" w:rsidP="004A7D53">
      <w:pPr>
        <w:pStyle w:val="EndnoteText"/>
        <w:spacing w:line="200" w:lineRule="exact"/>
        <w:ind w:left="0" w:right="0" w:firstLine="0"/>
      </w:pPr>
      <w:r w:rsidRPr="00810B51">
        <w:rPr>
          <w:iCs/>
          <w:vertAlign w:val="superscript"/>
        </w:rPr>
        <w:t xml:space="preserve">g  </w:t>
      </w:r>
      <w:r w:rsidRPr="00590820">
        <w:rPr>
          <w:i w:val="0"/>
          <w:iCs/>
        </w:rPr>
        <w:t>Sector(s) in which the mitigation outcome occurred as per common nomenclatures.</w:t>
      </w:r>
    </w:p>
    <w:p w14:paraId="1CDEE617" w14:textId="77777777" w:rsidR="009C6A63" w:rsidRDefault="009C6A63" w:rsidP="004A7D53">
      <w:pPr>
        <w:pStyle w:val="EndnoteText"/>
        <w:spacing w:line="200" w:lineRule="exact"/>
        <w:ind w:left="0" w:right="0" w:firstLine="0"/>
      </w:pPr>
      <w:r w:rsidRPr="00810B51">
        <w:rPr>
          <w:iCs/>
          <w:vertAlign w:val="superscript"/>
        </w:rPr>
        <w:t xml:space="preserve">h  </w:t>
      </w:r>
      <w:r w:rsidRPr="00590820">
        <w:rPr>
          <w:i w:val="0"/>
          <w:iCs/>
        </w:rPr>
        <w:t>Description of the mitigation activity type(s) as per common nomenclatures.</w:t>
      </w:r>
    </w:p>
    <w:p w14:paraId="264F2DCF" w14:textId="77777777" w:rsidR="00F53DD6" w:rsidRDefault="009C6A63" w:rsidP="004A7D53">
      <w:pPr>
        <w:pStyle w:val="EndnoteText"/>
        <w:spacing w:line="200" w:lineRule="exact"/>
        <w:ind w:left="0" w:right="0" w:firstLine="0"/>
        <w:rPr>
          <w:i w:val="0"/>
          <w:iCs/>
        </w:rPr>
      </w:pPr>
      <w:r w:rsidRPr="00810B51">
        <w:rPr>
          <w:iCs/>
          <w:vertAlign w:val="superscript"/>
        </w:rPr>
        <w:t xml:space="preserve">i </w:t>
      </w:r>
      <w:r w:rsidRPr="00590820">
        <w:rPr>
          <w:i w:val="0"/>
          <w:iCs/>
          <w:vertAlign w:val="superscript"/>
        </w:rPr>
        <w:t xml:space="preserve"> </w:t>
      </w:r>
      <w:r w:rsidRPr="00590820">
        <w:rPr>
          <w:i w:val="0"/>
          <w:iCs/>
        </w:rPr>
        <w:t>Parties may authorize mitigation outcomes for use by any Party or for a specific Party(ies). Where a specific Party(ies) is specified, the unique identifier of that Party(ies) is entered here as per common nomenclatures.</w:t>
      </w:r>
    </w:p>
    <w:p w14:paraId="3E259765" w14:textId="3E81B673" w:rsidR="009C6A63" w:rsidRDefault="009C6A63" w:rsidP="004A7D53">
      <w:pPr>
        <w:pStyle w:val="EndnoteText"/>
        <w:spacing w:line="200" w:lineRule="exact"/>
        <w:ind w:left="0" w:right="0" w:firstLine="0"/>
      </w:pPr>
      <w:r w:rsidRPr="00810B51">
        <w:rPr>
          <w:iCs/>
          <w:vertAlign w:val="superscript"/>
        </w:rPr>
        <w:t xml:space="preserve">j  </w:t>
      </w:r>
      <w:r w:rsidRPr="00590820">
        <w:rPr>
          <w:i w:val="0"/>
          <w:iCs/>
        </w:rPr>
        <w:t>Unique identifier of the entities that are authorized as per common nomenclatures, if applicable.</w:t>
      </w:r>
      <w:r w:rsidR="00F53DD6">
        <w:rPr>
          <w:i w:val="0"/>
          <w:iCs/>
        </w:rPr>
        <w:br/>
      </w:r>
      <w:r w:rsidRPr="00810B51">
        <w:rPr>
          <w:iCs/>
          <w:vertAlign w:val="superscript"/>
        </w:rPr>
        <w:t xml:space="preserve">k  </w:t>
      </w:r>
      <w:r w:rsidRPr="00590820">
        <w:rPr>
          <w:i w:val="0"/>
          <w:iCs/>
        </w:rPr>
        <w:t>This field is only applicable if the authorization is for OIMP. This field specifies the other international mitigation purpose (OIMP), which may be an international mitigation purpose (IMP) or other purpose (OP). The specific purpose (e.g., use under the Carbon Offsetting and Reduction Scheme for International Aviation) is entered in this field.</w:t>
      </w:r>
    </w:p>
    <w:p w14:paraId="432DC0AD" w14:textId="77777777" w:rsidR="009C6A63" w:rsidRDefault="009C6A63" w:rsidP="004A7D53">
      <w:pPr>
        <w:pStyle w:val="EndnoteText"/>
        <w:spacing w:line="200" w:lineRule="exact"/>
        <w:ind w:left="0" w:right="0" w:firstLine="0"/>
      </w:pPr>
      <w:r w:rsidRPr="00810B51">
        <w:rPr>
          <w:iCs/>
          <w:vertAlign w:val="superscript"/>
        </w:rPr>
        <w:t xml:space="preserve">l  </w:t>
      </w:r>
      <w:r w:rsidRPr="00590820">
        <w:rPr>
          <w:i w:val="0"/>
          <w:iCs/>
        </w:rPr>
        <w:t>This field is optional. It may be filled to specify the timeframe for which mitigation outcomes may occur (e.g., from 2021 to 2030) that are covered under the authorization and/or the time frame in which the mitigation outcomes may be used (e.g. from 2021 to 2030).</w:t>
      </w:r>
    </w:p>
    <w:p w14:paraId="4D459586" w14:textId="77777777" w:rsidR="009C6A63" w:rsidRDefault="009C6A63" w:rsidP="004A7D53">
      <w:pPr>
        <w:pStyle w:val="EndnoteText"/>
        <w:spacing w:line="200" w:lineRule="exact"/>
        <w:ind w:left="0" w:right="0" w:firstLine="0"/>
      </w:pPr>
      <w:r w:rsidRPr="00810B51">
        <w:rPr>
          <w:iCs/>
          <w:vertAlign w:val="superscript"/>
        </w:rPr>
        <w:t xml:space="preserve">m </w:t>
      </w:r>
      <w:r w:rsidRPr="00590820">
        <w:rPr>
          <w:i w:val="0"/>
          <w:iCs/>
          <w:vertAlign w:val="superscript"/>
        </w:rPr>
        <w:t xml:space="preserve"> </w:t>
      </w:r>
      <w:r w:rsidRPr="00590820">
        <w:rPr>
          <w:i w:val="0"/>
          <w:iCs/>
        </w:rPr>
        <w:t>This field is optional. It may be completed to specify the terms and conditions under which the authorization is provided.</w:t>
      </w:r>
    </w:p>
    <w:p w14:paraId="01860602" w14:textId="77777777" w:rsidR="009C6A63" w:rsidRDefault="009C6A63" w:rsidP="004A7D53">
      <w:pPr>
        <w:pStyle w:val="EndnoteText"/>
        <w:spacing w:line="200" w:lineRule="exact"/>
        <w:ind w:left="0" w:right="0" w:firstLine="0"/>
      </w:pPr>
      <w:r w:rsidRPr="00810B51">
        <w:rPr>
          <w:vertAlign w:val="superscript"/>
        </w:rPr>
        <w:t xml:space="preserve">n  </w:t>
      </w:r>
      <w:r w:rsidRPr="00590820">
        <w:rPr>
          <w:i w:val="0"/>
          <w:iCs/>
        </w:rPr>
        <w:t>This field is populated by the CARP and includes a hyperlink to the relevant documentation for this authorization.</w:t>
      </w:r>
      <w:r>
        <w:t xml:space="preserve"> </w:t>
      </w:r>
    </w:p>
    <w:p w14:paraId="0DA1236B" w14:textId="6B8E3F2C" w:rsidR="009C6A63" w:rsidRDefault="009C6A63" w:rsidP="004A7D53">
      <w:pPr>
        <w:pStyle w:val="EndnoteText"/>
        <w:spacing w:line="200" w:lineRule="exact"/>
        <w:ind w:left="0" w:right="0" w:firstLine="0"/>
      </w:pPr>
      <w:r w:rsidRPr="00810B51">
        <w:rPr>
          <w:vertAlign w:val="superscript"/>
        </w:rPr>
        <w:t xml:space="preserve">o </w:t>
      </w:r>
      <w:r w:rsidRPr="00590820">
        <w:rPr>
          <w:i w:val="0"/>
          <w:iCs/>
          <w:vertAlign w:val="superscript"/>
        </w:rPr>
        <w:t xml:space="preserve"> </w:t>
      </w:r>
      <w:r w:rsidRPr="00590820">
        <w:rPr>
          <w:i w:val="0"/>
          <w:iCs/>
        </w:rPr>
        <w:t xml:space="preserve">This field is only applicable to authorizations for use towards OIMP. This field specifies the first transfer definition used by the Party pursuant to decision </w:t>
      </w:r>
      <w:hyperlink r:id="rId1" w:history="1">
        <w:r w:rsidRPr="00514C67">
          <w:rPr>
            <w:rStyle w:val="Hyperlink"/>
            <w:i w:val="0"/>
            <w:iCs/>
          </w:rPr>
          <w:t>2/CMA.3</w:t>
        </w:r>
      </w:hyperlink>
      <w:r w:rsidRPr="00590820">
        <w:rPr>
          <w:i w:val="0"/>
          <w:iCs/>
        </w:rPr>
        <w:t>, annex, para. 2(b). In other cases, this field is reported as ‘Not applicable’ (NA).</w:t>
      </w:r>
    </w:p>
    <w:p w14:paraId="79D8652F" w14:textId="77777777" w:rsidR="009C6A63" w:rsidRPr="00B83335" w:rsidRDefault="009C6A63" w:rsidP="004A7D53">
      <w:pPr>
        <w:pStyle w:val="EndnoteText"/>
        <w:tabs>
          <w:tab w:val="clear" w:pos="1021"/>
        </w:tabs>
        <w:spacing w:line="200" w:lineRule="exact"/>
        <w:ind w:left="0" w:right="0" w:firstLine="0"/>
      </w:pPr>
      <w:r w:rsidRPr="000F3122">
        <w:rPr>
          <w:vertAlign w:val="superscript"/>
        </w:rPr>
        <w:t xml:space="preserve">p </w:t>
      </w:r>
      <w:r w:rsidRPr="004B2CD9">
        <w:rPr>
          <w:vertAlign w:val="superscript"/>
        </w:rPr>
        <w:t xml:space="preserve"> </w:t>
      </w:r>
      <w:r w:rsidRPr="00590820">
        <w:rPr>
          <w:i w:val="0"/>
          <w:iCs/>
        </w:rPr>
        <w:t>This field is optional. The Party may use this field to provide any additional information.</w:t>
      </w:r>
    </w:p>
  </w:endnote>
  <w:endnote w:id="8">
    <w:p w14:paraId="7DAEB2F2" w14:textId="77777777" w:rsidR="009C6A63" w:rsidRDefault="009C6A63" w:rsidP="00640F0C">
      <w:pPr>
        <w:pStyle w:val="EndnoteText"/>
        <w:spacing w:before="60" w:line="200" w:lineRule="exact"/>
        <w:ind w:left="0" w:right="0" w:firstLine="0"/>
      </w:pPr>
      <w:r w:rsidRPr="00A143A1">
        <w:rPr>
          <w:rStyle w:val="EndnoteReference"/>
          <w:i/>
        </w:rPr>
        <w:endnoteRef/>
      </w:r>
      <w:r w:rsidRPr="000F3122">
        <w:rPr>
          <w:vertAlign w:val="superscript"/>
        </w:rPr>
        <w:t xml:space="preserve">  </w:t>
      </w:r>
      <w:r w:rsidRPr="00C111FF">
        <w:rPr>
          <w:i w:val="0"/>
          <w:iCs/>
        </w:rPr>
        <w:t>Date on which the action was executed in the Party ITMO registry.</w:t>
      </w:r>
    </w:p>
    <w:p w14:paraId="3213E1AE" w14:textId="47DE6C62" w:rsidR="009C6A63" w:rsidRDefault="009C6A63" w:rsidP="009745A8">
      <w:pPr>
        <w:pStyle w:val="EndnoteText"/>
        <w:spacing w:line="200" w:lineRule="exact"/>
        <w:ind w:left="0" w:right="0" w:firstLine="0"/>
      </w:pPr>
      <w:r w:rsidRPr="000F3122">
        <w:rPr>
          <w:iCs/>
          <w:vertAlign w:val="superscript"/>
        </w:rPr>
        <w:t xml:space="preserve">b  </w:t>
      </w:r>
      <w:r w:rsidRPr="00C111FF">
        <w:rPr>
          <w:i w:val="0"/>
          <w:iCs/>
        </w:rPr>
        <w:t xml:space="preserve">Action type as per decision </w:t>
      </w:r>
      <w:hyperlink r:id="rId2" w:history="1">
        <w:r w:rsidRPr="00514C67">
          <w:rPr>
            <w:rStyle w:val="Hyperlink"/>
            <w:i w:val="0"/>
            <w:iCs/>
          </w:rPr>
          <w:t>2/CMA.3</w:t>
        </w:r>
      </w:hyperlink>
      <w:r w:rsidRPr="00C111FF">
        <w:rPr>
          <w:i w:val="0"/>
          <w:iCs/>
        </w:rPr>
        <w:t>, annex, para. 20(a).</w:t>
      </w:r>
    </w:p>
    <w:p w14:paraId="3FC59C1D" w14:textId="77777777" w:rsidR="009C6A63" w:rsidRDefault="009C6A63" w:rsidP="009745A8">
      <w:pPr>
        <w:pStyle w:val="EndnoteText"/>
        <w:spacing w:line="200" w:lineRule="exact"/>
        <w:ind w:left="0" w:right="0" w:firstLine="0"/>
      </w:pPr>
      <w:r w:rsidRPr="000F3122">
        <w:rPr>
          <w:iCs/>
          <w:vertAlign w:val="superscript"/>
        </w:rPr>
        <w:t xml:space="preserve">c  </w:t>
      </w:r>
      <w:r w:rsidRPr="00C111FF">
        <w:rPr>
          <w:i w:val="0"/>
          <w:iCs/>
        </w:rPr>
        <w:t>Unique identifier of the cooperative approach as per common nomenclatures.</w:t>
      </w:r>
    </w:p>
    <w:p w14:paraId="1B02DE74" w14:textId="77777777" w:rsidR="009C6A63" w:rsidRDefault="009C6A63" w:rsidP="009745A8">
      <w:pPr>
        <w:pStyle w:val="EndnoteText"/>
        <w:spacing w:line="200" w:lineRule="exact"/>
        <w:ind w:left="0" w:right="0" w:firstLine="0"/>
      </w:pPr>
      <w:r w:rsidRPr="000F3122">
        <w:rPr>
          <w:iCs/>
          <w:vertAlign w:val="superscript"/>
        </w:rPr>
        <w:t xml:space="preserve">d  </w:t>
      </w:r>
      <w:r w:rsidRPr="00C111FF">
        <w:rPr>
          <w:i w:val="0"/>
          <w:iCs/>
        </w:rPr>
        <w:t>Authorization ID as assigned by the reporting Party.</w:t>
      </w:r>
    </w:p>
    <w:p w14:paraId="581CBA6B" w14:textId="77777777" w:rsidR="009C6A63" w:rsidRDefault="009C6A63" w:rsidP="009745A8">
      <w:pPr>
        <w:pStyle w:val="EndnoteText"/>
        <w:spacing w:line="200" w:lineRule="exact"/>
        <w:ind w:left="0" w:right="0" w:firstLine="0"/>
      </w:pPr>
      <w:r w:rsidRPr="000F3122">
        <w:rPr>
          <w:iCs/>
          <w:vertAlign w:val="superscript"/>
        </w:rPr>
        <w:t xml:space="preserve">e  </w:t>
      </w:r>
      <w:r w:rsidRPr="00C111FF">
        <w:rPr>
          <w:i w:val="0"/>
          <w:iCs/>
        </w:rPr>
        <w:t>Unique identifier of the participating Party in which the authorized mitigation outcome occurred as per common nomenclatures.</w:t>
      </w:r>
    </w:p>
    <w:p w14:paraId="61287023" w14:textId="77777777" w:rsidR="009C6A63" w:rsidRDefault="009C6A63" w:rsidP="009745A8">
      <w:pPr>
        <w:pStyle w:val="EndnoteText"/>
        <w:spacing w:line="200" w:lineRule="exact"/>
        <w:ind w:left="0" w:right="0" w:firstLine="0"/>
      </w:pPr>
      <w:r w:rsidRPr="000F3122">
        <w:rPr>
          <w:iCs/>
          <w:vertAlign w:val="superscript"/>
        </w:rPr>
        <w:t xml:space="preserve">f  </w:t>
      </w:r>
      <w:r w:rsidRPr="00C111FF">
        <w:rPr>
          <w:i w:val="0"/>
          <w:iCs/>
        </w:rPr>
        <w:t>Unique identifier of the Party ITMO registry in which the reported action has been tracked as per common nomenclatures. </w:t>
      </w:r>
    </w:p>
    <w:p w14:paraId="6762E3AD" w14:textId="2C59C5EC" w:rsidR="009C6A63" w:rsidRDefault="009C6A63" w:rsidP="009745A8">
      <w:pPr>
        <w:pStyle w:val="EndnoteText"/>
        <w:spacing w:line="200" w:lineRule="exact"/>
        <w:ind w:left="0" w:right="0" w:firstLine="0"/>
      </w:pPr>
      <w:r w:rsidRPr="000F3122">
        <w:rPr>
          <w:iCs/>
          <w:vertAlign w:val="superscript"/>
        </w:rPr>
        <w:t xml:space="preserve">g  </w:t>
      </w:r>
      <w:r w:rsidRPr="00C111FF">
        <w:rPr>
          <w:i w:val="0"/>
          <w:iCs/>
        </w:rPr>
        <w:t xml:space="preserve">Unique identifier of the ITMO as per decision </w:t>
      </w:r>
      <w:hyperlink r:id="rId3" w:history="1">
        <w:r w:rsidRPr="00514C67">
          <w:rPr>
            <w:rStyle w:val="Hyperlink"/>
            <w:i w:val="0"/>
            <w:iCs/>
          </w:rPr>
          <w:t>6/CMA.4</w:t>
        </w:r>
      </w:hyperlink>
      <w:r w:rsidRPr="00C111FF">
        <w:rPr>
          <w:i w:val="0"/>
          <w:iCs/>
        </w:rPr>
        <w:t>, annex I, para. 5.</w:t>
      </w:r>
      <w:r>
        <w:t xml:space="preserve"> </w:t>
      </w:r>
    </w:p>
    <w:p w14:paraId="57C55271" w14:textId="77777777" w:rsidR="009C6A63" w:rsidRDefault="009C6A63" w:rsidP="009745A8">
      <w:pPr>
        <w:pStyle w:val="EndnoteText"/>
        <w:spacing w:line="200" w:lineRule="exact"/>
        <w:ind w:left="0" w:right="0" w:firstLine="0"/>
      </w:pPr>
      <w:r w:rsidRPr="000F3122">
        <w:rPr>
          <w:iCs/>
          <w:vertAlign w:val="superscript"/>
        </w:rPr>
        <w:t xml:space="preserve">h  </w:t>
      </w:r>
      <w:r w:rsidRPr="00C111FF">
        <w:rPr>
          <w:i w:val="0"/>
          <w:iCs/>
        </w:rPr>
        <w:t>Refers to the first unique identifier of the ITMO block.</w:t>
      </w:r>
    </w:p>
    <w:p w14:paraId="47F896C9" w14:textId="77777777" w:rsidR="009C6A63" w:rsidRDefault="009C6A63" w:rsidP="009745A8">
      <w:pPr>
        <w:pStyle w:val="EndnoteText"/>
        <w:spacing w:line="200" w:lineRule="exact"/>
        <w:ind w:left="0" w:right="0" w:firstLine="0"/>
      </w:pPr>
      <w:r w:rsidRPr="000F3122">
        <w:rPr>
          <w:iCs/>
          <w:vertAlign w:val="superscript"/>
        </w:rPr>
        <w:t xml:space="preserve">i  </w:t>
      </w:r>
      <w:r w:rsidRPr="00C111FF">
        <w:rPr>
          <w:i w:val="0"/>
          <w:iCs/>
        </w:rPr>
        <w:t>Refers to the last unique identifier of the ITMO block.</w:t>
      </w:r>
    </w:p>
    <w:p w14:paraId="26BD7FC7" w14:textId="77777777" w:rsidR="009C6A63" w:rsidRDefault="009C6A63" w:rsidP="009745A8">
      <w:pPr>
        <w:pStyle w:val="EndnoteText"/>
        <w:spacing w:line="200" w:lineRule="exact"/>
        <w:ind w:left="0" w:right="0" w:firstLine="0"/>
      </w:pPr>
      <w:r w:rsidRPr="000F3122">
        <w:rPr>
          <w:iCs/>
          <w:vertAlign w:val="superscript"/>
        </w:rPr>
        <w:t xml:space="preserve">j  </w:t>
      </w:r>
      <w:r w:rsidRPr="00C111FF">
        <w:rPr>
          <w:i w:val="0"/>
          <w:iCs/>
        </w:rPr>
        <w:t>Unique identifier of the underlying cooperative approach registry as per common nomenclatures. This field should be reported as ‘Not applicable’ (NA) if the cooperative approach does not use an underlying cooperative approach registry.</w:t>
      </w:r>
    </w:p>
    <w:p w14:paraId="4EDBB834" w14:textId="77777777" w:rsidR="009C6A63" w:rsidRDefault="009C6A63" w:rsidP="009745A8">
      <w:pPr>
        <w:pStyle w:val="EndnoteText"/>
        <w:spacing w:line="200" w:lineRule="exact"/>
        <w:ind w:left="0" w:right="0" w:firstLine="0"/>
      </w:pPr>
      <w:r w:rsidRPr="000F3122">
        <w:rPr>
          <w:iCs/>
          <w:vertAlign w:val="superscript"/>
        </w:rPr>
        <w:t xml:space="preserve">k  </w:t>
      </w:r>
      <w:r w:rsidRPr="00C111FF">
        <w:rPr>
          <w:i w:val="0"/>
          <w:iCs/>
        </w:rPr>
        <w:t>Unique identifier of the underlying unit from an underlying cooperative approach registry. This field should be reported as ‘Not applicable’ (NA) if the cooperative approach does not use an underlying cooperative approach registry.</w:t>
      </w:r>
    </w:p>
    <w:p w14:paraId="5E368498" w14:textId="77777777" w:rsidR="009C6A63" w:rsidRDefault="009C6A63" w:rsidP="009745A8">
      <w:pPr>
        <w:pStyle w:val="EndnoteText"/>
        <w:spacing w:line="200" w:lineRule="exact"/>
        <w:ind w:left="0" w:right="0" w:firstLine="0"/>
      </w:pPr>
      <w:r w:rsidRPr="000F3122">
        <w:rPr>
          <w:iCs/>
          <w:vertAlign w:val="superscript"/>
        </w:rPr>
        <w:t xml:space="preserve">l  </w:t>
      </w:r>
      <w:r w:rsidRPr="00C111FF">
        <w:rPr>
          <w:i w:val="0"/>
          <w:iCs/>
        </w:rPr>
        <w:t>Refers to the first unique identifier of the underlying unit block.</w:t>
      </w:r>
    </w:p>
    <w:p w14:paraId="6C89B606" w14:textId="77777777" w:rsidR="009C6A63" w:rsidRDefault="009C6A63" w:rsidP="009745A8">
      <w:pPr>
        <w:pStyle w:val="EndnoteText"/>
        <w:spacing w:line="200" w:lineRule="exact"/>
        <w:ind w:left="0" w:right="0" w:firstLine="0"/>
      </w:pPr>
      <w:r w:rsidRPr="000F3122">
        <w:rPr>
          <w:iCs/>
          <w:vertAlign w:val="superscript"/>
        </w:rPr>
        <w:t xml:space="preserve">m  </w:t>
      </w:r>
      <w:r w:rsidRPr="00C111FF">
        <w:rPr>
          <w:i w:val="0"/>
          <w:iCs/>
        </w:rPr>
        <w:t>Refers to the last unique identifier of the underlying unit block.</w:t>
      </w:r>
    </w:p>
    <w:p w14:paraId="7A18F937" w14:textId="73528545" w:rsidR="009C6A63" w:rsidRDefault="009C6A63" w:rsidP="009745A8">
      <w:pPr>
        <w:pStyle w:val="EndnoteText"/>
        <w:spacing w:line="200" w:lineRule="exact"/>
        <w:ind w:left="0" w:right="0" w:firstLine="0"/>
      </w:pPr>
      <w:r w:rsidRPr="000F3122">
        <w:rPr>
          <w:iCs/>
          <w:vertAlign w:val="superscript"/>
        </w:rPr>
        <w:t xml:space="preserve">n  </w:t>
      </w:r>
      <w:r w:rsidRPr="00C111FF">
        <w:rPr>
          <w:i w:val="0"/>
          <w:iCs/>
        </w:rPr>
        <w:t>If the mitigation outcome involves a non-CO2 greenhouse gas(es), the global warming potential (GWP) value(s) applied, consistent with the relevant CMA decisions (e.g., ‘100-year values from 5th assessment report by the IPCC’).</w:t>
      </w:r>
    </w:p>
    <w:p w14:paraId="2B1DA8B2" w14:textId="77777777" w:rsidR="009C6A63" w:rsidRDefault="009C6A63" w:rsidP="009745A8">
      <w:pPr>
        <w:pStyle w:val="EndnoteText"/>
        <w:spacing w:line="200" w:lineRule="exact"/>
        <w:ind w:left="0" w:right="0" w:firstLine="0"/>
      </w:pPr>
      <w:r w:rsidRPr="000F3122">
        <w:rPr>
          <w:iCs/>
          <w:vertAlign w:val="superscript"/>
        </w:rPr>
        <w:t xml:space="preserve">o  </w:t>
      </w:r>
      <w:r w:rsidRPr="00C111FF">
        <w:rPr>
          <w:i w:val="0"/>
          <w:iCs/>
        </w:rPr>
        <w:t>Type of non-GHG metric applied (e.g., ‘megawatt hours of renewable electricity generation’). This field should be reported as ‘Not applicable’ (NA) if the ITMOs are in a GHG metric.</w:t>
      </w:r>
    </w:p>
    <w:p w14:paraId="2BDD75EE" w14:textId="77777777" w:rsidR="009C6A63" w:rsidRDefault="009C6A63" w:rsidP="009745A8">
      <w:pPr>
        <w:pStyle w:val="EndnoteText"/>
        <w:spacing w:line="200" w:lineRule="exact"/>
        <w:ind w:left="0" w:right="0" w:firstLine="0"/>
      </w:pPr>
      <w:r w:rsidRPr="000F3122">
        <w:rPr>
          <w:iCs/>
          <w:vertAlign w:val="superscript"/>
        </w:rPr>
        <w:t xml:space="preserve">p  </w:t>
      </w:r>
      <w:r w:rsidRPr="00C111FF">
        <w:rPr>
          <w:i w:val="0"/>
          <w:iCs/>
        </w:rPr>
        <w:t>Quantity of ITMOs in tons of CO2 equivalent.</w:t>
      </w:r>
    </w:p>
    <w:p w14:paraId="6A01E6F4" w14:textId="77777777" w:rsidR="009C6A63" w:rsidRDefault="009C6A63" w:rsidP="009745A8">
      <w:pPr>
        <w:pStyle w:val="EndnoteText"/>
        <w:spacing w:line="200" w:lineRule="exact"/>
        <w:ind w:left="0" w:right="0" w:firstLine="0"/>
      </w:pPr>
      <w:r w:rsidRPr="000F3122">
        <w:rPr>
          <w:iCs/>
          <w:vertAlign w:val="superscript"/>
        </w:rPr>
        <w:t xml:space="preserve">q  </w:t>
      </w:r>
      <w:r w:rsidRPr="00C111FF">
        <w:rPr>
          <w:i w:val="0"/>
          <w:iCs/>
        </w:rPr>
        <w:t>Quantity of ITMOs in the respective non-GHG metric. This field should be reported as ‘Not applicable’ (NA) if the ITMOs are in a GHG metric.</w:t>
      </w:r>
    </w:p>
    <w:p w14:paraId="66060105" w14:textId="77777777" w:rsidR="009C6A63" w:rsidRDefault="009C6A63" w:rsidP="009745A8">
      <w:pPr>
        <w:pStyle w:val="EndnoteText"/>
        <w:spacing w:line="200" w:lineRule="exact"/>
        <w:ind w:left="0" w:right="0" w:firstLine="0"/>
      </w:pPr>
      <w:r w:rsidRPr="000F3122">
        <w:rPr>
          <w:iCs/>
          <w:vertAlign w:val="superscript"/>
        </w:rPr>
        <w:t xml:space="preserve">r  </w:t>
      </w:r>
      <w:r w:rsidRPr="00C111FF">
        <w:rPr>
          <w:i w:val="0"/>
          <w:iCs/>
        </w:rPr>
        <w:t>Calendar year in which the mitigation outcome occurred.</w:t>
      </w:r>
    </w:p>
    <w:p w14:paraId="0F62099E" w14:textId="77777777" w:rsidR="009C6A63" w:rsidRDefault="009C6A63" w:rsidP="009745A8">
      <w:pPr>
        <w:pStyle w:val="EndnoteText"/>
        <w:spacing w:line="200" w:lineRule="exact"/>
        <w:ind w:left="0" w:right="0" w:firstLine="0"/>
      </w:pPr>
      <w:r w:rsidRPr="000F3122">
        <w:rPr>
          <w:iCs/>
          <w:vertAlign w:val="superscript"/>
        </w:rPr>
        <w:t xml:space="preserve">s  </w:t>
      </w:r>
      <w:r w:rsidRPr="00C111FF">
        <w:rPr>
          <w:i w:val="0"/>
          <w:iCs/>
        </w:rPr>
        <w:t>Unique identifier of the transferring participating Party or, where the transfer occurs from the Adaptation Fund to a Party, a unique identifier for the Adaptation Fund, as per common nomenclatures. This field is only applicable to the action type ‘acquisition’. In other cases, this field is reported as ‘Not applicable’ (NA).</w:t>
      </w:r>
    </w:p>
    <w:p w14:paraId="3F179BFC" w14:textId="77777777" w:rsidR="009C6A63" w:rsidRDefault="009C6A63" w:rsidP="009745A8">
      <w:pPr>
        <w:pStyle w:val="EndnoteText"/>
        <w:spacing w:line="200" w:lineRule="exact"/>
        <w:ind w:left="0" w:right="0" w:firstLine="0"/>
      </w:pPr>
      <w:r w:rsidRPr="000F3122">
        <w:rPr>
          <w:iCs/>
          <w:vertAlign w:val="superscript"/>
        </w:rPr>
        <w:t xml:space="preserve">t  </w:t>
      </w:r>
      <w:r w:rsidRPr="00C111FF">
        <w:rPr>
          <w:i w:val="0"/>
          <w:iCs/>
        </w:rPr>
        <w:t>Unique identifier of the acquiring participating Party, or where the acquisition occurs by the Adaptation Fund, a unique identifier for the Adaptation Fund, as per common nomenclatures. This field is applicable to the actions type ‘first transfer’ and ‘transfer’. In other cases, this field is reported as ‘Not applicable’ (NA).</w:t>
      </w:r>
    </w:p>
    <w:p w14:paraId="07C7E51F" w14:textId="70E4BC49" w:rsidR="009C6A63" w:rsidRDefault="009C6A63" w:rsidP="009745A8">
      <w:pPr>
        <w:pStyle w:val="EndnoteText"/>
        <w:spacing w:line="200" w:lineRule="exact"/>
        <w:ind w:left="0" w:right="0" w:firstLine="0"/>
      </w:pPr>
      <w:r w:rsidRPr="000F3122">
        <w:rPr>
          <w:iCs/>
          <w:vertAlign w:val="superscript"/>
        </w:rPr>
        <w:t xml:space="preserve">u  </w:t>
      </w:r>
      <w:r w:rsidRPr="00C111FF">
        <w:rPr>
          <w:i w:val="0"/>
          <w:iCs/>
        </w:rPr>
        <w:t xml:space="preserve">This field is completed to specify the purpose for which the ITMO has been first transferred for use towards international mitigation purposes (IMP), cancelled for other purposes (OP) or cancelled for purposes referred to in paragraph 20(a), annex, decision </w:t>
      </w:r>
      <w:hyperlink r:id="rId4" w:history="1">
        <w:r w:rsidRPr="00514C67">
          <w:rPr>
            <w:rStyle w:val="Hyperlink"/>
            <w:i w:val="0"/>
            <w:iCs/>
          </w:rPr>
          <w:t>2/CMA.3</w:t>
        </w:r>
      </w:hyperlink>
      <w:r w:rsidRPr="00C111FF">
        <w:rPr>
          <w:i w:val="0"/>
          <w:iCs/>
        </w:rPr>
        <w:t>. This field is only applicable to the action types ‘use’, ‘first transfer’ and ‘cancellation’. In other cases, this field is reported as ‘Not applicable’ (NA).</w:t>
      </w:r>
    </w:p>
    <w:p w14:paraId="1AAD902F" w14:textId="77777777" w:rsidR="009C6A63" w:rsidRDefault="009C6A63" w:rsidP="009745A8">
      <w:pPr>
        <w:pStyle w:val="EndnoteText"/>
        <w:spacing w:line="200" w:lineRule="exact"/>
        <w:ind w:left="0" w:right="0" w:firstLine="0"/>
      </w:pPr>
      <w:r w:rsidRPr="000F3122">
        <w:rPr>
          <w:iCs/>
          <w:vertAlign w:val="superscript"/>
        </w:rPr>
        <w:t xml:space="preserve">v  </w:t>
      </w:r>
      <w:r w:rsidRPr="00C111FF">
        <w:rPr>
          <w:i w:val="0"/>
          <w:iCs/>
        </w:rPr>
        <w:t>Unique identifier of the using or cancelling participating Party as per common nomenclatures. This field is only applicable to report a use for IMP or cancellation for OP. In other cases, this field is reported as ‘Not applicable’ (NA).</w:t>
      </w:r>
    </w:p>
    <w:p w14:paraId="0F811E37" w14:textId="77777777" w:rsidR="009C6A63" w:rsidRDefault="009C6A63" w:rsidP="009745A8">
      <w:pPr>
        <w:pStyle w:val="EndnoteText"/>
        <w:spacing w:line="200" w:lineRule="exact"/>
        <w:ind w:left="0" w:right="0" w:firstLine="0"/>
      </w:pPr>
      <w:r w:rsidRPr="000F3122">
        <w:rPr>
          <w:iCs/>
          <w:vertAlign w:val="superscript"/>
        </w:rPr>
        <w:t xml:space="preserve">w  </w:t>
      </w:r>
      <w:r w:rsidRPr="00C111FF">
        <w:rPr>
          <w:i w:val="0"/>
          <w:iCs/>
        </w:rPr>
        <w:t>Unique identifier of the using or cancelling authorized entity as per common nomenclatures. This field is only applicable to report the use or cancellation of authorized mitigation outcomes or ITMOs by authorized entities. In other cases, this field is reported as ‘Not applicable’ (NA).</w:t>
      </w:r>
    </w:p>
    <w:p w14:paraId="6770CDDD" w14:textId="77777777" w:rsidR="009C6A63" w:rsidRDefault="009C6A63" w:rsidP="009745A8">
      <w:pPr>
        <w:pStyle w:val="EndnoteText"/>
        <w:spacing w:line="200" w:lineRule="exact"/>
        <w:ind w:left="0" w:right="0" w:firstLine="0"/>
      </w:pPr>
      <w:r w:rsidRPr="000F3122">
        <w:rPr>
          <w:iCs/>
          <w:vertAlign w:val="superscript"/>
        </w:rPr>
        <w:t xml:space="preserve">x  </w:t>
      </w:r>
      <w:r w:rsidRPr="00C111FF">
        <w:rPr>
          <w:i w:val="0"/>
          <w:iCs/>
        </w:rPr>
        <w:t>The calendar year for which the ITMOs are used towards an NDC. This field is only applicable for use of ITMOs towards the Party’s NDC. In other cases, this field is reported as ‘Not applicable’ (NA).</w:t>
      </w:r>
    </w:p>
    <w:p w14:paraId="6D9685BA" w14:textId="425E451E" w:rsidR="009C6A63" w:rsidRDefault="009C6A63" w:rsidP="009745A8">
      <w:pPr>
        <w:pStyle w:val="EndnoteText"/>
        <w:spacing w:line="200" w:lineRule="exact"/>
        <w:ind w:left="0" w:right="0" w:firstLine="0"/>
      </w:pPr>
      <w:r w:rsidRPr="000F3122">
        <w:rPr>
          <w:iCs/>
          <w:vertAlign w:val="superscript"/>
        </w:rPr>
        <w:t xml:space="preserve">y </w:t>
      </w:r>
      <w:r w:rsidRPr="00C111FF">
        <w:rPr>
          <w:i w:val="0"/>
          <w:iCs/>
          <w:vertAlign w:val="superscript"/>
        </w:rPr>
        <w:t xml:space="preserve"> </w:t>
      </w:r>
      <w:r w:rsidRPr="00C111FF">
        <w:rPr>
          <w:i w:val="0"/>
          <w:iCs/>
        </w:rPr>
        <w:t xml:space="preserve">Shows the result of the consistency check on the reported action as per decision </w:t>
      </w:r>
      <w:hyperlink r:id="rId5" w:history="1">
        <w:r w:rsidRPr="00514C67">
          <w:rPr>
            <w:rStyle w:val="Hyperlink"/>
            <w:i w:val="0"/>
            <w:iCs/>
          </w:rPr>
          <w:t>2/CMA.3</w:t>
        </w:r>
      </w:hyperlink>
      <w:r w:rsidRPr="00C111FF">
        <w:rPr>
          <w:i w:val="0"/>
          <w:iCs/>
        </w:rPr>
        <w:t>, annex, para. 33(a). Information in this field is populated by the CARP as a result of the consistency check procedure.</w:t>
      </w:r>
      <w:r>
        <w:t xml:space="preserve"> </w:t>
      </w:r>
    </w:p>
    <w:p w14:paraId="429526BB" w14:textId="77777777" w:rsidR="009C6A63" w:rsidRPr="00B83335" w:rsidRDefault="009C6A63" w:rsidP="009745A8">
      <w:pPr>
        <w:pStyle w:val="EndnoteText"/>
        <w:tabs>
          <w:tab w:val="clear" w:pos="1021"/>
        </w:tabs>
        <w:spacing w:line="200" w:lineRule="exact"/>
        <w:ind w:left="0" w:right="0" w:firstLine="0"/>
      </w:pPr>
      <w:r w:rsidRPr="000F3122">
        <w:rPr>
          <w:iCs/>
          <w:vertAlign w:val="superscript"/>
        </w:rPr>
        <w:t xml:space="preserve">z  </w:t>
      </w:r>
      <w:r w:rsidRPr="00C111FF">
        <w:rPr>
          <w:i w:val="0"/>
          <w:iCs/>
        </w:rPr>
        <w:t>This field is optional. The Party may use this field to provide any additional information.</w:t>
      </w:r>
    </w:p>
  </w:endnote>
  <w:endnote w:id="9">
    <w:p w14:paraId="51E172B6" w14:textId="77777777" w:rsidR="009C6A63" w:rsidRDefault="009C6A63" w:rsidP="00A15271">
      <w:pPr>
        <w:pStyle w:val="EndnoteText"/>
        <w:spacing w:before="60" w:line="200" w:lineRule="exact"/>
        <w:ind w:left="0" w:right="0" w:firstLine="0"/>
      </w:pPr>
      <w:r w:rsidRPr="009A4EA8">
        <w:rPr>
          <w:rStyle w:val="EndnoteReference"/>
          <w:i/>
        </w:rPr>
        <w:endnoteRef/>
      </w:r>
      <w:r w:rsidRPr="009A4EA8">
        <w:t xml:space="preserve"> </w:t>
      </w:r>
      <w:r>
        <w:t xml:space="preserve"> </w:t>
      </w:r>
      <w:r w:rsidRPr="00D03C93">
        <w:rPr>
          <w:i w:val="0"/>
          <w:iCs/>
        </w:rPr>
        <w:t>Unique identifier of the cooperative approach as per common nomenclatures.</w:t>
      </w:r>
    </w:p>
    <w:p w14:paraId="50FA7E44" w14:textId="77777777" w:rsidR="009C6A63" w:rsidRDefault="009C6A63" w:rsidP="005F0261">
      <w:pPr>
        <w:pStyle w:val="EndnoteText"/>
        <w:spacing w:line="200" w:lineRule="exact"/>
        <w:ind w:left="0" w:right="0" w:firstLine="0"/>
      </w:pPr>
      <w:r w:rsidRPr="000F3122">
        <w:rPr>
          <w:iCs/>
          <w:vertAlign w:val="superscript"/>
        </w:rPr>
        <w:t xml:space="preserve">b </w:t>
      </w:r>
      <w:r w:rsidRPr="00D03C93">
        <w:rPr>
          <w:i w:val="0"/>
          <w:iCs/>
          <w:vertAlign w:val="superscript"/>
        </w:rPr>
        <w:t xml:space="preserve"> </w:t>
      </w:r>
      <w:r w:rsidRPr="00D03C93">
        <w:rPr>
          <w:i w:val="0"/>
          <w:iCs/>
        </w:rPr>
        <w:t>Authorization ID as assigned by the reporting Party.</w:t>
      </w:r>
    </w:p>
    <w:p w14:paraId="34CAE1DA" w14:textId="77777777" w:rsidR="009C6A63" w:rsidRDefault="009C6A63" w:rsidP="005F0261">
      <w:pPr>
        <w:pStyle w:val="EndnoteText"/>
        <w:spacing w:line="200" w:lineRule="exact"/>
        <w:ind w:left="0" w:right="0" w:firstLine="0"/>
      </w:pPr>
      <w:r w:rsidRPr="000F3122">
        <w:rPr>
          <w:iCs/>
          <w:vertAlign w:val="superscript"/>
        </w:rPr>
        <w:t xml:space="preserve">c  </w:t>
      </w:r>
      <w:r w:rsidRPr="00D03C93">
        <w:rPr>
          <w:i w:val="0"/>
          <w:iCs/>
        </w:rPr>
        <w:t>Unique identifier of the participating Party in which the authorized mitigation outcome occurred as per common nomenclatures.</w:t>
      </w:r>
    </w:p>
    <w:p w14:paraId="6647384B" w14:textId="77777777" w:rsidR="009C6A63" w:rsidRDefault="009C6A63" w:rsidP="005F0261">
      <w:pPr>
        <w:pStyle w:val="EndnoteText"/>
        <w:spacing w:line="200" w:lineRule="exact"/>
        <w:ind w:left="0" w:right="0" w:firstLine="0"/>
      </w:pPr>
      <w:r w:rsidRPr="000F3122">
        <w:rPr>
          <w:iCs/>
          <w:vertAlign w:val="superscript"/>
        </w:rPr>
        <w:t xml:space="preserve">d  </w:t>
      </w:r>
      <w:r w:rsidRPr="00D03C93">
        <w:rPr>
          <w:i w:val="0"/>
          <w:iCs/>
        </w:rPr>
        <w:t>Unique identifier of the Party ITMO registry in which the ITMOs are held.</w:t>
      </w:r>
    </w:p>
    <w:p w14:paraId="554775C1" w14:textId="77777777" w:rsidR="009C6A63" w:rsidRDefault="009C6A63" w:rsidP="005F0261">
      <w:pPr>
        <w:pStyle w:val="EndnoteText"/>
        <w:spacing w:line="200" w:lineRule="exact"/>
        <w:ind w:left="0" w:right="0" w:firstLine="0"/>
      </w:pPr>
      <w:r w:rsidRPr="000F3122">
        <w:rPr>
          <w:iCs/>
          <w:vertAlign w:val="superscript"/>
        </w:rPr>
        <w:t xml:space="preserve">e  </w:t>
      </w:r>
      <w:r w:rsidRPr="00D03C93">
        <w:rPr>
          <w:i w:val="0"/>
          <w:iCs/>
        </w:rPr>
        <w:t xml:space="preserve">Unique identifier of the ITMO as per decision </w:t>
      </w:r>
      <w:hyperlink r:id="rId6" w:history="1">
        <w:r w:rsidRPr="00514C67">
          <w:rPr>
            <w:rStyle w:val="Hyperlink"/>
            <w:i w:val="0"/>
            <w:iCs/>
          </w:rPr>
          <w:t>6/CMA.4</w:t>
        </w:r>
      </w:hyperlink>
      <w:r w:rsidRPr="00D03C93">
        <w:rPr>
          <w:i w:val="0"/>
          <w:iCs/>
        </w:rPr>
        <w:t>, annex I, para. 5.</w:t>
      </w:r>
      <w:r>
        <w:t xml:space="preserve"> </w:t>
      </w:r>
    </w:p>
    <w:p w14:paraId="317D4528" w14:textId="77777777" w:rsidR="009C6A63" w:rsidRDefault="009C6A63" w:rsidP="005F0261">
      <w:pPr>
        <w:pStyle w:val="EndnoteText"/>
        <w:spacing w:line="200" w:lineRule="exact"/>
        <w:ind w:left="0" w:right="0" w:firstLine="0"/>
      </w:pPr>
      <w:r w:rsidRPr="000F3122">
        <w:rPr>
          <w:iCs/>
          <w:vertAlign w:val="superscript"/>
        </w:rPr>
        <w:t xml:space="preserve">f  </w:t>
      </w:r>
      <w:r w:rsidRPr="00D03C93">
        <w:rPr>
          <w:i w:val="0"/>
          <w:iCs/>
        </w:rPr>
        <w:t>Refers to the first unique identifier of the ITMO block.</w:t>
      </w:r>
    </w:p>
    <w:p w14:paraId="2DD2D36B" w14:textId="77777777" w:rsidR="009C6A63" w:rsidRDefault="009C6A63" w:rsidP="005F0261">
      <w:pPr>
        <w:pStyle w:val="EndnoteText"/>
        <w:spacing w:line="200" w:lineRule="exact"/>
        <w:ind w:left="0" w:right="0" w:firstLine="0"/>
      </w:pPr>
      <w:r w:rsidRPr="000F3122">
        <w:rPr>
          <w:iCs/>
          <w:vertAlign w:val="superscript"/>
        </w:rPr>
        <w:t xml:space="preserve">g  </w:t>
      </w:r>
      <w:r w:rsidRPr="00D03C93">
        <w:rPr>
          <w:i w:val="0"/>
          <w:iCs/>
        </w:rPr>
        <w:t>Refers to the last unique identifier of the ITMO block.</w:t>
      </w:r>
    </w:p>
    <w:p w14:paraId="0C057914" w14:textId="77777777" w:rsidR="009C6A63" w:rsidRDefault="009C6A63" w:rsidP="005F0261">
      <w:pPr>
        <w:pStyle w:val="EndnoteText"/>
        <w:spacing w:line="200" w:lineRule="exact"/>
        <w:ind w:left="0" w:right="0" w:firstLine="0"/>
      </w:pPr>
      <w:r w:rsidRPr="000F3122">
        <w:rPr>
          <w:iCs/>
          <w:vertAlign w:val="superscript"/>
        </w:rPr>
        <w:t xml:space="preserve">h  </w:t>
      </w:r>
      <w:r w:rsidRPr="00D03C93">
        <w:rPr>
          <w:i w:val="0"/>
          <w:iCs/>
        </w:rPr>
        <w:t>Unique identifier of the underlying cooperative approach registry as per common nomenclatures. This field should be reported as ‘Not applicable’ (NA) if the cooperative approach does not use an underlying cooperative approach registry.</w:t>
      </w:r>
    </w:p>
    <w:p w14:paraId="4902B980" w14:textId="77777777" w:rsidR="009C6A63" w:rsidRDefault="009C6A63" w:rsidP="005F0261">
      <w:pPr>
        <w:pStyle w:val="EndnoteText"/>
        <w:spacing w:line="200" w:lineRule="exact"/>
        <w:ind w:left="0" w:right="0" w:firstLine="0"/>
      </w:pPr>
      <w:r w:rsidRPr="000F3122">
        <w:rPr>
          <w:iCs/>
          <w:vertAlign w:val="superscript"/>
        </w:rPr>
        <w:t xml:space="preserve">i  </w:t>
      </w:r>
      <w:r w:rsidRPr="00D03C93">
        <w:rPr>
          <w:i w:val="0"/>
          <w:iCs/>
        </w:rPr>
        <w:t>Unique identifier of the underlying unit from an underlying cooperative approach registry. This field should be reported as ‘Not applicable’ (NA) if the cooperative approach does not use an underlying cooperative approach registry.</w:t>
      </w:r>
    </w:p>
    <w:p w14:paraId="0893370C" w14:textId="77777777" w:rsidR="009C6A63" w:rsidRDefault="009C6A63" w:rsidP="005F0261">
      <w:pPr>
        <w:pStyle w:val="EndnoteText"/>
        <w:spacing w:line="200" w:lineRule="exact"/>
        <w:ind w:left="0" w:right="0" w:firstLine="0"/>
      </w:pPr>
      <w:r w:rsidRPr="000F3122">
        <w:rPr>
          <w:iCs/>
          <w:vertAlign w:val="superscript"/>
        </w:rPr>
        <w:t xml:space="preserve">j  </w:t>
      </w:r>
      <w:r w:rsidRPr="00D03C93">
        <w:rPr>
          <w:i w:val="0"/>
          <w:iCs/>
        </w:rPr>
        <w:t>Refers to the first unique identifier of the underlying unit block.</w:t>
      </w:r>
    </w:p>
    <w:p w14:paraId="1D2725E4" w14:textId="4682D503" w:rsidR="00583D65" w:rsidRDefault="009C6A63" w:rsidP="005F0261">
      <w:pPr>
        <w:pStyle w:val="EndnoteText"/>
        <w:spacing w:line="200" w:lineRule="exact"/>
        <w:ind w:left="0" w:right="0" w:firstLine="0"/>
        <w:rPr>
          <w:i w:val="0"/>
          <w:iCs/>
        </w:rPr>
      </w:pPr>
      <w:r w:rsidRPr="000F3122">
        <w:rPr>
          <w:iCs/>
          <w:vertAlign w:val="superscript"/>
        </w:rPr>
        <w:t xml:space="preserve">k  </w:t>
      </w:r>
      <w:r w:rsidRPr="00D03C93">
        <w:rPr>
          <w:i w:val="0"/>
          <w:iCs/>
        </w:rPr>
        <w:t>Refers to the last unique identifier of the underlying unit block.</w:t>
      </w:r>
    </w:p>
    <w:p w14:paraId="16A41545" w14:textId="36705670" w:rsidR="009C6A63" w:rsidRDefault="00B87F71" w:rsidP="005F0261">
      <w:pPr>
        <w:pStyle w:val="EndnoteText"/>
        <w:spacing w:line="200" w:lineRule="exact"/>
        <w:ind w:left="0" w:right="0" w:firstLine="0"/>
      </w:pPr>
      <w:r>
        <w:rPr>
          <w:iCs/>
          <w:vertAlign w:val="superscript"/>
        </w:rPr>
        <w:t>l</w:t>
      </w:r>
      <w:r w:rsidR="00BA1101">
        <w:rPr>
          <w:iCs/>
          <w:vertAlign w:val="superscript"/>
        </w:rPr>
        <w:t xml:space="preserve"> </w:t>
      </w:r>
      <w:r w:rsidR="009C6A63" w:rsidRPr="000F3122">
        <w:rPr>
          <w:iCs/>
          <w:vertAlign w:val="superscript"/>
        </w:rPr>
        <w:t xml:space="preserve"> </w:t>
      </w:r>
      <w:r w:rsidR="009C6A63" w:rsidRPr="00D03C93">
        <w:rPr>
          <w:i w:val="0"/>
          <w:iCs/>
        </w:rPr>
        <w:t>If the mitigation outcome involves a non-CO2 greenhouse gas(es), the global warming potential (GWP) value(s) applied, consistent with the relevant CMA decisions (e.g., ‘100-year values from 5th assessment report by the IPCC’).</w:t>
      </w:r>
    </w:p>
    <w:p w14:paraId="2FD0B8BB" w14:textId="77777777" w:rsidR="009C6A63" w:rsidRDefault="009C6A63" w:rsidP="005F0261">
      <w:pPr>
        <w:pStyle w:val="EndnoteText"/>
        <w:spacing w:line="200" w:lineRule="exact"/>
        <w:ind w:left="0" w:right="0" w:firstLine="0"/>
      </w:pPr>
      <w:r w:rsidRPr="000F3122">
        <w:rPr>
          <w:iCs/>
          <w:vertAlign w:val="superscript"/>
        </w:rPr>
        <w:t xml:space="preserve">m  </w:t>
      </w:r>
      <w:r w:rsidRPr="00F253B6">
        <w:rPr>
          <w:i w:val="0"/>
          <w:iCs/>
        </w:rPr>
        <w:t>Type of non-GHG metric applied (e.g., ‘megawatt hours of renewable electricity generation’). This field should be reported as ‘Not applicable’ (NA) if the ITMOs are in a GHG metric.</w:t>
      </w:r>
    </w:p>
    <w:p w14:paraId="754BAE67" w14:textId="77777777" w:rsidR="009C6A63" w:rsidRDefault="009C6A63" w:rsidP="005F0261">
      <w:pPr>
        <w:pStyle w:val="EndnoteText"/>
        <w:spacing w:line="200" w:lineRule="exact"/>
        <w:ind w:left="0" w:right="0" w:firstLine="0"/>
      </w:pPr>
      <w:r w:rsidRPr="000F3122">
        <w:rPr>
          <w:iCs/>
          <w:vertAlign w:val="superscript"/>
        </w:rPr>
        <w:t xml:space="preserve">n  </w:t>
      </w:r>
      <w:r w:rsidRPr="00F253B6">
        <w:rPr>
          <w:i w:val="0"/>
          <w:iCs/>
        </w:rPr>
        <w:t>Quantity of ITMOs in tons of CO2 equivalent.</w:t>
      </w:r>
    </w:p>
    <w:p w14:paraId="736EA8C4" w14:textId="77777777" w:rsidR="009C6A63" w:rsidRDefault="009C6A63" w:rsidP="005F0261">
      <w:pPr>
        <w:pStyle w:val="EndnoteText"/>
        <w:spacing w:line="200" w:lineRule="exact"/>
        <w:ind w:left="0" w:right="0" w:firstLine="0"/>
      </w:pPr>
      <w:r w:rsidRPr="000F3122">
        <w:rPr>
          <w:iCs/>
          <w:vertAlign w:val="superscript"/>
        </w:rPr>
        <w:t xml:space="preserve">o  </w:t>
      </w:r>
      <w:r w:rsidRPr="00F253B6">
        <w:rPr>
          <w:i w:val="0"/>
          <w:iCs/>
        </w:rPr>
        <w:t>Quantity of ITMOs in the respective non-GHG metric. This field should be reported as ‘Not applicable’ (NA) if the ITMOs are in a GHG metric.</w:t>
      </w:r>
    </w:p>
    <w:p w14:paraId="4D8034F3" w14:textId="208BAF22" w:rsidR="00FA0A8E" w:rsidRPr="00770306" w:rsidRDefault="009C6A63" w:rsidP="005F0261">
      <w:pPr>
        <w:pStyle w:val="EndnoteText"/>
        <w:tabs>
          <w:tab w:val="clear" w:pos="1021"/>
        </w:tabs>
        <w:spacing w:line="200" w:lineRule="exact"/>
        <w:ind w:left="0" w:right="0" w:firstLine="0"/>
        <w:rPr>
          <w:i w:val="0"/>
          <w:iCs/>
        </w:rPr>
      </w:pPr>
      <w:r w:rsidRPr="000F3122">
        <w:rPr>
          <w:iCs/>
          <w:vertAlign w:val="superscript"/>
        </w:rPr>
        <w:t xml:space="preserve">p  </w:t>
      </w:r>
      <w:r w:rsidRPr="00F253B6">
        <w:rPr>
          <w:i w:val="0"/>
          <w:iCs/>
        </w:rPr>
        <w:t>Calendar year in which the mitigation outcome occurred.</w:t>
      </w:r>
    </w:p>
  </w:endnote>
  <w:endnote w:id="10">
    <w:p w14:paraId="54E2DC7F" w14:textId="13304D31" w:rsidR="00BC1C67" w:rsidRPr="003C14B0" w:rsidRDefault="00BC1C67" w:rsidP="00F25F99">
      <w:pPr>
        <w:spacing w:before="240"/>
        <w:ind w:right="113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881E" w14:textId="23CB9655" w:rsidR="0031149B"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7</w:t>
    </w:r>
    <w:r w:rsidRPr="00C86F14">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7C9C" w14:textId="3DC276BF" w:rsidR="00C86F14" w:rsidRPr="00C86F14" w:rsidRDefault="00C86F14" w:rsidP="00C86F14">
    <w:pPr>
      <w:pStyle w:val="Footer"/>
    </w:pPr>
    <w:r>
      <w:rPr>
        <w:noProof/>
      </w:rPr>
      <mc:AlternateContent>
        <mc:Choice Requires="wps">
          <w:drawing>
            <wp:anchor distT="0" distB="0" distL="114300" distR="114300" simplePos="0" relativeHeight="251658242" behindDoc="0" locked="0" layoutInCell="1" allowOverlap="1" wp14:anchorId="6852619A" wp14:editId="3FEB3DE6">
              <wp:simplePos x="0" y="0"/>
              <wp:positionH relativeFrom="margin">
                <wp:posOffset>-431800</wp:posOffset>
              </wp:positionH>
              <wp:positionV relativeFrom="margin">
                <wp:posOffset>0</wp:posOffset>
              </wp:positionV>
              <wp:extent cx="222885" cy="6120130"/>
              <wp:effectExtent l="0" t="0" r="5715"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E6580D9" w14:textId="77777777" w:rsidR="00C86F14"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Pr>
                              <w:b/>
                              <w:sz w:val="18"/>
                            </w:rPr>
                            <w:t>28</w:t>
                          </w:r>
                          <w:r w:rsidRPr="00C86F14">
                            <w:rPr>
                              <w:b/>
                              <w:sz w:val="18"/>
                            </w:rPr>
                            <w:fldChar w:fldCharType="end"/>
                          </w:r>
                          <w:r>
                            <w:rPr>
                              <w:sz w:val="18"/>
                            </w:rPr>
                            <w:tab/>
                          </w:r>
                        </w:p>
                        <w:p w14:paraId="683DB555" w14:textId="77777777" w:rsidR="00C86F14" w:rsidRDefault="00C86F14"/>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852619A" id="_x0000_t202" coordsize="21600,21600" o:spt="202" path="m,l,21600r21600,l21600,xe">
              <v:stroke joinstyle="miter"/>
              <v:path gradientshapeok="t" o:connecttype="rect"/>
            </v:shapetype>
            <v:shape id="Text Box 13" o:spid="_x0000_s1028" type="#_x0000_t202" style="position:absolute;margin-left:-34pt;margin-top:0;width:17.55pt;height:481.9pt;z-index:25165824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oFZQIAANQ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dDSzgabI72Hx8GqwYkbRf2uIMR78ORNUprmLd7R0mqkpnCMOOvQ//zTfsqveVqJ&#10;BXmdSP/YgSdO+pslM6XBmAI/BZspsDtzhSTUnCbZiRzSBR/1FLYezRON4TJVoSOwgjqpOVUbwqs4&#10;TByNsZDLZU4i+zuIK7t2YrJdepeH/gm8G+0QyUi3OE0BVG9cMeQOvljuIrYqW+ZFxVFuGp3spHHM&#10;02y+/s5ZL39Gi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KLigV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3E6580D9" w14:textId="77777777" w:rsidR="00C86F14"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Pr>
                        <w:b/>
                        <w:sz w:val="18"/>
                      </w:rPr>
                      <w:t>28</w:t>
                    </w:r>
                    <w:r w:rsidRPr="00C86F14">
                      <w:rPr>
                        <w:b/>
                        <w:sz w:val="18"/>
                      </w:rPr>
                      <w:fldChar w:fldCharType="end"/>
                    </w:r>
                    <w:r>
                      <w:rPr>
                        <w:sz w:val="18"/>
                      </w:rPr>
                      <w:tab/>
                    </w:r>
                  </w:p>
                  <w:p w14:paraId="683DB555" w14:textId="77777777" w:rsidR="00C86F14" w:rsidRDefault="00C86F14"/>
                </w:txbxContent>
              </v:textbox>
              <w10:wrap anchorx="margin" anchory="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7DD3" w14:textId="0F6EBA13" w:rsidR="002235F3" w:rsidRPr="008D70F1" w:rsidRDefault="006D3AD5" w:rsidP="008D70F1">
    <w:pPr>
      <w:pStyle w:val="Footer"/>
    </w:pPr>
    <w:r>
      <w:rPr>
        <w:noProof/>
      </w:rPr>
      <mc:AlternateContent>
        <mc:Choice Requires="wps">
          <w:drawing>
            <wp:anchor distT="0" distB="0" distL="114300" distR="114300" simplePos="0" relativeHeight="251658256" behindDoc="0" locked="0" layoutInCell="1" allowOverlap="1" wp14:anchorId="252CB0B3" wp14:editId="3743007C">
              <wp:simplePos x="0" y="0"/>
              <wp:positionH relativeFrom="margin">
                <wp:posOffset>-431800</wp:posOffset>
              </wp:positionH>
              <wp:positionV relativeFrom="margin">
                <wp:posOffset>0</wp:posOffset>
              </wp:positionV>
              <wp:extent cx="222885" cy="6120130"/>
              <wp:effectExtent l="0" t="0" r="5715" b="13970"/>
              <wp:wrapNone/>
              <wp:docPr id="17501760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95CAA7C" w14:textId="77777777" w:rsidR="006D3AD5" w:rsidRPr="006D3AD5" w:rsidRDefault="006D3AD5" w:rsidP="006D3AD5">
                          <w:pPr>
                            <w:pStyle w:val="Footer"/>
                            <w:tabs>
                              <w:tab w:val="right" w:pos="9638"/>
                            </w:tabs>
                            <w:rPr>
                              <w:b/>
                              <w:sz w:val="18"/>
                            </w:rPr>
                          </w:pPr>
                          <w:r>
                            <w:tab/>
                          </w:r>
                          <w:r w:rsidRPr="006D3AD5">
                            <w:rPr>
                              <w:b/>
                              <w:sz w:val="18"/>
                            </w:rPr>
                            <w:fldChar w:fldCharType="begin"/>
                          </w:r>
                          <w:r w:rsidRPr="006D3AD5">
                            <w:rPr>
                              <w:b/>
                              <w:sz w:val="18"/>
                            </w:rPr>
                            <w:instrText xml:space="preserve"> PAGE  \* MERGEFORMAT </w:instrText>
                          </w:r>
                          <w:r w:rsidRPr="006D3AD5">
                            <w:rPr>
                              <w:b/>
                              <w:sz w:val="18"/>
                            </w:rPr>
                            <w:fldChar w:fldCharType="separate"/>
                          </w:r>
                          <w:r>
                            <w:rPr>
                              <w:b/>
                              <w:sz w:val="18"/>
                            </w:rPr>
                            <w:t>27</w:t>
                          </w:r>
                          <w:r w:rsidRPr="006D3AD5">
                            <w:rPr>
                              <w:b/>
                              <w:sz w:val="18"/>
                            </w:rPr>
                            <w:fldChar w:fldCharType="end"/>
                          </w:r>
                        </w:p>
                        <w:p w14:paraId="621B401C" w14:textId="77777777" w:rsidR="006D3AD5" w:rsidRDefault="006D3AD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52CB0B3" id="_x0000_t202" coordsize="21600,21600" o:spt="202" path="m,l,21600r21600,l21600,xe">
              <v:stroke joinstyle="miter"/>
              <v:path gradientshapeok="t" o:connecttype="rect"/>
            </v:shapetype>
            <v:shape id="_x0000_s1029" type="#_x0000_t202" style="position:absolute;margin-left:-34pt;margin-top:0;width:17.55pt;height:481.9pt;z-index:25165825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4gZQIAANQEAAAOAAAAZHJzL2Uyb0RvYy54bWysVMFu2zAMvQ/YPwi6r05StOiMOkXWrMOA&#10;oC2QDj0zshQLk0VNUhJnXz9KttOi22EYdlFoiXrke3rM9U3XGraXPmi0FZ+eTTiTVmCt7bbi357u&#10;PlxxFiLYGgxaWfGjDPxm/v7d9cGVcoYNmlp6RiA2lAdX8SZGVxZFEI1sIZyhk5YOFfoWIn36bVF7&#10;OBB6a4rZZHJZHNDXzqOQIdDusj/k84yvlBTxQakgIzMVp95iXn1eN2kt5tdQbj24RouhDfiHLlrQ&#10;loqeoJYQge28/g2q1cJjQBXPBLYFKqWFzByIzXTyhs26ASczFxInuJNM4f/Bivv92j16FrtP2NED&#10;ZhLBrVB8D6RNcXChHHKSpqEMlJ2Idsq36ZcoMLpI2h5PesouMkGbs9ns6uqCM0FHl1MieJ4FL15u&#10;Ox/iF4ktS0HFPb1X7gD2qxBTfSjHlFTM4p02Jr+ZsexQ8Y8Xs4QP5BxlIFLYurriwW45A7MlS4ro&#10;M+KrqwlxCaFheyBXBDS67n3gcWfrjN5IqD/bmsWjI9Nasi5P5VpZc2YkwaYoZ0bQ5m8yiYmxg6C9&#10;hknN2G06pqnj84SWdjZYH+k9PPZWDU7caep3BSE+gidvktI0b/GBFmWQmsIh4qxB//NP+ym/4mkl&#10;FuR1Iv1jB544ma+WzJQGYwz8GGzGwO7aWyShpjTJTuSQLvhoxlB5bJ9pDBepCh2BFdRJxalaH97G&#10;fuJojIVcLHIS2d9BXNm1E6Pt0rs8dc/g3WCHSEa6x3EKoHzjij6398ViF1HpbJkXFQe5aXSyk4Yx&#10;T7P5+jtnvfwZzX8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MsriB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095CAA7C" w14:textId="77777777" w:rsidR="006D3AD5" w:rsidRPr="006D3AD5" w:rsidRDefault="006D3AD5" w:rsidP="006D3AD5">
                    <w:pPr>
                      <w:pStyle w:val="Footer"/>
                      <w:tabs>
                        <w:tab w:val="right" w:pos="9638"/>
                      </w:tabs>
                      <w:rPr>
                        <w:b/>
                        <w:sz w:val="18"/>
                      </w:rPr>
                    </w:pPr>
                    <w:r>
                      <w:tab/>
                    </w:r>
                    <w:r w:rsidRPr="006D3AD5">
                      <w:rPr>
                        <w:b/>
                        <w:sz w:val="18"/>
                      </w:rPr>
                      <w:fldChar w:fldCharType="begin"/>
                    </w:r>
                    <w:r w:rsidRPr="006D3AD5">
                      <w:rPr>
                        <w:b/>
                        <w:sz w:val="18"/>
                      </w:rPr>
                      <w:instrText xml:space="preserve"> PAGE  \* MERGEFORMAT </w:instrText>
                    </w:r>
                    <w:r w:rsidRPr="006D3AD5">
                      <w:rPr>
                        <w:b/>
                        <w:sz w:val="18"/>
                      </w:rPr>
                      <w:fldChar w:fldCharType="separate"/>
                    </w:r>
                    <w:r>
                      <w:rPr>
                        <w:b/>
                        <w:sz w:val="18"/>
                      </w:rPr>
                      <w:t>27</w:t>
                    </w:r>
                    <w:r w:rsidRPr="006D3AD5">
                      <w:rPr>
                        <w:b/>
                        <w:sz w:val="18"/>
                      </w:rPr>
                      <w:fldChar w:fldCharType="end"/>
                    </w:r>
                  </w:p>
                  <w:p w14:paraId="621B401C" w14:textId="77777777" w:rsidR="006D3AD5" w:rsidRDefault="006D3AD5"/>
                </w:txbxContent>
              </v:textbox>
              <w10:wrap anchorx="margin" anchory="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B1CA" w14:textId="79511CD1" w:rsidR="00AD5ED7" w:rsidRDefault="002C2667">
    <w:pPr>
      <w:pStyle w:val="Footer"/>
    </w:pPr>
    <w:r>
      <w:rPr>
        <w:noProof/>
      </w:rPr>
      <mc:AlternateContent>
        <mc:Choice Requires="wps">
          <w:drawing>
            <wp:anchor distT="0" distB="0" distL="114300" distR="114300" simplePos="0" relativeHeight="251658243" behindDoc="0" locked="0" layoutInCell="1" allowOverlap="1" wp14:anchorId="37CB6BB2" wp14:editId="27005268">
              <wp:simplePos x="0" y="0"/>
              <wp:positionH relativeFrom="margin">
                <wp:posOffset>-431800</wp:posOffset>
              </wp:positionH>
              <wp:positionV relativeFrom="margin">
                <wp:posOffset>0</wp:posOffset>
              </wp:positionV>
              <wp:extent cx="222885" cy="6120130"/>
              <wp:effectExtent l="0" t="0" r="5715" b="13970"/>
              <wp:wrapNone/>
              <wp:docPr id="6975648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AC7C661" w14:textId="77777777" w:rsidR="002C2667" w:rsidRPr="002C2667" w:rsidRDefault="002C2667" w:rsidP="002C2667">
                          <w:pPr>
                            <w:pStyle w:val="Footer"/>
                            <w:tabs>
                              <w:tab w:val="right" w:pos="9638"/>
                            </w:tabs>
                          </w:pP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28</w:t>
                          </w:r>
                          <w:r w:rsidRPr="002C2667">
                            <w:rPr>
                              <w:b/>
                              <w:sz w:val="18"/>
                            </w:rPr>
                            <w:fldChar w:fldCharType="end"/>
                          </w:r>
                          <w:r>
                            <w:rPr>
                              <w:sz w:val="18"/>
                            </w:rPr>
                            <w:tab/>
                          </w:r>
                        </w:p>
                        <w:p w14:paraId="28B1108E" w14:textId="77777777" w:rsidR="002C2667" w:rsidRDefault="002C2667"/>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7CB6BB2" id="_x0000_t202" coordsize="21600,21600" o:spt="202" path="m,l,21600r21600,l21600,xe">
              <v:stroke joinstyle="miter"/>
              <v:path gradientshapeok="t" o:connecttype="rect"/>
            </v:shapetype>
            <v:shape id="Text Box 4" o:spid="_x0000_s1032" type="#_x0000_t202" style="position:absolute;margin-left:-34pt;margin-top:0;width:17.55pt;height:481.9pt;z-index:25165824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iRZQIAANQ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V8ltHyzgbbI71HwMGq0YsbTf2uIaY7CORNUprmLX2lRRmkpnCMOOsw/PzTfs5veF6J&#10;BXmdSP/YQSBO5osjM+XBmIIwBZspcDt7hSTUnCbZixLShZDMFKqA9pHGcJWr0BE4QZ00nKoN4VUa&#10;Jo7GWMjVqiSR/T2ktbv3YrJdfpeH/hGCH+2QyEi3OE0B1K9cMeQOvljtEipdLPOs4ig3jU5x0jjm&#10;eTZffpes5z+j5S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YVGJF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4AC7C661" w14:textId="77777777" w:rsidR="002C2667" w:rsidRPr="002C2667" w:rsidRDefault="002C2667" w:rsidP="002C2667">
                    <w:pPr>
                      <w:pStyle w:val="Footer"/>
                      <w:tabs>
                        <w:tab w:val="right" w:pos="9638"/>
                      </w:tabs>
                    </w:pP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28</w:t>
                    </w:r>
                    <w:r w:rsidRPr="002C2667">
                      <w:rPr>
                        <w:b/>
                        <w:sz w:val="18"/>
                      </w:rPr>
                      <w:fldChar w:fldCharType="end"/>
                    </w:r>
                    <w:r>
                      <w:rPr>
                        <w:sz w:val="18"/>
                      </w:rPr>
                      <w:tab/>
                    </w:r>
                  </w:p>
                  <w:p w14:paraId="28B1108E" w14:textId="77777777" w:rsidR="002C2667" w:rsidRDefault="002C2667"/>
                </w:txbxContent>
              </v:textbox>
              <w10:wrap anchorx="margin" anchory="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DC92" w14:textId="3C7E5D5F" w:rsidR="00C86F14" w:rsidRPr="00C86F14" w:rsidRDefault="002C2667" w:rsidP="00C86F14">
    <w:pPr>
      <w:pStyle w:val="Footer"/>
    </w:pPr>
    <w:r>
      <w:rPr>
        <w:noProof/>
      </w:rPr>
      <mc:AlternateContent>
        <mc:Choice Requires="wps">
          <w:drawing>
            <wp:anchor distT="0" distB="0" distL="114300" distR="114300" simplePos="0" relativeHeight="251658246" behindDoc="0" locked="0" layoutInCell="1" allowOverlap="1" wp14:anchorId="56D0D815" wp14:editId="30B389E5">
              <wp:simplePos x="0" y="0"/>
              <wp:positionH relativeFrom="margin">
                <wp:posOffset>-431800</wp:posOffset>
              </wp:positionH>
              <wp:positionV relativeFrom="margin">
                <wp:posOffset>0</wp:posOffset>
              </wp:positionV>
              <wp:extent cx="222885" cy="6120130"/>
              <wp:effectExtent l="0" t="0" r="5715" b="13970"/>
              <wp:wrapNone/>
              <wp:docPr id="19410448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A97290D" w14:textId="77777777" w:rsidR="002C2667" w:rsidRPr="002C2667" w:rsidRDefault="002C2667" w:rsidP="002C2667">
                          <w:pPr>
                            <w:pStyle w:val="Footer"/>
                            <w:tabs>
                              <w:tab w:val="right" w:pos="9638"/>
                            </w:tabs>
                            <w:rPr>
                              <w:b/>
                              <w:sz w:val="18"/>
                            </w:rPr>
                          </w:pPr>
                          <w:r>
                            <w:tab/>
                          </w: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29</w:t>
                          </w:r>
                          <w:r w:rsidRPr="002C2667">
                            <w:rPr>
                              <w:b/>
                              <w:sz w:val="18"/>
                            </w:rPr>
                            <w:fldChar w:fldCharType="end"/>
                          </w:r>
                        </w:p>
                        <w:p w14:paraId="52313D25" w14:textId="77777777" w:rsidR="002C2667" w:rsidRDefault="002C2667"/>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6D0D815" id="_x0000_t202" coordsize="21600,21600" o:spt="202" path="m,l,21600r21600,l21600,xe">
              <v:stroke joinstyle="miter"/>
              <v:path gradientshapeok="t" o:connecttype="rect"/>
            </v:shapetype>
            <v:shape id="_x0000_s1033" type="#_x0000_t202" style="position:absolute;margin-left:-34pt;margin-top:0;width:17.55pt;height:481.9pt;z-index:25165824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y0ZQIAANQEAAAOAAAAZHJzL2Uyb0RvYy54bWysVMFuEzEQvSPxD5bvdJOglrLKpgoNRUhR&#10;WylFPU+8dtbC6zG2k2z4esbe3bYqHBDi4sza4zfznt9kftW1hh2kDxptxadnE86kFVhru6v4t4eb&#10;d5echQi2BoNWVvwkA79avH0zP7pSzrBBU0vPCMSG8ugq3sToyqIIopEthDN00tKhQt9CpE+/K2oP&#10;R0JvTTGbTC6KI/raeRQyBNpd9Yd8kfGVkiLeKRVkZKbi1FvMq8/rNq3FYg7lzoNrtBjagH/oogVt&#10;qegT1AoisL3Xv0G1WngMqOKZwLZApbSQmQOxmU5esdk04GTmQuIE9yRT+H+w4vawcfeexe4TdvSA&#10;mURwaxTfA2lTHF0oh5ykaSgDZSeinfJt+iUKjC6StqcnPWUXmaDN2Wx2eXnOmaCjiykRfJ8FL55v&#10;Ox/iF4ktS0HFPb1X7gAO6xBTfSjHlFTM4o02Jr+ZsexY8Y/ns4QP5BxlIFLYurriwe44A7MjS4ro&#10;M+KLqwlxBaFhByBXBDS67n3gcW/rjN5IqD/bmsWTI9Nasi5P5VpZc2YkwaYoZ0bQ5m8yiYmxg6C9&#10;hknN2G07pqnjDwkt7WyxPtF7eOytGpy40dTvGkK8B0/eJKVp3uIdLcogNYVDxFmD/uef9lN+xdNK&#10;LMjrRPrHHjxxMl8tmSkNxhj4MdiOgd2310hCTWmSncghXfDRjKHy2D7SGC5TFToCK6iTilO1PryO&#10;/cTRGAu5XOYksr+DuLYbJ0bbpXd56B7Bu8EOkYx0i+MUQPnKFX1u74vlPqLS2TLPKg5y0+hkJw1j&#10;nmbz5XfOev4zWvwC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eyPLR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7A97290D" w14:textId="77777777" w:rsidR="002C2667" w:rsidRPr="002C2667" w:rsidRDefault="002C2667" w:rsidP="002C2667">
                    <w:pPr>
                      <w:pStyle w:val="Footer"/>
                      <w:tabs>
                        <w:tab w:val="right" w:pos="9638"/>
                      </w:tabs>
                      <w:rPr>
                        <w:b/>
                        <w:sz w:val="18"/>
                      </w:rPr>
                    </w:pPr>
                    <w:r>
                      <w:tab/>
                    </w: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29</w:t>
                    </w:r>
                    <w:r w:rsidRPr="002C2667">
                      <w:rPr>
                        <w:b/>
                        <w:sz w:val="18"/>
                      </w:rPr>
                      <w:fldChar w:fldCharType="end"/>
                    </w:r>
                  </w:p>
                  <w:p w14:paraId="52313D25" w14:textId="77777777" w:rsidR="002C2667" w:rsidRDefault="002C2667"/>
                </w:txbxContent>
              </v:textbox>
              <w10:wrap anchorx="margin" anchory="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880A" w14:textId="015A7CEB" w:rsidR="00C86F14" w:rsidRPr="00C86F14" w:rsidRDefault="002C2667" w:rsidP="00C86F14">
    <w:pPr>
      <w:pStyle w:val="Footer"/>
    </w:pPr>
    <w:r>
      <w:rPr>
        <w:noProof/>
      </w:rPr>
      <mc:AlternateContent>
        <mc:Choice Requires="wps">
          <w:drawing>
            <wp:anchor distT="0" distB="0" distL="114300" distR="114300" simplePos="0" relativeHeight="251658254" behindDoc="0" locked="0" layoutInCell="1" allowOverlap="1" wp14:anchorId="07770709" wp14:editId="0AC94864">
              <wp:simplePos x="0" y="0"/>
              <wp:positionH relativeFrom="margin">
                <wp:posOffset>-431800</wp:posOffset>
              </wp:positionH>
              <wp:positionV relativeFrom="margin">
                <wp:posOffset>0</wp:posOffset>
              </wp:positionV>
              <wp:extent cx="222885" cy="6120130"/>
              <wp:effectExtent l="0" t="0" r="5715" b="13970"/>
              <wp:wrapNone/>
              <wp:docPr id="18433041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FEA9A23" w14:textId="77777777" w:rsidR="002C2667" w:rsidRPr="002C2667" w:rsidRDefault="002C2667" w:rsidP="002C2667">
                          <w:pPr>
                            <w:pStyle w:val="Footer"/>
                            <w:tabs>
                              <w:tab w:val="right" w:pos="9638"/>
                            </w:tabs>
                          </w:pP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30</w:t>
                          </w:r>
                          <w:r w:rsidRPr="002C2667">
                            <w:rPr>
                              <w:b/>
                              <w:sz w:val="18"/>
                            </w:rPr>
                            <w:fldChar w:fldCharType="end"/>
                          </w:r>
                          <w:r>
                            <w:rPr>
                              <w:sz w:val="18"/>
                            </w:rPr>
                            <w:tab/>
                          </w:r>
                        </w:p>
                        <w:p w14:paraId="7ACAF622" w14:textId="77777777" w:rsidR="002C2667" w:rsidRDefault="002C2667"/>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7770709" id="_x0000_t202" coordsize="21600,21600" o:spt="202" path="m,l,21600r21600,l21600,xe">
              <v:stroke joinstyle="miter"/>
              <v:path gradientshapeok="t" o:connecttype="rect"/>
            </v:shapetype>
            <v:shape id="Text Box 12" o:spid="_x0000_s1036" type="#_x0000_t202" style="position:absolute;margin-left:-34pt;margin-top:0;width:17.55pt;height:481.9pt;z-index:25165825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qjZQIAANU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U8L8rkrQ22R3qQgINXoxc3mhpeQ0x3EMicJDUNXPpKizJIXeEYcdZh+Pmn/Zzf8LwS&#10;DTI7sf6xg0CkzBdHbsqTMQVhCjZT4Hb2CkmpOY2yFyWkCyGZKVQB7SPN4SpXoSNwgjppOFUbwqs0&#10;jBzNsZCrVUki/3tIa3fvxeS7/DAP/SMEP/ohkZNucRoDqF/ZYsgdjLHaJVS6eOZZxVFvmp1ipXHO&#10;83C+/C5Zz/9Gy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MtnWqNlAgAA1Q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3FEA9A23" w14:textId="77777777" w:rsidR="002C2667" w:rsidRPr="002C2667" w:rsidRDefault="002C2667" w:rsidP="002C2667">
                    <w:pPr>
                      <w:pStyle w:val="Footer"/>
                      <w:tabs>
                        <w:tab w:val="right" w:pos="9638"/>
                      </w:tabs>
                    </w:pP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30</w:t>
                    </w:r>
                    <w:r w:rsidRPr="002C2667">
                      <w:rPr>
                        <w:b/>
                        <w:sz w:val="18"/>
                      </w:rPr>
                      <w:fldChar w:fldCharType="end"/>
                    </w:r>
                    <w:r>
                      <w:rPr>
                        <w:sz w:val="18"/>
                      </w:rPr>
                      <w:tab/>
                    </w:r>
                  </w:p>
                  <w:p w14:paraId="7ACAF622" w14:textId="77777777" w:rsidR="002C2667" w:rsidRDefault="002C2667"/>
                </w:txbxContent>
              </v:textbox>
              <w10:wrap anchorx="margin" anchory="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53C5" w14:textId="0463E1D4" w:rsidR="00C86F14" w:rsidRPr="00E33508" w:rsidRDefault="002C2667" w:rsidP="00E33508">
    <w:pPr>
      <w:pStyle w:val="Footer"/>
    </w:pPr>
    <w:r>
      <w:rPr>
        <w:noProof/>
      </w:rPr>
      <mc:AlternateContent>
        <mc:Choice Requires="wps">
          <w:drawing>
            <wp:anchor distT="0" distB="0" distL="114300" distR="114300" simplePos="0" relativeHeight="251658255" behindDoc="0" locked="0" layoutInCell="1" allowOverlap="1" wp14:anchorId="06DB39FE" wp14:editId="743565FD">
              <wp:simplePos x="0" y="0"/>
              <wp:positionH relativeFrom="margin">
                <wp:posOffset>-431800</wp:posOffset>
              </wp:positionH>
              <wp:positionV relativeFrom="margin">
                <wp:posOffset>0</wp:posOffset>
              </wp:positionV>
              <wp:extent cx="222885" cy="6120130"/>
              <wp:effectExtent l="0" t="0" r="5715" b="13970"/>
              <wp:wrapNone/>
              <wp:docPr id="159025796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E078AAF" w14:textId="77777777" w:rsidR="002C2667" w:rsidRPr="002C2667" w:rsidRDefault="002C2667" w:rsidP="002C2667">
                          <w:pPr>
                            <w:pStyle w:val="Footer"/>
                            <w:tabs>
                              <w:tab w:val="right" w:pos="9638"/>
                            </w:tabs>
                            <w:rPr>
                              <w:b/>
                              <w:sz w:val="18"/>
                            </w:rPr>
                          </w:pPr>
                          <w:r>
                            <w:tab/>
                          </w: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31</w:t>
                          </w:r>
                          <w:r w:rsidRPr="002C2667">
                            <w:rPr>
                              <w:b/>
                              <w:sz w:val="18"/>
                            </w:rPr>
                            <w:fldChar w:fldCharType="end"/>
                          </w:r>
                        </w:p>
                        <w:p w14:paraId="45F2643E" w14:textId="77777777" w:rsidR="002C2667" w:rsidRDefault="002C2667"/>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6DB39FE" id="_x0000_t202" coordsize="21600,21600" o:spt="202" path="m,l,21600r21600,l21600,xe">
              <v:stroke joinstyle="miter"/>
              <v:path gradientshapeok="t" o:connecttype="rect"/>
            </v:shapetype>
            <v:shape id="Text Box 10" o:spid="_x0000_s1037" type="#_x0000_t202" style="position:absolute;margin-left:-34pt;margin-top:0;width:17.55pt;height:481.9pt;z-index:25165825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6GZQIAANU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U8n2e4vLXB9kgPEnDwavTiRlPDa4jpDgKZk6SmgUtfaVEGqSscI846DD//tJ/zG55X&#10;okFmJ9Y/dhCIlPniyE15MqYgTMFmCtzOXiEpNadR9qKEdCEkM4UqoH2kOVzlKnQETlAnDadqQ3iV&#10;hpGjORZytSpJ5H8Pae3uvZh8lx/moX+E4Ec/JHLSLU5jAPUrWwy5gzFWu4RKF888qzjqTbNTrDTO&#10;eR7Ol98l6/nfaPkL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ErAfoZlAgAA1Q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7E078AAF" w14:textId="77777777" w:rsidR="002C2667" w:rsidRPr="002C2667" w:rsidRDefault="002C2667" w:rsidP="002C2667">
                    <w:pPr>
                      <w:pStyle w:val="Footer"/>
                      <w:tabs>
                        <w:tab w:val="right" w:pos="9638"/>
                      </w:tabs>
                      <w:rPr>
                        <w:b/>
                        <w:sz w:val="18"/>
                      </w:rPr>
                    </w:pPr>
                    <w:r>
                      <w:tab/>
                    </w:r>
                    <w:r w:rsidRPr="002C2667">
                      <w:rPr>
                        <w:b/>
                        <w:sz w:val="18"/>
                      </w:rPr>
                      <w:fldChar w:fldCharType="begin"/>
                    </w:r>
                    <w:r w:rsidRPr="002C2667">
                      <w:rPr>
                        <w:b/>
                        <w:sz w:val="18"/>
                      </w:rPr>
                      <w:instrText xml:space="preserve"> PAGE  \* MERGEFORMAT </w:instrText>
                    </w:r>
                    <w:r w:rsidRPr="002C2667">
                      <w:rPr>
                        <w:b/>
                        <w:sz w:val="18"/>
                      </w:rPr>
                      <w:fldChar w:fldCharType="separate"/>
                    </w:r>
                    <w:r>
                      <w:rPr>
                        <w:b/>
                        <w:sz w:val="18"/>
                      </w:rPr>
                      <w:t>31</w:t>
                    </w:r>
                    <w:r w:rsidRPr="002C2667">
                      <w:rPr>
                        <w:b/>
                        <w:sz w:val="18"/>
                      </w:rPr>
                      <w:fldChar w:fldCharType="end"/>
                    </w:r>
                  </w:p>
                  <w:p w14:paraId="45F2643E" w14:textId="77777777" w:rsidR="002C2667" w:rsidRDefault="002C2667"/>
                </w:txbxContent>
              </v:textbox>
              <w10:wrap anchorx="margin" anchory="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402C" w14:textId="40A7A99A" w:rsidR="00C86F14" w:rsidRPr="007715B4" w:rsidRDefault="00C86F14" w:rsidP="00C86F14">
    <w:pPr>
      <w:pStyle w:val="Footer"/>
      <w:rPr>
        <w:lang w:val="en-US"/>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3AE5" w14:textId="75F89D09" w:rsidR="007B3CE8" w:rsidRPr="00611B8D" w:rsidRDefault="00611B8D" w:rsidP="00611B8D">
    <w:pPr>
      <w:pStyle w:val="Footer"/>
    </w:pPr>
    <w:r>
      <w:rPr>
        <w:noProof/>
      </w:rPr>
      <mc:AlternateContent>
        <mc:Choice Requires="wps">
          <w:drawing>
            <wp:anchor distT="0" distB="0" distL="114300" distR="114300" simplePos="0" relativeHeight="251658251" behindDoc="0" locked="0" layoutInCell="1" allowOverlap="1" wp14:anchorId="5DAD4732" wp14:editId="6F19A350">
              <wp:simplePos x="0" y="0"/>
              <wp:positionH relativeFrom="margin">
                <wp:posOffset>-431800</wp:posOffset>
              </wp:positionH>
              <wp:positionV relativeFrom="margin">
                <wp:posOffset>0</wp:posOffset>
              </wp:positionV>
              <wp:extent cx="222885" cy="6120130"/>
              <wp:effectExtent l="0" t="0" r="571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BCC6AA2" w14:textId="77777777" w:rsidR="00611B8D" w:rsidRPr="00611B8D" w:rsidRDefault="00611B8D" w:rsidP="00611B8D">
                          <w:pPr>
                            <w:pStyle w:val="Footer"/>
                            <w:tabs>
                              <w:tab w:val="right" w:pos="9638"/>
                            </w:tabs>
                            <w:rPr>
                              <w:b/>
                              <w:sz w:val="18"/>
                            </w:rPr>
                          </w:pPr>
                          <w:r>
                            <w:tab/>
                          </w:r>
                          <w:r w:rsidRPr="00611B8D">
                            <w:rPr>
                              <w:b/>
                              <w:sz w:val="18"/>
                            </w:rPr>
                            <w:fldChar w:fldCharType="begin"/>
                          </w:r>
                          <w:r w:rsidRPr="00611B8D">
                            <w:rPr>
                              <w:b/>
                              <w:sz w:val="18"/>
                            </w:rPr>
                            <w:instrText xml:space="preserve"> PAGE  \* MERGEFORMAT </w:instrText>
                          </w:r>
                          <w:r w:rsidRPr="00611B8D">
                            <w:rPr>
                              <w:b/>
                              <w:sz w:val="18"/>
                            </w:rPr>
                            <w:fldChar w:fldCharType="separate"/>
                          </w:r>
                          <w:r>
                            <w:rPr>
                              <w:b/>
                              <w:sz w:val="18"/>
                            </w:rPr>
                            <w:t>33</w:t>
                          </w:r>
                          <w:r w:rsidRPr="00611B8D">
                            <w:rPr>
                              <w:b/>
                              <w:sz w:val="18"/>
                            </w:rPr>
                            <w:fldChar w:fldCharType="end"/>
                          </w:r>
                        </w:p>
                        <w:p w14:paraId="6DD5828B" w14:textId="77777777" w:rsidR="00611B8D" w:rsidRDefault="00611B8D"/>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DAD4732" id="_x0000_t202" coordsize="21600,21600" o:spt="202" path="m,l,21600r21600,l21600,xe">
              <v:stroke joinstyle="miter"/>
              <v:path gradientshapeok="t" o:connecttype="rect"/>
            </v:shapetype>
            <v:shape id="_x0000_s1040" type="#_x0000_t202" style="position:absolute;margin-left:-34pt;margin-top:0;width:17.55pt;height:481.9pt;z-index:25165825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3ZgIAANUEAAAOAAAAZHJzL2Uyb0RvYy54bWysVMFuEzEQvSPxD5bvdJNAq7LKpgoNRUhR&#10;WylFPU+83qyF7TG2k2z4esbe3bYqHBDi4sza4zfznt9kftUZzQ7SB4W24tOzCWfSCqyV3VX828PN&#10;u0vOQgRbg0YrK36SgV8t3r6ZH10pZ9iirqVnBGJDeXQVb2N0ZVEE0UoD4QydtHTYoDcQ6dPvitrD&#10;kdCNLmaTyUVxRF87j0KGQLur/pAvMn7TSBHvmibIyHTFqbeYV5/XbVqLxRzKnQfXKjG0Af/QhQFl&#10;qegT1AoisL1Xv0EZJTwGbOKZQFNg0yghMwdiM528YrNpwcnMhcQJ7kmm8P9gxe1h4+49i90n7OgB&#10;M4ng1ii+B9KmOLpQDjlJ01AGyk5Eu8ab9EsUGF0kbU9PesouMkGbs9ns8vKcM0FHF1Mi+D4LXjzf&#10;dj7ELxINS0HFPb1X7gAO6xBTfSjHlFTM4o3SOr+ZtuxY8Y/ns4QP5JxGQ6TQuLriwe44A70jS4ro&#10;M+KLqwlxBaFlByBXBNSq7n3gcW/rjN5KqD/bmsWTI9Nasi5P5YysOdOSYFOUMyMo/TeZxETbQdBe&#10;w6Rm7LYdU9Tx9EOCS1tbrE/0IB57rwYnbhQ1vIYQ78GTOUlqGrh4R0ujkbrCIeKsRf/zT/spv+Jp&#10;JRpkdmL9Yw+eSOmvltyUJmMM/Bhsx8DuzTWSUlMaZSdySBd81GPYeDSPNIfLVIWOwArqpOJUrQ+v&#10;Yz9yNMdCLpc5ifzvIK7txonRd+lhHrpH8G7wQyQn3eI4BlC+skWf2xtjuY/YqOyZZxUHvWl2spWG&#10;OU/D+fI7Zz3/Gy1+AQ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DP+cg3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7BCC6AA2" w14:textId="77777777" w:rsidR="00611B8D" w:rsidRPr="00611B8D" w:rsidRDefault="00611B8D" w:rsidP="00611B8D">
                    <w:pPr>
                      <w:pStyle w:val="Footer"/>
                      <w:tabs>
                        <w:tab w:val="right" w:pos="9638"/>
                      </w:tabs>
                      <w:rPr>
                        <w:b/>
                        <w:sz w:val="18"/>
                      </w:rPr>
                    </w:pPr>
                    <w:r>
                      <w:tab/>
                    </w:r>
                    <w:r w:rsidRPr="00611B8D">
                      <w:rPr>
                        <w:b/>
                        <w:sz w:val="18"/>
                      </w:rPr>
                      <w:fldChar w:fldCharType="begin"/>
                    </w:r>
                    <w:r w:rsidRPr="00611B8D">
                      <w:rPr>
                        <w:b/>
                        <w:sz w:val="18"/>
                      </w:rPr>
                      <w:instrText xml:space="preserve"> PAGE  \* MERGEFORMAT </w:instrText>
                    </w:r>
                    <w:r w:rsidRPr="00611B8D">
                      <w:rPr>
                        <w:b/>
                        <w:sz w:val="18"/>
                      </w:rPr>
                      <w:fldChar w:fldCharType="separate"/>
                    </w:r>
                    <w:r>
                      <w:rPr>
                        <w:b/>
                        <w:sz w:val="18"/>
                      </w:rPr>
                      <w:t>33</w:t>
                    </w:r>
                    <w:r w:rsidRPr="00611B8D">
                      <w:rPr>
                        <w:b/>
                        <w:sz w:val="18"/>
                      </w:rPr>
                      <w:fldChar w:fldCharType="end"/>
                    </w:r>
                  </w:p>
                  <w:p w14:paraId="6DD5828B" w14:textId="77777777" w:rsidR="00611B8D" w:rsidRDefault="00611B8D"/>
                </w:txbxContent>
              </v:textbox>
              <w10:wrap anchorx="margin" anchory="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1B3F" w14:textId="03A9CBB5" w:rsidR="00CB20BB" w:rsidRPr="008B66E4" w:rsidRDefault="008B66E4" w:rsidP="008B66E4">
    <w:pPr>
      <w:pStyle w:val="Footer"/>
    </w:pPr>
    <w:r>
      <w:rPr>
        <w:noProof/>
      </w:rPr>
      <mc:AlternateContent>
        <mc:Choice Requires="wps">
          <w:drawing>
            <wp:anchor distT="0" distB="0" distL="114300" distR="114300" simplePos="0" relativeHeight="251658248" behindDoc="0" locked="0" layoutInCell="1" allowOverlap="1" wp14:anchorId="23F89FA5" wp14:editId="63D1B81D">
              <wp:simplePos x="0" y="0"/>
              <wp:positionH relativeFrom="margin">
                <wp:posOffset>-431800</wp:posOffset>
              </wp:positionH>
              <wp:positionV relativeFrom="margin">
                <wp:posOffset>0</wp:posOffset>
              </wp:positionV>
              <wp:extent cx="222885" cy="6120130"/>
              <wp:effectExtent l="0" t="0" r="571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2369AB0" w14:textId="77777777" w:rsidR="008B66E4" w:rsidRPr="008B66E4" w:rsidRDefault="008B66E4" w:rsidP="008B66E4">
                          <w:pPr>
                            <w:pStyle w:val="Footer"/>
                            <w:tabs>
                              <w:tab w:val="right" w:pos="9638"/>
                            </w:tabs>
                          </w:pPr>
                          <w:r w:rsidRPr="008B66E4">
                            <w:rPr>
                              <w:b/>
                              <w:sz w:val="18"/>
                            </w:rPr>
                            <w:fldChar w:fldCharType="begin"/>
                          </w:r>
                          <w:r w:rsidRPr="008B66E4">
                            <w:rPr>
                              <w:b/>
                              <w:sz w:val="18"/>
                            </w:rPr>
                            <w:instrText xml:space="preserve"> PAGE  \* MERGEFORMAT </w:instrText>
                          </w:r>
                          <w:r w:rsidRPr="008B66E4">
                            <w:rPr>
                              <w:b/>
                              <w:sz w:val="18"/>
                            </w:rPr>
                            <w:fldChar w:fldCharType="separate"/>
                          </w:r>
                          <w:r>
                            <w:rPr>
                              <w:b/>
                              <w:sz w:val="18"/>
                            </w:rPr>
                            <w:t>34</w:t>
                          </w:r>
                          <w:r w:rsidRPr="008B66E4">
                            <w:rPr>
                              <w:b/>
                              <w:sz w:val="18"/>
                            </w:rPr>
                            <w:fldChar w:fldCharType="end"/>
                          </w:r>
                          <w:r>
                            <w:rPr>
                              <w:sz w:val="18"/>
                            </w:rPr>
                            <w:tab/>
                          </w:r>
                        </w:p>
                        <w:p w14:paraId="5543430C" w14:textId="77777777" w:rsidR="008B66E4" w:rsidRDefault="008B66E4"/>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3F89FA5" id="_x0000_t202" coordsize="21600,21600" o:spt="202" path="m,l,21600r21600,l21600,xe">
              <v:stroke joinstyle="miter"/>
              <v:path gradientshapeok="t" o:connecttype="rect"/>
            </v:shapetype>
            <v:shape id="Text Box 15" o:spid="_x0000_s1042" type="#_x0000_t202" style="position:absolute;margin-left:-34pt;margin-top:0;width:17.55pt;height:481.9pt;z-index:25165824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F9ZgIAANU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U8P8tweWuD7ZEeJODg1ejFjaaG1xDTHQQyJ0lNA5e+0qIMUlc4Rpx1GH7+aT/nNzyv&#10;RIPMTqx/7CAQKfPFkZvyZExBmILNFLidvUJSak6j7EUJ6UJIZgpVQPtIc7jKVegInKBOGk7VhvAq&#10;DSNHcyzkalWSyP8e0trdezH5Lj/MQ/8IwY9+SOSkW5zGAOpXthhyB2OsdgmVLp55VnHUm2anWGmc&#10;8zycL79L1vO/0fIXAA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DNtoF9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12369AB0" w14:textId="77777777" w:rsidR="008B66E4" w:rsidRPr="008B66E4" w:rsidRDefault="008B66E4" w:rsidP="008B66E4">
                    <w:pPr>
                      <w:pStyle w:val="Footer"/>
                      <w:tabs>
                        <w:tab w:val="right" w:pos="9638"/>
                      </w:tabs>
                    </w:pPr>
                    <w:r w:rsidRPr="008B66E4">
                      <w:rPr>
                        <w:b/>
                        <w:sz w:val="18"/>
                      </w:rPr>
                      <w:fldChar w:fldCharType="begin"/>
                    </w:r>
                    <w:r w:rsidRPr="008B66E4">
                      <w:rPr>
                        <w:b/>
                        <w:sz w:val="18"/>
                      </w:rPr>
                      <w:instrText xml:space="preserve"> PAGE  \* MERGEFORMAT </w:instrText>
                    </w:r>
                    <w:r w:rsidRPr="008B66E4">
                      <w:rPr>
                        <w:b/>
                        <w:sz w:val="18"/>
                      </w:rPr>
                      <w:fldChar w:fldCharType="separate"/>
                    </w:r>
                    <w:r>
                      <w:rPr>
                        <w:b/>
                        <w:sz w:val="18"/>
                      </w:rPr>
                      <w:t>34</w:t>
                    </w:r>
                    <w:r w:rsidRPr="008B66E4">
                      <w:rPr>
                        <w:b/>
                        <w:sz w:val="18"/>
                      </w:rPr>
                      <w:fldChar w:fldCharType="end"/>
                    </w:r>
                    <w:r>
                      <w:rPr>
                        <w:sz w:val="18"/>
                      </w:rPr>
                      <w:tab/>
                    </w:r>
                  </w:p>
                  <w:p w14:paraId="5543430C" w14:textId="77777777" w:rsidR="008B66E4" w:rsidRDefault="008B66E4"/>
                </w:txbxContent>
              </v:textbox>
              <w10:wrap anchorx="margin" anchory="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7E38" w14:textId="5E6B5502" w:rsidR="00AD5ED7" w:rsidRDefault="004762BC">
    <w:pPr>
      <w:pStyle w:val="Footer"/>
    </w:pPr>
    <w:r>
      <w:rPr>
        <w:noProof/>
      </w:rPr>
      <mc:AlternateContent>
        <mc:Choice Requires="wps">
          <w:drawing>
            <wp:anchor distT="0" distB="0" distL="114300" distR="114300" simplePos="0" relativeHeight="251658247" behindDoc="0" locked="0" layoutInCell="1" allowOverlap="1" wp14:anchorId="56A91AF9" wp14:editId="6714D9CC">
              <wp:simplePos x="0" y="0"/>
              <wp:positionH relativeFrom="margin">
                <wp:posOffset>-431800</wp:posOffset>
              </wp:positionH>
              <wp:positionV relativeFrom="margin">
                <wp:posOffset>0</wp:posOffset>
              </wp:positionV>
              <wp:extent cx="222885" cy="6120130"/>
              <wp:effectExtent l="0" t="0" r="5715" b="13970"/>
              <wp:wrapNone/>
              <wp:docPr id="17892871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8D3BD26" w14:textId="77777777" w:rsidR="004762BC" w:rsidRPr="004762BC" w:rsidRDefault="004762BC" w:rsidP="004762BC">
                          <w:pPr>
                            <w:pStyle w:val="Footer"/>
                            <w:tabs>
                              <w:tab w:val="right" w:pos="9638"/>
                            </w:tabs>
                            <w:rPr>
                              <w:b/>
                              <w:sz w:val="18"/>
                            </w:rPr>
                          </w:pPr>
                          <w:r>
                            <w:tab/>
                          </w:r>
                          <w:r w:rsidRPr="004762BC">
                            <w:rPr>
                              <w:b/>
                              <w:sz w:val="18"/>
                            </w:rPr>
                            <w:fldChar w:fldCharType="begin"/>
                          </w:r>
                          <w:r w:rsidRPr="004762BC">
                            <w:rPr>
                              <w:b/>
                              <w:sz w:val="18"/>
                            </w:rPr>
                            <w:instrText xml:space="preserve"> PAGE  \* MERGEFORMAT </w:instrText>
                          </w:r>
                          <w:r w:rsidRPr="004762BC">
                            <w:rPr>
                              <w:b/>
                              <w:sz w:val="18"/>
                            </w:rPr>
                            <w:fldChar w:fldCharType="separate"/>
                          </w:r>
                          <w:r>
                            <w:rPr>
                              <w:b/>
                              <w:sz w:val="18"/>
                            </w:rPr>
                            <w:t>35</w:t>
                          </w:r>
                          <w:r w:rsidRPr="004762BC">
                            <w:rPr>
                              <w:b/>
                              <w:sz w:val="18"/>
                            </w:rPr>
                            <w:fldChar w:fldCharType="end"/>
                          </w:r>
                        </w:p>
                        <w:p w14:paraId="368DAC67" w14:textId="77777777" w:rsidR="004762BC" w:rsidRDefault="004762BC"/>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6A91AF9" id="_x0000_t202" coordsize="21600,21600" o:spt="202" path="m,l,21600r21600,l21600,xe">
              <v:stroke joinstyle="miter"/>
              <v:path gradientshapeok="t" o:connecttype="rect"/>
            </v:shapetype>
            <v:shape id="Text Box 17" o:spid="_x0000_s1043" type="#_x0000_t202" style="position:absolute;margin-left:-34pt;margin-top:0;width:17.55pt;height:481.9pt;z-index:251658247;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VYZgIAANUEAAAOAAAAZHJzL2Uyb0RvYy54bWysVMFuEzEQvSPxD5bvdJOglrLKpgoNRUhR&#10;WylFPU+83qyF7TG2k2z4esbe3bYqHBDi4sza4zfznt9kftUZzQ7SB4W24tOzCWfSCqyV3VX828PN&#10;u0vOQgRbg0YrK36SgV8t3r6ZH10pZ9iirqVnBGJDeXQVb2N0ZVEE0UoD4QydtHTYoDcQ6dPvitrD&#10;kdCNLmaTyUVxRF87j0KGQLur/pAvMn7TSBHvmibIyHTFqbeYV5/XbVqLxRzKnQfXKjG0Af/QhQFl&#10;qegT1AoisL1Xv0EZJTwGbOKZQFNg0yghMwdiM528YrNpwcnMhcQJ7kmm8P9gxe1h4+49i90n7OgB&#10;M4ng1ii+B9KmOLpQDjlJ01AGyk5Eu8ab9EsUGF0kbU9PesouMkGbs9ns8vKcM0FHF1Mi+D4LXjzf&#10;dj7ELxINS0HFPb1X7gAO6xBTfSjHlFTM4o3SOr+ZtuxY8Y/ns4QP5JxGQ6TQuLriwe44A70jS4ro&#10;M+KLqwlxBaFlByBXBNSq7n3gcW/rjN5KqD/bmsWTI9Nasi5P5YysOdOSYFOUMyMo/TeZxETbQdBe&#10;w6Rm7LYdU9Tx9EOCS1tbrE/0IB57rwYnbhQ1vIYQ78GTOUlqGrh4R0ujkbrCIeKsRf/zT/spv+Jp&#10;JRpkdmL9Yw+eSOmvltyUJmMM/Bhsx8DuzTWSUlMaZSdySBd81GPYeDSPNIfLVIWOwArqpOJUrQ+v&#10;Yz9yNMdCLpc5ifzvIK7txonRd+lhHrpH8G7wQyQn3eI4BlC+skWf2xtjuY/YqOyZZxUHvWl2spWG&#10;OU/D+fI7Zz3/Gy1+AQAA//8DAFBLAwQUAAYACAAAACEAmWHA/t8AAAAIAQAADwAAAGRycy9kb3du&#10;cmV2LnhtbEyPwWrDMBBE74X+g9hAb44cB4zjeh1CS1pooVC3H6BYG1vEkowkJ/bfVz21l4Fllpk3&#10;1X7WA7uS88oahM06BUamtVKZDuH765gUwHwQRorBGkJYyMO+vr+rRCntzXzStQkdiyHGlwKhD2Es&#10;OfdtT1r4tR3JRO9snRYhnq7j0olbDNcDz9I051ooExt6MdJTT+2lmTSCej66zetB2Y9muTTZi82n&#10;9+UN8WE1Hx6BBZrD3zP84kd0qCPTyU5GejYgJHkRtwSEqNFOttkO2Alhl28L4HXF/w+ofwAAAP//&#10;AwBQSwECLQAUAAYACAAAACEAtoM4kv4AAADhAQAAEwAAAAAAAAAAAAAAAAAAAAAAW0NvbnRlbnRf&#10;VHlwZXNdLnhtbFBLAQItABQABgAIAAAAIQA4/SH/1gAAAJQBAAALAAAAAAAAAAAAAAAAAC8BAABf&#10;cmVscy8ucmVsc1BLAQItABQABgAIAAAAIQBMEaVYZgIAANUEAAAOAAAAAAAAAAAAAAAAAC4CAABk&#10;cnMvZTJvRG9jLnhtbFBLAQItABQABgAIAAAAIQCZYcD+3wAAAAgBAAAPAAAAAAAAAAAAAAAAAMAE&#10;AABkcnMvZG93bnJldi54bWxQSwUGAAAAAAQABADzAAAAzAUAAAAA&#10;" filled="f" stroked="f">
              <v:stroke joinstyle="round"/>
              <v:path arrowok="t"/>
              <v:textbox style="layout-flow:vertical" inset="0,0,0,0">
                <w:txbxContent>
                  <w:p w14:paraId="78D3BD26" w14:textId="77777777" w:rsidR="004762BC" w:rsidRPr="004762BC" w:rsidRDefault="004762BC" w:rsidP="004762BC">
                    <w:pPr>
                      <w:pStyle w:val="Footer"/>
                      <w:tabs>
                        <w:tab w:val="right" w:pos="9638"/>
                      </w:tabs>
                      <w:rPr>
                        <w:b/>
                        <w:sz w:val="18"/>
                      </w:rPr>
                    </w:pPr>
                    <w:r>
                      <w:tab/>
                    </w:r>
                    <w:r w:rsidRPr="004762BC">
                      <w:rPr>
                        <w:b/>
                        <w:sz w:val="18"/>
                      </w:rPr>
                      <w:fldChar w:fldCharType="begin"/>
                    </w:r>
                    <w:r w:rsidRPr="004762BC">
                      <w:rPr>
                        <w:b/>
                        <w:sz w:val="18"/>
                      </w:rPr>
                      <w:instrText xml:space="preserve"> PAGE  \* MERGEFORMAT </w:instrText>
                    </w:r>
                    <w:r w:rsidRPr="004762BC">
                      <w:rPr>
                        <w:b/>
                        <w:sz w:val="18"/>
                      </w:rPr>
                      <w:fldChar w:fldCharType="separate"/>
                    </w:r>
                    <w:r>
                      <w:rPr>
                        <w:b/>
                        <w:sz w:val="18"/>
                      </w:rPr>
                      <w:t>35</w:t>
                    </w:r>
                    <w:r w:rsidRPr="004762BC">
                      <w:rPr>
                        <w:b/>
                        <w:sz w:val="18"/>
                      </w:rPr>
                      <w:fldChar w:fldCharType="end"/>
                    </w:r>
                  </w:p>
                  <w:p w14:paraId="368DAC67" w14:textId="77777777" w:rsidR="004762BC" w:rsidRDefault="004762BC"/>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BBB8" w14:textId="20607309" w:rsidR="003F6A01" w:rsidRPr="00C86F14" w:rsidRDefault="00C86F14" w:rsidP="00C86F14">
    <w:pPr>
      <w:pStyle w:val="Footer"/>
      <w:tabs>
        <w:tab w:val="right" w:pos="9638"/>
      </w:tabs>
      <w:rPr>
        <w:b/>
        <w:sz w:val="18"/>
      </w:rPr>
    </w:pPr>
    <w:r>
      <w:tab/>
    </w: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6</w:t>
    </w:r>
    <w:r w:rsidRPr="00C86F14">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C5D5" w14:textId="43BFCC14" w:rsidR="00C01C43" w:rsidRPr="00FB6660" w:rsidRDefault="00FB6660" w:rsidP="00FB6660">
    <w:pPr>
      <w:pStyle w:val="Footer"/>
      <w:tabs>
        <w:tab w:val="right" w:pos="9638"/>
      </w:tabs>
    </w:pPr>
    <w:r w:rsidRPr="00FB6660">
      <w:rPr>
        <w:b/>
        <w:sz w:val="18"/>
      </w:rPr>
      <w:fldChar w:fldCharType="begin"/>
    </w:r>
    <w:r w:rsidRPr="00FB6660">
      <w:rPr>
        <w:b/>
        <w:sz w:val="18"/>
      </w:rPr>
      <w:instrText xml:space="preserve"> PAGE  \* MERGEFORMAT </w:instrText>
    </w:r>
    <w:r w:rsidRPr="00FB6660">
      <w:rPr>
        <w:b/>
        <w:sz w:val="18"/>
      </w:rPr>
      <w:fldChar w:fldCharType="separate"/>
    </w:r>
    <w:r w:rsidR="003B502F">
      <w:rPr>
        <w:b/>
        <w:noProof/>
        <w:sz w:val="18"/>
      </w:rPr>
      <w:t>36</w:t>
    </w:r>
    <w:r w:rsidRPr="00FB6660">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4C4A" w14:textId="3BC0C717" w:rsidR="00C86F14" w:rsidRPr="005155B6" w:rsidRDefault="005155B6" w:rsidP="005155B6">
    <w:pPr>
      <w:pStyle w:val="Footer"/>
      <w:tabs>
        <w:tab w:val="right" w:pos="9638"/>
      </w:tabs>
      <w:rPr>
        <w:b/>
        <w:sz w:val="18"/>
      </w:rPr>
    </w:pPr>
    <w:r>
      <w:tab/>
    </w:r>
    <w:r w:rsidRPr="005155B6">
      <w:rPr>
        <w:b/>
        <w:sz w:val="18"/>
      </w:rPr>
      <w:fldChar w:fldCharType="begin"/>
    </w:r>
    <w:r w:rsidRPr="005155B6">
      <w:rPr>
        <w:b/>
        <w:sz w:val="18"/>
      </w:rPr>
      <w:instrText xml:space="preserve"> PAGE  \* MERGEFORMAT </w:instrText>
    </w:r>
    <w:r w:rsidRPr="005155B6">
      <w:rPr>
        <w:b/>
        <w:sz w:val="18"/>
      </w:rPr>
      <w:fldChar w:fldCharType="separate"/>
    </w:r>
    <w:r w:rsidR="00D9122F">
      <w:rPr>
        <w:b/>
        <w:noProof/>
        <w:sz w:val="18"/>
      </w:rPr>
      <w:t>33</w:t>
    </w:r>
    <w:r w:rsidRPr="005155B6">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F55A" w14:textId="4A781041" w:rsidR="00C86F14" w:rsidRPr="00FB6660" w:rsidRDefault="00FB6660" w:rsidP="00FB6660">
    <w:pPr>
      <w:pStyle w:val="Footer"/>
      <w:tabs>
        <w:tab w:val="right" w:pos="9638"/>
      </w:tabs>
    </w:pPr>
    <w:r w:rsidRPr="00FB6660">
      <w:rPr>
        <w:b/>
        <w:sz w:val="18"/>
      </w:rPr>
      <w:fldChar w:fldCharType="begin"/>
    </w:r>
    <w:r w:rsidRPr="00FB6660">
      <w:rPr>
        <w:b/>
        <w:sz w:val="18"/>
      </w:rPr>
      <w:instrText xml:space="preserve"> PAGE  \* MERGEFORMAT </w:instrText>
    </w:r>
    <w:r w:rsidRPr="00FB6660">
      <w:rPr>
        <w:b/>
        <w:sz w:val="18"/>
      </w:rPr>
      <w:fldChar w:fldCharType="separate"/>
    </w:r>
    <w:r w:rsidR="003B502F">
      <w:rPr>
        <w:b/>
        <w:noProof/>
        <w:sz w:val="18"/>
      </w:rPr>
      <w:t>38</w:t>
    </w:r>
    <w:r w:rsidRPr="00FB6660">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3763" w14:textId="3004FD59" w:rsidR="00C86F14" w:rsidRPr="00FB6660" w:rsidRDefault="00FB6660" w:rsidP="00FB6660">
    <w:pPr>
      <w:pStyle w:val="Footer"/>
      <w:tabs>
        <w:tab w:val="right" w:pos="9638"/>
      </w:tabs>
      <w:rPr>
        <w:b/>
        <w:sz w:val="18"/>
      </w:rPr>
    </w:pPr>
    <w:r>
      <w:tab/>
    </w:r>
    <w:r w:rsidRPr="00FB6660">
      <w:rPr>
        <w:b/>
        <w:sz w:val="18"/>
      </w:rPr>
      <w:fldChar w:fldCharType="begin"/>
    </w:r>
    <w:r w:rsidRPr="00FB6660">
      <w:rPr>
        <w:b/>
        <w:sz w:val="18"/>
      </w:rPr>
      <w:instrText xml:space="preserve"> PAGE  \* MERGEFORMAT </w:instrText>
    </w:r>
    <w:r w:rsidRPr="00FB6660">
      <w:rPr>
        <w:b/>
        <w:sz w:val="18"/>
      </w:rPr>
      <w:fldChar w:fldCharType="separate"/>
    </w:r>
    <w:r w:rsidR="003B502F">
      <w:rPr>
        <w:b/>
        <w:noProof/>
        <w:sz w:val="18"/>
      </w:rPr>
      <w:t>37</w:t>
    </w:r>
    <w:r w:rsidRPr="00FB6660">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52E3" w14:textId="7FF0AE70" w:rsidR="00C86F14"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46</w:t>
    </w:r>
    <w:r w:rsidRPr="00C86F14">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5743" w14:textId="542091F6" w:rsidR="00C86F14" w:rsidRPr="00C86F14" w:rsidRDefault="00C86F14" w:rsidP="00C86F14">
    <w:pPr>
      <w:pStyle w:val="Footer"/>
      <w:tabs>
        <w:tab w:val="right" w:pos="9638"/>
      </w:tabs>
      <w:rPr>
        <w:b/>
        <w:sz w:val="18"/>
      </w:rPr>
    </w:pPr>
    <w:r>
      <w:tab/>
    </w: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45</w:t>
    </w:r>
    <w:r w:rsidRPr="00C86F1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053D" w14:textId="399FBA51" w:rsidR="00C86F14"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9</w:t>
    </w:r>
    <w:r w:rsidRPr="00C86F1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3EA0" w14:textId="6380C9D0" w:rsidR="00C86F14" w:rsidRPr="00C86F14" w:rsidRDefault="00C86F14" w:rsidP="00C86F14">
    <w:pPr>
      <w:pStyle w:val="Footer"/>
      <w:tabs>
        <w:tab w:val="right" w:pos="9638"/>
      </w:tabs>
      <w:rPr>
        <w:b/>
        <w:sz w:val="18"/>
      </w:rPr>
    </w:pPr>
    <w:r>
      <w:tab/>
    </w:r>
    <w:r w:rsidRPr="00C86F14">
      <w:rPr>
        <w:b/>
        <w:sz w:val="18"/>
      </w:rPr>
      <w:fldChar w:fldCharType="begin"/>
    </w:r>
    <w:r w:rsidRPr="00C86F14">
      <w:rPr>
        <w:b/>
        <w:sz w:val="18"/>
      </w:rPr>
      <w:instrText xml:space="preserve"> PAGE  \* MERGEFORMAT </w:instrText>
    </w:r>
    <w:r w:rsidRPr="00C86F14">
      <w:rPr>
        <w:b/>
        <w:sz w:val="18"/>
      </w:rPr>
      <w:fldChar w:fldCharType="separate"/>
    </w:r>
    <w:r w:rsidRPr="00C86F14">
      <w:rPr>
        <w:b/>
        <w:noProof/>
        <w:sz w:val="18"/>
      </w:rPr>
      <w:t>10</w:t>
    </w:r>
    <w:r w:rsidRPr="00C86F1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3531" w14:textId="1513D93B" w:rsidR="00C86F14"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15</w:t>
    </w:r>
    <w:r w:rsidRPr="00C86F14">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B62A" w14:textId="31F4C4D3" w:rsidR="00C86F14" w:rsidRPr="00C86F14" w:rsidRDefault="00C86F14" w:rsidP="00C86F14">
    <w:pPr>
      <w:pStyle w:val="Footer"/>
      <w:tabs>
        <w:tab w:val="right" w:pos="9638"/>
      </w:tabs>
      <w:rPr>
        <w:b/>
        <w:sz w:val="18"/>
      </w:rPr>
    </w:pPr>
    <w:r>
      <w:tab/>
    </w:r>
    <w:r w:rsidRPr="00C86F14">
      <w:rPr>
        <w:b/>
        <w:sz w:val="18"/>
      </w:rPr>
      <w:fldChar w:fldCharType="begin"/>
    </w:r>
    <w:r w:rsidRPr="00C86F14">
      <w:rPr>
        <w:b/>
        <w:sz w:val="18"/>
      </w:rPr>
      <w:instrText xml:space="preserve"> PAGE  \* MERGEFORMAT </w:instrText>
    </w:r>
    <w:r w:rsidRPr="00C86F14">
      <w:rPr>
        <w:b/>
        <w:sz w:val="18"/>
      </w:rPr>
      <w:fldChar w:fldCharType="separate"/>
    </w:r>
    <w:r w:rsidRPr="00C86F14">
      <w:rPr>
        <w:b/>
        <w:noProof/>
        <w:sz w:val="18"/>
      </w:rPr>
      <w:t>16</w:t>
    </w:r>
    <w:r w:rsidRPr="00C86F14">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0479" w14:textId="737F8AC2" w:rsidR="003B4E09" w:rsidRPr="00C86F14" w:rsidRDefault="00C86F14" w:rsidP="00C86F14">
    <w:pPr>
      <w:pStyle w:val="Footer"/>
      <w:tabs>
        <w:tab w:val="right" w:pos="9638"/>
      </w:tabs>
    </w:pPr>
    <w:r w:rsidRPr="00C86F14">
      <w:rPr>
        <w:b/>
        <w:sz w:val="18"/>
      </w:rPr>
      <w:fldChar w:fldCharType="begin"/>
    </w:r>
    <w:r w:rsidRPr="00C86F14">
      <w:rPr>
        <w:b/>
        <w:sz w:val="18"/>
      </w:rPr>
      <w:instrText xml:space="preserve"> PAGE  \* MERGEFORMAT </w:instrText>
    </w:r>
    <w:r w:rsidRPr="00C86F14">
      <w:rPr>
        <w:b/>
        <w:sz w:val="18"/>
      </w:rPr>
      <w:fldChar w:fldCharType="separate"/>
    </w:r>
    <w:r w:rsidRPr="00C86F14">
      <w:rPr>
        <w:b/>
        <w:noProof/>
        <w:sz w:val="18"/>
      </w:rPr>
      <w:t>27</w:t>
    </w:r>
    <w:r w:rsidRPr="00C86F14">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EED2" w14:textId="087FE0B9" w:rsidR="003B4E09" w:rsidRPr="00C86F14" w:rsidRDefault="00C86F14" w:rsidP="00C86F14">
    <w:pPr>
      <w:pStyle w:val="Footer"/>
      <w:tabs>
        <w:tab w:val="right" w:pos="9638"/>
      </w:tabs>
      <w:rPr>
        <w:b/>
        <w:sz w:val="18"/>
      </w:rPr>
    </w:pPr>
    <w:r>
      <w:tab/>
    </w:r>
    <w:r w:rsidRPr="00C86F14">
      <w:rPr>
        <w:b/>
        <w:sz w:val="18"/>
      </w:rPr>
      <w:fldChar w:fldCharType="begin"/>
    </w:r>
    <w:r w:rsidRPr="00C86F14">
      <w:rPr>
        <w:b/>
        <w:sz w:val="18"/>
      </w:rPr>
      <w:instrText xml:space="preserve"> PAGE  \* MERGEFORMAT </w:instrText>
    </w:r>
    <w:r w:rsidRPr="00C86F14">
      <w:rPr>
        <w:b/>
        <w:sz w:val="18"/>
      </w:rPr>
      <w:fldChar w:fldCharType="separate"/>
    </w:r>
    <w:r w:rsidR="002C2667" w:rsidRPr="002C2667">
      <w:rPr>
        <w:b/>
        <w:noProof/>
        <w:sz w:val="18"/>
      </w:rPr>
      <w:t>26</w:t>
    </w:r>
    <w:r w:rsidRPr="00C86F14">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E6D4" w14:textId="77777777" w:rsidR="003B4E09" w:rsidRDefault="003B4E09" w:rsidP="00D2464E">
    <w:pPr>
      <w:pStyle w:val="Footer"/>
      <w:tabs>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A141" w14:textId="77777777" w:rsidR="00A628CE" w:rsidRDefault="00A628CE">
      <w:r>
        <w:separator/>
      </w:r>
    </w:p>
  </w:footnote>
  <w:footnote w:type="continuationSeparator" w:id="0">
    <w:p w14:paraId="6C12B3E0" w14:textId="77777777" w:rsidR="00A628CE" w:rsidRDefault="00A628CE">
      <w:r>
        <w:continuationSeparator/>
      </w:r>
    </w:p>
    <w:p w14:paraId="248B7DAE" w14:textId="77777777" w:rsidR="00A628CE" w:rsidRDefault="00A628CE"/>
  </w:footnote>
  <w:footnote w:type="continuationNotice" w:id="1">
    <w:p w14:paraId="2CC21E55" w14:textId="77777777" w:rsidR="00A628CE" w:rsidRDefault="00A628CE">
      <w:pPr>
        <w:spacing w:line="240" w:lineRule="auto"/>
      </w:pPr>
    </w:p>
  </w:footnote>
  <w:footnote w:id="2">
    <w:p w14:paraId="3AC66796" w14:textId="392430CB" w:rsidR="00776AD2" w:rsidRPr="00DC3436" w:rsidRDefault="00776AD2" w:rsidP="00776AD2">
      <w:pPr>
        <w:pStyle w:val="FootnoteText"/>
        <w:widowControl w:val="0"/>
        <w:tabs>
          <w:tab w:val="clear" w:pos="1021"/>
          <w:tab w:val="right" w:pos="1020"/>
        </w:tabs>
      </w:pPr>
      <w:r w:rsidRPr="00DC3436">
        <w:tab/>
      </w:r>
      <w:r w:rsidRPr="00DC3436">
        <w:rPr>
          <w:rStyle w:val="FootnoteReference"/>
        </w:rPr>
        <w:footnoteRef/>
      </w:r>
      <w:r w:rsidRPr="00DC3436">
        <w:tab/>
        <w:t xml:space="preserve">See document </w:t>
      </w:r>
      <w:hyperlink r:id="rId1" w:history="1">
        <w:r w:rsidRPr="00DC3436">
          <w:rPr>
            <w:rStyle w:val="Hyperlink"/>
          </w:rPr>
          <w:t>FCCC/CP/2024/6/Add.2−FCCC/PA/CMA/2024/8/Add.2</w:t>
        </w:r>
      </w:hyperlink>
      <w:r w:rsidRPr="00DC3436">
        <w:t xml:space="preserve"> and paras. 9–10 of decision </w:t>
      </w:r>
      <w:hyperlink r:id="rId2" w:history="1">
        <w:r w:rsidR="00012AEF" w:rsidRPr="00DC3436">
          <w:rPr>
            <w:rStyle w:val="Hyperlink"/>
          </w:rPr>
          <w:t>2/CP.29</w:t>
        </w:r>
      </w:hyperlink>
      <w:r w:rsidRPr="00DC3436">
        <w:t>.</w:t>
      </w:r>
    </w:p>
  </w:footnote>
  <w:footnote w:id="3">
    <w:p w14:paraId="6880CAB8" w14:textId="77777777" w:rsidR="00776AD2" w:rsidRPr="00DC3436" w:rsidRDefault="00776AD2" w:rsidP="00776AD2">
      <w:pPr>
        <w:pStyle w:val="FootnoteText"/>
        <w:widowControl w:val="0"/>
        <w:tabs>
          <w:tab w:val="clear" w:pos="1021"/>
          <w:tab w:val="right" w:pos="1020"/>
        </w:tabs>
      </w:pPr>
      <w:r w:rsidRPr="00DC3436">
        <w:tab/>
      </w:r>
      <w:r w:rsidRPr="00DC3436">
        <w:rPr>
          <w:rStyle w:val="FootnoteReference"/>
        </w:rPr>
        <w:footnoteRef/>
      </w:r>
      <w:r w:rsidRPr="00DC3436">
        <w:tab/>
        <w:t xml:space="preserve">See United Nations Environment Programme. 2023. </w:t>
      </w:r>
      <w:r w:rsidRPr="00DC3436">
        <w:rPr>
          <w:i/>
          <w:iCs/>
        </w:rPr>
        <w:t>Adaptation Gap Report 2023: Underfinanced. Underprepared</w:t>
      </w:r>
      <w:r w:rsidRPr="00DC3436">
        <w:t xml:space="preserve">. Nairobi: United Nations Environment Programme. Available at </w:t>
      </w:r>
      <w:hyperlink r:id="rId3" w:history="1">
        <w:r w:rsidRPr="00DC3436">
          <w:rPr>
            <w:rStyle w:val="Hyperlink"/>
          </w:rPr>
          <w:t>http://www.unep.org/resources/adaptation-gap-report-2023</w:t>
        </w:r>
      </w:hyperlink>
      <w:r w:rsidRPr="00DC3436">
        <w:t>.</w:t>
      </w:r>
    </w:p>
  </w:footnote>
  <w:footnote w:id="4">
    <w:p w14:paraId="2FEDDDE5" w14:textId="77777777" w:rsidR="00776AD2" w:rsidRPr="00DC3436" w:rsidRDefault="00776AD2" w:rsidP="00776AD2">
      <w:pPr>
        <w:pStyle w:val="FootnoteText"/>
        <w:widowControl w:val="0"/>
      </w:pPr>
      <w:r w:rsidRPr="00DC3436">
        <w:tab/>
      </w:r>
      <w:r w:rsidRPr="00DC3436">
        <w:rPr>
          <w:rStyle w:val="FootnoteReference"/>
        </w:rPr>
        <w:footnoteRef/>
      </w:r>
      <w:r w:rsidRPr="00DC3436">
        <w:tab/>
        <w:t xml:space="preserve">Standing Committee on Finance. 2024. </w:t>
      </w:r>
      <w:r w:rsidRPr="00DC3436">
        <w:rPr>
          <w:i/>
          <w:iCs/>
        </w:rPr>
        <w:t>Sixth Biennial Assessment and Overview of Climate Finance Flows</w:t>
      </w:r>
      <w:r w:rsidRPr="00DC3436">
        <w:t xml:space="preserve">. Bonn: UNFCCC. Available at </w:t>
      </w:r>
      <w:hyperlink r:id="rId4" w:history="1">
        <w:r w:rsidRPr="00DC3436">
          <w:rPr>
            <w:rStyle w:val="Hyperlink"/>
          </w:rPr>
          <w:t>https://unfccc.int/topics/climate-finance/resources/biennial-assessment-and-overview-of-climate-finance-flows</w:t>
        </w:r>
      </w:hyperlink>
      <w:r w:rsidRPr="00DC3436">
        <w:t xml:space="preserve">. </w:t>
      </w:r>
    </w:p>
  </w:footnote>
  <w:footnote w:id="5">
    <w:p w14:paraId="536666FE" w14:textId="3FFAEEA3" w:rsidR="00776AD2" w:rsidRPr="00DC3436" w:rsidRDefault="00776AD2" w:rsidP="00776AD2">
      <w:pPr>
        <w:pStyle w:val="FootnoteText"/>
        <w:widowControl w:val="0"/>
      </w:pPr>
      <w:r w:rsidRPr="00DC3436">
        <w:tab/>
      </w:r>
      <w:r w:rsidRPr="00DC3436">
        <w:rPr>
          <w:rStyle w:val="FootnoteReference"/>
        </w:rPr>
        <w:footnoteRef/>
      </w:r>
      <w:r w:rsidRPr="00DC3436">
        <w:tab/>
        <w:t xml:space="preserve">Decision </w:t>
      </w:r>
      <w:hyperlink r:id="rId5" w:history="1">
        <w:r w:rsidRPr="00DC3436">
          <w:rPr>
            <w:rStyle w:val="Hyperlink"/>
          </w:rPr>
          <w:t>1/CMA.5</w:t>
        </w:r>
      </w:hyperlink>
      <w:r w:rsidRPr="00DC3436">
        <w:t>, para. 95.</w:t>
      </w:r>
    </w:p>
  </w:footnote>
  <w:footnote w:id="6">
    <w:p w14:paraId="1A89FF15" w14:textId="77777777" w:rsidR="00776AD2" w:rsidRPr="00DC3436" w:rsidRDefault="00776AD2" w:rsidP="00776AD2">
      <w:pPr>
        <w:pStyle w:val="FootnoteText"/>
        <w:widowControl w:val="0"/>
        <w:tabs>
          <w:tab w:val="clear" w:pos="1021"/>
          <w:tab w:val="right" w:pos="1020"/>
        </w:tabs>
      </w:pPr>
      <w:r w:rsidRPr="00DC3436">
        <w:tab/>
      </w:r>
      <w:r w:rsidRPr="00DC3436">
        <w:rPr>
          <w:rStyle w:val="FootnoteReference"/>
        </w:rPr>
        <w:footnoteRef/>
      </w:r>
      <w:r w:rsidRPr="00DC3436">
        <w:tab/>
        <w:t>This does not prejudice any decision under any governing body of any multilateral development bank, noting that each bank operates within its own mandate and governance structure and the intention reflected in this paragraph relates to the Paris Agreement.</w:t>
      </w:r>
    </w:p>
  </w:footnote>
  <w:footnote w:id="7">
    <w:p w14:paraId="3B0B962E" w14:textId="59484C8E" w:rsidR="00776AD2" w:rsidRPr="00DC3436" w:rsidRDefault="00776AD2" w:rsidP="00776AD2">
      <w:pPr>
        <w:pStyle w:val="FootnoteText"/>
        <w:widowControl w:val="0"/>
      </w:pPr>
      <w:r w:rsidRPr="00DC3436">
        <w:tab/>
      </w:r>
      <w:r w:rsidRPr="00DC3436">
        <w:rPr>
          <w:rStyle w:val="FootnoteReference"/>
        </w:rPr>
        <w:footnoteRef/>
      </w:r>
      <w:r w:rsidRPr="00DC3436">
        <w:tab/>
        <w:t xml:space="preserve">Decision </w:t>
      </w:r>
      <w:hyperlink r:id="rId6" w:history="1">
        <w:r w:rsidRPr="00DC3436">
          <w:rPr>
            <w:rStyle w:val="Hyperlink"/>
          </w:rPr>
          <w:t>18/CMA.1</w:t>
        </w:r>
      </w:hyperlink>
      <w:r w:rsidRPr="00DC3436">
        <w:t>, annex.</w:t>
      </w:r>
    </w:p>
  </w:footnote>
  <w:footnote w:id="8">
    <w:p w14:paraId="7873883A" w14:textId="681800D5" w:rsidR="000A3AB4" w:rsidRPr="00DC3436" w:rsidRDefault="000A3AB4" w:rsidP="000A3AB4">
      <w:pPr>
        <w:pStyle w:val="FootnoteText"/>
        <w:widowControl w:val="0"/>
      </w:pPr>
      <w:r w:rsidRPr="00DC3436">
        <w:tab/>
      </w:r>
      <w:r w:rsidRPr="00DC3436">
        <w:rPr>
          <w:rStyle w:val="FootnoteReference"/>
        </w:rPr>
        <w:footnoteRef/>
      </w:r>
      <w:r w:rsidRPr="00DC3436">
        <w:tab/>
      </w:r>
      <w:hyperlink r:id="rId7" w:history="1">
        <w:r w:rsidRPr="00DC3436">
          <w:rPr>
            <w:rStyle w:val="Hyperlink"/>
            <w:rFonts w:asciiTheme="majorBidi" w:hAnsiTheme="majorBidi" w:cstheme="majorBidi"/>
            <w:szCs w:val="18"/>
            <w:shd w:val="clear" w:color="auto" w:fill="FFFFFF"/>
          </w:rPr>
          <w:t>FCCC/SB/2023/8</w:t>
        </w:r>
      </w:hyperlink>
      <w:r w:rsidRPr="00DC3436">
        <w:rPr>
          <w:rFonts w:asciiTheme="majorBidi" w:hAnsiTheme="majorBidi" w:cstheme="majorBidi"/>
          <w:color w:val="1A1A1C"/>
          <w:szCs w:val="18"/>
          <w:shd w:val="clear" w:color="auto" w:fill="FFFFFF"/>
        </w:rPr>
        <w:t xml:space="preserve"> and </w:t>
      </w:r>
      <w:hyperlink r:id="rId8" w:history="1">
        <w:r w:rsidRPr="00DC3436">
          <w:rPr>
            <w:rStyle w:val="Hyperlink"/>
            <w:rFonts w:asciiTheme="majorBidi" w:hAnsiTheme="majorBidi" w:cstheme="majorBidi"/>
            <w:szCs w:val="18"/>
            <w:shd w:val="clear" w:color="auto" w:fill="FFFFFF"/>
          </w:rPr>
          <w:t>FCCC/SB/2024/5</w:t>
        </w:r>
      </w:hyperlink>
      <w:r w:rsidRPr="00DC3436">
        <w:rPr>
          <w:rFonts w:asciiTheme="majorBidi" w:hAnsiTheme="majorBidi" w:cstheme="majorBidi"/>
          <w:color w:val="1A1A1C"/>
          <w:szCs w:val="18"/>
          <w:shd w:val="clear" w:color="auto" w:fill="FFFFFF"/>
        </w:rPr>
        <w:t>.</w:t>
      </w:r>
    </w:p>
  </w:footnote>
  <w:footnote w:id="9">
    <w:p w14:paraId="033E01E6" w14:textId="572618B5" w:rsidR="000A3AB4" w:rsidRPr="00DC3436" w:rsidRDefault="000A3AB4" w:rsidP="000A3AB4">
      <w:pPr>
        <w:pStyle w:val="FootnoteText"/>
        <w:widowControl w:val="0"/>
      </w:pPr>
      <w:r w:rsidRPr="00DC3436">
        <w:tab/>
      </w:r>
      <w:r w:rsidRPr="00DC3436">
        <w:rPr>
          <w:rStyle w:val="FootnoteReference"/>
        </w:rPr>
        <w:footnoteRef/>
      </w:r>
      <w:r w:rsidRPr="00DC3436">
        <w:tab/>
        <w:t xml:space="preserve">Pursuant to decisions </w:t>
      </w:r>
      <w:hyperlink r:id="rId9" w:history="1">
        <w:r w:rsidRPr="00DC3436">
          <w:rPr>
            <w:rStyle w:val="Hyperlink"/>
          </w:rPr>
          <w:t>4/CMA.4</w:t>
        </w:r>
      </w:hyperlink>
      <w:r w:rsidRPr="00DC3436">
        <w:t xml:space="preserve">, para. 13, and </w:t>
      </w:r>
      <w:hyperlink r:id="rId10" w:history="1">
        <w:r w:rsidR="00EA1CC9" w:rsidRPr="00DC3436">
          <w:rPr>
            <w:rStyle w:val="Hyperlink"/>
          </w:rPr>
          <w:t>4/CMA.5</w:t>
        </w:r>
      </w:hyperlink>
      <w:r w:rsidRPr="00DC3436">
        <w:t xml:space="preserve">, para. 8. </w:t>
      </w:r>
    </w:p>
  </w:footnote>
  <w:footnote w:id="10">
    <w:p w14:paraId="7CDB8C86" w14:textId="28D68A9E" w:rsidR="000A3AB4" w:rsidRPr="00DC3436" w:rsidRDefault="000A3AB4" w:rsidP="000A3AB4">
      <w:pPr>
        <w:pStyle w:val="FootnoteText"/>
        <w:widowControl w:val="0"/>
        <w:tabs>
          <w:tab w:val="clear" w:pos="1021"/>
          <w:tab w:val="right" w:pos="1020"/>
        </w:tabs>
      </w:pPr>
      <w:r w:rsidRPr="00DC3436">
        <w:tab/>
      </w:r>
      <w:r w:rsidRPr="00DC3436">
        <w:rPr>
          <w:rStyle w:val="FootnoteReference"/>
        </w:rPr>
        <w:footnoteRef/>
      </w:r>
      <w:r w:rsidRPr="00DC3436">
        <w:tab/>
      </w:r>
      <w:hyperlink r:id="rId11" w:history="1">
        <w:r w:rsidR="003628AA" w:rsidRPr="00DC3436">
          <w:rPr>
            <w:rStyle w:val="Hyperlink"/>
            <w:rFonts w:asciiTheme="majorBidi" w:hAnsiTheme="majorBidi" w:cstheme="majorBidi"/>
            <w:szCs w:val="18"/>
            <w:shd w:val="clear" w:color="auto" w:fill="FFFFFF"/>
          </w:rPr>
          <w:t>FCCC/SB/2024/5</w:t>
        </w:r>
      </w:hyperlink>
      <w:r w:rsidRPr="00DC3436">
        <w:rPr>
          <w:rFonts w:asciiTheme="majorBidi" w:hAnsiTheme="majorBidi" w:cstheme="majorBidi"/>
          <w:color w:val="1A1A1C"/>
          <w:szCs w:val="18"/>
          <w:shd w:val="clear" w:color="auto" w:fill="FFFFFF"/>
        </w:rPr>
        <w:t>.</w:t>
      </w:r>
      <w:r w:rsidRPr="00DC3436">
        <w:t xml:space="preserve"> </w:t>
      </w:r>
    </w:p>
  </w:footnote>
  <w:footnote w:id="11">
    <w:p w14:paraId="0DAAE4D3" w14:textId="77777777" w:rsidR="000A3AB4" w:rsidRPr="00DC3436" w:rsidRDefault="000A3AB4" w:rsidP="000A3AB4">
      <w:pPr>
        <w:pStyle w:val="FootnoteText"/>
        <w:widowControl w:val="0"/>
      </w:pPr>
      <w:r w:rsidRPr="00DC3436">
        <w:tab/>
      </w:r>
      <w:r w:rsidRPr="00DC3436">
        <w:rPr>
          <w:rStyle w:val="FootnoteReference"/>
        </w:rPr>
        <w:footnoteRef/>
      </w:r>
      <w:r w:rsidRPr="00DC3436">
        <w:rPr>
          <w:rFonts w:asciiTheme="majorBidi" w:hAnsiTheme="majorBidi" w:cstheme="majorBidi"/>
          <w:szCs w:val="18"/>
        </w:rPr>
        <w:tab/>
      </w:r>
      <w:hyperlink r:id="rId12" w:history="1">
        <w:r w:rsidRPr="00DC3436">
          <w:rPr>
            <w:rStyle w:val="Hyperlink"/>
            <w:rFonts w:asciiTheme="majorBidi" w:hAnsiTheme="majorBidi" w:cstheme="majorBidi"/>
            <w:szCs w:val="18"/>
          </w:rPr>
          <w:t>https://www4.unfccc.int/sites/submissionsstaging/Pages/Home.aspx</w:t>
        </w:r>
      </w:hyperlink>
      <w:r w:rsidRPr="00DC3436">
        <w:rPr>
          <w:rFonts w:asciiTheme="majorBidi" w:eastAsiaTheme="minorEastAsia" w:hAnsiTheme="majorBidi" w:cstheme="majorBidi"/>
          <w:szCs w:val="18"/>
          <w:lang w:eastAsia="en-US"/>
        </w:rPr>
        <w:t>.</w:t>
      </w:r>
    </w:p>
  </w:footnote>
  <w:footnote w:id="12">
    <w:p w14:paraId="0432D848" w14:textId="01385863" w:rsidR="00236568" w:rsidRPr="00DC3436" w:rsidRDefault="00236568" w:rsidP="00236568">
      <w:pPr>
        <w:pStyle w:val="FootnoteText"/>
        <w:widowControl w:val="0"/>
        <w:tabs>
          <w:tab w:val="clear" w:pos="1021"/>
          <w:tab w:val="right" w:pos="1020"/>
        </w:tabs>
        <w:rPr>
          <w:szCs w:val="18"/>
        </w:rPr>
      </w:pPr>
      <w:r w:rsidRPr="00DC3436">
        <w:tab/>
      </w:r>
      <w:r w:rsidRPr="00DC3436">
        <w:rPr>
          <w:rStyle w:val="FootnoteReference"/>
          <w:szCs w:val="18"/>
        </w:rPr>
        <w:footnoteRef/>
      </w:r>
      <w:r w:rsidRPr="00DC3436">
        <w:rPr>
          <w:szCs w:val="18"/>
        </w:rPr>
        <w:tab/>
        <w:t xml:space="preserve">As per documents </w:t>
      </w:r>
      <w:hyperlink r:id="rId13" w:history="1">
        <w:r w:rsidR="000C5D52" w:rsidRPr="00DC3436">
          <w:rPr>
            <w:rStyle w:val="Hyperlink"/>
            <w:szCs w:val="18"/>
          </w:rPr>
          <w:t>FCCC/SBSTA/2024/7</w:t>
        </w:r>
      </w:hyperlink>
      <w:r w:rsidRPr="00DC3436">
        <w:rPr>
          <w:szCs w:val="18"/>
        </w:rPr>
        <w:t xml:space="preserve">, para. 43, and </w:t>
      </w:r>
      <w:hyperlink r:id="rId14" w:history="1">
        <w:r w:rsidRPr="00DC3436">
          <w:rPr>
            <w:rStyle w:val="Hyperlink"/>
            <w:szCs w:val="18"/>
          </w:rPr>
          <w:t>FCCC/SBI/2024/13</w:t>
        </w:r>
      </w:hyperlink>
      <w:r w:rsidRPr="00DC3436">
        <w:rPr>
          <w:szCs w:val="18"/>
        </w:rPr>
        <w:t>, para. 81.</w:t>
      </w:r>
    </w:p>
  </w:footnote>
  <w:footnote w:id="13">
    <w:p w14:paraId="2D9FED2B" w14:textId="61D89405" w:rsidR="00236568" w:rsidRPr="00DC3436" w:rsidRDefault="00236568" w:rsidP="00236568">
      <w:pPr>
        <w:pStyle w:val="FootnoteText"/>
        <w:widowControl w:val="0"/>
        <w:tabs>
          <w:tab w:val="clear" w:pos="1021"/>
          <w:tab w:val="right" w:pos="1020"/>
        </w:tabs>
      </w:pPr>
      <w:r w:rsidRPr="00DC3436">
        <w:rPr>
          <w:szCs w:val="18"/>
        </w:rPr>
        <w:tab/>
      </w:r>
      <w:r w:rsidRPr="00DC3436">
        <w:rPr>
          <w:rStyle w:val="FootnoteReference"/>
          <w:szCs w:val="18"/>
        </w:rPr>
        <w:footnoteRef/>
      </w:r>
      <w:r w:rsidRPr="00DC3436">
        <w:rPr>
          <w:szCs w:val="18"/>
        </w:rPr>
        <w:tab/>
        <w:t xml:space="preserve">As per documents </w:t>
      </w:r>
      <w:hyperlink r:id="rId15" w:history="1">
        <w:r w:rsidRPr="00DC3436">
          <w:rPr>
            <w:rStyle w:val="Hyperlink"/>
            <w:szCs w:val="18"/>
          </w:rPr>
          <w:t>FCCC/SBSTA/2024/7</w:t>
        </w:r>
      </w:hyperlink>
      <w:r w:rsidRPr="00DC3436">
        <w:rPr>
          <w:szCs w:val="18"/>
        </w:rPr>
        <w:t xml:space="preserve">, para. 42, and </w:t>
      </w:r>
      <w:hyperlink r:id="rId16" w:history="1">
        <w:r w:rsidRPr="00DC3436">
          <w:rPr>
            <w:rStyle w:val="Hyperlink"/>
            <w:szCs w:val="18"/>
          </w:rPr>
          <w:t>FCCC/SBI/2024/13</w:t>
        </w:r>
      </w:hyperlink>
      <w:r w:rsidRPr="00DC3436">
        <w:rPr>
          <w:szCs w:val="18"/>
        </w:rPr>
        <w:t xml:space="preserve">, para. </w:t>
      </w:r>
      <w:r w:rsidRPr="00DC3436">
        <w:t>80.</w:t>
      </w:r>
    </w:p>
  </w:footnote>
  <w:footnote w:id="14">
    <w:p w14:paraId="6B5A4823" w14:textId="5BFA52CD" w:rsidR="00236568" w:rsidRPr="00DC3436" w:rsidRDefault="00236568" w:rsidP="00236568">
      <w:pPr>
        <w:pStyle w:val="FootnoteText"/>
        <w:widowControl w:val="0"/>
        <w:tabs>
          <w:tab w:val="clear" w:pos="1021"/>
          <w:tab w:val="right" w:pos="1020"/>
        </w:tabs>
      </w:pPr>
      <w:r w:rsidRPr="00DC3436">
        <w:rPr>
          <w:szCs w:val="18"/>
        </w:rPr>
        <w:tab/>
      </w:r>
      <w:r w:rsidRPr="00DC3436">
        <w:rPr>
          <w:rStyle w:val="FootnoteReference"/>
          <w:szCs w:val="18"/>
        </w:rPr>
        <w:footnoteRef/>
      </w:r>
      <w:r w:rsidRPr="00DC3436">
        <w:rPr>
          <w:szCs w:val="18"/>
        </w:rPr>
        <w:tab/>
        <w:t xml:space="preserve">Decision </w:t>
      </w:r>
      <w:hyperlink r:id="rId17" w:history="1">
        <w:r w:rsidRPr="00DC3436">
          <w:rPr>
            <w:rStyle w:val="Hyperlink"/>
            <w:szCs w:val="18"/>
          </w:rPr>
          <w:t>2/CMA.5</w:t>
        </w:r>
      </w:hyperlink>
      <w:r w:rsidRPr="00DC3436">
        <w:rPr>
          <w:szCs w:val="18"/>
        </w:rPr>
        <w:t>, para. 43</w:t>
      </w:r>
      <w:r w:rsidRPr="00DC3436">
        <w:t>.</w:t>
      </w:r>
    </w:p>
  </w:footnote>
  <w:footnote w:id="15">
    <w:p w14:paraId="018E456E" w14:textId="4111C223" w:rsidR="00236568" w:rsidRPr="00DC3436" w:rsidRDefault="00236568" w:rsidP="00236568">
      <w:pPr>
        <w:pStyle w:val="FootnoteText"/>
        <w:widowControl w:val="0"/>
        <w:rPr>
          <w:szCs w:val="18"/>
        </w:rPr>
      </w:pPr>
      <w:r w:rsidRPr="00DC3436">
        <w:rPr>
          <w:szCs w:val="18"/>
        </w:rPr>
        <w:tab/>
      </w:r>
      <w:r w:rsidRPr="00DC3436">
        <w:rPr>
          <w:rStyle w:val="FootnoteReference"/>
          <w:szCs w:val="18"/>
        </w:rPr>
        <w:footnoteRef/>
      </w:r>
      <w:r w:rsidRPr="00DC3436">
        <w:rPr>
          <w:szCs w:val="18"/>
        </w:rPr>
        <w:tab/>
        <w:t xml:space="preserve">As per documents </w:t>
      </w:r>
      <w:hyperlink r:id="rId18" w:history="1">
        <w:r w:rsidRPr="00DC3436">
          <w:rPr>
            <w:rStyle w:val="Hyperlink"/>
            <w:szCs w:val="18"/>
          </w:rPr>
          <w:t>FCCC/SBSTA/2024/7</w:t>
        </w:r>
      </w:hyperlink>
      <w:r w:rsidRPr="00DC3436">
        <w:rPr>
          <w:szCs w:val="18"/>
        </w:rPr>
        <w:t xml:space="preserve">, para. 51, and </w:t>
      </w:r>
      <w:hyperlink r:id="rId19" w:history="1">
        <w:r w:rsidRPr="00DC3436">
          <w:rPr>
            <w:rStyle w:val="Hyperlink"/>
            <w:szCs w:val="18"/>
          </w:rPr>
          <w:t>FCCC/SBI/2024/13</w:t>
        </w:r>
      </w:hyperlink>
      <w:r w:rsidRPr="00DC3436">
        <w:rPr>
          <w:szCs w:val="18"/>
        </w:rPr>
        <w:t>, para. 89.</w:t>
      </w:r>
    </w:p>
  </w:footnote>
  <w:footnote w:id="16">
    <w:p w14:paraId="4A0A30DA" w14:textId="07352B92"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r>
      <w:hyperlink r:id="rId20" w:history="1">
        <w:r w:rsidRPr="00DC3436">
          <w:rPr>
            <w:rStyle w:val="Hyperlink"/>
          </w:rPr>
          <w:t>FCCC/SB/2024/6</w:t>
        </w:r>
      </w:hyperlink>
      <w:r w:rsidRPr="00DC3436">
        <w:t>.</w:t>
      </w:r>
    </w:p>
  </w:footnote>
  <w:footnote w:id="17">
    <w:p w14:paraId="0400F544" w14:textId="3FD56EE5"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r>
      <w:hyperlink r:id="rId21" w:history="1">
        <w:r w:rsidRPr="00DC3436">
          <w:rPr>
            <w:rStyle w:val="Hyperlink"/>
          </w:rPr>
          <w:t>FCCC/SBSTA/2024/7</w:t>
        </w:r>
      </w:hyperlink>
      <w:r w:rsidRPr="00DC3436">
        <w:t xml:space="preserve">, para. 43, and </w:t>
      </w:r>
      <w:hyperlink r:id="rId22" w:history="1">
        <w:r w:rsidRPr="00DC3436">
          <w:rPr>
            <w:rStyle w:val="Hyperlink"/>
          </w:rPr>
          <w:t>FCCC/SBI/2024/13</w:t>
        </w:r>
      </w:hyperlink>
      <w:r w:rsidRPr="00DC3436">
        <w:t>, para. 81.</w:t>
      </w:r>
    </w:p>
  </w:footnote>
  <w:footnote w:id="18">
    <w:p w14:paraId="33CDD705" w14:textId="6E86BB0D"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Referred to in paras. 9 and 10 respectively of</w:t>
      </w:r>
      <w:r w:rsidRPr="00DC3436" w:rsidDel="00A311E3">
        <w:t xml:space="preserve"> </w:t>
      </w:r>
      <w:r w:rsidRPr="00DC3436">
        <w:t xml:space="preserve">decision </w:t>
      </w:r>
      <w:hyperlink r:id="rId23" w:history="1">
        <w:r w:rsidRPr="00DC3436">
          <w:rPr>
            <w:rStyle w:val="Hyperlink"/>
          </w:rPr>
          <w:t>2/CMA.5</w:t>
        </w:r>
      </w:hyperlink>
      <w:r w:rsidRPr="00DC3436">
        <w:t>.</w:t>
      </w:r>
    </w:p>
  </w:footnote>
  <w:footnote w:id="19">
    <w:p w14:paraId="7ABE9FD2" w14:textId="7ABA0DB0"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See documents </w:t>
      </w:r>
      <w:hyperlink r:id="rId24" w:history="1">
        <w:r w:rsidR="000C5D52" w:rsidRPr="00DC3436">
          <w:rPr>
            <w:rStyle w:val="Hyperlink"/>
          </w:rPr>
          <w:t>FCCC/SBSTA/2024/7</w:t>
        </w:r>
      </w:hyperlink>
      <w:r w:rsidRPr="00DC3436">
        <w:t xml:space="preserve">, para. 41, and </w:t>
      </w:r>
      <w:hyperlink r:id="rId25" w:history="1">
        <w:r w:rsidRPr="00DC3436">
          <w:rPr>
            <w:rStyle w:val="Hyperlink"/>
          </w:rPr>
          <w:t>FCCC/SBI/2024/13</w:t>
        </w:r>
      </w:hyperlink>
      <w:r w:rsidRPr="00DC3436">
        <w:t xml:space="preserve">, para. 79. </w:t>
      </w:r>
    </w:p>
  </w:footnote>
  <w:footnote w:id="20">
    <w:p w14:paraId="7E0646A7" w14:textId="3F2946A0"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See decision </w:t>
      </w:r>
      <w:hyperlink r:id="rId26" w:history="1">
        <w:r w:rsidRPr="00DC3436">
          <w:rPr>
            <w:rStyle w:val="Hyperlink"/>
          </w:rPr>
          <w:t>2/CMA.5</w:t>
        </w:r>
      </w:hyperlink>
      <w:r w:rsidRPr="00DC3436">
        <w:t xml:space="preserve">, para. 9(d). </w:t>
      </w:r>
    </w:p>
  </w:footnote>
  <w:footnote w:id="21">
    <w:p w14:paraId="51D16F2D" w14:textId="50AD2431" w:rsidR="00236568" w:rsidRPr="00DC3436" w:rsidRDefault="00236568" w:rsidP="00236568">
      <w:pPr>
        <w:pStyle w:val="FootnoteText"/>
        <w:widowControl w:val="0"/>
      </w:pPr>
      <w:r w:rsidRPr="00DC3436">
        <w:tab/>
      </w:r>
      <w:r w:rsidRPr="00DC3436">
        <w:rPr>
          <w:rStyle w:val="FootnoteReference"/>
        </w:rPr>
        <w:footnoteRef/>
      </w:r>
      <w:r w:rsidRPr="00DC3436">
        <w:tab/>
        <w:t xml:space="preserve">See decision </w:t>
      </w:r>
      <w:hyperlink r:id="rId27" w:history="1">
        <w:r w:rsidRPr="00DC3436">
          <w:rPr>
            <w:rStyle w:val="Hyperlink"/>
          </w:rPr>
          <w:t>19/CMA.1</w:t>
        </w:r>
      </w:hyperlink>
      <w:r w:rsidRPr="00DC3436">
        <w:t xml:space="preserve">, para. 37. </w:t>
      </w:r>
    </w:p>
  </w:footnote>
  <w:footnote w:id="22">
    <w:p w14:paraId="6AA2EA96" w14:textId="66AA0182" w:rsidR="00236568" w:rsidRPr="00DC3436" w:rsidRDefault="00236568" w:rsidP="00236568">
      <w:pPr>
        <w:pStyle w:val="FootnoteText"/>
        <w:widowControl w:val="0"/>
      </w:pPr>
      <w:r w:rsidRPr="00DC3436">
        <w:tab/>
      </w:r>
      <w:r w:rsidRPr="00DC3436">
        <w:rPr>
          <w:rStyle w:val="FootnoteReference"/>
        </w:rPr>
        <w:footnoteRef/>
      </w:r>
      <w:r w:rsidRPr="00DC3436">
        <w:tab/>
        <w:t xml:space="preserve">Decision </w:t>
      </w:r>
      <w:hyperlink r:id="rId28" w:history="1">
        <w:r w:rsidRPr="00DC3436">
          <w:rPr>
            <w:rStyle w:val="Hyperlink"/>
          </w:rPr>
          <w:t>2/CMA.5</w:t>
        </w:r>
      </w:hyperlink>
      <w:r w:rsidRPr="00DC3436">
        <w:t xml:space="preserve">, para. 11. </w:t>
      </w:r>
    </w:p>
  </w:footnote>
  <w:footnote w:id="23">
    <w:p w14:paraId="070E6326" w14:textId="3F94DE86" w:rsidR="00236568" w:rsidRPr="00DC3436" w:rsidRDefault="00236568" w:rsidP="00236568">
      <w:pPr>
        <w:pStyle w:val="FootnoteText"/>
        <w:widowControl w:val="0"/>
      </w:pPr>
      <w:r w:rsidRPr="00DC3436">
        <w:tab/>
      </w:r>
      <w:r w:rsidRPr="00DC3436">
        <w:rPr>
          <w:rStyle w:val="FootnoteReference"/>
        </w:rPr>
        <w:footnoteRef/>
      </w:r>
      <w:r w:rsidRPr="00DC3436">
        <w:tab/>
        <w:t xml:space="preserve">See documents </w:t>
      </w:r>
      <w:hyperlink r:id="rId29" w:history="1">
        <w:r w:rsidRPr="00DC3436">
          <w:rPr>
            <w:rStyle w:val="Hyperlink"/>
          </w:rPr>
          <w:t>FCCC/SBSTA/2024/7</w:t>
        </w:r>
      </w:hyperlink>
      <w:r w:rsidRPr="00DC3436">
        <w:t xml:space="preserve">, para. 47, and </w:t>
      </w:r>
      <w:hyperlink r:id="rId30" w:history="1">
        <w:r w:rsidRPr="00DC3436">
          <w:rPr>
            <w:rStyle w:val="Hyperlink"/>
          </w:rPr>
          <w:t>FCCC/SBI/2024/13</w:t>
        </w:r>
      </w:hyperlink>
      <w:r w:rsidRPr="00DC3436">
        <w:t>, para. 85.</w:t>
      </w:r>
    </w:p>
  </w:footnote>
  <w:footnote w:id="24">
    <w:p w14:paraId="4DFE566F" w14:textId="7E30CD77"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See documents </w:t>
      </w:r>
      <w:hyperlink r:id="rId31" w:history="1">
        <w:r w:rsidRPr="00DC3436">
          <w:rPr>
            <w:rStyle w:val="Hyperlink"/>
          </w:rPr>
          <w:t>FCCC/SBSTA/2024/7</w:t>
        </w:r>
      </w:hyperlink>
      <w:r w:rsidRPr="00DC3436">
        <w:t xml:space="preserve">, para. 54, and </w:t>
      </w:r>
      <w:hyperlink r:id="rId32" w:history="1">
        <w:r w:rsidRPr="00DC3436">
          <w:rPr>
            <w:rStyle w:val="Hyperlink"/>
          </w:rPr>
          <w:t>FCCC/SBI/2024/13</w:t>
        </w:r>
      </w:hyperlink>
      <w:r w:rsidRPr="00DC3436">
        <w:t>, para. 92.</w:t>
      </w:r>
    </w:p>
  </w:footnote>
  <w:footnote w:id="25">
    <w:p w14:paraId="3146D1EB" w14:textId="03D13E65"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As per documents </w:t>
      </w:r>
      <w:hyperlink r:id="rId33" w:history="1">
        <w:r w:rsidRPr="00DC3436">
          <w:rPr>
            <w:rStyle w:val="Hyperlink"/>
          </w:rPr>
          <w:t>FCCC/SBSTA/2024/7</w:t>
        </w:r>
      </w:hyperlink>
      <w:r w:rsidRPr="00DC3436">
        <w:t xml:space="preserve">, para. 31, and </w:t>
      </w:r>
      <w:hyperlink r:id="rId34" w:history="1">
        <w:r w:rsidRPr="00DC3436">
          <w:rPr>
            <w:rStyle w:val="Hyperlink"/>
          </w:rPr>
          <w:t>FCCC/SBI/2024/13</w:t>
        </w:r>
      </w:hyperlink>
      <w:r w:rsidRPr="00DC3436">
        <w:t xml:space="preserve">, para. 69. </w:t>
      </w:r>
    </w:p>
  </w:footnote>
  <w:footnote w:id="26">
    <w:p w14:paraId="04EFE5F0" w14:textId="77777777"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r>
      <w:hyperlink r:id="rId35" w:history="1">
        <w:r w:rsidRPr="00DC3436">
          <w:rPr>
            <w:rStyle w:val="Hyperlink"/>
            <w:szCs w:val="18"/>
          </w:rPr>
          <w:t>https://www4.unfccc.int/sites/submissionsstaging/Pages/Home.aspx</w:t>
        </w:r>
      </w:hyperlink>
      <w:r w:rsidRPr="00DC3436">
        <w:rPr>
          <w:rStyle w:val="Hyperlink"/>
          <w:color w:val="auto"/>
          <w:szCs w:val="18"/>
          <w:u w:val="none"/>
        </w:rPr>
        <w:t>.</w:t>
      </w:r>
      <w:r w:rsidRPr="00DC3436">
        <w:rPr>
          <w:sz w:val="16"/>
          <w:szCs w:val="18"/>
        </w:rPr>
        <w:t xml:space="preserve"> </w:t>
      </w:r>
    </w:p>
  </w:footnote>
  <w:footnote w:id="27">
    <w:p w14:paraId="0254D932" w14:textId="5C9539B1"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See decision </w:t>
      </w:r>
      <w:hyperlink r:id="rId36" w:history="1">
        <w:r w:rsidRPr="00DC3436">
          <w:rPr>
            <w:rStyle w:val="Hyperlink"/>
          </w:rPr>
          <w:t>19/CMA.1</w:t>
        </w:r>
      </w:hyperlink>
      <w:r w:rsidRPr="00DC3436">
        <w:t>, para. 37.</w:t>
      </w:r>
    </w:p>
  </w:footnote>
  <w:footnote w:id="28">
    <w:p w14:paraId="0C1CFEB3" w14:textId="77777777"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Intergovernmental Panel on Climate Change decision IPCC-LX-9. </w:t>
      </w:r>
    </w:p>
  </w:footnote>
  <w:footnote w:id="29">
    <w:p w14:paraId="4F63E0F6" w14:textId="2827E4E3" w:rsidR="00236568" w:rsidRPr="00DC3436" w:rsidRDefault="00236568" w:rsidP="00236568">
      <w:pPr>
        <w:pStyle w:val="FootnoteText"/>
        <w:widowControl w:val="0"/>
        <w:tabs>
          <w:tab w:val="clear" w:pos="1021"/>
          <w:tab w:val="right" w:pos="1020"/>
        </w:tabs>
      </w:pPr>
      <w:r w:rsidRPr="00DC3436">
        <w:tab/>
      </w:r>
      <w:r w:rsidRPr="00DC3436">
        <w:rPr>
          <w:rStyle w:val="FootnoteReference"/>
        </w:rPr>
        <w:footnoteRef/>
      </w:r>
      <w:r w:rsidRPr="00DC3436">
        <w:tab/>
        <w:t xml:space="preserve">As per decision </w:t>
      </w:r>
      <w:hyperlink r:id="rId37" w:history="1">
        <w:r w:rsidRPr="00DC3436">
          <w:rPr>
            <w:rStyle w:val="Hyperlink"/>
          </w:rPr>
          <w:t>3/CMA.4</w:t>
        </w:r>
      </w:hyperlink>
      <w:r w:rsidRPr="00DC3436">
        <w:t>, para. 11.</w:t>
      </w:r>
    </w:p>
  </w:footnote>
  <w:footnote w:id="30">
    <w:p w14:paraId="45BA1639" w14:textId="4C0235FF" w:rsidR="00236568" w:rsidRPr="00DC3436" w:rsidRDefault="00236568" w:rsidP="00236568">
      <w:pPr>
        <w:pStyle w:val="FootnoteText"/>
        <w:widowControl w:val="0"/>
      </w:pPr>
      <w:r w:rsidRPr="00DC3436">
        <w:tab/>
      </w:r>
      <w:r w:rsidRPr="00DC3436">
        <w:rPr>
          <w:rStyle w:val="FootnoteReference"/>
        </w:rPr>
        <w:footnoteRef/>
      </w:r>
      <w:r w:rsidRPr="00DC3436">
        <w:tab/>
      </w:r>
      <w:hyperlink r:id="rId38" w:history="1">
        <w:r w:rsidRPr="00DC3436">
          <w:rPr>
            <w:rStyle w:val="Hyperlink"/>
          </w:rPr>
          <w:t>FCCC/TP/2024/8</w:t>
        </w:r>
      </w:hyperlink>
      <w:r w:rsidRPr="00DC3436">
        <w:t xml:space="preserve">. </w:t>
      </w:r>
    </w:p>
  </w:footnote>
  <w:footnote w:id="31">
    <w:p w14:paraId="61933ED4" w14:textId="12438ACD" w:rsidR="00FC281D" w:rsidRPr="00DC3436" w:rsidRDefault="00FC281D" w:rsidP="00FC281D">
      <w:pPr>
        <w:pStyle w:val="FootnoteText"/>
      </w:pPr>
      <w:r w:rsidRPr="00DC3436">
        <w:tab/>
      </w:r>
      <w:r w:rsidRPr="00DC3436">
        <w:rPr>
          <w:rStyle w:val="FootnoteReference"/>
        </w:rPr>
        <w:footnoteRef/>
      </w:r>
      <w:r w:rsidRPr="00DC3436">
        <w:t xml:space="preserve"> </w:t>
      </w:r>
      <w:r w:rsidRPr="00DC3436">
        <w:tab/>
      </w:r>
      <w:hyperlink r:id="rId39" w:history="1">
        <w:r w:rsidRPr="00DC3436">
          <w:rPr>
            <w:rStyle w:val="Hyperlink"/>
          </w:rPr>
          <w:t>FCCC/PA/CMA/2024/14</w:t>
        </w:r>
      </w:hyperlink>
      <w:r w:rsidRPr="00DC3436">
        <w:t>.</w:t>
      </w:r>
    </w:p>
  </w:footnote>
  <w:footnote w:id="32">
    <w:p w14:paraId="68DE41ED" w14:textId="1C99A482" w:rsidR="00FC281D" w:rsidRPr="00DC3436" w:rsidRDefault="00FC281D" w:rsidP="00FC281D">
      <w:pPr>
        <w:pStyle w:val="FootnoteText"/>
        <w:rPr>
          <w:rFonts w:eastAsia="MS Mincho"/>
          <w:lang w:eastAsia="ja-JP"/>
        </w:rPr>
      </w:pPr>
      <w:r w:rsidRPr="00DC3436">
        <w:tab/>
      </w:r>
      <w:r w:rsidRPr="00DC3436">
        <w:rPr>
          <w:rStyle w:val="FootnoteReference"/>
        </w:rPr>
        <w:footnoteRef/>
      </w:r>
      <w:r w:rsidRPr="00DC3436">
        <w:tab/>
        <w:t xml:space="preserve">See decision </w:t>
      </w:r>
      <w:hyperlink r:id="rId40" w:history="1">
        <w:r w:rsidRPr="00DC3436">
          <w:rPr>
            <w:rStyle w:val="Hyperlink"/>
          </w:rPr>
          <w:t>6/CMA.4</w:t>
        </w:r>
      </w:hyperlink>
      <w:r w:rsidRPr="00DC3436">
        <w:t>, annex II, paras. 2(a) and 3.</w:t>
      </w:r>
    </w:p>
  </w:footnote>
  <w:footnote w:id="33">
    <w:p w14:paraId="3194050E" w14:textId="403BAFB3" w:rsidR="00FC281D" w:rsidRPr="00DC3436" w:rsidRDefault="00FC281D" w:rsidP="00FC281D">
      <w:pPr>
        <w:pStyle w:val="FootnoteText"/>
        <w:rPr>
          <w:rFonts w:eastAsia="MS Mincho"/>
          <w:lang w:eastAsia="ja-JP"/>
        </w:rPr>
      </w:pPr>
      <w:r w:rsidRPr="00DC3436">
        <w:tab/>
      </w:r>
      <w:r w:rsidRPr="00DC3436">
        <w:rPr>
          <w:rStyle w:val="FootnoteReference"/>
        </w:rPr>
        <w:footnoteRef/>
      </w:r>
      <w:r w:rsidRPr="00DC3436">
        <w:tab/>
        <w:t xml:space="preserve">See decision </w:t>
      </w:r>
      <w:hyperlink r:id="rId41" w:history="1">
        <w:r w:rsidRPr="00DC3436">
          <w:rPr>
            <w:rStyle w:val="Hyperlink"/>
          </w:rPr>
          <w:t>6/CMA.4</w:t>
        </w:r>
      </w:hyperlink>
      <w:r w:rsidRPr="00DC3436">
        <w:t>, annex II, paras. 2(b) and 3.</w:t>
      </w:r>
    </w:p>
  </w:footnote>
  <w:footnote w:id="34">
    <w:p w14:paraId="1692A967" w14:textId="7B4E07AE" w:rsidR="00FC281D" w:rsidRPr="00DC3436" w:rsidRDefault="00FC281D" w:rsidP="00FC281D">
      <w:pPr>
        <w:pStyle w:val="FootnoteText"/>
        <w:widowControl w:val="0"/>
      </w:pPr>
      <w:r w:rsidRPr="00DC3436">
        <w:tab/>
      </w:r>
      <w:r w:rsidRPr="00DC3436">
        <w:rPr>
          <w:rStyle w:val="FootnoteReference"/>
        </w:rPr>
        <w:footnoteRef/>
      </w:r>
      <w:r w:rsidRPr="00DC3436">
        <w:tab/>
      </w:r>
      <w:r w:rsidRPr="00DC3436">
        <w:tab/>
        <w:t xml:space="preserve">Annex 4 (Information in relation to the Party’s participation in cooperative approaches, as applicable) to the biennial transparency reports, referred to in annex IV to decision </w:t>
      </w:r>
      <w:hyperlink r:id="rId42" w:history="1">
        <w:r w:rsidRPr="00DC3436">
          <w:rPr>
            <w:rStyle w:val="Hyperlink"/>
          </w:rPr>
          <w:t>5/CMA.3</w:t>
        </w:r>
      </w:hyperlink>
      <w:r w:rsidRPr="00DC3436">
        <w:t>.</w:t>
      </w:r>
    </w:p>
  </w:footnote>
  <w:footnote w:id="35">
    <w:p w14:paraId="13799A8E" w14:textId="5E85B2C1" w:rsidR="00FC281D" w:rsidRPr="00DC3436" w:rsidRDefault="00FC281D" w:rsidP="00FC281D">
      <w:pPr>
        <w:pStyle w:val="FootnoteText"/>
        <w:rPr>
          <w:rFonts w:eastAsia="MS Mincho"/>
          <w:lang w:eastAsia="ja-JP"/>
        </w:rPr>
      </w:pPr>
      <w:r w:rsidRPr="00DC3436">
        <w:tab/>
      </w:r>
      <w:r w:rsidRPr="00DC3436">
        <w:rPr>
          <w:rStyle w:val="FootnoteReference"/>
        </w:rPr>
        <w:footnoteRef/>
      </w:r>
      <w:r w:rsidRPr="00DC3436">
        <w:tab/>
        <w:t xml:space="preserve">See decision </w:t>
      </w:r>
      <w:hyperlink r:id="rId43" w:history="1">
        <w:r w:rsidRPr="00DC3436">
          <w:rPr>
            <w:rStyle w:val="Hyperlink"/>
          </w:rPr>
          <w:t>6/CMA.4</w:t>
        </w:r>
      </w:hyperlink>
      <w:r w:rsidRPr="00DC3436">
        <w:t>, annex II, paras. 2(c) and 3.</w:t>
      </w:r>
    </w:p>
  </w:footnote>
  <w:footnote w:id="36">
    <w:p w14:paraId="3B2AEDA9" w14:textId="32CE506F" w:rsidR="00FC281D" w:rsidRPr="00DC3436" w:rsidRDefault="00FC281D" w:rsidP="00FC281D">
      <w:pPr>
        <w:pStyle w:val="FootnoteText"/>
        <w:rPr>
          <w:rFonts w:eastAsia="MS Mincho"/>
          <w:lang w:eastAsia="ja-JP"/>
        </w:rPr>
      </w:pPr>
      <w:r w:rsidRPr="00DC3436">
        <w:tab/>
      </w:r>
      <w:r w:rsidRPr="00DC3436">
        <w:rPr>
          <w:rStyle w:val="FootnoteReference"/>
        </w:rPr>
        <w:footnoteRef/>
      </w:r>
      <w:r w:rsidRPr="00DC3436">
        <w:tab/>
        <w:t xml:space="preserve">See decision </w:t>
      </w:r>
      <w:hyperlink r:id="rId44" w:history="1">
        <w:r w:rsidRPr="00DC3436">
          <w:rPr>
            <w:rStyle w:val="Hyperlink"/>
          </w:rPr>
          <w:t>6/CMA.4</w:t>
        </w:r>
      </w:hyperlink>
      <w:r w:rsidRPr="00DC3436">
        <w:t>, annex II, para. 2(d).</w:t>
      </w:r>
    </w:p>
  </w:footnote>
  <w:footnote w:id="37">
    <w:p w14:paraId="78EC4F72" w14:textId="77777777" w:rsidR="00FC281D" w:rsidRPr="00DC3436" w:rsidRDefault="00FC281D" w:rsidP="00FC281D">
      <w:pPr>
        <w:pStyle w:val="FootnoteText"/>
        <w:widowControl w:val="0"/>
        <w:tabs>
          <w:tab w:val="clear" w:pos="1021"/>
          <w:tab w:val="right" w:pos="1020"/>
        </w:tabs>
      </w:pPr>
      <w:r w:rsidRPr="00DC3436">
        <w:tab/>
      </w:r>
      <w:r w:rsidRPr="00DC3436">
        <w:rPr>
          <w:rStyle w:val="FootnoteReference"/>
        </w:rPr>
        <w:footnoteRef/>
      </w:r>
      <w:r w:rsidRPr="00DC3436">
        <w:tab/>
        <w:t xml:space="preserve">Available at </w:t>
      </w:r>
      <w:hyperlink r:id="rId45" w:history="1">
        <w:r w:rsidRPr="00DC3436">
          <w:rPr>
            <w:rStyle w:val="Hyperlink"/>
          </w:rPr>
          <w:t>https://unfccc.int/documents/634354</w:t>
        </w:r>
      </w:hyperlink>
      <w:r w:rsidRPr="00DC3436">
        <w:t xml:space="preserve">. </w:t>
      </w:r>
    </w:p>
  </w:footnote>
  <w:footnote w:id="38">
    <w:p w14:paraId="1AE8A4BF" w14:textId="77777777" w:rsidR="003C38D5" w:rsidRPr="00DC3436" w:rsidRDefault="003C38D5" w:rsidP="003C38D5">
      <w:pPr>
        <w:pStyle w:val="FootnoteText"/>
      </w:pPr>
      <w:r w:rsidRPr="00DC3436">
        <w:rPr>
          <w:rStyle w:val="FootnoteReference"/>
          <w:vertAlign w:val="baseline"/>
        </w:rPr>
        <w:tab/>
        <w:t>*</w:t>
      </w:r>
      <w:r w:rsidRPr="00DC3436">
        <w:t xml:space="preserve"> </w:t>
      </w:r>
      <w:r w:rsidRPr="00DC3436">
        <w:tab/>
        <w:t>Not formally edited.</w:t>
      </w:r>
    </w:p>
  </w:footnote>
  <w:footnote w:id="39">
    <w:p w14:paraId="25348057" w14:textId="32D20058" w:rsidR="00CB6EBE" w:rsidRPr="00DC3436" w:rsidRDefault="00CB6EBE" w:rsidP="00CB6EBE">
      <w:pPr>
        <w:pStyle w:val="FootnoteText"/>
      </w:pPr>
      <w:r w:rsidRPr="00DC3436">
        <w:tab/>
      </w:r>
      <w:r w:rsidRPr="00DC3436">
        <w:rPr>
          <w:rStyle w:val="FootnoteReference"/>
        </w:rPr>
        <w:footnoteRef/>
      </w:r>
      <w:r w:rsidRPr="00DC3436">
        <w:tab/>
      </w:r>
      <w:hyperlink r:id="rId46" w:history="1">
        <w:r w:rsidRPr="00DC3436">
          <w:rPr>
            <w:rStyle w:val="Hyperlink"/>
          </w:rPr>
          <w:t>FCCC/PA/CMA/2023/16</w:t>
        </w:r>
      </w:hyperlink>
      <w:r w:rsidRPr="00DC3436">
        <w:t>, para. 98.</w:t>
      </w:r>
    </w:p>
  </w:footnote>
  <w:footnote w:id="40">
    <w:p w14:paraId="6A2C5F65" w14:textId="765A6910" w:rsidR="00CB6EBE" w:rsidRPr="00DC3436" w:rsidRDefault="00CB6EBE" w:rsidP="00CB6EBE">
      <w:pPr>
        <w:pStyle w:val="FootnoteText"/>
      </w:pPr>
      <w:r w:rsidRPr="00DC3436">
        <w:tab/>
      </w:r>
      <w:r w:rsidRPr="00DC3436">
        <w:rPr>
          <w:rStyle w:val="FootnoteReference"/>
        </w:rPr>
        <w:footnoteRef/>
      </w:r>
      <w:r w:rsidRPr="00DC3436">
        <w:tab/>
      </w:r>
      <w:hyperlink r:id="rId47" w:history="1">
        <w:r w:rsidRPr="00DC3436">
          <w:rPr>
            <w:rStyle w:val="Hyperlink"/>
          </w:rPr>
          <w:t>FCCC/PA/CMA/2023/15</w:t>
        </w:r>
      </w:hyperlink>
      <w:r w:rsidRPr="00DC3436">
        <w:t xml:space="preserve"> and </w:t>
      </w:r>
      <w:hyperlink r:id="rId48" w:history="1">
        <w:r w:rsidRPr="00DC3436">
          <w:rPr>
            <w:rStyle w:val="Hyperlink"/>
          </w:rPr>
          <w:t>Add.1</w:t>
        </w:r>
      </w:hyperlink>
      <w:r w:rsidRPr="00DC3436">
        <w:t>.</w:t>
      </w:r>
    </w:p>
  </w:footnote>
  <w:footnote w:id="41">
    <w:p w14:paraId="4354A512" w14:textId="7A2606E0" w:rsidR="00CB6EBE" w:rsidRPr="00DC3436" w:rsidRDefault="00CB6EBE" w:rsidP="00CB6EBE">
      <w:pPr>
        <w:pStyle w:val="FootnoteText"/>
      </w:pPr>
      <w:r w:rsidRPr="00DC3436">
        <w:tab/>
      </w:r>
      <w:r w:rsidRPr="00DC3436">
        <w:rPr>
          <w:rStyle w:val="FootnoteReference"/>
        </w:rPr>
        <w:footnoteRef/>
      </w:r>
      <w:r w:rsidRPr="00DC3436">
        <w:tab/>
      </w:r>
      <w:hyperlink r:id="rId49" w:history="1">
        <w:r w:rsidRPr="00DC3436">
          <w:rPr>
            <w:rStyle w:val="Hyperlink"/>
          </w:rPr>
          <w:t>FCCC/PA/CMA/2024/2</w:t>
        </w:r>
      </w:hyperlink>
      <w:r w:rsidRPr="00DC3436">
        <w:t xml:space="preserve"> and </w:t>
      </w:r>
      <w:hyperlink r:id="rId50" w:history="1">
        <w:r w:rsidRPr="00DC3436">
          <w:rPr>
            <w:rStyle w:val="Hyperlink"/>
          </w:rPr>
          <w:t>Add.1</w:t>
        </w:r>
      </w:hyperlink>
      <w:r w:rsidRPr="00DC3436">
        <w:t>.</w:t>
      </w:r>
    </w:p>
  </w:footnote>
  <w:footnote w:id="42">
    <w:p w14:paraId="214D754A" w14:textId="77777777" w:rsidR="00CB6EBE" w:rsidRPr="00DC3436" w:rsidRDefault="00CB6EBE" w:rsidP="00CB6EBE">
      <w:pPr>
        <w:pStyle w:val="FootnoteText"/>
      </w:pPr>
      <w:r w:rsidRPr="00DC3436">
        <w:tab/>
      </w:r>
      <w:r w:rsidRPr="00DC3436">
        <w:rPr>
          <w:rStyle w:val="FootnoteReference"/>
        </w:rPr>
        <w:footnoteRef/>
      </w:r>
      <w:r w:rsidRPr="00DC3436">
        <w:tab/>
        <w:t>Supervisory Body</w:t>
      </w:r>
      <w:r w:rsidRPr="00DC3436" w:rsidDel="00A61B87">
        <w:t xml:space="preserve"> </w:t>
      </w:r>
      <w:r w:rsidRPr="00DC3436">
        <w:t>document A6.4-SBM014-A05.</w:t>
      </w:r>
    </w:p>
  </w:footnote>
  <w:footnote w:id="43">
    <w:p w14:paraId="339951E1" w14:textId="77777777" w:rsidR="00CB6EBE" w:rsidRPr="00DC3436" w:rsidRDefault="00CB6EBE" w:rsidP="00CB6EBE">
      <w:pPr>
        <w:pStyle w:val="FootnoteText"/>
      </w:pPr>
      <w:r w:rsidRPr="00DC3436">
        <w:tab/>
      </w:r>
      <w:r w:rsidRPr="00DC3436">
        <w:rPr>
          <w:rStyle w:val="FootnoteReference"/>
        </w:rPr>
        <w:footnoteRef/>
      </w:r>
      <w:r w:rsidRPr="00DC3436">
        <w:tab/>
        <w:t>Supervisory Body document A6.4-SBM014-A06.</w:t>
      </w:r>
    </w:p>
  </w:footnote>
  <w:footnote w:id="44">
    <w:p w14:paraId="1BE6EED8" w14:textId="70897C3D" w:rsidR="00CB6EBE" w:rsidRPr="00DC3436" w:rsidRDefault="00CB6EBE" w:rsidP="00CB6EBE">
      <w:pPr>
        <w:pStyle w:val="FootnoteText"/>
      </w:pPr>
      <w:r w:rsidRPr="00DC3436">
        <w:tab/>
      </w:r>
      <w:r w:rsidRPr="00DC3436">
        <w:rPr>
          <w:rStyle w:val="FootnoteReference"/>
        </w:rPr>
        <w:footnoteRef/>
      </w:r>
      <w:r w:rsidRPr="00DC3436">
        <w:tab/>
      </w:r>
      <w:r w:rsidR="000437BB" w:rsidRPr="00DC3436">
        <w:t>As per d</w:t>
      </w:r>
      <w:r w:rsidRPr="00DC3436">
        <w:t xml:space="preserve">ecision </w:t>
      </w:r>
      <w:hyperlink r:id="rId51" w:history="1">
        <w:r w:rsidRPr="00DC3436">
          <w:rPr>
            <w:rStyle w:val="Hyperlink"/>
          </w:rPr>
          <w:t>3/CMA.3</w:t>
        </w:r>
      </w:hyperlink>
      <w:r w:rsidRPr="00DC3436">
        <w:t xml:space="preserve">, annex, para. 24(d). </w:t>
      </w:r>
    </w:p>
  </w:footnote>
  <w:footnote w:id="45">
    <w:p w14:paraId="44F02ABA" w14:textId="77777777" w:rsidR="00F16033" w:rsidRPr="00DC3436" w:rsidRDefault="00F16033" w:rsidP="00F16033">
      <w:pPr>
        <w:pStyle w:val="FootnoteText"/>
        <w:widowControl w:val="0"/>
        <w:tabs>
          <w:tab w:val="clear" w:pos="1021"/>
          <w:tab w:val="right" w:pos="1020"/>
        </w:tabs>
      </w:pPr>
      <w:r w:rsidRPr="00DC3436">
        <w:tab/>
      </w:r>
      <w:r w:rsidRPr="00DC3436">
        <w:rPr>
          <w:rStyle w:val="FootnoteReference"/>
        </w:rPr>
        <w:footnoteRef/>
      </w:r>
      <w:r w:rsidRPr="00DC3436">
        <w:tab/>
        <w:t xml:space="preserve">All Articles referred to in this decision are Articles of the Paris Agreement. </w:t>
      </w:r>
    </w:p>
  </w:footnote>
  <w:footnote w:id="46">
    <w:p w14:paraId="4CA40D2B" w14:textId="77777777" w:rsidR="00F16033" w:rsidRPr="00DC3436" w:rsidRDefault="00F16033" w:rsidP="00F16033">
      <w:pPr>
        <w:pStyle w:val="FootnoteText"/>
        <w:rPr>
          <w:rFonts w:eastAsia="MS Mincho"/>
          <w:lang w:eastAsia="ja-JP"/>
        </w:rPr>
      </w:pPr>
      <w:r w:rsidRPr="00DC3436">
        <w:tab/>
      </w:r>
      <w:r w:rsidRPr="00DC3436">
        <w:rPr>
          <w:rStyle w:val="FootnoteReference"/>
        </w:rPr>
        <w:footnoteRef/>
      </w:r>
      <w:r w:rsidRPr="00DC3436">
        <w:tab/>
        <w:t>Supervisory Body document A6.4-SBM014-A05.</w:t>
      </w:r>
    </w:p>
  </w:footnote>
  <w:footnote w:id="47">
    <w:p w14:paraId="4C99FE2A" w14:textId="77777777" w:rsidR="00F16033" w:rsidRPr="00DC3436" w:rsidRDefault="00F16033" w:rsidP="00F16033">
      <w:pPr>
        <w:pStyle w:val="FootnoteText"/>
        <w:rPr>
          <w:rFonts w:eastAsia="MS Mincho"/>
          <w:lang w:eastAsia="ja-JP"/>
        </w:rPr>
      </w:pPr>
      <w:r w:rsidRPr="00DC3436">
        <w:tab/>
      </w:r>
      <w:r w:rsidRPr="00DC3436">
        <w:rPr>
          <w:rStyle w:val="FootnoteReference"/>
        </w:rPr>
        <w:footnoteRef/>
      </w:r>
      <w:r w:rsidRPr="00DC3436">
        <w:t xml:space="preserve"> </w:t>
      </w:r>
      <w:r w:rsidRPr="00DC3436">
        <w:tab/>
        <w:t>Supervisory Body document A6.4-SBM014-A06.</w:t>
      </w:r>
    </w:p>
  </w:footnote>
  <w:footnote w:id="48">
    <w:p w14:paraId="4AB87F67" w14:textId="77777777" w:rsidR="00F16033" w:rsidRPr="00DC3436" w:rsidRDefault="00F16033" w:rsidP="00F16033">
      <w:pPr>
        <w:pStyle w:val="FootnoteText"/>
      </w:pPr>
      <w:r w:rsidRPr="00DC3436">
        <w:tab/>
      </w:r>
      <w:r w:rsidRPr="00DC3436">
        <w:rPr>
          <w:rStyle w:val="FootnoteReference"/>
        </w:rPr>
        <w:footnoteRef/>
      </w:r>
      <w:r w:rsidRPr="00DC3436">
        <w:t xml:space="preserve"> </w:t>
      </w:r>
      <w:r w:rsidRPr="00DC3436">
        <w:tab/>
        <w:t>Supervisory Body document A6.4-SBM014-A04.</w:t>
      </w:r>
    </w:p>
  </w:footnote>
  <w:footnote w:id="49">
    <w:p w14:paraId="4ED6C20A" w14:textId="468E14A5" w:rsidR="00F16033" w:rsidRPr="00DC3436" w:rsidRDefault="00F16033" w:rsidP="00F16033">
      <w:pPr>
        <w:pStyle w:val="FootnoteText"/>
        <w:ind w:right="1138" w:hanging="1138"/>
      </w:pPr>
      <w:r w:rsidRPr="00DC3436">
        <w:rPr>
          <w:vertAlign w:val="superscript"/>
        </w:rPr>
        <w:tab/>
      </w:r>
      <w:r w:rsidRPr="00DC3436">
        <w:rPr>
          <w:vertAlign w:val="superscript"/>
        </w:rPr>
        <w:footnoteRef/>
      </w:r>
      <w:r w:rsidRPr="00DC3436">
        <w:rPr>
          <w:vertAlign w:val="superscript"/>
        </w:rPr>
        <w:tab/>
      </w:r>
      <w:hyperlink r:id="rId52" w:history="1">
        <w:r w:rsidRPr="00DC3436">
          <w:rPr>
            <w:rStyle w:val="Hyperlink"/>
          </w:rPr>
          <w:t>FCCC/PA/CMA/2023/15</w:t>
        </w:r>
      </w:hyperlink>
      <w:r w:rsidRPr="00DC3436">
        <w:t xml:space="preserve"> and </w:t>
      </w:r>
      <w:hyperlink r:id="rId53" w:history="1">
        <w:r w:rsidRPr="00DC3436">
          <w:rPr>
            <w:rStyle w:val="Hyperlink"/>
          </w:rPr>
          <w:t>Add.1</w:t>
        </w:r>
      </w:hyperlink>
      <w:r w:rsidRPr="00DC3436">
        <w:t>.</w:t>
      </w:r>
    </w:p>
  </w:footnote>
  <w:footnote w:id="50">
    <w:p w14:paraId="1FDECA1C" w14:textId="7951745F" w:rsidR="00F16033" w:rsidRPr="00DC3436" w:rsidRDefault="00F16033" w:rsidP="00F16033">
      <w:pPr>
        <w:pStyle w:val="FootnoteText"/>
        <w:ind w:right="1138" w:hanging="1138"/>
        <w:rPr>
          <w:szCs w:val="18"/>
        </w:rPr>
      </w:pPr>
      <w:r w:rsidRPr="00DC3436">
        <w:tab/>
      </w:r>
      <w:r w:rsidRPr="00DC3436">
        <w:rPr>
          <w:vertAlign w:val="superscript"/>
        </w:rPr>
        <w:footnoteRef/>
      </w:r>
      <w:r w:rsidRPr="00DC3436">
        <w:tab/>
      </w:r>
      <w:hyperlink r:id="rId54" w:history="1">
        <w:r w:rsidRPr="00DC3436">
          <w:rPr>
            <w:rStyle w:val="Hyperlink"/>
          </w:rPr>
          <w:t>FCCC/PA/CMA/2024/2</w:t>
        </w:r>
      </w:hyperlink>
      <w:r w:rsidRPr="00DC3436">
        <w:t xml:space="preserve"> and </w:t>
      </w:r>
      <w:hyperlink r:id="rId55" w:history="1">
        <w:r w:rsidRPr="00DC3436">
          <w:rPr>
            <w:rStyle w:val="Hyperlink"/>
          </w:rPr>
          <w:t>Add.1</w:t>
        </w:r>
      </w:hyperlink>
      <w:r w:rsidRPr="00DC3436">
        <w:t>.</w:t>
      </w:r>
    </w:p>
  </w:footnote>
  <w:footnote w:id="51">
    <w:p w14:paraId="40FC4ACB" w14:textId="248A0081" w:rsidR="00F16033" w:rsidRPr="00DC3436" w:rsidRDefault="00F16033" w:rsidP="00F16033">
      <w:pPr>
        <w:pStyle w:val="FootnoteText"/>
        <w:ind w:right="1138" w:hanging="1138"/>
      </w:pPr>
      <w:r w:rsidRPr="00DC3436">
        <w:tab/>
      </w:r>
      <w:r w:rsidRPr="00DC3436">
        <w:rPr>
          <w:rStyle w:val="FootnoteReference"/>
        </w:rPr>
        <w:footnoteRef/>
      </w:r>
      <w:r w:rsidRPr="00DC3436">
        <w:tab/>
      </w:r>
      <w:r w:rsidR="004C5727" w:rsidRPr="00DC3436">
        <w:t xml:space="preserve">Decision </w:t>
      </w:r>
      <w:hyperlink r:id="rId56" w:history="1">
        <w:r w:rsidR="004C5727" w:rsidRPr="00DC3436">
          <w:rPr>
            <w:rStyle w:val="Hyperlink"/>
          </w:rPr>
          <w:t>3/CMA.3</w:t>
        </w:r>
      </w:hyperlink>
      <w:r w:rsidR="004C5727" w:rsidRPr="00DC3436">
        <w:t>, annex.</w:t>
      </w:r>
    </w:p>
  </w:footnote>
  <w:footnote w:id="52">
    <w:p w14:paraId="29CE378C" w14:textId="77777777" w:rsidR="00F16033" w:rsidRPr="00DC3436" w:rsidRDefault="00F16033" w:rsidP="00F16033">
      <w:pPr>
        <w:pStyle w:val="FootnoteText"/>
        <w:tabs>
          <w:tab w:val="clear" w:pos="1021"/>
          <w:tab w:val="right" w:pos="1022"/>
        </w:tabs>
        <w:ind w:right="1138" w:hanging="1138"/>
      </w:pPr>
      <w:r w:rsidRPr="00DC3436">
        <w:tab/>
      </w:r>
      <w:r w:rsidRPr="00DC3436">
        <w:rPr>
          <w:rStyle w:val="FootnoteReference"/>
        </w:rPr>
        <w:footnoteRef/>
      </w:r>
      <w:r w:rsidRPr="00DC3436">
        <w:tab/>
        <w:t>Supervisory Body document A6.4-SB007-A01.</w:t>
      </w:r>
    </w:p>
  </w:footnote>
  <w:footnote w:id="53">
    <w:p w14:paraId="50E14D2D" w14:textId="2458001B" w:rsidR="00F0694E" w:rsidRPr="00DC3436" w:rsidRDefault="00F0694E" w:rsidP="00F0694E">
      <w:pPr>
        <w:pStyle w:val="FootnoteText"/>
        <w:widowControl w:val="0"/>
        <w:tabs>
          <w:tab w:val="clear" w:pos="1021"/>
          <w:tab w:val="right" w:pos="1020"/>
          <w:tab w:val="left" w:pos="7371"/>
        </w:tabs>
      </w:pPr>
      <w:r w:rsidRPr="00DC3436">
        <w:tab/>
      </w:r>
      <w:r w:rsidRPr="00DC3436">
        <w:rPr>
          <w:rStyle w:val="FootnoteReference"/>
        </w:rPr>
        <w:footnoteRef/>
      </w:r>
      <w:r w:rsidRPr="00DC3436">
        <w:tab/>
        <w:t xml:space="preserve">Contained in </w:t>
      </w:r>
      <w:r w:rsidR="000A6AF8" w:rsidRPr="00DC3436">
        <w:t xml:space="preserve">document </w:t>
      </w:r>
      <w:hyperlink r:id="rId57" w:history="1">
        <w:r w:rsidR="000A6AF8" w:rsidRPr="00DC3436">
          <w:rPr>
            <w:rStyle w:val="Hyperlink"/>
          </w:rPr>
          <w:t>FCCC/SBSTA/2024/10</w:t>
        </w:r>
      </w:hyperlink>
      <w:r w:rsidR="000A6AF8" w:rsidRPr="00DC3436">
        <w:t xml:space="preserve">, </w:t>
      </w:r>
      <w:r w:rsidRPr="00DC3436">
        <w:t xml:space="preserve">paras. </w:t>
      </w:r>
      <w:r w:rsidR="008032C0" w:rsidRPr="00DC3436">
        <w:t>78</w:t>
      </w:r>
      <w:r w:rsidRPr="00DC3436">
        <w:t>–</w:t>
      </w:r>
      <w:r w:rsidR="008032C0" w:rsidRPr="00DC3436">
        <w:t>81</w:t>
      </w:r>
      <w:r w:rsidRPr="00DC3436">
        <w:t xml:space="preserve">. </w:t>
      </w:r>
    </w:p>
  </w:footnote>
  <w:footnote w:id="54">
    <w:p w14:paraId="6E5AA80A" w14:textId="4DCCD216" w:rsidR="00F0694E" w:rsidRPr="00DC3436" w:rsidRDefault="00F0694E" w:rsidP="00F0694E">
      <w:pPr>
        <w:pStyle w:val="FootnoteText"/>
      </w:pPr>
      <w:r w:rsidRPr="00DC3436">
        <w:tab/>
      </w:r>
      <w:r w:rsidRPr="00DC3436">
        <w:rPr>
          <w:rStyle w:val="FootnoteReference"/>
        </w:rPr>
        <w:footnoteRef/>
      </w:r>
      <w:r w:rsidRPr="00DC3436">
        <w:t xml:space="preserve"> </w:t>
      </w:r>
      <w:r w:rsidRPr="00DC3436">
        <w:tab/>
      </w:r>
      <w:r w:rsidRPr="00DC3436">
        <w:tab/>
        <w:t xml:space="preserve">Pursuant to decision </w:t>
      </w:r>
      <w:hyperlink r:id="rId58" w:history="1">
        <w:r w:rsidRPr="00DC3436">
          <w:rPr>
            <w:rStyle w:val="Hyperlink"/>
          </w:rPr>
          <w:t>4/CMA.3</w:t>
        </w:r>
      </w:hyperlink>
      <w:r w:rsidRPr="00DC3436">
        <w:t>, annex, para. 9.</w:t>
      </w:r>
    </w:p>
  </w:footnote>
  <w:footnote w:id="55">
    <w:p w14:paraId="26ED68AB" w14:textId="264333F1" w:rsidR="00F0694E" w:rsidRPr="00DC3436" w:rsidRDefault="00F0694E" w:rsidP="00F0694E">
      <w:pPr>
        <w:pStyle w:val="FootnoteText"/>
        <w:widowControl w:val="0"/>
      </w:pPr>
      <w:r w:rsidRPr="00DC3436">
        <w:tab/>
      </w:r>
      <w:r w:rsidRPr="00DC3436">
        <w:rPr>
          <w:rStyle w:val="FootnoteReference"/>
        </w:rPr>
        <w:footnoteRef/>
      </w:r>
      <w:r w:rsidRPr="00DC3436">
        <w:tab/>
        <w:t>D</w:t>
      </w:r>
      <w:r w:rsidRPr="00DC3436">
        <w:rPr>
          <w:color w:val="000000" w:themeColor="text1"/>
        </w:rPr>
        <w:t xml:space="preserve">ecision </w:t>
      </w:r>
      <w:hyperlink r:id="rId59" w:history="1">
        <w:r w:rsidRPr="00DC3436">
          <w:rPr>
            <w:rStyle w:val="Hyperlink"/>
          </w:rPr>
          <w:t>8/CMA.4</w:t>
        </w:r>
      </w:hyperlink>
      <w:r w:rsidRPr="00DC3436">
        <w:rPr>
          <w:color w:val="000000" w:themeColor="text1"/>
        </w:rPr>
        <w:t>, para. 4.</w:t>
      </w:r>
    </w:p>
  </w:footnote>
  <w:footnote w:id="56">
    <w:p w14:paraId="7CD52449" w14:textId="3C4713FC" w:rsidR="00F0694E" w:rsidRPr="00DC3436" w:rsidRDefault="00F0694E" w:rsidP="00F0694E">
      <w:pPr>
        <w:pStyle w:val="FootnoteText"/>
      </w:pPr>
      <w:r w:rsidRPr="00DC3436">
        <w:tab/>
      </w:r>
      <w:r w:rsidRPr="00DC3436">
        <w:rPr>
          <w:rStyle w:val="FootnoteReference"/>
        </w:rPr>
        <w:footnoteRef/>
      </w:r>
      <w:r w:rsidRPr="00DC3436">
        <w:tab/>
      </w:r>
      <w:r w:rsidRPr="00DC3436">
        <w:tab/>
        <w:t xml:space="preserve">See decision </w:t>
      </w:r>
      <w:hyperlink r:id="rId60" w:history="1">
        <w:r w:rsidRPr="00DC3436">
          <w:rPr>
            <w:rStyle w:val="Hyperlink"/>
          </w:rPr>
          <w:t>8/CMA.4</w:t>
        </w:r>
      </w:hyperlink>
      <w:r w:rsidRPr="00DC3436">
        <w:t>, para. 3(a).</w:t>
      </w:r>
    </w:p>
  </w:footnote>
  <w:footnote w:id="57">
    <w:p w14:paraId="17DDFF41" w14:textId="71979990" w:rsidR="00F0694E" w:rsidRPr="00DC3436" w:rsidRDefault="00F0694E" w:rsidP="00F0694E">
      <w:pPr>
        <w:pStyle w:val="FootnoteText"/>
      </w:pPr>
      <w:r w:rsidRPr="00DC3436">
        <w:tab/>
      </w:r>
      <w:r w:rsidRPr="00DC3436">
        <w:rPr>
          <w:rStyle w:val="FootnoteReference"/>
        </w:rPr>
        <w:footnoteRef/>
      </w:r>
      <w:r w:rsidRPr="00DC3436">
        <w:tab/>
      </w:r>
      <w:r w:rsidRPr="00DC3436">
        <w:tab/>
        <w:t xml:space="preserve">See decision </w:t>
      </w:r>
      <w:hyperlink r:id="rId61" w:history="1">
        <w:r w:rsidRPr="00DC3436">
          <w:rPr>
            <w:rStyle w:val="Hyperlink"/>
          </w:rPr>
          <w:t>8/CMA.4</w:t>
        </w:r>
      </w:hyperlink>
      <w:r w:rsidRPr="00DC3436">
        <w:t>, para. 3(b).</w:t>
      </w:r>
    </w:p>
  </w:footnote>
  <w:footnote w:id="58">
    <w:p w14:paraId="3A962878" w14:textId="648FD3A7" w:rsidR="00F0694E" w:rsidRPr="00DC3436" w:rsidRDefault="00F0694E" w:rsidP="00F0694E">
      <w:pPr>
        <w:pStyle w:val="FootnoteText"/>
      </w:pPr>
      <w:r w:rsidRPr="00DC3436">
        <w:tab/>
      </w:r>
      <w:r w:rsidRPr="00DC3436">
        <w:rPr>
          <w:rStyle w:val="FootnoteReference"/>
        </w:rPr>
        <w:footnoteRef/>
      </w:r>
      <w:r w:rsidRPr="00DC3436">
        <w:tab/>
        <w:t xml:space="preserve">Available at </w:t>
      </w:r>
      <w:hyperlink r:id="rId62" w:history="1">
        <w:r w:rsidRPr="00DC3436">
          <w:rPr>
            <w:rStyle w:val="Hyperlink"/>
          </w:rPr>
          <w:t>https://unfccc.int/nma-platform</w:t>
        </w:r>
      </w:hyperlink>
      <w:r w:rsidRPr="00DC3436">
        <w:t xml:space="preserve">. </w:t>
      </w:r>
      <w:r w:rsidRPr="00DC3436">
        <w:rPr>
          <w:rStyle w:val="Hyperlink"/>
          <w:color w:val="auto"/>
          <w:u w:val="none"/>
        </w:rPr>
        <w:t xml:space="preserve">Previously referred to as the UNFCCC web-based platform; see </w:t>
      </w:r>
      <w:r w:rsidRPr="00DC3436">
        <w:t xml:space="preserve">decision </w:t>
      </w:r>
      <w:hyperlink r:id="rId63" w:history="1">
        <w:r w:rsidRPr="00DC3436">
          <w:rPr>
            <w:rStyle w:val="Hyperlink"/>
          </w:rPr>
          <w:t>4/CMA.3</w:t>
        </w:r>
      </w:hyperlink>
      <w:r w:rsidRPr="00DC3436">
        <w:t>, annex, para. 8(b)(i).</w:t>
      </w:r>
    </w:p>
  </w:footnote>
  <w:footnote w:id="59">
    <w:p w14:paraId="2D9B64DA" w14:textId="1E75235F" w:rsidR="00F0694E" w:rsidRPr="00DC3436" w:rsidRDefault="00F0694E" w:rsidP="00F0694E">
      <w:pPr>
        <w:pStyle w:val="FootnoteText"/>
      </w:pPr>
      <w:r w:rsidRPr="00DC3436">
        <w:tab/>
      </w:r>
      <w:r w:rsidRPr="00DC3436">
        <w:rPr>
          <w:rStyle w:val="FootnoteReference"/>
        </w:rPr>
        <w:footnoteRef/>
      </w:r>
      <w:r w:rsidRPr="00DC3436">
        <w:tab/>
      </w:r>
      <w:r w:rsidRPr="00DC3436">
        <w:tab/>
        <w:t xml:space="preserve">As per decisions </w:t>
      </w:r>
      <w:hyperlink r:id="rId64" w:history="1">
        <w:r w:rsidRPr="00DC3436">
          <w:rPr>
            <w:rStyle w:val="Hyperlink"/>
          </w:rPr>
          <w:t>4/CMA.3</w:t>
        </w:r>
      </w:hyperlink>
      <w:r w:rsidRPr="00DC3436">
        <w:t xml:space="preserve">, annex, para. 7; and </w:t>
      </w:r>
      <w:hyperlink r:id="rId65" w:history="1">
        <w:r w:rsidRPr="00DC3436">
          <w:rPr>
            <w:rStyle w:val="Hyperlink"/>
          </w:rPr>
          <w:t>8/CMA.4</w:t>
        </w:r>
      </w:hyperlink>
      <w:r w:rsidRPr="00DC3436">
        <w:t>, para. 17.</w:t>
      </w:r>
    </w:p>
  </w:footnote>
  <w:footnote w:id="60">
    <w:p w14:paraId="3D78D031" w14:textId="2C160E76" w:rsidR="00F0694E" w:rsidRPr="00DC3436" w:rsidRDefault="00F0694E" w:rsidP="00F0694E">
      <w:pPr>
        <w:pStyle w:val="FootnoteText"/>
      </w:pPr>
      <w:r w:rsidRPr="00DC3436">
        <w:tab/>
      </w:r>
      <w:r w:rsidRPr="00DC3436">
        <w:rPr>
          <w:rStyle w:val="FootnoteReference"/>
        </w:rPr>
        <w:footnoteRef/>
      </w:r>
      <w:r w:rsidRPr="00DC3436">
        <w:tab/>
      </w:r>
      <w:r w:rsidRPr="00DC3436">
        <w:tab/>
      </w:r>
      <w:hyperlink r:id="rId66" w:history="1">
        <w:r w:rsidRPr="00DC3436">
          <w:rPr>
            <w:rStyle w:val="Hyperlink"/>
          </w:rPr>
          <w:t>FCCC/SBSTA/2023/6</w:t>
        </w:r>
      </w:hyperlink>
      <w:r w:rsidRPr="00DC3436">
        <w:t xml:space="preserve"> and </w:t>
      </w:r>
      <w:hyperlink r:id="rId67" w:history="1">
        <w:r w:rsidRPr="00DC3436">
          <w:rPr>
            <w:rStyle w:val="Hyperlink"/>
          </w:rPr>
          <w:t>FCCC/SBSTA/2024/6</w:t>
        </w:r>
      </w:hyperlink>
      <w:r w:rsidRPr="00DC3436">
        <w:t xml:space="preserve">. </w:t>
      </w:r>
    </w:p>
  </w:footnote>
  <w:footnote w:id="61">
    <w:p w14:paraId="5ED7CF33" w14:textId="77777777" w:rsidR="00F0694E" w:rsidRPr="00DC3436" w:rsidRDefault="00F0694E" w:rsidP="00F0694E">
      <w:pPr>
        <w:pStyle w:val="FootnoteText"/>
      </w:pPr>
      <w:r w:rsidRPr="00DC3436">
        <w:tab/>
      </w:r>
      <w:r w:rsidRPr="00DC3436">
        <w:rPr>
          <w:rStyle w:val="FootnoteReference"/>
        </w:rPr>
        <w:footnoteRef/>
      </w:r>
      <w:r w:rsidRPr="00DC3436">
        <w:tab/>
        <w:t xml:space="preserve">Available at </w:t>
      </w:r>
      <w:hyperlink r:id="rId68" w:history="1">
        <w:r w:rsidRPr="00DC3436">
          <w:rPr>
            <w:rStyle w:val="Hyperlink"/>
          </w:rPr>
          <w:t>https://unfccc.int/documents/614162</w:t>
        </w:r>
      </w:hyperlink>
      <w:r w:rsidRPr="00DC3436">
        <w:t>.</w:t>
      </w:r>
    </w:p>
  </w:footnote>
  <w:footnote w:id="62">
    <w:p w14:paraId="1834CAD8" w14:textId="4ECFE739" w:rsidR="00F0694E" w:rsidRPr="00DC3436" w:rsidRDefault="00F0694E" w:rsidP="00F0694E">
      <w:pPr>
        <w:pStyle w:val="FootnoteText"/>
      </w:pPr>
      <w:r w:rsidRPr="00DC3436">
        <w:tab/>
      </w:r>
      <w:r w:rsidRPr="00DC3436">
        <w:rPr>
          <w:rStyle w:val="FootnoteReference"/>
        </w:rPr>
        <w:footnoteRef/>
      </w:r>
      <w:r w:rsidRPr="00DC3436">
        <w:tab/>
        <w:t xml:space="preserve">Decision </w:t>
      </w:r>
      <w:hyperlink r:id="rId69" w:history="1">
        <w:r w:rsidR="0037602A" w:rsidRPr="00DC3436">
          <w:rPr>
            <w:rStyle w:val="Hyperlink"/>
          </w:rPr>
          <w:t>8/CMA.4</w:t>
        </w:r>
      </w:hyperlink>
      <w:r w:rsidRPr="00DC3436">
        <w:t>, para. 3(b).</w:t>
      </w:r>
    </w:p>
  </w:footnote>
  <w:footnote w:id="63">
    <w:p w14:paraId="3C5688DA" w14:textId="1F80894D" w:rsidR="00F0694E" w:rsidRPr="00DC3436" w:rsidRDefault="00F0694E" w:rsidP="00F0694E">
      <w:pPr>
        <w:pStyle w:val="FootnoteText"/>
      </w:pPr>
      <w:r w:rsidRPr="00DC3436">
        <w:tab/>
      </w:r>
      <w:r w:rsidRPr="00DC3436">
        <w:rPr>
          <w:rStyle w:val="FootnoteReference"/>
        </w:rPr>
        <w:footnoteRef/>
      </w:r>
      <w:r w:rsidRPr="00DC3436">
        <w:t xml:space="preserve"> </w:t>
      </w:r>
      <w:r w:rsidRPr="00DC3436">
        <w:tab/>
      </w:r>
      <w:r w:rsidRPr="00DC3436">
        <w:tab/>
        <w:t xml:space="preserve">See document </w:t>
      </w:r>
      <w:hyperlink r:id="rId70" w:history="1">
        <w:r w:rsidRPr="00DC3436">
          <w:rPr>
            <w:rStyle w:val="Hyperlink"/>
          </w:rPr>
          <w:t>FCCC/SBSTA/2024/6</w:t>
        </w:r>
      </w:hyperlink>
      <w:r w:rsidRPr="00DC3436">
        <w:t>.</w:t>
      </w:r>
    </w:p>
  </w:footnote>
  <w:footnote w:id="64">
    <w:p w14:paraId="5ECCD881" w14:textId="17E59942" w:rsidR="00F0694E" w:rsidRPr="00DC3436" w:rsidRDefault="00F0694E" w:rsidP="00F0694E">
      <w:pPr>
        <w:pStyle w:val="FootnoteText"/>
      </w:pPr>
      <w:r w:rsidRPr="00DC3436">
        <w:tab/>
      </w:r>
      <w:r w:rsidRPr="00DC3436">
        <w:rPr>
          <w:rStyle w:val="FootnoteReference"/>
        </w:rPr>
        <w:footnoteRef/>
      </w:r>
      <w:r w:rsidRPr="00DC3436">
        <w:tab/>
      </w:r>
      <w:r w:rsidRPr="00DC3436">
        <w:tab/>
        <w:t xml:space="preserve">See decision </w:t>
      </w:r>
      <w:hyperlink r:id="rId71" w:history="1">
        <w:r w:rsidRPr="00DC3436">
          <w:rPr>
            <w:rStyle w:val="Hyperlink"/>
          </w:rPr>
          <w:t>8/CMA.4</w:t>
        </w:r>
      </w:hyperlink>
      <w:r w:rsidRPr="00DC3436">
        <w:t>, para. 10(a).</w:t>
      </w:r>
    </w:p>
  </w:footnote>
  <w:footnote w:id="65">
    <w:p w14:paraId="739AA760" w14:textId="35B99BA1" w:rsidR="00F0694E" w:rsidRPr="00DC3436" w:rsidRDefault="00F0694E" w:rsidP="00F0694E">
      <w:pPr>
        <w:pStyle w:val="FootnoteText"/>
        <w:widowControl w:val="0"/>
      </w:pPr>
      <w:r w:rsidRPr="00DC3436">
        <w:tab/>
      </w:r>
      <w:r w:rsidRPr="00DC3436">
        <w:rPr>
          <w:rStyle w:val="FootnoteReference"/>
        </w:rPr>
        <w:footnoteRef/>
      </w:r>
      <w:r w:rsidRPr="00DC3436">
        <w:tab/>
        <w:t xml:space="preserve">Decision </w:t>
      </w:r>
      <w:hyperlink r:id="rId72" w:history="1">
        <w:r w:rsidRPr="00DC3436">
          <w:rPr>
            <w:rStyle w:val="Hyperlink"/>
          </w:rPr>
          <w:t>8/CMA.4</w:t>
        </w:r>
      </w:hyperlink>
      <w:r w:rsidRPr="00DC3436">
        <w:t xml:space="preserve">, para. 8. </w:t>
      </w:r>
    </w:p>
  </w:footnote>
  <w:footnote w:id="66">
    <w:p w14:paraId="0F13F7E7" w14:textId="2281F4EA" w:rsidR="00F0694E" w:rsidRPr="00DC3436" w:rsidRDefault="00F0694E" w:rsidP="00F0694E">
      <w:pPr>
        <w:pStyle w:val="FootnoteText"/>
        <w:widowControl w:val="0"/>
      </w:pPr>
      <w:r w:rsidRPr="00DC3436">
        <w:tab/>
      </w:r>
      <w:r w:rsidRPr="00DC3436">
        <w:rPr>
          <w:rStyle w:val="FootnoteReference"/>
        </w:rPr>
        <w:footnoteRef/>
      </w:r>
      <w:r w:rsidRPr="00DC3436">
        <w:tab/>
        <w:t xml:space="preserve">Pursuant to decision </w:t>
      </w:r>
      <w:hyperlink r:id="rId73" w:history="1">
        <w:r w:rsidRPr="00DC3436">
          <w:rPr>
            <w:rStyle w:val="Hyperlink"/>
          </w:rPr>
          <w:t>17/CMA.5</w:t>
        </w:r>
      </w:hyperlink>
      <w:r w:rsidRPr="00DC3436">
        <w:t xml:space="preserve">, para. 7. </w:t>
      </w:r>
    </w:p>
  </w:footnote>
  <w:footnote w:id="67">
    <w:p w14:paraId="0C1A0D4C" w14:textId="5E5F9D43" w:rsidR="00F0694E" w:rsidRPr="00DC3436" w:rsidRDefault="00F0694E" w:rsidP="00F0694E">
      <w:pPr>
        <w:pStyle w:val="FootnoteText"/>
      </w:pPr>
      <w:r w:rsidRPr="00DC3436">
        <w:tab/>
      </w:r>
      <w:r w:rsidRPr="00DC3436">
        <w:rPr>
          <w:rStyle w:val="FootnoteReference"/>
        </w:rPr>
        <w:footnoteRef/>
      </w:r>
      <w:r w:rsidRPr="00DC3436">
        <w:t xml:space="preserve"> </w:t>
      </w:r>
      <w:r w:rsidRPr="00DC3436">
        <w:tab/>
      </w:r>
      <w:r w:rsidRPr="00DC3436">
        <w:tab/>
        <w:t xml:space="preserve">Pursuant to decision </w:t>
      </w:r>
      <w:hyperlink r:id="rId74" w:history="1">
        <w:r w:rsidRPr="00DC3436">
          <w:rPr>
            <w:rStyle w:val="Hyperlink"/>
          </w:rPr>
          <w:t>17/CMA.5</w:t>
        </w:r>
      </w:hyperlink>
      <w:r w:rsidRPr="00DC3436">
        <w:t xml:space="preserve">, para. 5. A list is available at </w:t>
      </w:r>
      <w:hyperlink r:id="rId75" w:history="1">
        <w:r w:rsidRPr="00DC3436">
          <w:rPr>
            <w:rStyle w:val="Hyperlink"/>
          </w:rPr>
          <w:t>https://unfccc.int/process-and-meetings/the-paris-agreement/nma-platform/list-of-NFPs-A6-8</w:t>
        </w:r>
      </w:hyperlink>
      <w:r w:rsidRPr="00DC3436">
        <w:t xml:space="preserve">. </w:t>
      </w:r>
    </w:p>
  </w:footnote>
  <w:footnote w:id="68">
    <w:p w14:paraId="5E7CCECF" w14:textId="013E0528" w:rsidR="00F0694E" w:rsidRPr="00DC3436" w:rsidRDefault="00F0694E" w:rsidP="00F0694E">
      <w:pPr>
        <w:pStyle w:val="FootnoteText"/>
      </w:pPr>
      <w:r w:rsidRPr="00DC3436">
        <w:tab/>
      </w:r>
      <w:r w:rsidRPr="00DC3436">
        <w:rPr>
          <w:rStyle w:val="FootnoteReference"/>
        </w:rPr>
        <w:footnoteRef/>
      </w:r>
      <w:r w:rsidRPr="00DC3436">
        <w:t xml:space="preserve"> </w:t>
      </w:r>
      <w:r w:rsidRPr="00DC3436">
        <w:tab/>
      </w:r>
      <w:r w:rsidRPr="00DC3436">
        <w:tab/>
        <w:t xml:space="preserve">Decision </w:t>
      </w:r>
      <w:hyperlink r:id="rId76" w:history="1">
        <w:r w:rsidRPr="00DC3436">
          <w:rPr>
            <w:rStyle w:val="Hyperlink"/>
          </w:rPr>
          <w:t>17/CMA.5</w:t>
        </w:r>
      </w:hyperlink>
      <w:r w:rsidRPr="00DC3436">
        <w:t>, para. 5.</w:t>
      </w:r>
    </w:p>
  </w:footnote>
  <w:footnote w:id="69">
    <w:p w14:paraId="7516CFDC" w14:textId="77777777" w:rsidR="00F0694E" w:rsidRPr="00DC3436" w:rsidRDefault="00F0694E" w:rsidP="00F0694E">
      <w:pPr>
        <w:pStyle w:val="FootnoteText"/>
        <w:widowControl w:val="0"/>
      </w:pPr>
      <w:r w:rsidRPr="00DC3436">
        <w:tab/>
      </w:r>
      <w:r w:rsidRPr="00DC3436">
        <w:rPr>
          <w:rStyle w:val="FootnoteReference"/>
        </w:rPr>
        <w:footnoteRef/>
      </w:r>
      <w:r w:rsidRPr="00DC3436">
        <w:tab/>
      </w:r>
      <w:hyperlink r:id="rId77">
        <w:r w:rsidRPr="00DC3436">
          <w:rPr>
            <w:rStyle w:val="Hyperlink"/>
          </w:rPr>
          <w:t>https://www4.unfccc.int/sites/submissionsstaging/Pages/Home.aspx</w:t>
        </w:r>
      </w:hyperlink>
      <w:r w:rsidRPr="00DC3436">
        <w:t>.</w:t>
      </w:r>
    </w:p>
  </w:footnote>
  <w:footnote w:id="70">
    <w:p w14:paraId="07312403" w14:textId="5E352ACD" w:rsidR="00F0694E" w:rsidRPr="00DC3436" w:rsidRDefault="00F0694E" w:rsidP="00F0694E">
      <w:pPr>
        <w:pStyle w:val="FootnoteText"/>
      </w:pPr>
      <w:r w:rsidRPr="00DC3436">
        <w:tab/>
      </w:r>
      <w:r w:rsidRPr="00DC3436">
        <w:rPr>
          <w:rStyle w:val="FootnoteReference"/>
        </w:rPr>
        <w:footnoteRef/>
      </w:r>
      <w:r w:rsidRPr="00DC3436">
        <w:tab/>
      </w:r>
      <w:r w:rsidRPr="00DC3436">
        <w:tab/>
        <w:t xml:space="preserve">As set out in decision </w:t>
      </w:r>
      <w:hyperlink r:id="rId78" w:history="1">
        <w:r w:rsidRPr="00DC3436">
          <w:rPr>
            <w:rStyle w:val="Hyperlink"/>
          </w:rPr>
          <w:t>4/CMA.3</w:t>
        </w:r>
      </w:hyperlink>
      <w:r w:rsidRPr="00DC3436">
        <w:t>, annex, chap. II.</w:t>
      </w:r>
    </w:p>
  </w:footnote>
  <w:footnote w:id="71">
    <w:p w14:paraId="0FBAEF66" w14:textId="38B7F2A9" w:rsidR="00427676" w:rsidRPr="00DC3436" w:rsidRDefault="00427676" w:rsidP="00427676">
      <w:pPr>
        <w:pStyle w:val="FootnoteText"/>
      </w:pPr>
      <w:r w:rsidRPr="00DC3436">
        <w:tab/>
      </w:r>
      <w:r w:rsidRPr="00DC3436">
        <w:rPr>
          <w:rStyle w:val="FootnoteReference"/>
        </w:rPr>
        <w:footnoteRef/>
      </w:r>
      <w:r w:rsidRPr="00DC3436">
        <w:tab/>
      </w:r>
      <w:r w:rsidRPr="00DC3436">
        <w:tab/>
        <w:t xml:space="preserve">Decision </w:t>
      </w:r>
      <w:hyperlink r:id="rId79" w:history="1">
        <w:r w:rsidRPr="00DC3436">
          <w:rPr>
            <w:rStyle w:val="Hyperlink"/>
          </w:rPr>
          <w:t>8/CMA.4</w:t>
        </w:r>
      </w:hyperlink>
      <w:r w:rsidRPr="00DC3436">
        <w:t xml:space="preserve">, para. 21, reiterated in decision </w:t>
      </w:r>
      <w:hyperlink r:id="rId80" w:history="1">
        <w:r w:rsidRPr="00DC3436">
          <w:rPr>
            <w:rStyle w:val="Hyperlink"/>
          </w:rPr>
          <w:t>17/CMA.5</w:t>
        </w:r>
      </w:hyperlink>
      <w:r w:rsidRPr="00DC3436">
        <w:t>, para. 17.</w:t>
      </w:r>
    </w:p>
  </w:footnote>
  <w:footnote w:id="72">
    <w:p w14:paraId="2904BD63" w14:textId="09AFDD94" w:rsidR="00F0694E" w:rsidRPr="00DC3436" w:rsidRDefault="00F0694E" w:rsidP="00F0694E">
      <w:pPr>
        <w:pStyle w:val="FootnoteText"/>
      </w:pPr>
      <w:r w:rsidRPr="00DC3436">
        <w:tab/>
      </w:r>
      <w:r w:rsidRPr="00DC3436">
        <w:rPr>
          <w:rStyle w:val="FootnoteReference"/>
        </w:rPr>
        <w:footnoteRef/>
      </w:r>
      <w:r w:rsidRPr="00DC3436">
        <w:tab/>
      </w:r>
      <w:r w:rsidRPr="00DC3436">
        <w:tab/>
        <w:t xml:space="preserve">See </w:t>
      </w:r>
      <w:r w:rsidR="00D274D3" w:rsidRPr="00DC3436">
        <w:t xml:space="preserve">document </w:t>
      </w:r>
      <w:hyperlink r:id="rId81" w:history="1">
        <w:r w:rsidR="00D274D3" w:rsidRPr="00DC3436">
          <w:rPr>
            <w:rStyle w:val="Hyperlink"/>
          </w:rPr>
          <w:t>FCCC/SBSTA/2024/10</w:t>
        </w:r>
      </w:hyperlink>
      <w:r w:rsidR="00D274D3" w:rsidRPr="00DC3436">
        <w:t xml:space="preserve">, </w:t>
      </w:r>
      <w:r w:rsidRPr="00DC3436">
        <w:t xml:space="preserve">para. </w:t>
      </w:r>
      <w:r w:rsidR="00966564" w:rsidRPr="00DC3436">
        <w:t>80</w:t>
      </w:r>
      <w:r w:rsidRPr="00DC3436">
        <w:t>(e)(ii) and (f).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B48A" w14:textId="2FF227AF" w:rsidR="003F6A01" w:rsidRPr="002D2874" w:rsidRDefault="002D2874" w:rsidP="002D2874">
    <w:pPr>
      <w:pStyle w:val="Header"/>
    </w:pPr>
    <w:r>
      <w:t>FCCC/PA/CMA/2024/17/Add.1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993E" w14:textId="77777777" w:rsidR="003B4E09" w:rsidRPr="00982720" w:rsidRDefault="003B4E09" w:rsidP="00D2464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0DAA" w14:textId="26D294F8" w:rsidR="00C86F14" w:rsidRPr="00C86F14" w:rsidRDefault="00C86F14" w:rsidP="00C86F14">
    <w:r>
      <w:rPr>
        <w:noProof/>
      </w:rPr>
      <mc:AlternateContent>
        <mc:Choice Requires="wps">
          <w:drawing>
            <wp:anchor distT="0" distB="0" distL="114300" distR="114300" simplePos="0" relativeHeight="251658240" behindDoc="0" locked="0" layoutInCell="1" allowOverlap="1" wp14:anchorId="77A9A730" wp14:editId="1011941D">
              <wp:simplePos x="0" y="0"/>
              <wp:positionH relativeFrom="page">
                <wp:posOffset>9935845</wp:posOffset>
              </wp:positionH>
              <wp:positionV relativeFrom="margin">
                <wp:posOffset>0</wp:posOffset>
              </wp:positionV>
              <wp:extent cx="215900" cy="6120130"/>
              <wp:effectExtent l="0" t="0" r="1270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D6BD288" w14:textId="74B46885" w:rsidR="00C86F14" w:rsidRDefault="00C86F14" w:rsidP="00C86F14">
                          <w:pPr>
                            <w:pStyle w:val="Header"/>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7A9A730" id="_x0000_t202" coordsize="21600,21600" o:spt="202" path="m,l,21600r21600,l21600,xe">
              <v:stroke joinstyle="miter"/>
              <v:path gradientshapeok="t" o:connecttype="rect"/>
            </v:shapetype>
            <v:shape id="Text Box 6" o:spid="_x0000_s1026"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5EYQIAAM0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A2BSuOJ6j4fwPHo0OHXdodElhXhHHqaEkBi0eIulMYxu+BBJ0bL/+af9lF/JtKJ9mBxs&#10;f2zIg4z5auGiNBHHwB+D1TGwm/6SodAUI+xUDnHBR3MMG8/9I+ZvkargiKxCJ5VEtTG8jOOoYX6V&#10;XixyEnzvKC7tvVNHv6UHeRgeybuDDyIcdMNH+1P5yg5j7miIxSZy02WvPKt40Bkzky10mO80lC+/&#10;c9bzv9D8FwAAAP//AwBQSwMEFAAGAAgAAAAhAJJg5hXeAAAACgEAAA8AAABkcnMvZG93bnJldi54&#10;bWxMj99KwzAUxu8F3yEcwTuXbrquq03HUKYwQbDzAbImtmHNSUnSrX17z6708sf38f0pNqPt2Fn7&#10;YBwKmM8SYBprpww2Ar4Pu4cMWIgSlewcagGTDrApb28KmSt3wS99rmLDKARDLgW0MfY556FutZVh&#10;5nqNpP04b2Uk9A1XXl4o3HZ8kSQpt9IgNbSy1y+trk/VYAWY152fv2+N+6ymU7V4c+nwMe2FuL8b&#10;t8/Aoh7jnxmu82k6lLTp6AZUgXXEy/RpRV4BdOmqL9cZ8VHAOn3MgJcF/3+h/AUAAP//AwBQSwEC&#10;LQAUAAYACAAAACEAtoM4kv4AAADhAQAAEwAAAAAAAAAAAAAAAAAAAAAAW0NvbnRlbnRfVHlwZXNd&#10;LnhtbFBLAQItABQABgAIAAAAIQA4/SH/1gAAAJQBAAALAAAAAAAAAAAAAAAAAC8BAABfcmVscy8u&#10;cmVsc1BLAQItABQABgAIAAAAIQAqwY5EYQIAAM0EAAAOAAAAAAAAAAAAAAAAAC4CAABkcnMvZTJv&#10;RG9jLnhtbFBLAQItABQABgAIAAAAIQCSYOYV3gAAAAoBAAAPAAAAAAAAAAAAAAAAALsEAABkcnMv&#10;ZG93bnJldi54bWxQSwUGAAAAAAQABADzAAAAxgUAAAAA&#10;" filled="f" stroked="f">
              <v:stroke joinstyle="round"/>
              <v:path arrowok="t"/>
              <v:textbox style="layout-flow:vertical" inset="0,0,0,0">
                <w:txbxContent>
                  <w:p w14:paraId="2D6BD288" w14:textId="74B46885" w:rsidR="00C86F14" w:rsidRDefault="00C86F14" w:rsidP="00C86F14">
                    <w:pPr>
                      <w:pStyle w:val="Header"/>
                    </w:pPr>
                    <w:r>
                      <w:t>FCCC/PA/CMA/2024/17/Add.1</w:t>
                    </w:r>
                  </w:p>
                </w:txbxContent>
              </v:textbox>
              <w10:wrap anchorx="page"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8E00" w14:textId="0162025A" w:rsidR="002235F3" w:rsidRPr="002235F3" w:rsidRDefault="002C2667" w:rsidP="002235F3">
    <w:r>
      <w:rPr>
        <w:noProof/>
      </w:rPr>
      <mc:AlternateContent>
        <mc:Choice Requires="wps">
          <w:drawing>
            <wp:anchor distT="0" distB="0" distL="114300" distR="114300" simplePos="0" relativeHeight="251658244" behindDoc="0" locked="0" layoutInCell="1" allowOverlap="1" wp14:anchorId="2800FA48" wp14:editId="3B0CAACC">
              <wp:simplePos x="0" y="0"/>
              <wp:positionH relativeFrom="page">
                <wp:posOffset>9935845</wp:posOffset>
              </wp:positionH>
              <wp:positionV relativeFrom="margin">
                <wp:posOffset>0</wp:posOffset>
              </wp:positionV>
              <wp:extent cx="215900" cy="6120130"/>
              <wp:effectExtent l="0" t="0" r="12700" b="13970"/>
              <wp:wrapNone/>
              <wp:docPr id="6814204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B65DF6B" w14:textId="214202CB" w:rsidR="002C2667" w:rsidRDefault="002C2667" w:rsidP="002C2667">
                          <w:pPr>
                            <w:pStyle w:val="Header"/>
                            <w:jc w:val="right"/>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800FA48" id="_x0000_t202" coordsize="21600,21600" o:spt="202" path="m,l,21600r21600,l21600,xe">
              <v:stroke joinstyle="miter"/>
              <v:path gradientshapeok="t" o:connecttype="rect"/>
            </v:shapetype>
            <v:shape id="Text Box 1" o:spid="_x0000_s1027" type="#_x0000_t202" style="position:absolute;margin-left:782.35pt;margin-top:0;width:17pt;height:481.9pt;z-index:25165824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8nZQIAANQ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PKPlnQ22R3qPgINVoxfXmvpdQ0x3EMibpCfNW7qlRRmkpnCMOOsw/PzTfs5veF6J&#10;BXmdSP/YQSBO5qsjM+XBmIIwBZspcDt7iSTUnCbZixLShZDMFKqA9pHGcJWr0BE4QZ00nKoN4WUa&#10;Jo7GWMjVqiSR/T2ktbv3YrJdfpeH/hGCH+2QyEg3OE0B1K9cMeQOvljtEipdLPOs4ig3jU5x0jjm&#10;eTZffpes5z+j5S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TcCvJ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1B65DF6B" w14:textId="214202CB" w:rsidR="002C2667" w:rsidRDefault="002C2667" w:rsidP="002C2667">
                    <w:pPr>
                      <w:pStyle w:val="Header"/>
                      <w:jc w:val="right"/>
                    </w:pPr>
                    <w:r>
                      <w:t>FCCC/PA/CMA/2024/17/Add.1</w:t>
                    </w:r>
                  </w:p>
                </w:txbxContent>
              </v:textbox>
              <w10:wrap anchorx="page" anchory="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7517" w14:textId="0D31BB65" w:rsidR="003C38D5" w:rsidRPr="00982720" w:rsidRDefault="003C38D5" w:rsidP="00D2464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746D" w14:textId="1850D4AD" w:rsidR="00C86F14" w:rsidRPr="00C86F14" w:rsidRDefault="002C2667" w:rsidP="00C86F14">
    <w:r>
      <w:rPr>
        <w:noProof/>
      </w:rPr>
      <mc:AlternateContent>
        <mc:Choice Requires="wps">
          <w:drawing>
            <wp:anchor distT="0" distB="0" distL="114300" distR="114300" simplePos="0" relativeHeight="251658241" behindDoc="0" locked="0" layoutInCell="1" allowOverlap="1" wp14:anchorId="6FFBA37F" wp14:editId="40E07334">
              <wp:simplePos x="0" y="0"/>
              <wp:positionH relativeFrom="page">
                <wp:posOffset>9935845</wp:posOffset>
              </wp:positionH>
              <wp:positionV relativeFrom="margin">
                <wp:posOffset>0</wp:posOffset>
              </wp:positionV>
              <wp:extent cx="215900" cy="6120130"/>
              <wp:effectExtent l="0" t="0" r="12700" b="13970"/>
              <wp:wrapNone/>
              <wp:docPr id="9764548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6A04C53" w14:textId="50C51A05" w:rsidR="002C2667" w:rsidRDefault="002C2667" w:rsidP="002C2667">
                          <w:pPr>
                            <w:pStyle w:val="Header"/>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FFBA37F" id="_x0000_t202" coordsize="21600,21600" o:spt="202" path="m,l,21600r21600,l21600,xe">
              <v:stroke joinstyle="miter"/>
              <v:path gradientshapeok="t" o:connecttype="rect"/>
            </v:shapetype>
            <v:shape id="Text Box 3" o:spid="_x0000_s1030" type="#_x0000_t202" style="position:absolute;margin-left:782.35pt;margin-top:0;width:17pt;height:481.9pt;z-index:25165824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WZQIAANQEAAAOAAAAZHJzL2Uyb0RvYy54bWysVMFuEzEQvSPxD5bvdJNAK7rKpgoNRUhR&#10;WylFPU+8dnaF7TG2k2z4esbe3bYqHBDi4sza4zfznt9kftUZzQ7ShxZtxadnE86kFVi3dlfxbw83&#10;7z5yFiLYGjRaWfGTDPxq8fbN/OhKOcMGdS09IxAbyqOreBOjK4siiEYaCGfopKVDhd5ApE+/K2oP&#10;R0I3uphNJhfFEX3tPAoZAu2u+kO+yPhKSRHvlAoyMl1x6i3m1ed1m9ZiMYdy58E1rRjagH/owkBr&#10;qegT1AoisL1vf4MyrfAYUMUzgaZApVohMwdiM528YrNpwMnMhcQJ7kmm8P9gxe1h4+49i90n7OgB&#10;M4ng1ii+B9KmOLpQDjlJ01AGyk5EO+VN+iUKjC6StqcnPWUXmaDN2fT8ckIngo4upkTwfRa8eL7t&#10;fIhfJBqWgop7eq/cARzWIab6UI4pqZjFm1br/GbasmPFL89n54QP5BylIVJoXF3xYHecgd6RJUX0&#10;GfHF1YS4gtCwA5ArAuq27n3gcW/rjN5IqD/bmsWTI9Nasi5P5YysOdOSYFOUMyO0+m8yiYm2g6C9&#10;hknN2G071lLHHxJa2tlifaL38NhbNThx01K/awjxHjx5k/SkeYt3tCiN1BQOEWcN+p9/2k/5FU8r&#10;sSCvE+kfe/DESX+1ZKY0GGPgx2A7BnZvrpGEmtIkO5FDuuCjHkPl0TzSGC5TFToCK6iTilO1PryO&#10;/cTRGAu5XOYksr+DuLYbJ0bbpXd56B7Bu8EOkYx0i+MUQPnKFX1u74vlPqJqs2WeVRzkptHJThrG&#10;PM3my++c9fxntPgF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yPkZlm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06A04C53" w14:textId="50C51A05" w:rsidR="002C2667" w:rsidRDefault="002C2667" w:rsidP="002C2667">
                    <w:pPr>
                      <w:pStyle w:val="Header"/>
                    </w:pPr>
                    <w:r>
                      <w:t>FCCC/PA/CMA/2024/17/Add.1</w:t>
                    </w:r>
                  </w:p>
                </w:txbxContent>
              </v:textbox>
              <w10:wrap anchorx="page" anchory="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D3B5" w14:textId="48BFDF92" w:rsidR="00C86F14" w:rsidRPr="00C86F14" w:rsidRDefault="002C2667" w:rsidP="00C86F14">
    <w:r>
      <w:rPr>
        <w:noProof/>
      </w:rPr>
      <mc:AlternateContent>
        <mc:Choice Requires="wps">
          <w:drawing>
            <wp:anchor distT="0" distB="0" distL="114300" distR="114300" simplePos="0" relativeHeight="251658245" behindDoc="0" locked="0" layoutInCell="1" allowOverlap="1" wp14:anchorId="03F0D09D" wp14:editId="516A3A02">
              <wp:simplePos x="0" y="0"/>
              <wp:positionH relativeFrom="page">
                <wp:posOffset>9935845</wp:posOffset>
              </wp:positionH>
              <wp:positionV relativeFrom="margin">
                <wp:posOffset>0</wp:posOffset>
              </wp:positionV>
              <wp:extent cx="215900" cy="6120130"/>
              <wp:effectExtent l="0" t="0" r="12700" b="13970"/>
              <wp:wrapNone/>
              <wp:docPr id="9846136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AAB2833" w14:textId="4CC509D5" w:rsidR="002C2667" w:rsidRDefault="002C2667" w:rsidP="002C2667">
                          <w:pPr>
                            <w:pStyle w:val="Header"/>
                            <w:jc w:val="right"/>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3F0D09D" id="_x0000_t202" coordsize="21600,21600" o:spt="202" path="m,l,21600r21600,l21600,xe">
              <v:stroke joinstyle="miter"/>
              <v:path gradientshapeok="t" o:connecttype="rect"/>
            </v:shapetype>
            <v:shape id="Text Box 5" o:spid="_x0000_s1031" type="#_x0000_t202" style="position:absolute;margin-left:782.35pt;margin-top:0;width:17pt;height:481.9pt;z-index:25165824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2zZQIAANQEAAAOAAAAZHJzL2Uyb0RvYy54bWysVMFu2zAMvQ/YPwi6r04ypFiNOkXWLMOA&#10;oC3QFj0zshQLk0VNUhJnXz9Kttui22EYdlFoiXrke3rM5VXXGnaQPmi0FZ+eTTiTVmCt7a7ijw/r&#10;D584CxFsDQatrPhJBn61eP/u8uhKOcMGTS09IxAbyqOreBOjK4siiEa2EM7QSUuHCn0LkT79rqg9&#10;HAm9NcVsMjkvjuhr51HIEGh31R/yRcZXSop4q1SQkZmKU28xrz6v27QWi0sodx5co8XQBvxDFy1o&#10;S0WfoVYQge29/g2q1cJjQBXPBLYFKqWFzByIzXTyhs19A05mLiROcM8yhf8HK24O9+7Os9h9xo4e&#10;MJMIboPieyBtiqML5ZCTNA1loOxEtFO+Tb9EgdFF0vb0rKfsIhO0OZvOLyZ0IujofEoEP2bBi5fb&#10;zof4VWLLUlBxT++VO4DDJsRUH8oxJRWzuNbG5Dczlh0rfjGfzQkfyDnKQKSwdXXFg91xBmZHlhTR&#10;Z8RXVxPiCkLDDkCuCGh03fvA497WGb2RUH+xNYsnR6a1ZF2eyrWy5sxIgk1Rzoygzd9kEhNjB0F7&#10;DZOasdt2TFPH84SWdrZYn+g9PPZWDU6sNfW7gRDvwJM3SU+at3hLizJITeEQcdag//mn/ZRf8bQS&#10;C/I6kf6xB0+czDdLZkqDMQZ+DLZjYPftNZJQU5pkJ3JIF3w0Y6g8tk80hstUhY7ACuqk4lStD69j&#10;P3E0xkIulzmJ7O8gbuy9E6Pt0rs8dE/g3WCHSEa6wXEKoHzjij6398VyH1HpbJkXFQe5aXSyk4Yx&#10;T7P5+jtnvfwZLX4B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SV49s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6AAB2833" w14:textId="4CC509D5" w:rsidR="002C2667" w:rsidRDefault="002C2667" w:rsidP="002C2667">
                    <w:pPr>
                      <w:pStyle w:val="Header"/>
                      <w:jc w:val="right"/>
                    </w:pPr>
                    <w:r>
                      <w:t>FCCC/PA/CMA/2024/17/Add.1</w:t>
                    </w:r>
                  </w:p>
                </w:txbxContent>
              </v:textbox>
              <w10:wrap anchorx="page" anchory="margin"/>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753C" w14:textId="0FCCAAB5" w:rsidR="00C86F14" w:rsidRPr="00C86F14" w:rsidRDefault="002C2667" w:rsidP="00C86F14">
    <w:r>
      <w:rPr>
        <w:noProof/>
      </w:rPr>
      <mc:AlternateContent>
        <mc:Choice Requires="wps">
          <w:drawing>
            <wp:anchor distT="0" distB="0" distL="114300" distR="114300" simplePos="0" relativeHeight="251658252" behindDoc="0" locked="0" layoutInCell="1" allowOverlap="1" wp14:anchorId="39BD93CF" wp14:editId="585CB236">
              <wp:simplePos x="0" y="0"/>
              <wp:positionH relativeFrom="page">
                <wp:posOffset>9935845</wp:posOffset>
              </wp:positionH>
              <wp:positionV relativeFrom="margin">
                <wp:posOffset>0</wp:posOffset>
              </wp:positionV>
              <wp:extent cx="215900" cy="6120130"/>
              <wp:effectExtent l="0" t="0" r="12700" b="13970"/>
              <wp:wrapNone/>
              <wp:docPr id="16309949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1A66B46" w14:textId="2FF9B1F7" w:rsidR="002C2667" w:rsidRDefault="002C2667" w:rsidP="002C2667">
                          <w:pPr>
                            <w:pStyle w:val="Header"/>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9BD93CF" id="_x0000_t202" coordsize="21600,21600" o:spt="202" path="m,l,21600r21600,l21600,xe">
              <v:stroke joinstyle="miter"/>
              <v:path gradientshapeok="t" o:connecttype="rect"/>
            </v:shapetype>
            <v:shape id="Text Box 11" o:spid="_x0000_s1034" type="#_x0000_t202" style="position:absolute;margin-left:782.35pt;margin-top:0;width:17pt;height:481.9pt;z-index:25165825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wZQIAANQEAAAOAAAAZHJzL2Uyb0RvYy54bWysVMFu2zAMvQ/YPwi6r04ypGiNOkXWLsOA&#10;oC2QDj0zshQbk0RNUhJnXz9Kttui22EYdlFoiXrke3rM1XVnNDtIH1q0FZ+eTTiTVmDd2l3Fvz2u&#10;PlxwFiLYGjRaWfGTDPx68f7d1dGVcoYN6lp6RiA2lEdX8SZGVxZFEI00EM7QSUuHCr2BSJ9+V9Qe&#10;joRudDGbTM6LI/raeRQyBNq97Q/5IuMrJUW8VyrIyHTFqbeYV5/XbVqLxRWUOw+uacXQBvxDFwZa&#10;S0WfoW4hAtv79jco0wqPAVU8E2gKVKoVMnMgNtPJGzabBpzMXEic4J5lCv8PVtwdNu7Bs9h9wo4e&#10;MJMIbo3ieyBtiqML5ZCTNA1loOxEtFPepF+iwOgiaXt61lN2kQnanE3nlxM6EXR0PiWCH7Pgxctt&#10;50P8ItGwFFTc03vlDuCwDjHVh3JMScUsrlqt85tpy44Vv5zP5oQP5BylIVJoXF3xYHecgd6RJUX0&#10;GfHV1YR4C6FhByBXBNRt3fvA497WGb2RUH+2NYsnR6a1ZF2eyhlZc6YlwaYoZ0Zo9d9kEhNtB0F7&#10;DZOasdt2rKWOLxJa2tlifaL38NhbNTixaqnfNYT4AJ68SXrSvMV7WpRGagqHiLMG/c8/7af8iqeV&#10;WJDXifSPPXjipL9aMlMajDHwY7AdA7s3N0hCTWmSncghXfBRj6HyaJ5oDJepCh2BFdRJxalaH97E&#10;fuJojIVcLnMS2d9BXNuNE6Pt0rs8dk/g3WCHSEa6w3EKoHzjij6398VyH1G12TIvKg5y0+hkJw1j&#10;nmbz9XfOevkzWvwC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hV3f8G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71A66B46" w14:textId="2FF9B1F7" w:rsidR="002C2667" w:rsidRDefault="002C2667" w:rsidP="002C2667">
                    <w:pPr>
                      <w:pStyle w:val="Header"/>
                    </w:pPr>
                    <w:r>
                      <w:t>FCCC/PA/CMA/2024/17/Add.1</w:t>
                    </w:r>
                  </w:p>
                </w:txbxContent>
              </v:textbox>
              <w10:wrap anchorx="page" anchory="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CF7D" w14:textId="1FEE337C" w:rsidR="00C86F14" w:rsidRPr="00C86F14" w:rsidRDefault="002C2667" w:rsidP="00C86F14">
    <w:r>
      <w:rPr>
        <w:noProof/>
      </w:rPr>
      <mc:AlternateContent>
        <mc:Choice Requires="wps">
          <w:drawing>
            <wp:anchor distT="0" distB="0" distL="114300" distR="114300" simplePos="0" relativeHeight="251658253" behindDoc="0" locked="0" layoutInCell="1" allowOverlap="1" wp14:anchorId="1039E7BB" wp14:editId="1ED22F79">
              <wp:simplePos x="0" y="0"/>
              <wp:positionH relativeFrom="page">
                <wp:posOffset>9935845</wp:posOffset>
              </wp:positionH>
              <wp:positionV relativeFrom="margin">
                <wp:posOffset>0</wp:posOffset>
              </wp:positionV>
              <wp:extent cx="215900" cy="6120130"/>
              <wp:effectExtent l="0" t="0" r="12700" b="13970"/>
              <wp:wrapNone/>
              <wp:docPr id="782017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AB27E11" w14:textId="7083DA7F" w:rsidR="002C2667" w:rsidRDefault="002C2667" w:rsidP="002C2667">
                          <w:pPr>
                            <w:pStyle w:val="Header"/>
                            <w:jc w:val="right"/>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039E7BB" id="_x0000_t202" coordsize="21600,21600" o:spt="202" path="m,l,21600r21600,l21600,xe">
              <v:stroke joinstyle="miter"/>
              <v:path gradientshapeok="t" o:connecttype="rect"/>
            </v:shapetype>
            <v:shape id="Text Box 9" o:spid="_x0000_s1035" type="#_x0000_t202" style="position:absolute;margin-left:782.35pt;margin-top:0;width:17pt;height:481.9pt;z-index:25165825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VZQIAANQEAAAOAAAAZHJzL2Uyb0RvYy54bWysVMFuEzEQvSPxD5bvdJOgVnTVTRVaipCi&#10;UqlFPU+8dtbC9hjbSTZ8PWPvblsVDghxcWbt8Zt5z29ycdlbw/YyRI2u4fOTGWfSCWy12zb828PN&#10;uw+cxQSuBYNONvwoI79cvn1zcfC1XGCHppWBEYiL9cE3vEvJ11UVRSctxBP00tGhwmAh0WfYVm2A&#10;A6FbUy1ms7PqgKH1AYWMkXavh0O+LPhKSZG+KhVlYqbh1FsqayjrJq/V8gLqbQDfaTG2Af/QhQXt&#10;qOgT1DUkYLugf4OyWgSMqNKJQFuhUlrIwoHYzGev2Nx34GXhQuJE/yRT/H+w4nZ/7+8CS/1H7OkB&#10;C4no1yi+R9KmOvhYjzlZ01hHys5EexVs/iUKjC6StscnPWWfmKDNxfz0fEYngo7O5kTwfRG8er7t&#10;Q0yfJVqWg4YHeq/SAezXMeX6UE8puZjDG21MeTPj2KHh56eLU8IHco4ykCi0vm14dFvOwGzJkiKF&#10;gvjiaka8htixPZArIhrdDj4IuHNtQe8ktJ9cy9LRk2kdWZfncla2nBlJsDkqmQm0+ZtMYmLcKOig&#10;YVYz9Zueaer4PKPlnQ22R3qPgINVoxc3mvpdQ0x3EMibpCfNW/pKizJITeEYcdZh+Pmn/Zzf8LwS&#10;C/I6kf6xg0CczBdHZsqDMQVhCjZT4Hb2CkmoOU2yFyWkCyGZKVQB7SON4SpXoSNwgjppOFUbwqs0&#10;TByNsZCrVUki+3tIa3fvxWS7/C4P/SMEP9ohkZFucZoCqF+5YsgdfLHaJVS6WOZZxVFuGp3ipHHM&#10;82y+/C5Zz39Gy1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BPr71W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5AB27E11" w14:textId="7083DA7F" w:rsidR="002C2667" w:rsidRDefault="002C2667" w:rsidP="002C2667">
                    <w:pPr>
                      <w:pStyle w:val="Header"/>
                      <w:jc w:val="right"/>
                    </w:pPr>
                    <w:r>
                      <w:t>FCCC/PA/CMA/2024/17/Add.1</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A045" w14:textId="14EDAF7B" w:rsidR="00C86F14" w:rsidRPr="00C86F14" w:rsidRDefault="00C86F14" w:rsidP="00C86F14">
    <w:r>
      <w:rPr>
        <w:noProof/>
      </w:rPr>
      <mc:AlternateContent>
        <mc:Choice Requires="wps">
          <w:drawing>
            <wp:anchor distT="0" distB="0" distL="114300" distR="114300" simplePos="0" relativeHeight="251658249" behindDoc="0" locked="0" layoutInCell="1" allowOverlap="1" wp14:anchorId="7D71CB7C" wp14:editId="406A022D">
              <wp:simplePos x="0" y="0"/>
              <wp:positionH relativeFrom="page">
                <wp:posOffset>9935845</wp:posOffset>
              </wp:positionH>
              <wp:positionV relativeFrom="margin">
                <wp:posOffset>0</wp:posOffset>
              </wp:positionV>
              <wp:extent cx="215900" cy="6120130"/>
              <wp:effectExtent l="0" t="0" r="12700" b="139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B69527C" w14:textId="5F93B747" w:rsidR="00C86F14" w:rsidRDefault="00C86F14" w:rsidP="00C86F14">
                          <w:pPr>
                            <w:pStyle w:val="Header"/>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D71CB7C" id="_x0000_t202" coordsize="21600,21600" o:spt="202" path="m,l,21600r21600,l21600,xe">
              <v:stroke joinstyle="miter"/>
              <v:path gradientshapeok="t" o:connecttype="rect"/>
            </v:shapetype>
            <v:shape id="Text Box 25" o:spid="_x0000_s1038" type="#_x0000_t202" style="position:absolute;margin-left:782.35pt;margin-top:0;width:17pt;height:481.9pt;z-index:25165824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bbZgIAANU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fJHh8tYG2yM9SMDBq9GLa00NryGmOwhkThKUBi7d0qIMUlc4Rpx1GH7+aT/nNzyv&#10;RIPMTqx/7CAQKfPVkZvyZExBmILNFLidvURSak6j7EUJ6UJIZgpVQPtIc7jKVegInKBOGk7VhvAy&#10;DSNHcyzkalWSyP8e0trdezH5Lj/MQ/8IwY9+SOSkG5zGAOpXthhyB2OsdgmVLp55VnHUm2anWGmc&#10;8zycL79L1vO/0fIXAA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IkMhtt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1B69527C" w14:textId="5F93B747" w:rsidR="00C86F14" w:rsidRDefault="00C86F14" w:rsidP="00C86F14">
                    <w:pPr>
                      <w:pStyle w:val="Header"/>
                    </w:pPr>
                    <w:r>
                      <w:t>FCCC/PA/CMA/2024/17/Add.1</w:t>
                    </w:r>
                  </w:p>
                </w:txbxContent>
              </v:textbox>
              <w10:wrap anchorx="page"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E2B" w14:textId="357396FF" w:rsidR="00C86F14" w:rsidRPr="00C86F14" w:rsidRDefault="002C2667" w:rsidP="00C86F14">
    <w:r>
      <w:rPr>
        <w:noProof/>
      </w:rPr>
      <mc:AlternateContent>
        <mc:Choice Requires="wps">
          <w:drawing>
            <wp:anchor distT="0" distB="0" distL="114300" distR="114300" simplePos="0" relativeHeight="251658250" behindDoc="0" locked="0" layoutInCell="1" allowOverlap="1" wp14:anchorId="2E748D6E" wp14:editId="5C1E92FC">
              <wp:simplePos x="0" y="0"/>
              <wp:positionH relativeFrom="page">
                <wp:posOffset>9935845</wp:posOffset>
              </wp:positionH>
              <wp:positionV relativeFrom="margin">
                <wp:posOffset>0</wp:posOffset>
              </wp:positionV>
              <wp:extent cx="215900" cy="6120130"/>
              <wp:effectExtent l="0" t="0" r="12700" b="13970"/>
              <wp:wrapNone/>
              <wp:docPr id="20762281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3B4B233" w14:textId="6B378FFF" w:rsidR="002C2667" w:rsidRDefault="002C2667" w:rsidP="002C2667">
                          <w:pPr>
                            <w:pStyle w:val="Header"/>
                            <w:jc w:val="right"/>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E748D6E" id="_x0000_t202" coordsize="21600,21600" o:spt="202" path="m,l,21600r21600,l21600,xe">
              <v:stroke joinstyle="miter"/>
              <v:path gradientshapeok="t" o:connecttype="rect"/>
            </v:shapetype>
            <v:shape id="_x0000_s1039" type="#_x0000_t202" style="position:absolute;margin-left:782.35pt;margin-top:0;width:17pt;height:481.9pt;z-index:25165825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6L+ZgIAANUEAAAOAAAAZHJzL2Uyb0RvYy54bWysVMFu2zAMvQ/YPwi6r05SpFiNOkXWLsOA&#10;oC2QDj0zshQLk0VNUhJnXz9Kttui22EYdlFoiXrke3rM1XXXGnaQPmi0FZ+eTTiTVmCt7a7i3x5X&#10;Hz5yFiLYGgxaWfGTDPx68f7d1dGVcoYNmlp6RiA2lEdX8SZGVxZFEI1sIZyhk5YOFfoWIn36XVF7&#10;OBJ6a4rZZHJRHNHXzqOQIdDubX/IFxlfKSnivVJBRmYqTr3FvPq8btNaLK6g3HlwjRZDG/APXbSg&#10;LRV9hrqFCGzv9W9QrRYeA6p4JrAtUCktZOZAbKaTN2w2DTiZuZA4wT3LFP4frLg7bNyDZ7H7hB09&#10;YCYR3BrF90DaFEcXyiEnaRrKQNmJaKd8m36JAqOLpO3pWU/ZRSZoczadX07oRNDRxZQInmfBi5fb&#10;zof4RWLLUlBxT++VO4DDOsRUH8oxJRWzuNLG5Dczlh0rfjmfzQkfyDnKQKSwdXXFg91xBmZHlhTR&#10;Z8RXVxPiLYSGHYBcEdDouveBx72tM3ojof5saxZPjkxrybo8lWtlzZmRBJuinBlBm7/JJCbGDoL2&#10;GiY1Y7ftmKaOp+cJLm1tsT7Rg3jsvRqcWGlqeA0hPoAnc5KgNHDxnhZlkLrCIeKsQf/zT/spv+Jp&#10;JRpkdmL9Yw+eSJmvltyUJmMM/Bhsx8Du2xskpaY0yk7kkC74aMZQeWyfaA6XqQodgRXUScWpWh/e&#10;xH7kaI6FXC5zEvnfQVzbjROj79LDPHZP4N3gh0hOusNxDKB8Y4s+tzfGch9R6eyZFxUHvWl2spWG&#10;OU/D+fo7Z738Gy1+AQ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Airov5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03B4B233" w14:textId="6B378FFF" w:rsidR="002C2667" w:rsidRDefault="002C2667" w:rsidP="002C2667">
                    <w:pPr>
                      <w:pStyle w:val="Header"/>
                      <w:jc w:val="right"/>
                    </w:pPr>
                    <w:r>
                      <w:t>FCCC/PA/CMA/2024/17/Add.1</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9A77" w14:textId="557575B9" w:rsidR="003F6A01" w:rsidRPr="00C86F14" w:rsidRDefault="00C86F14" w:rsidP="00C86F14">
    <w:pPr>
      <w:pStyle w:val="Header"/>
      <w:jc w:val="right"/>
    </w:pPr>
    <w:r w:rsidRPr="000F7451">
      <w:t>FCCC/PA/CMA/2024/1</w:t>
    </w:r>
    <w:r>
      <w:t>7/Add.1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0CB3A" w14:textId="508767CE" w:rsidR="00CB20BB" w:rsidRPr="00C86F14" w:rsidRDefault="000C7AC3" w:rsidP="00C86F14">
    <w:r>
      <w:rPr>
        <w:noProof/>
      </w:rPr>
      <mc:AlternateContent>
        <mc:Choice Requires="wps">
          <w:drawing>
            <wp:anchor distT="0" distB="0" distL="114300" distR="114300" simplePos="0" relativeHeight="251658257" behindDoc="0" locked="0" layoutInCell="1" allowOverlap="1" wp14:anchorId="5B64E067" wp14:editId="2EE9E830">
              <wp:simplePos x="0" y="0"/>
              <wp:positionH relativeFrom="page">
                <wp:posOffset>9935845</wp:posOffset>
              </wp:positionH>
              <wp:positionV relativeFrom="margin">
                <wp:posOffset>0</wp:posOffset>
              </wp:positionV>
              <wp:extent cx="215900" cy="6120130"/>
              <wp:effectExtent l="0" t="0" r="12700" b="13970"/>
              <wp:wrapNone/>
              <wp:docPr id="16377105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BEC4667" w14:textId="6B567A7B" w:rsidR="000C7AC3" w:rsidRDefault="000C7AC3" w:rsidP="002D4225">
                          <w:pPr>
                            <w:pStyle w:val="Header"/>
                          </w:pPr>
                          <w:r>
                            <w:t>FCCC/PA/CMA/2024/17/Add.1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B64E067" id="_x0000_t202" coordsize="21600,21600" o:spt="202" path="m,l,21600r21600,l21600,xe">
              <v:stroke joinstyle="miter"/>
              <v:path gradientshapeok="t" o:connecttype="rect"/>
            </v:shapetype>
            <v:shape id="_x0000_s1041" type="#_x0000_t202" style="position:absolute;margin-left:782.35pt;margin-top:0;width:17pt;height:481.9pt;z-index:25165825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kgZgIAANUEAAAOAAAAZHJzL2Uyb0RvYy54bWysVMFu2zAMvQ/YPwi6r04ypFiNOkXWLMOA&#10;oC3QFj0zshQLk0VNUhJnXz9Kttui22EYdlFoiXrke3rM5VXXGnaQPmi0FZ+eTTiTVmCt7a7ijw/r&#10;D584CxFsDQatrPhJBn61eP/u8uhKOcMGTS09IxAbyqOreBOjK4siiEa2EM7QSUuHCn0LkT79rqg9&#10;HAm9NcVsMjkvjuhr51HIEGh31R/yRcZXSop4q1SQkZmKU28xrz6v27QWi0sodx5co8XQBvxDFy1o&#10;S0WfoVYQge29/g2q1cJjQBXPBLYFKqWFzByIzXTyhs19A05mLiROcM8yhf8HK24O9+7Os9h9xo4e&#10;MJMIboPieyBtiqML5ZCTNA1loOxEtFO+Tb9EgdFF0vb0rKfsIhO0OZvOLyZ0IujofEoEP2bBi5fb&#10;zof4VWLLUlBxT++VO4DDJsRUH8oxJRWzuNbG5Dczlh0rfjGfzQkfyDnKQKSwdXXFg91xBmZHlhTR&#10;Z8RXVxPiCkLDDkCuCGh03fvA497WGb2RUH+xNYsnR6a1ZF2eyrWy5sxIgk1Rzoygzd9kEhNjB0F7&#10;DZOasdt2TFPH03mCS1tbrE/0IB57rwYn1poa3kCId+DJnCQoDVy8pUUZpK5wiDhr0P/8037Kr3ha&#10;iQaZnVj/2IMnUuabJTelyRgDPwbbMbD79hpJqSmNshM5pAs+mjFUHtsnmsNlqkJHYAV1UnGq1ofX&#10;sR85mmMhl8ucRP53EDf23onRd+lhHron8G7wQyQn3eA4BlC+sUWf2xtjuY+odPbMi4qD3jQ72UrD&#10;nKfhfP2ds17+jRa/AAAA//8DAFBLAwQUAAYACAAAACEAkmDmFd4AAAAKAQAADwAAAGRycy9kb3du&#10;cmV2LnhtbEyP30rDMBTG7wXfIRzBO5duuq6rTcdQpjBBsPMBsia2Yc1JSdKtfXvPrvTyx/fx/Sk2&#10;o+3YWftgHAqYzxJgGmunDDYCvg+7hwxYiBKV7BxqAZMOsClvbwqZK3fBL32uYsMoBEMuBbQx9jnn&#10;oW61lWHmeo2k/ThvZST0DVdeXijcdnyRJCm30iA1tLLXL62uT9VgBZjXnZ+/b437rKZTtXhz6fAx&#10;7YW4vxu3z8CiHuOfGa7zaTqUtOnoBlSBdcTL9GlFXgF06aov1xnxUcA6fcyAlwX/f6H8BQAA//8D&#10;AFBLAQItABQABgAIAAAAIQC2gziS/gAAAOEBAAATAAAAAAAAAAAAAAAAAAAAAABbQ29udGVudF9U&#10;eXBlc10ueG1sUEsBAi0AFAAGAAgAAAAhADj9If/WAAAAlAEAAAsAAAAAAAAAAAAAAAAALwEAAF9y&#10;ZWxzLy5yZWxzUEsBAi0AFAAGAAgAAAAhAA56eSBmAgAA1QQAAA4AAAAAAAAAAAAAAAAALgIAAGRy&#10;cy9lMm9Eb2MueG1sUEsBAi0AFAAGAAgAAAAhAJJg5hXeAAAACgEAAA8AAAAAAAAAAAAAAAAAwAQA&#10;AGRycy9kb3ducmV2LnhtbFBLBQYAAAAABAAEAPMAAADLBQAAAAA=&#10;" filled="f" stroked="f">
              <v:stroke joinstyle="round"/>
              <v:path arrowok="t"/>
              <v:textbox style="layout-flow:vertical" inset="0,0,0,0">
                <w:txbxContent>
                  <w:p w14:paraId="6BEC4667" w14:textId="6B567A7B" w:rsidR="000C7AC3" w:rsidRDefault="000C7AC3" w:rsidP="002D4225">
                    <w:pPr>
                      <w:pStyle w:val="Header"/>
                    </w:pPr>
                    <w:r>
                      <w:t>FCCC/PA/CMA/2024/17/Add.1</w:t>
                    </w:r>
                  </w:p>
                </w:txbxContent>
              </v:textbox>
              <w10:wrap anchorx="page" anchory="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6C0B" w14:textId="36A0BA1C" w:rsidR="00AD5ED7" w:rsidRDefault="00AD5ED7" w:rsidP="002C2667"/>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01DD" w14:textId="7FAEABC3" w:rsidR="005A340B" w:rsidRPr="00FB6660" w:rsidRDefault="00FB6660" w:rsidP="00FB6660">
    <w:pPr>
      <w:pStyle w:val="Header"/>
    </w:pPr>
    <w:r>
      <w:t>FCCC/PA/CMA/2024/17/Add.1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4FAD" w14:textId="4E070061" w:rsidR="00C86F14" w:rsidRPr="00520EC0" w:rsidRDefault="00520EC0" w:rsidP="00520EC0">
    <w:pPr>
      <w:pStyle w:val="Header"/>
      <w:jc w:val="right"/>
    </w:pPr>
    <w:r>
      <w:t>FCCC/PA/CMA/2024/17/Add.1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D922" w14:textId="22CAEA44" w:rsidR="00C86F14" w:rsidRPr="004B64A4" w:rsidRDefault="004B64A4" w:rsidP="004B64A4">
    <w:pPr>
      <w:pStyle w:val="Header"/>
    </w:pPr>
    <w:r>
      <w:t>FCCC/PA/CMA/2024/17/Add.1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B383" w14:textId="3410BEFE" w:rsidR="00C86F14" w:rsidRPr="00FB6660" w:rsidRDefault="00FB6660" w:rsidP="00FB6660">
    <w:pPr>
      <w:pStyle w:val="Header"/>
      <w:jc w:val="right"/>
    </w:pPr>
    <w:r>
      <w:t>FCCC/PA/CMA/2024/17/Add.1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749F" w14:textId="48B08B9C" w:rsidR="00C86F14" w:rsidRPr="00C86F14" w:rsidRDefault="00C86F14" w:rsidP="00C86F14">
    <w:pPr>
      <w:pStyle w:val="Header"/>
    </w:pPr>
    <w:r>
      <w:t>FCCC/PA/CMA/2024/17/Add.1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EEB4" w14:textId="1715F85E" w:rsidR="00C86F14" w:rsidRPr="00D8268B" w:rsidRDefault="00D8268B" w:rsidP="00D8268B">
    <w:pPr>
      <w:pStyle w:val="Header"/>
      <w:jc w:val="right"/>
    </w:pPr>
    <w:r>
      <w:t>FCCC/PA/CMA/2024/17/Add.1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430F" w14:textId="77777777" w:rsidR="00137B06" w:rsidRDefault="00137B06" w:rsidP="00137B0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6FFD" w14:textId="305E1F46" w:rsidR="00DC7423" w:rsidRPr="00C86F14" w:rsidRDefault="00C86F14" w:rsidP="00C86F14">
    <w:pPr>
      <w:pStyle w:val="Header"/>
    </w:pPr>
    <w:r>
      <w:t>FCCC/PA/CMA/2024/17/Add.1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F9E8" w14:textId="6B5A3A1F" w:rsidR="00C86F14" w:rsidRPr="00C86F14" w:rsidRDefault="00C86F14" w:rsidP="00C86F14">
    <w:pPr>
      <w:pStyle w:val="Header"/>
      <w:jc w:val="right"/>
    </w:pPr>
    <w:r>
      <w:t>FCCC/PA/CMA/2024/17/Add.1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9C69" w14:textId="6BD1B9E0" w:rsidR="00C86F14" w:rsidRPr="00C86F14" w:rsidRDefault="00C86F14" w:rsidP="00C86F14">
    <w:pPr>
      <w:pStyle w:val="Header"/>
    </w:pPr>
    <w:r>
      <w:t>FCCC/PA/CMA/2024/17/Add.1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5126" w14:textId="3B875B83" w:rsidR="00C86F14" w:rsidRPr="00C86F14" w:rsidRDefault="00C86F14" w:rsidP="00C86F14">
    <w:pPr>
      <w:pStyle w:val="Header"/>
      <w:jc w:val="right"/>
    </w:pPr>
    <w:r>
      <w:t>FCCC/PA/CMA/2024/17/Add.1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A43C" w14:textId="4A861983" w:rsidR="003B4E09" w:rsidRPr="00C86F14" w:rsidRDefault="00C86F14" w:rsidP="00C86F14">
    <w:pPr>
      <w:pStyle w:val="Header"/>
    </w:pPr>
    <w:r>
      <w:t>FCCC/PA/CMA/2024/17/Add.1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F99F" w14:textId="4F7EA42D" w:rsidR="003B4E09" w:rsidRPr="00C86F14" w:rsidRDefault="00C86F14" w:rsidP="00C86F14">
    <w:pPr>
      <w:pStyle w:val="Header"/>
      <w:jc w:val="right"/>
    </w:pPr>
    <w:r>
      <w:t>FCCC/PA/CMA/2024/17/Add.1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55BA4F42"/>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iCs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4775C81"/>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5" w15:restartNumberingAfterBreak="0">
    <w:nsid w:val="162E299F"/>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0"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96F4E"/>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4" w15:restartNumberingAfterBreak="0">
    <w:nsid w:val="40B341E5"/>
    <w:multiLevelType w:val="multilevel"/>
    <w:tmpl w:val="C29EC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052A3"/>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D64067"/>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2083289885">
    <w:abstractNumId w:val="3"/>
  </w:num>
  <w:num w:numId="2" w16cid:durableId="8259867">
    <w:abstractNumId w:val="7"/>
  </w:num>
  <w:num w:numId="3" w16cid:durableId="1678733448">
    <w:abstractNumId w:val="10"/>
  </w:num>
  <w:num w:numId="4" w16cid:durableId="78605626">
    <w:abstractNumId w:val="1"/>
  </w:num>
  <w:num w:numId="5" w16cid:durableId="2091079493">
    <w:abstractNumId w:val="0"/>
  </w:num>
  <w:num w:numId="6" w16cid:durableId="1511025763">
    <w:abstractNumId w:val="18"/>
  </w:num>
  <w:num w:numId="7" w16cid:durableId="1293829587">
    <w:abstractNumId w:val="9"/>
  </w:num>
  <w:num w:numId="8" w16cid:durableId="499620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1275507">
    <w:abstractNumId w:val="14"/>
  </w:num>
  <w:num w:numId="10" w16cid:durableId="825515233">
    <w:abstractNumId w:val="19"/>
  </w:num>
  <w:num w:numId="11" w16cid:durableId="1676767002">
    <w:abstractNumId w:val="13"/>
  </w:num>
  <w:num w:numId="12" w16cid:durableId="179701493">
    <w:abstractNumId w:val="4"/>
  </w:num>
  <w:num w:numId="13" w16cid:durableId="563100497">
    <w:abstractNumId w:val="5"/>
  </w:num>
  <w:num w:numId="14" w16cid:durableId="1070078553">
    <w:abstractNumId w:val="16"/>
  </w:num>
  <w:num w:numId="15" w16cid:durableId="1449398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59497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6542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1527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7328551">
    <w:abstractNumId w:val="3"/>
    <w:lvlOverride w:ilvl="0">
      <w:startOverride w:val="1"/>
      <w:lvl w:ilvl="0">
        <w:start w:val="1"/>
        <w:numFmt w:val="decimal"/>
        <w:pStyle w:val="RegHChG"/>
        <w:lvlText w:val=""/>
        <w:lvlJc w:val="left"/>
      </w:lvl>
    </w:lvlOverride>
    <w:lvlOverride w:ilvl="1">
      <w:startOverride w:val="1"/>
      <w:lvl w:ilvl="1">
        <w:start w:val="1"/>
        <w:numFmt w:val="decimal"/>
        <w:pStyle w:val="RegH1G"/>
        <w:lvlText w:val=""/>
        <w:lvlJc w:val="left"/>
      </w:lvl>
    </w:lvlOverride>
    <w:lvlOverride w:ilvl="2">
      <w:startOverride w:val="1"/>
      <w:lvl w:ilvl="2">
        <w:start w:val="1"/>
        <w:numFmt w:val="decimal"/>
        <w:pStyle w:val="RegH23G"/>
        <w:lvlText w:val=""/>
        <w:lvlJc w:val="left"/>
      </w:lvl>
    </w:lvlOverride>
    <w:lvlOverride w:ilvl="3">
      <w:startOverride w:val="1"/>
      <w:lvl w:ilvl="3">
        <w:start w:val="1"/>
        <w:numFmt w:val="decimal"/>
        <w:pStyle w:val="RegH4G"/>
        <w:lvlText w:val=""/>
        <w:lvlJc w:val="left"/>
      </w:lvl>
    </w:lvlOverride>
    <w:lvlOverride w:ilvl="4">
      <w:startOverride w:val="1"/>
      <w:lvl w:ilvl="4">
        <w:start w:val="1"/>
        <w:numFmt w:val="decimal"/>
        <w:pStyle w:val="RegH5G"/>
        <w:lvlText w:val=""/>
        <w:lvlJc w:val="left"/>
      </w:lvl>
    </w:lvlOverride>
    <w:lvlOverride w:ilvl="5">
      <w:startOverride w:val="1"/>
      <w:lvl w:ilvl="5">
        <w:start w:val="1"/>
        <w:numFmt w:val="decimal"/>
        <w:lvlRestart w:val="0"/>
        <w:pStyle w:val="RegSingleTxtG"/>
        <w:lvlText w:val="%6."/>
        <w:lvlJc w:val="left"/>
        <w:pPr>
          <w:ind w:left="1134" w:firstLine="0"/>
        </w:pPr>
        <w:rPr>
          <w:rFonts w:hint="default"/>
          <w:b w:val="0"/>
          <w:i w:val="0"/>
          <w:iCs/>
          <w:sz w:val="20"/>
        </w:rPr>
      </w:lvl>
    </w:lvlOverride>
  </w:num>
  <w:num w:numId="20" w16cid:durableId="876261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0120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2959002">
    <w:abstractNumId w:val="3"/>
  </w:num>
  <w:num w:numId="23" w16cid:durableId="781728924">
    <w:abstractNumId w:val="3"/>
  </w:num>
  <w:num w:numId="24" w16cid:durableId="154968190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0MDY1NjQ0M7I0MTVV0lEKTi0uzszPAykwrAUAwndzkCwAAAA="/>
  </w:docVars>
  <w:rsids>
    <w:rsidRoot w:val="003F6A01"/>
    <w:rsid w:val="00002558"/>
    <w:rsid w:val="000027AA"/>
    <w:rsid w:val="00002D07"/>
    <w:rsid w:val="00004A30"/>
    <w:rsid w:val="00004CF3"/>
    <w:rsid w:val="000052E3"/>
    <w:rsid w:val="0000646C"/>
    <w:rsid w:val="00007089"/>
    <w:rsid w:val="00010522"/>
    <w:rsid w:val="0001143D"/>
    <w:rsid w:val="000114D8"/>
    <w:rsid w:val="00011DC0"/>
    <w:rsid w:val="00012AEF"/>
    <w:rsid w:val="00012B23"/>
    <w:rsid w:val="00012CEF"/>
    <w:rsid w:val="0001443A"/>
    <w:rsid w:val="00016977"/>
    <w:rsid w:val="00016F44"/>
    <w:rsid w:val="00017DEB"/>
    <w:rsid w:val="00021767"/>
    <w:rsid w:val="00021BB6"/>
    <w:rsid w:val="00022DEB"/>
    <w:rsid w:val="00023443"/>
    <w:rsid w:val="000235A4"/>
    <w:rsid w:val="0002382B"/>
    <w:rsid w:val="0002421F"/>
    <w:rsid w:val="000246D9"/>
    <w:rsid w:val="000264F4"/>
    <w:rsid w:val="00026AB9"/>
    <w:rsid w:val="00027358"/>
    <w:rsid w:val="00027863"/>
    <w:rsid w:val="00027F7F"/>
    <w:rsid w:val="00030C10"/>
    <w:rsid w:val="000311DD"/>
    <w:rsid w:val="00032403"/>
    <w:rsid w:val="00032DDE"/>
    <w:rsid w:val="00033C19"/>
    <w:rsid w:val="000341B8"/>
    <w:rsid w:val="00034AE3"/>
    <w:rsid w:val="00035032"/>
    <w:rsid w:val="00035C77"/>
    <w:rsid w:val="00036185"/>
    <w:rsid w:val="000364EE"/>
    <w:rsid w:val="00036B33"/>
    <w:rsid w:val="00036E2B"/>
    <w:rsid w:val="000371DD"/>
    <w:rsid w:val="00037650"/>
    <w:rsid w:val="0003776D"/>
    <w:rsid w:val="000403D2"/>
    <w:rsid w:val="000406F1"/>
    <w:rsid w:val="00040FE5"/>
    <w:rsid w:val="0004206A"/>
    <w:rsid w:val="000421E8"/>
    <w:rsid w:val="000423A6"/>
    <w:rsid w:val="000424F2"/>
    <w:rsid w:val="00042502"/>
    <w:rsid w:val="00042DDE"/>
    <w:rsid w:val="000437BB"/>
    <w:rsid w:val="00043F8D"/>
    <w:rsid w:val="000448D6"/>
    <w:rsid w:val="00045322"/>
    <w:rsid w:val="000463B7"/>
    <w:rsid w:val="00047A3C"/>
    <w:rsid w:val="00047D59"/>
    <w:rsid w:val="0005030A"/>
    <w:rsid w:val="0005090C"/>
    <w:rsid w:val="000517EC"/>
    <w:rsid w:val="00051A04"/>
    <w:rsid w:val="00051D63"/>
    <w:rsid w:val="00052463"/>
    <w:rsid w:val="0005298A"/>
    <w:rsid w:val="00054CCE"/>
    <w:rsid w:val="000550F8"/>
    <w:rsid w:val="0005534F"/>
    <w:rsid w:val="000554FE"/>
    <w:rsid w:val="000555B3"/>
    <w:rsid w:val="000561BD"/>
    <w:rsid w:val="0005678B"/>
    <w:rsid w:val="00057408"/>
    <w:rsid w:val="00057A0A"/>
    <w:rsid w:val="000610B7"/>
    <w:rsid w:val="00062505"/>
    <w:rsid w:val="00062626"/>
    <w:rsid w:val="00063746"/>
    <w:rsid w:val="00063FBC"/>
    <w:rsid w:val="00064CFF"/>
    <w:rsid w:val="00065566"/>
    <w:rsid w:val="000662EC"/>
    <w:rsid w:val="00072323"/>
    <w:rsid w:val="000723FE"/>
    <w:rsid w:val="000726B1"/>
    <w:rsid w:val="000738B1"/>
    <w:rsid w:val="00073BAB"/>
    <w:rsid w:val="00073D67"/>
    <w:rsid w:val="00074855"/>
    <w:rsid w:val="00074EA0"/>
    <w:rsid w:val="00074EC5"/>
    <w:rsid w:val="00074FC8"/>
    <w:rsid w:val="00075A69"/>
    <w:rsid w:val="00076113"/>
    <w:rsid w:val="000773C8"/>
    <w:rsid w:val="00080E4B"/>
    <w:rsid w:val="0008140D"/>
    <w:rsid w:val="00081BB0"/>
    <w:rsid w:val="00081C44"/>
    <w:rsid w:val="00082C76"/>
    <w:rsid w:val="00083647"/>
    <w:rsid w:val="00083B07"/>
    <w:rsid w:val="00084EB8"/>
    <w:rsid w:val="00084EE8"/>
    <w:rsid w:val="000850EA"/>
    <w:rsid w:val="0008756E"/>
    <w:rsid w:val="00087BE9"/>
    <w:rsid w:val="00087E00"/>
    <w:rsid w:val="00087EBF"/>
    <w:rsid w:val="00090016"/>
    <w:rsid w:val="00090A36"/>
    <w:rsid w:val="00090A78"/>
    <w:rsid w:val="00090B04"/>
    <w:rsid w:val="00090E10"/>
    <w:rsid w:val="000913E6"/>
    <w:rsid w:val="00091D5E"/>
    <w:rsid w:val="00091D81"/>
    <w:rsid w:val="000920E7"/>
    <w:rsid w:val="0009231E"/>
    <w:rsid w:val="00092E29"/>
    <w:rsid w:val="00093044"/>
    <w:rsid w:val="00093939"/>
    <w:rsid w:val="00094065"/>
    <w:rsid w:val="00094B0F"/>
    <w:rsid w:val="00094FBB"/>
    <w:rsid w:val="000951AD"/>
    <w:rsid w:val="00095CDA"/>
    <w:rsid w:val="000965EB"/>
    <w:rsid w:val="000A06BA"/>
    <w:rsid w:val="000A0FC1"/>
    <w:rsid w:val="000A11EF"/>
    <w:rsid w:val="000A24FD"/>
    <w:rsid w:val="000A2618"/>
    <w:rsid w:val="000A279E"/>
    <w:rsid w:val="000A3113"/>
    <w:rsid w:val="000A399F"/>
    <w:rsid w:val="000A3AB4"/>
    <w:rsid w:val="000A405C"/>
    <w:rsid w:val="000A4809"/>
    <w:rsid w:val="000A48E7"/>
    <w:rsid w:val="000A4C99"/>
    <w:rsid w:val="000A4F33"/>
    <w:rsid w:val="000A5292"/>
    <w:rsid w:val="000A55E8"/>
    <w:rsid w:val="000A566F"/>
    <w:rsid w:val="000A63B3"/>
    <w:rsid w:val="000A6AF8"/>
    <w:rsid w:val="000A731B"/>
    <w:rsid w:val="000A7A1C"/>
    <w:rsid w:val="000A7C2B"/>
    <w:rsid w:val="000B11A1"/>
    <w:rsid w:val="000B1FD0"/>
    <w:rsid w:val="000B2C86"/>
    <w:rsid w:val="000B2D15"/>
    <w:rsid w:val="000B35F8"/>
    <w:rsid w:val="000B36E6"/>
    <w:rsid w:val="000B37E3"/>
    <w:rsid w:val="000B3CD0"/>
    <w:rsid w:val="000B505C"/>
    <w:rsid w:val="000B626A"/>
    <w:rsid w:val="000B7EB1"/>
    <w:rsid w:val="000C0874"/>
    <w:rsid w:val="000C0E05"/>
    <w:rsid w:val="000C1192"/>
    <w:rsid w:val="000C1D66"/>
    <w:rsid w:val="000C23B2"/>
    <w:rsid w:val="000C24E3"/>
    <w:rsid w:val="000C2712"/>
    <w:rsid w:val="000C4863"/>
    <w:rsid w:val="000C50E7"/>
    <w:rsid w:val="000C5173"/>
    <w:rsid w:val="000C548D"/>
    <w:rsid w:val="000C5C71"/>
    <w:rsid w:val="000C5D52"/>
    <w:rsid w:val="000C63B3"/>
    <w:rsid w:val="000C64F0"/>
    <w:rsid w:val="000C6600"/>
    <w:rsid w:val="000C697F"/>
    <w:rsid w:val="000C6B26"/>
    <w:rsid w:val="000C756C"/>
    <w:rsid w:val="000C77CB"/>
    <w:rsid w:val="000C7AC3"/>
    <w:rsid w:val="000C7FAF"/>
    <w:rsid w:val="000D04CE"/>
    <w:rsid w:val="000D0D57"/>
    <w:rsid w:val="000D0DE9"/>
    <w:rsid w:val="000D1DD2"/>
    <w:rsid w:val="000D25A6"/>
    <w:rsid w:val="000D2AC0"/>
    <w:rsid w:val="000D2CBF"/>
    <w:rsid w:val="000D3CA2"/>
    <w:rsid w:val="000D5DED"/>
    <w:rsid w:val="000D64BD"/>
    <w:rsid w:val="000D6581"/>
    <w:rsid w:val="000D6922"/>
    <w:rsid w:val="000D6D4A"/>
    <w:rsid w:val="000E1A70"/>
    <w:rsid w:val="000E1DE8"/>
    <w:rsid w:val="000E343D"/>
    <w:rsid w:val="000E3BD5"/>
    <w:rsid w:val="000E40BE"/>
    <w:rsid w:val="000E5763"/>
    <w:rsid w:val="000E5A58"/>
    <w:rsid w:val="000E5ECE"/>
    <w:rsid w:val="000E6E68"/>
    <w:rsid w:val="000E722E"/>
    <w:rsid w:val="000E73A0"/>
    <w:rsid w:val="000E7B40"/>
    <w:rsid w:val="000E7C45"/>
    <w:rsid w:val="000E7D51"/>
    <w:rsid w:val="000F13AC"/>
    <w:rsid w:val="000F179D"/>
    <w:rsid w:val="000F17DC"/>
    <w:rsid w:val="000F2C7B"/>
    <w:rsid w:val="000F2D32"/>
    <w:rsid w:val="000F379C"/>
    <w:rsid w:val="000F395D"/>
    <w:rsid w:val="000F4528"/>
    <w:rsid w:val="000F4660"/>
    <w:rsid w:val="000F4A3E"/>
    <w:rsid w:val="000F5020"/>
    <w:rsid w:val="000F5316"/>
    <w:rsid w:val="000F5825"/>
    <w:rsid w:val="000F5A97"/>
    <w:rsid w:val="000F5C0D"/>
    <w:rsid w:val="000F6320"/>
    <w:rsid w:val="000F7451"/>
    <w:rsid w:val="001007C9"/>
    <w:rsid w:val="00101078"/>
    <w:rsid w:val="00101D9F"/>
    <w:rsid w:val="00102259"/>
    <w:rsid w:val="00103310"/>
    <w:rsid w:val="00104656"/>
    <w:rsid w:val="00104705"/>
    <w:rsid w:val="00105D63"/>
    <w:rsid w:val="00106384"/>
    <w:rsid w:val="00106A80"/>
    <w:rsid w:val="001074E4"/>
    <w:rsid w:val="00107536"/>
    <w:rsid w:val="00107B0E"/>
    <w:rsid w:val="00110A16"/>
    <w:rsid w:val="0011157B"/>
    <w:rsid w:val="00111855"/>
    <w:rsid w:val="00112360"/>
    <w:rsid w:val="00112511"/>
    <w:rsid w:val="001126F3"/>
    <w:rsid w:val="00112A41"/>
    <w:rsid w:val="00112F9E"/>
    <w:rsid w:val="00113179"/>
    <w:rsid w:val="00113D0E"/>
    <w:rsid w:val="00114B48"/>
    <w:rsid w:val="0011576B"/>
    <w:rsid w:val="00115933"/>
    <w:rsid w:val="001161E5"/>
    <w:rsid w:val="0011781E"/>
    <w:rsid w:val="00117BA0"/>
    <w:rsid w:val="00120826"/>
    <w:rsid w:val="00120901"/>
    <w:rsid w:val="001209A8"/>
    <w:rsid w:val="00120AA3"/>
    <w:rsid w:val="00120E84"/>
    <w:rsid w:val="001225E8"/>
    <w:rsid w:val="00123C52"/>
    <w:rsid w:val="00124496"/>
    <w:rsid w:val="00124748"/>
    <w:rsid w:val="001250DA"/>
    <w:rsid w:val="00127311"/>
    <w:rsid w:val="001328F9"/>
    <w:rsid w:val="00133294"/>
    <w:rsid w:val="0013495D"/>
    <w:rsid w:val="001349EC"/>
    <w:rsid w:val="00134C29"/>
    <w:rsid w:val="00134F15"/>
    <w:rsid w:val="00136D61"/>
    <w:rsid w:val="00137B06"/>
    <w:rsid w:val="0014047A"/>
    <w:rsid w:val="001404D7"/>
    <w:rsid w:val="0014117A"/>
    <w:rsid w:val="00141407"/>
    <w:rsid w:val="00141710"/>
    <w:rsid w:val="00142A35"/>
    <w:rsid w:val="00143A2E"/>
    <w:rsid w:val="00144B22"/>
    <w:rsid w:val="0014600D"/>
    <w:rsid w:val="001469A5"/>
    <w:rsid w:val="00147293"/>
    <w:rsid w:val="00147C63"/>
    <w:rsid w:val="00147E67"/>
    <w:rsid w:val="00151FB9"/>
    <w:rsid w:val="00152A6E"/>
    <w:rsid w:val="00154375"/>
    <w:rsid w:val="001543D5"/>
    <w:rsid w:val="00154526"/>
    <w:rsid w:val="00154B4E"/>
    <w:rsid w:val="001553B4"/>
    <w:rsid w:val="00155BE7"/>
    <w:rsid w:val="001561B9"/>
    <w:rsid w:val="00156B64"/>
    <w:rsid w:val="00157BC9"/>
    <w:rsid w:val="001600D9"/>
    <w:rsid w:val="00160BD3"/>
    <w:rsid w:val="00161346"/>
    <w:rsid w:val="001638C2"/>
    <w:rsid w:val="00164990"/>
    <w:rsid w:val="00165E84"/>
    <w:rsid w:val="00166715"/>
    <w:rsid w:val="00166CAE"/>
    <w:rsid w:val="00166D40"/>
    <w:rsid w:val="0016709A"/>
    <w:rsid w:val="00167118"/>
    <w:rsid w:val="00170FB9"/>
    <w:rsid w:val="0017135E"/>
    <w:rsid w:val="001720FB"/>
    <w:rsid w:val="001724FB"/>
    <w:rsid w:val="00172CF0"/>
    <w:rsid w:val="00172F29"/>
    <w:rsid w:val="001738F1"/>
    <w:rsid w:val="00173924"/>
    <w:rsid w:val="00173DC0"/>
    <w:rsid w:val="0017498E"/>
    <w:rsid w:val="00174A05"/>
    <w:rsid w:val="001752F9"/>
    <w:rsid w:val="001756F7"/>
    <w:rsid w:val="00176AF9"/>
    <w:rsid w:val="00176D28"/>
    <w:rsid w:val="00177074"/>
    <w:rsid w:val="001777F8"/>
    <w:rsid w:val="00180DE6"/>
    <w:rsid w:val="001811DA"/>
    <w:rsid w:val="00181578"/>
    <w:rsid w:val="00181983"/>
    <w:rsid w:val="00181B89"/>
    <w:rsid w:val="001824A4"/>
    <w:rsid w:val="0018269E"/>
    <w:rsid w:val="00182A8B"/>
    <w:rsid w:val="00184165"/>
    <w:rsid w:val="001844A2"/>
    <w:rsid w:val="0018457B"/>
    <w:rsid w:val="00184B88"/>
    <w:rsid w:val="00184C03"/>
    <w:rsid w:val="001853BC"/>
    <w:rsid w:val="00185AD9"/>
    <w:rsid w:val="001865AF"/>
    <w:rsid w:val="00186603"/>
    <w:rsid w:val="001868CC"/>
    <w:rsid w:val="00186A4F"/>
    <w:rsid w:val="00186E12"/>
    <w:rsid w:val="00187F3C"/>
    <w:rsid w:val="001906D0"/>
    <w:rsid w:val="00190F08"/>
    <w:rsid w:val="001915EF"/>
    <w:rsid w:val="0019165D"/>
    <w:rsid w:val="001925A6"/>
    <w:rsid w:val="0019341A"/>
    <w:rsid w:val="00193445"/>
    <w:rsid w:val="0019430F"/>
    <w:rsid w:val="001945C7"/>
    <w:rsid w:val="00194BFA"/>
    <w:rsid w:val="00194E00"/>
    <w:rsid w:val="00194E11"/>
    <w:rsid w:val="00195018"/>
    <w:rsid w:val="001955DC"/>
    <w:rsid w:val="00195A24"/>
    <w:rsid w:val="00195FF4"/>
    <w:rsid w:val="0019674D"/>
    <w:rsid w:val="001968D3"/>
    <w:rsid w:val="001968F3"/>
    <w:rsid w:val="00196E73"/>
    <w:rsid w:val="00196E77"/>
    <w:rsid w:val="00197228"/>
    <w:rsid w:val="0019754A"/>
    <w:rsid w:val="001A00E6"/>
    <w:rsid w:val="001A0121"/>
    <w:rsid w:val="001A0A3A"/>
    <w:rsid w:val="001A1100"/>
    <w:rsid w:val="001A1FC1"/>
    <w:rsid w:val="001A262F"/>
    <w:rsid w:val="001A2A2B"/>
    <w:rsid w:val="001A3E9A"/>
    <w:rsid w:val="001A493E"/>
    <w:rsid w:val="001A5050"/>
    <w:rsid w:val="001A510D"/>
    <w:rsid w:val="001A594B"/>
    <w:rsid w:val="001A5FE8"/>
    <w:rsid w:val="001A6063"/>
    <w:rsid w:val="001A61C7"/>
    <w:rsid w:val="001A62CA"/>
    <w:rsid w:val="001A6305"/>
    <w:rsid w:val="001A6EB3"/>
    <w:rsid w:val="001A70E2"/>
    <w:rsid w:val="001A7320"/>
    <w:rsid w:val="001A7A79"/>
    <w:rsid w:val="001A7B91"/>
    <w:rsid w:val="001A7E35"/>
    <w:rsid w:val="001B010C"/>
    <w:rsid w:val="001B085A"/>
    <w:rsid w:val="001B0959"/>
    <w:rsid w:val="001B1483"/>
    <w:rsid w:val="001B1809"/>
    <w:rsid w:val="001B342C"/>
    <w:rsid w:val="001B3673"/>
    <w:rsid w:val="001B37CB"/>
    <w:rsid w:val="001B3ABB"/>
    <w:rsid w:val="001B3BDB"/>
    <w:rsid w:val="001B42E1"/>
    <w:rsid w:val="001B4524"/>
    <w:rsid w:val="001B60B8"/>
    <w:rsid w:val="001B6A71"/>
    <w:rsid w:val="001B7144"/>
    <w:rsid w:val="001B79D7"/>
    <w:rsid w:val="001B7FDF"/>
    <w:rsid w:val="001C003A"/>
    <w:rsid w:val="001C06D2"/>
    <w:rsid w:val="001C09AF"/>
    <w:rsid w:val="001C2776"/>
    <w:rsid w:val="001C394D"/>
    <w:rsid w:val="001C3DE7"/>
    <w:rsid w:val="001C3F2F"/>
    <w:rsid w:val="001C40F0"/>
    <w:rsid w:val="001C4586"/>
    <w:rsid w:val="001C4688"/>
    <w:rsid w:val="001C6021"/>
    <w:rsid w:val="001C6C8E"/>
    <w:rsid w:val="001C71E1"/>
    <w:rsid w:val="001C7809"/>
    <w:rsid w:val="001C7857"/>
    <w:rsid w:val="001C7B87"/>
    <w:rsid w:val="001D012A"/>
    <w:rsid w:val="001D05BF"/>
    <w:rsid w:val="001D05F1"/>
    <w:rsid w:val="001D0F0F"/>
    <w:rsid w:val="001D15CB"/>
    <w:rsid w:val="001D2FD8"/>
    <w:rsid w:val="001D5B00"/>
    <w:rsid w:val="001D6737"/>
    <w:rsid w:val="001D736A"/>
    <w:rsid w:val="001E01E6"/>
    <w:rsid w:val="001E06A4"/>
    <w:rsid w:val="001E1C81"/>
    <w:rsid w:val="001E1EFC"/>
    <w:rsid w:val="001E2149"/>
    <w:rsid w:val="001E2BFB"/>
    <w:rsid w:val="001E38E4"/>
    <w:rsid w:val="001E3C69"/>
    <w:rsid w:val="001E52DA"/>
    <w:rsid w:val="001E7D13"/>
    <w:rsid w:val="001F0C87"/>
    <w:rsid w:val="001F18DF"/>
    <w:rsid w:val="001F19CE"/>
    <w:rsid w:val="001F2636"/>
    <w:rsid w:val="001F2682"/>
    <w:rsid w:val="001F28A7"/>
    <w:rsid w:val="001F2BBF"/>
    <w:rsid w:val="001F2BC5"/>
    <w:rsid w:val="001F2DD4"/>
    <w:rsid w:val="001F3583"/>
    <w:rsid w:val="001F4341"/>
    <w:rsid w:val="001F56F6"/>
    <w:rsid w:val="001F5D09"/>
    <w:rsid w:val="001F6489"/>
    <w:rsid w:val="001F78E6"/>
    <w:rsid w:val="002003DA"/>
    <w:rsid w:val="002008AA"/>
    <w:rsid w:val="002013D9"/>
    <w:rsid w:val="00201B92"/>
    <w:rsid w:val="002025E1"/>
    <w:rsid w:val="00202C1D"/>
    <w:rsid w:val="0020326B"/>
    <w:rsid w:val="002035DF"/>
    <w:rsid w:val="0020481D"/>
    <w:rsid w:val="002051C6"/>
    <w:rsid w:val="002059BF"/>
    <w:rsid w:val="002064D1"/>
    <w:rsid w:val="00207452"/>
    <w:rsid w:val="00207729"/>
    <w:rsid w:val="00207753"/>
    <w:rsid w:val="0020779F"/>
    <w:rsid w:val="0021049E"/>
    <w:rsid w:val="002105C4"/>
    <w:rsid w:val="00210B45"/>
    <w:rsid w:val="0021114B"/>
    <w:rsid w:val="002118DF"/>
    <w:rsid w:val="0021446A"/>
    <w:rsid w:val="002156C6"/>
    <w:rsid w:val="002158A1"/>
    <w:rsid w:val="00216018"/>
    <w:rsid w:val="00216589"/>
    <w:rsid w:val="00216B85"/>
    <w:rsid w:val="00217DC0"/>
    <w:rsid w:val="00220927"/>
    <w:rsid w:val="0022107C"/>
    <w:rsid w:val="002211A5"/>
    <w:rsid w:val="00223453"/>
    <w:rsid w:val="002235F3"/>
    <w:rsid w:val="00223822"/>
    <w:rsid w:val="00223B14"/>
    <w:rsid w:val="00223C38"/>
    <w:rsid w:val="00223E3D"/>
    <w:rsid w:val="00223E60"/>
    <w:rsid w:val="002240F5"/>
    <w:rsid w:val="00224111"/>
    <w:rsid w:val="002254E4"/>
    <w:rsid w:val="0022584D"/>
    <w:rsid w:val="002265E4"/>
    <w:rsid w:val="00227288"/>
    <w:rsid w:val="0022774C"/>
    <w:rsid w:val="00227900"/>
    <w:rsid w:val="00227C3A"/>
    <w:rsid w:val="00230D0F"/>
    <w:rsid w:val="002313E7"/>
    <w:rsid w:val="00231FB5"/>
    <w:rsid w:val="00232479"/>
    <w:rsid w:val="002325E9"/>
    <w:rsid w:val="00232C70"/>
    <w:rsid w:val="00232D5A"/>
    <w:rsid w:val="00232EAA"/>
    <w:rsid w:val="0023357B"/>
    <w:rsid w:val="00233D46"/>
    <w:rsid w:val="00233F6D"/>
    <w:rsid w:val="00233FF0"/>
    <w:rsid w:val="00234978"/>
    <w:rsid w:val="0023508B"/>
    <w:rsid w:val="0023556B"/>
    <w:rsid w:val="00235A99"/>
    <w:rsid w:val="00236568"/>
    <w:rsid w:val="00236B00"/>
    <w:rsid w:val="00237FEB"/>
    <w:rsid w:val="002400ED"/>
    <w:rsid w:val="00240118"/>
    <w:rsid w:val="00241685"/>
    <w:rsid w:val="00242977"/>
    <w:rsid w:val="002434AA"/>
    <w:rsid w:val="0024447B"/>
    <w:rsid w:val="00244BDF"/>
    <w:rsid w:val="00246888"/>
    <w:rsid w:val="00247BF6"/>
    <w:rsid w:val="00250037"/>
    <w:rsid w:val="002501D7"/>
    <w:rsid w:val="002506ED"/>
    <w:rsid w:val="00251E5C"/>
    <w:rsid w:val="00251FF9"/>
    <w:rsid w:val="002521AE"/>
    <w:rsid w:val="00252D2A"/>
    <w:rsid w:val="00253178"/>
    <w:rsid w:val="002534C1"/>
    <w:rsid w:val="00253BF0"/>
    <w:rsid w:val="00253D17"/>
    <w:rsid w:val="00255254"/>
    <w:rsid w:val="00255A83"/>
    <w:rsid w:val="002560D7"/>
    <w:rsid w:val="00256CFB"/>
    <w:rsid w:val="00256E05"/>
    <w:rsid w:val="00257AA3"/>
    <w:rsid w:val="00257C47"/>
    <w:rsid w:val="00260071"/>
    <w:rsid w:val="00260BFA"/>
    <w:rsid w:val="00263B01"/>
    <w:rsid w:val="00264C5E"/>
    <w:rsid w:val="00264F17"/>
    <w:rsid w:val="00266D68"/>
    <w:rsid w:val="00267309"/>
    <w:rsid w:val="00267A1B"/>
    <w:rsid w:val="00267B98"/>
    <w:rsid w:val="0027028D"/>
    <w:rsid w:val="002708BD"/>
    <w:rsid w:val="0027307A"/>
    <w:rsid w:val="00273E8E"/>
    <w:rsid w:val="0027419E"/>
    <w:rsid w:val="00274892"/>
    <w:rsid w:val="0027589D"/>
    <w:rsid w:val="0027592F"/>
    <w:rsid w:val="00275ADD"/>
    <w:rsid w:val="00276A17"/>
    <w:rsid w:val="002772D6"/>
    <w:rsid w:val="002776B4"/>
    <w:rsid w:val="002779EB"/>
    <w:rsid w:val="00277F27"/>
    <w:rsid w:val="00280ADF"/>
    <w:rsid w:val="002823A1"/>
    <w:rsid w:val="0028255E"/>
    <w:rsid w:val="0028326E"/>
    <w:rsid w:val="00283275"/>
    <w:rsid w:val="002835E6"/>
    <w:rsid w:val="00283EBD"/>
    <w:rsid w:val="00284ABC"/>
    <w:rsid w:val="002859C9"/>
    <w:rsid w:val="00286692"/>
    <w:rsid w:val="00286A8B"/>
    <w:rsid w:val="00286F0B"/>
    <w:rsid w:val="00287DC3"/>
    <w:rsid w:val="0029007C"/>
    <w:rsid w:val="00290409"/>
    <w:rsid w:val="00290C74"/>
    <w:rsid w:val="0029179A"/>
    <w:rsid w:val="00291820"/>
    <w:rsid w:val="00291C59"/>
    <w:rsid w:val="00291E29"/>
    <w:rsid w:val="00292002"/>
    <w:rsid w:val="00292DC3"/>
    <w:rsid w:val="002933A4"/>
    <w:rsid w:val="002950D8"/>
    <w:rsid w:val="002954CD"/>
    <w:rsid w:val="00295712"/>
    <w:rsid w:val="00295866"/>
    <w:rsid w:val="00296122"/>
    <w:rsid w:val="00296EAB"/>
    <w:rsid w:val="0029733B"/>
    <w:rsid w:val="002979F5"/>
    <w:rsid w:val="00297C1E"/>
    <w:rsid w:val="002A08D7"/>
    <w:rsid w:val="002A117D"/>
    <w:rsid w:val="002A1747"/>
    <w:rsid w:val="002A27D9"/>
    <w:rsid w:val="002A321E"/>
    <w:rsid w:val="002A3A3B"/>
    <w:rsid w:val="002A3D15"/>
    <w:rsid w:val="002A41A7"/>
    <w:rsid w:val="002A46DC"/>
    <w:rsid w:val="002A62B2"/>
    <w:rsid w:val="002A6431"/>
    <w:rsid w:val="002A65FF"/>
    <w:rsid w:val="002A7B3B"/>
    <w:rsid w:val="002A7B52"/>
    <w:rsid w:val="002A7CB6"/>
    <w:rsid w:val="002A7EDE"/>
    <w:rsid w:val="002B00DA"/>
    <w:rsid w:val="002B0283"/>
    <w:rsid w:val="002B107C"/>
    <w:rsid w:val="002B107E"/>
    <w:rsid w:val="002B2948"/>
    <w:rsid w:val="002B3214"/>
    <w:rsid w:val="002B3984"/>
    <w:rsid w:val="002B4212"/>
    <w:rsid w:val="002B446B"/>
    <w:rsid w:val="002B4656"/>
    <w:rsid w:val="002B4900"/>
    <w:rsid w:val="002B5298"/>
    <w:rsid w:val="002B568C"/>
    <w:rsid w:val="002B5A00"/>
    <w:rsid w:val="002B5CAE"/>
    <w:rsid w:val="002B6088"/>
    <w:rsid w:val="002B685D"/>
    <w:rsid w:val="002B6BE5"/>
    <w:rsid w:val="002B71EA"/>
    <w:rsid w:val="002B72CE"/>
    <w:rsid w:val="002B7532"/>
    <w:rsid w:val="002B759C"/>
    <w:rsid w:val="002C051E"/>
    <w:rsid w:val="002C0DE9"/>
    <w:rsid w:val="002C11F7"/>
    <w:rsid w:val="002C2667"/>
    <w:rsid w:val="002C2B5D"/>
    <w:rsid w:val="002C2F90"/>
    <w:rsid w:val="002C3336"/>
    <w:rsid w:val="002C33B8"/>
    <w:rsid w:val="002C3D51"/>
    <w:rsid w:val="002C4A47"/>
    <w:rsid w:val="002C52A6"/>
    <w:rsid w:val="002C5632"/>
    <w:rsid w:val="002C5F52"/>
    <w:rsid w:val="002C631E"/>
    <w:rsid w:val="002C65DB"/>
    <w:rsid w:val="002C7A2A"/>
    <w:rsid w:val="002C7EBF"/>
    <w:rsid w:val="002D036F"/>
    <w:rsid w:val="002D154A"/>
    <w:rsid w:val="002D1F6E"/>
    <w:rsid w:val="002D2709"/>
    <w:rsid w:val="002D2874"/>
    <w:rsid w:val="002D4225"/>
    <w:rsid w:val="002D5535"/>
    <w:rsid w:val="002D66A2"/>
    <w:rsid w:val="002D737B"/>
    <w:rsid w:val="002D7E8D"/>
    <w:rsid w:val="002E003E"/>
    <w:rsid w:val="002E1597"/>
    <w:rsid w:val="002E1907"/>
    <w:rsid w:val="002E3AE1"/>
    <w:rsid w:val="002E3ED8"/>
    <w:rsid w:val="002E40E0"/>
    <w:rsid w:val="002E4895"/>
    <w:rsid w:val="002E62DE"/>
    <w:rsid w:val="002E6416"/>
    <w:rsid w:val="002E7EFF"/>
    <w:rsid w:val="002F1781"/>
    <w:rsid w:val="002F2746"/>
    <w:rsid w:val="002F2D5D"/>
    <w:rsid w:val="002F304A"/>
    <w:rsid w:val="002F4BE7"/>
    <w:rsid w:val="002F5532"/>
    <w:rsid w:val="002F5EC9"/>
    <w:rsid w:val="002F60E8"/>
    <w:rsid w:val="002F62EC"/>
    <w:rsid w:val="002F7481"/>
    <w:rsid w:val="002F7B01"/>
    <w:rsid w:val="003012AF"/>
    <w:rsid w:val="003016FA"/>
    <w:rsid w:val="00301A3D"/>
    <w:rsid w:val="00302A46"/>
    <w:rsid w:val="00302F9E"/>
    <w:rsid w:val="003035C7"/>
    <w:rsid w:val="00304BA1"/>
    <w:rsid w:val="00305443"/>
    <w:rsid w:val="00306423"/>
    <w:rsid w:val="00306915"/>
    <w:rsid w:val="00307023"/>
    <w:rsid w:val="0031149B"/>
    <w:rsid w:val="00311588"/>
    <w:rsid w:val="00311D38"/>
    <w:rsid w:val="0031221D"/>
    <w:rsid w:val="00313247"/>
    <w:rsid w:val="003132EC"/>
    <w:rsid w:val="003147E4"/>
    <w:rsid w:val="00315E53"/>
    <w:rsid w:val="00317B8C"/>
    <w:rsid w:val="003204FE"/>
    <w:rsid w:val="003207D7"/>
    <w:rsid w:val="003210A4"/>
    <w:rsid w:val="00321A14"/>
    <w:rsid w:val="00321AD6"/>
    <w:rsid w:val="00321E0F"/>
    <w:rsid w:val="00322300"/>
    <w:rsid w:val="00322363"/>
    <w:rsid w:val="00322855"/>
    <w:rsid w:val="00322DE5"/>
    <w:rsid w:val="00323015"/>
    <w:rsid w:val="00323197"/>
    <w:rsid w:val="003234D7"/>
    <w:rsid w:val="003250E7"/>
    <w:rsid w:val="00325528"/>
    <w:rsid w:val="00325813"/>
    <w:rsid w:val="00327575"/>
    <w:rsid w:val="00327B89"/>
    <w:rsid w:val="00327BCB"/>
    <w:rsid w:val="00331460"/>
    <w:rsid w:val="00332592"/>
    <w:rsid w:val="0033292F"/>
    <w:rsid w:val="00333F34"/>
    <w:rsid w:val="003352A9"/>
    <w:rsid w:val="003354A0"/>
    <w:rsid w:val="00335D87"/>
    <w:rsid w:val="00336DC3"/>
    <w:rsid w:val="00336E2C"/>
    <w:rsid w:val="0034005C"/>
    <w:rsid w:val="00340554"/>
    <w:rsid w:val="00341289"/>
    <w:rsid w:val="003414BC"/>
    <w:rsid w:val="003415A2"/>
    <w:rsid w:val="003432F1"/>
    <w:rsid w:val="00343426"/>
    <w:rsid w:val="00344888"/>
    <w:rsid w:val="00344AD3"/>
    <w:rsid w:val="00344CB6"/>
    <w:rsid w:val="00345313"/>
    <w:rsid w:val="003456AE"/>
    <w:rsid w:val="003475EF"/>
    <w:rsid w:val="00350710"/>
    <w:rsid w:val="0035148F"/>
    <w:rsid w:val="0035151B"/>
    <w:rsid w:val="0035176B"/>
    <w:rsid w:val="003521EB"/>
    <w:rsid w:val="00352214"/>
    <w:rsid w:val="00352778"/>
    <w:rsid w:val="0035289C"/>
    <w:rsid w:val="00353496"/>
    <w:rsid w:val="00353B4A"/>
    <w:rsid w:val="003547BF"/>
    <w:rsid w:val="00355B23"/>
    <w:rsid w:val="00356793"/>
    <w:rsid w:val="00356ED6"/>
    <w:rsid w:val="003570B9"/>
    <w:rsid w:val="00357684"/>
    <w:rsid w:val="0036095B"/>
    <w:rsid w:val="00361270"/>
    <w:rsid w:val="00361821"/>
    <w:rsid w:val="00361A9D"/>
    <w:rsid w:val="003624B7"/>
    <w:rsid w:val="0036252A"/>
    <w:rsid w:val="003628AA"/>
    <w:rsid w:val="00362F0C"/>
    <w:rsid w:val="003634F7"/>
    <w:rsid w:val="00363DCE"/>
    <w:rsid w:val="003643C9"/>
    <w:rsid w:val="00364B85"/>
    <w:rsid w:val="00365650"/>
    <w:rsid w:val="00367230"/>
    <w:rsid w:val="003706A3"/>
    <w:rsid w:val="00370805"/>
    <w:rsid w:val="00372533"/>
    <w:rsid w:val="0037261B"/>
    <w:rsid w:val="0037409A"/>
    <w:rsid w:val="00375CCC"/>
    <w:rsid w:val="00375F53"/>
    <w:rsid w:val="0037602A"/>
    <w:rsid w:val="003762C2"/>
    <w:rsid w:val="003764A9"/>
    <w:rsid w:val="00377751"/>
    <w:rsid w:val="00377ADA"/>
    <w:rsid w:val="003805B6"/>
    <w:rsid w:val="00381632"/>
    <w:rsid w:val="00382226"/>
    <w:rsid w:val="00383494"/>
    <w:rsid w:val="003847B9"/>
    <w:rsid w:val="003849F0"/>
    <w:rsid w:val="00385E56"/>
    <w:rsid w:val="00390DC2"/>
    <w:rsid w:val="0039273F"/>
    <w:rsid w:val="003930CA"/>
    <w:rsid w:val="00396C75"/>
    <w:rsid w:val="00397A44"/>
    <w:rsid w:val="003A0253"/>
    <w:rsid w:val="003A04B4"/>
    <w:rsid w:val="003A1046"/>
    <w:rsid w:val="003A3414"/>
    <w:rsid w:val="003A4818"/>
    <w:rsid w:val="003A4936"/>
    <w:rsid w:val="003A6B25"/>
    <w:rsid w:val="003A722B"/>
    <w:rsid w:val="003A7B7E"/>
    <w:rsid w:val="003A7DEF"/>
    <w:rsid w:val="003A7F4C"/>
    <w:rsid w:val="003B0BF3"/>
    <w:rsid w:val="003B0DE5"/>
    <w:rsid w:val="003B1229"/>
    <w:rsid w:val="003B176E"/>
    <w:rsid w:val="003B2092"/>
    <w:rsid w:val="003B2C11"/>
    <w:rsid w:val="003B39EA"/>
    <w:rsid w:val="003B3C25"/>
    <w:rsid w:val="003B3F1E"/>
    <w:rsid w:val="003B4C6A"/>
    <w:rsid w:val="003B4D23"/>
    <w:rsid w:val="003B4E09"/>
    <w:rsid w:val="003B502F"/>
    <w:rsid w:val="003B6943"/>
    <w:rsid w:val="003B6C94"/>
    <w:rsid w:val="003B714F"/>
    <w:rsid w:val="003C0867"/>
    <w:rsid w:val="003C0905"/>
    <w:rsid w:val="003C25F4"/>
    <w:rsid w:val="003C3176"/>
    <w:rsid w:val="003C3854"/>
    <w:rsid w:val="003C38D5"/>
    <w:rsid w:val="003C3EEB"/>
    <w:rsid w:val="003C5354"/>
    <w:rsid w:val="003C6170"/>
    <w:rsid w:val="003C6236"/>
    <w:rsid w:val="003C7076"/>
    <w:rsid w:val="003C7455"/>
    <w:rsid w:val="003C7596"/>
    <w:rsid w:val="003C75B9"/>
    <w:rsid w:val="003C79BE"/>
    <w:rsid w:val="003D0DA8"/>
    <w:rsid w:val="003D156B"/>
    <w:rsid w:val="003D1A53"/>
    <w:rsid w:val="003D3433"/>
    <w:rsid w:val="003D36AD"/>
    <w:rsid w:val="003D3B00"/>
    <w:rsid w:val="003D567E"/>
    <w:rsid w:val="003D56F3"/>
    <w:rsid w:val="003D5FAA"/>
    <w:rsid w:val="003D691C"/>
    <w:rsid w:val="003D6B47"/>
    <w:rsid w:val="003D6C95"/>
    <w:rsid w:val="003D6F72"/>
    <w:rsid w:val="003E05CD"/>
    <w:rsid w:val="003E1945"/>
    <w:rsid w:val="003E196E"/>
    <w:rsid w:val="003E1E80"/>
    <w:rsid w:val="003E3A52"/>
    <w:rsid w:val="003E4224"/>
    <w:rsid w:val="003E4CEA"/>
    <w:rsid w:val="003E62D6"/>
    <w:rsid w:val="003E6E91"/>
    <w:rsid w:val="003E7CA8"/>
    <w:rsid w:val="003F0895"/>
    <w:rsid w:val="003F0BC6"/>
    <w:rsid w:val="003F1E27"/>
    <w:rsid w:val="003F20C4"/>
    <w:rsid w:val="003F20F7"/>
    <w:rsid w:val="003F2DEA"/>
    <w:rsid w:val="003F3102"/>
    <w:rsid w:val="003F3389"/>
    <w:rsid w:val="003F4469"/>
    <w:rsid w:val="003F586F"/>
    <w:rsid w:val="003F5906"/>
    <w:rsid w:val="003F5FEE"/>
    <w:rsid w:val="003F62A6"/>
    <w:rsid w:val="003F6A01"/>
    <w:rsid w:val="003F6A40"/>
    <w:rsid w:val="003F7301"/>
    <w:rsid w:val="00400B35"/>
    <w:rsid w:val="00402040"/>
    <w:rsid w:val="00403E2E"/>
    <w:rsid w:val="00403FF4"/>
    <w:rsid w:val="00405060"/>
    <w:rsid w:val="004052B5"/>
    <w:rsid w:val="004061BF"/>
    <w:rsid w:val="0040745A"/>
    <w:rsid w:val="004103AA"/>
    <w:rsid w:val="00410508"/>
    <w:rsid w:val="00410C06"/>
    <w:rsid w:val="00411E67"/>
    <w:rsid w:val="004127F1"/>
    <w:rsid w:val="00413D0D"/>
    <w:rsid w:val="00414CBA"/>
    <w:rsid w:val="004152CA"/>
    <w:rsid w:val="00415DC4"/>
    <w:rsid w:val="00415EFB"/>
    <w:rsid w:val="0041653A"/>
    <w:rsid w:val="00417292"/>
    <w:rsid w:val="00417528"/>
    <w:rsid w:val="0042066D"/>
    <w:rsid w:val="00421034"/>
    <w:rsid w:val="004215DD"/>
    <w:rsid w:val="004217A0"/>
    <w:rsid w:val="0042252E"/>
    <w:rsid w:val="00422A48"/>
    <w:rsid w:val="00422A55"/>
    <w:rsid w:val="00423AAE"/>
    <w:rsid w:val="00423B8E"/>
    <w:rsid w:val="00423D91"/>
    <w:rsid w:val="004248A5"/>
    <w:rsid w:val="00424D3A"/>
    <w:rsid w:val="00425616"/>
    <w:rsid w:val="00426B72"/>
    <w:rsid w:val="004274D2"/>
    <w:rsid w:val="004274ED"/>
    <w:rsid w:val="00427676"/>
    <w:rsid w:val="00427723"/>
    <w:rsid w:val="00427994"/>
    <w:rsid w:val="00427DA2"/>
    <w:rsid w:val="004315CA"/>
    <w:rsid w:val="00431851"/>
    <w:rsid w:val="00433811"/>
    <w:rsid w:val="00433C7D"/>
    <w:rsid w:val="00435066"/>
    <w:rsid w:val="00435354"/>
    <w:rsid w:val="0043729E"/>
    <w:rsid w:val="00437435"/>
    <w:rsid w:val="0043769F"/>
    <w:rsid w:val="004376F9"/>
    <w:rsid w:val="0044004B"/>
    <w:rsid w:val="0044095C"/>
    <w:rsid w:val="004409E9"/>
    <w:rsid w:val="00441597"/>
    <w:rsid w:val="00442683"/>
    <w:rsid w:val="00442700"/>
    <w:rsid w:val="00442AFD"/>
    <w:rsid w:val="00442B4E"/>
    <w:rsid w:val="00443F7D"/>
    <w:rsid w:val="0044486B"/>
    <w:rsid w:val="00444AF3"/>
    <w:rsid w:val="00445197"/>
    <w:rsid w:val="00445627"/>
    <w:rsid w:val="00445867"/>
    <w:rsid w:val="00446291"/>
    <w:rsid w:val="00446D3E"/>
    <w:rsid w:val="00447322"/>
    <w:rsid w:val="004475D6"/>
    <w:rsid w:val="00447FF0"/>
    <w:rsid w:val="00451C4D"/>
    <w:rsid w:val="00453BCC"/>
    <w:rsid w:val="00453C80"/>
    <w:rsid w:val="00453ECA"/>
    <w:rsid w:val="00453F0C"/>
    <w:rsid w:val="00454014"/>
    <w:rsid w:val="00455747"/>
    <w:rsid w:val="004557C8"/>
    <w:rsid w:val="00456080"/>
    <w:rsid w:val="004560D3"/>
    <w:rsid w:val="00456987"/>
    <w:rsid w:val="004578AD"/>
    <w:rsid w:val="00460DC2"/>
    <w:rsid w:val="004633C5"/>
    <w:rsid w:val="00464724"/>
    <w:rsid w:val="00464920"/>
    <w:rsid w:val="00464BE9"/>
    <w:rsid w:val="00464D60"/>
    <w:rsid w:val="00465E79"/>
    <w:rsid w:val="00466121"/>
    <w:rsid w:val="00466B46"/>
    <w:rsid w:val="00466BAD"/>
    <w:rsid w:val="00466D26"/>
    <w:rsid w:val="00470936"/>
    <w:rsid w:val="00471BF2"/>
    <w:rsid w:val="00472156"/>
    <w:rsid w:val="004723F4"/>
    <w:rsid w:val="00472CE4"/>
    <w:rsid w:val="0047318A"/>
    <w:rsid w:val="004732FC"/>
    <w:rsid w:val="00473BA3"/>
    <w:rsid w:val="00474274"/>
    <w:rsid w:val="00475E8D"/>
    <w:rsid w:val="004762BC"/>
    <w:rsid w:val="00476655"/>
    <w:rsid w:val="00476FA2"/>
    <w:rsid w:val="00476FE6"/>
    <w:rsid w:val="004770CD"/>
    <w:rsid w:val="00477328"/>
    <w:rsid w:val="004812E6"/>
    <w:rsid w:val="0048196D"/>
    <w:rsid w:val="00482DFD"/>
    <w:rsid w:val="00483B2C"/>
    <w:rsid w:val="00484B74"/>
    <w:rsid w:val="0048523B"/>
    <w:rsid w:val="00485971"/>
    <w:rsid w:val="0048712A"/>
    <w:rsid w:val="004872C2"/>
    <w:rsid w:val="004877C9"/>
    <w:rsid w:val="00487DDE"/>
    <w:rsid w:val="00487DED"/>
    <w:rsid w:val="004903C5"/>
    <w:rsid w:val="00490536"/>
    <w:rsid w:val="00490900"/>
    <w:rsid w:val="00490E2F"/>
    <w:rsid w:val="00490FA3"/>
    <w:rsid w:val="00491ABB"/>
    <w:rsid w:val="00491FD0"/>
    <w:rsid w:val="00492C76"/>
    <w:rsid w:val="0049395F"/>
    <w:rsid w:val="0049428C"/>
    <w:rsid w:val="004956D2"/>
    <w:rsid w:val="004957CE"/>
    <w:rsid w:val="00496933"/>
    <w:rsid w:val="00496AB5"/>
    <w:rsid w:val="00496E23"/>
    <w:rsid w:val="004977C3"/>
    <w:rsid w:val="004A07F5"/>
    <w:rsid w:val="004A1494"/>
    <w:rsid w:val="004A22AA"/>
    <w:rsid w:val="004A36EC"/>
    <w:rsid w:val="004A519D"/>
    <w:rsid w:val="004A5765"/>
    <w:rsid w:val="004A59E2"/>
    <w:rsid w:val="004A5E68"/>
    <w:rsid w:val="004A67DD"/>
    <w:rsid w:val="004A7277"/>
    <w:rsid w:val="004A7280"/>
    <w:rsid w:val="004A7D53"/>
    <w:rsid w:val="004A7EBF"/>
    <w:rsid w:val="004B02E4"/>
    <w:rsid w:val="004B0607"/>
    <w:rsid w:val="004B0AA6"/>
    <w:rsid w:val="004B1501"/>
    <w:rsid w:val="004B2317"/>
    <w:rsid w:val="004B25E4"/>
    <w:rsid w:val="004B2603"/>
    <w:rsid w:val="004B2869"/>
    <w:rsid w:val="004B28E4"/>
    <w:rsid w:val="004B43D8"/>
    <w:rsid w:val="004B4BC6"/>
    <w:rsid w:val="004B501A"/>
    <w:rsid w:val="004B52ED"/>
    <w:rsid w:val="004B5B68"/>
    <w:rsid w:val="004B608D"/>
    <w:rsid w:val="004B64A4"/>
    <w:rsid w:val="004B6D1F"/>
    <w:rsid w:val="004B6DE3"/>
    <w:rsid w:val="004B7C5B"/>
    <w:rsid w:val="004C022A"/>
    <w:rsid w:val="004C07AF"/>
    <w:rsid w:val="004C0902"/>
    <w:rsid w:val="004C0B62"/>
    <w:rsid w:val="004C1052"/>
    <w:rsid w:val="004C13EF"/>
    <w:rsid w:val="004C1F3B"/>
    <w:rsid w:val="004C309A"/>
    <w:rsid w:val="004C314A"/>
    <w:rsid w:val="004C341E"/>
    <w:rsid w:val="004C5727"/>
    <w:rsid w:val="004C66B3"/>
    <w:rsid w:val="004C7207"/>
    <w:rsid w:val="004C7208"/>
    <w:rsid w:val="004D0243"/>
    <w:rsid w:val="004D06FC"/>
    <w:rsid w:val="004D1BD9"/>
    <w:rsid w:val="004D1BDC"/>
    <w:rsid w:val="004D26DD"/>
    <w:rsid w:val="004D375E"/>
    <w:rsid w:val="004D4333"/>
    <w:rsid w:val="004D508F"/>
    <w:rsid w:val="004D548C"/>
    <w:rsid w:val="004D69FF"/>
    <w:rsid w:val="004D72AF"/>
    <w:rsid w:val="004E15E3"/>
    <w:rsid w:val="004E2018"/>
    <w:rsid w:val="004E2287"/>
    <w:rsid w:val="004E2EA8"/>
    <w:rsid w:val="004E3961"/>
    <w:rsid w:val="004E4B8F"/>
    <w:rsid w:val="004E50C7"/>
    <w:rsid w:val="004E546F"/>
    <w:rsid w:val="004E55B5"/>
    <w:rsid w:val="004E5A04"/>
    <w:rsid w:val="004E5C5F"/>
    <w:rsid w:val="004E7437"/>
    <w:rsid w:val="004E762F"/>
    <w:rsid w:val="004E79D2"/>
    <w:rsid w:val="004F01F3"/>
    <w:rsid w:val="004F0B48"/>
    <w:rsid w:val="004F0D45"/>
    <w:rsid w:val="004F0FB9"/>
    <w:rsid w:val="004F100B"/>
    <w:rsid w:val="004F1EB1"/>
    <w:rsid w:val="004F2055"/>
    <w:rsid w:val="004F42DC"/>
    <w:rsid w:val="004F444F"/>
    <w:rsid w:val="004F5335"/>
    <w:rsid w:val="004F615A"/>
    <w:rsid w:val="004F6D02"/>
    <w:rsid w:val="004F7CC8"/>
    <w:rsid w:val="00501829"/>
    <w:rsid w:val="005025A9"/>
    <w:rsid w:val="005030B1"/>
    <w:rsid w:val="00503373"/>
    <w:rsid w:val="00503C76"/>
    <w:rsid w:val="00505EB0"/>
    <w:rsid w:val="0050633C"/>
    <w:rsid w:val="00506EA2"/>
    <w:rsid w:val="005110B7"/>
    <w:rsid w:val="0051120D"/>
    <w:rsid w:val="005120CF"/>
    <w:rsid w:val="005126C8"/>
    <w:rsid w:val="005127FF"/>
    <w:rsid w:val="00512A16"/>
    <w:rsid w:val="00512B3D"/>
    <w:rsid w:val="0051452E"/>
    <w:rsid w:val="00514768"/>
    <w:rsid w:val="00514C67"/>
    <w:rsid w:val="005155B6"/>
    <w:rsid w:val="005158ED"/>
    <w:rsid w:val="00517388"/>
    <w:rsid w:val="0051766E"/>
    <w:rsid w:val="00517717"/>
    <w:rsid w:val="00520C53"/>
    <w:rsid w:val="00520EC0"/>
    <w:rsid w:val="00521438"/>
    <w:rsid w:val="005216C0"/>
    <w:rsid w:val="00521929"/>
    <w:rsid w:val="00524CB3"/>
    <w:rsid w:val="005255F0"/>
    <w:rsid w:val="00526E99"/>
    <w:rsid w:val="00527573"/>
    <w:rsid w:val="005277C8"/>
    <w:rsid w:val="005277E3"/>
    <w:rsid w:val="005279BE"/>
    <w:rsid w:val="00527A18"/>
    <w:rsid w:val="00527B19"/>
    <w:rsid w:val="00527DA6"/>
    <w:rsid w:val="00527DB8"/>
    <w:rsid w:val="0053052A"/>
    <w:rsid w:val="00531155"/>
    <w:rsid w:val="005324FA"/>
    <w:rsid w:val="00532AD2"/>
    <w:rsid w:val="00533AB8"/>
    <w:rsid w:val="00534219"/>
    <w:rsid w:val="00534E69"/>
    <w:rsid w:val="0053504C"/>
    <w:rsid w:val="0053509F"/>
    <w:rsid w:val="005374F7"/>
    <w:rsid w:val="00537C4C"/>
    <w:rsid w:val="0054137B"/>
    <w:rsid w:val="005416D2"/>
    <w:rsid w:val="0054247F"/>
    <w:rsid w:val="005426B0"/>
    <w:rsid w:val="00542DCC"/>
    <w:rsid w:val="005435E4"/>
    <w:rsid w:val="00543B4D"/>
    <w:rsid w:val="00544933"/>
    <w:rsid w:val="005449EC"/>
    <w:rsid w:val="00544A84"/>
    <w:rsid w:val="00545616"/>
    <w:rsid w:val="00545BBB"/>
    <w:rsid w:val="00545CE3"/>
    <w:rsid w:val="005464AA"/>
    <w:rsid w:val="00546735"/>
    <w:rsid w:val="00546981"/>
    <w:rsid w:val="005471E6"/>
    <w:rsid w:val="005472ED"/>
    <w:rsid w:val="005474C8"/>
    <w:rsid w:val="005475E8"/>
    <w:rsid w:val="00547C5B"/>
    <w:rsid w:val="005502E1"/>
    <w:rsid w:val="00550486"/>
    <w:rsid w:val="0055067A"/>
    <w:rsid w:val="0055085C"/>
    <w:rsid w:val="0055088C"/>
    <w:rsid w:val="005516CA"/>
    <w:rsid w:val="005517E6"/>
    <w:rsid w:val="00551853"/>
    <w:rsid w:val="00551D52"/>
    <w:rsid w:val="00552CBE"/>
    <w:rsid w:val="00552E7B"/>
    <w:rsid w:val="00553B4D"/>
    <w:rsid w:val="00554019"/>
    <w:rsid w:val="00554064"/>
    <w:rsid w:val="005549B8"/>
    <w:rsid w:val="00554ADF"/>
    <w:rsid w:val="00555855"/>
    <w:rsid w:val="00555DEA"/>
    <w:rsid w:val="00556278"/>
    <w:rsid w:val="00556333"/>
    <w:rsid w:val="0055700C"/>
    <w:rsid w:val="0055736E"/>
    <w:rsid w:val="0055740F"/>
    <w:rsid w:val="00560D32"/>
    <w:rsid w:val="0056212D"/>
    <w:rsid w:val="0056250B"/>
    <w:rsid w:val="005627AB"/>
    <w:rsid w:val="00563378"/>
    <w:rsid w:val="00563F40"/>
    <w:rsid w:val="005653A9"/>
    <w:rsid w:val="00565AF2"/>
    <w:rsid w:val="0056758F"/>
    <w:rsid w:val="0056797C"/>
    <w:rsid w:val="00567B09"/>
    <w:rsid w:val="00567E58"/>
    <w:rsid w:val="0057038E"/>
    <w:rsid w:val="005704BE"/>
    <w:rsid w:val="00570CDC"/>
    <w:rsid w:val="00570F55"/>
    <w:rsid w:val="00571CB7"/>
    <w:rsid w:val="00571F26"/>
    <w:rsid w:val="005720F3"/>
    <w:rsid w:val="00572524"/>
    <w:rsid w:val="00573130"/>
    <w:rsid w:val="005738B1"/>
    <w:rsid w:val="00574A98"/>
    <w:rsid w:val="00574C85"/>
    <w:rsid w:val="00574EF5"/>
    <w:rsid w:val="005752E9"/>
    <w:rsid w:val="005753FB"/>
    <w:rsid w:val="0057567D"/>
    <w:rsid w:val="00576132"/>
    <w:rsid w:val="0057631D"/>
    <w:rsid w:val="00576E5E"/>
    <w:rsid w:val="00576F19"/>
    <w:rsid w:val="005774C7"/>
    <w:rsid w:val="00577898"/>
    <w:rsid w:val="00577949"/>
    <w:rsid w:val="00577FCE"/>
    <w:rsid w:val="0058035D"/>
    <w:rsid w:val="00580362"/>
    <w:rsid w:val="00581971"/>
    <w:rsid w:val="00581F60"/>
    <w:rsid w:val="00582AD0"/>
    <w:rsid w:val="0058341F"/>
    <w:rsid w:val="00583D65"/>
    <w:rsid w:val="00583D78"/>
    <w:rsid w:val="00584024"/>
    <w:rsid w:val="00584202"/>
    <w:rsid w:val="005857A1"/>
    <w:rsid w:val="00586284"/>
    <w:rsid w:val="0058765B"/>
    <w:rsid w:val="005907C6"/>
    <w:rsid w:val="00590820"/>
    <w:rsid w:val="0059093C"/>
    <w:rsid w:val="0059193B"/>
    <w:rsid w:val="0059232D"/>
    <w:rsid w:val="00592405"/>
    <w:rsid w:val="005938D4"/>
    <w:rsid w:val="005938D9"/>
    <w:rsid w:val="005952BF"/>
    <w:rsid w:val="005968F0"/>
    <w:rsid w:val="005A0171"/>
    <w:rsid w:val="005A0D93"/>
    <w:rsid w:val="005A1280"/>
    <w:rsid w:val="005A1844"/>
    <w:rsid w:val="005A1F5B"/>
    <w:rsid w:val="005A2E80"/>
    <w:rsid w:val="005A30EA"/>
    <w:rsid w:val="005A3292"/>
    <w:rsid w:val="005A340B"/>
    <w:rsid w:val="005A4523"/>
    <w:rsid w:val="005A5C9A"/>
    <w:rsid w:val="005A5EB6"/>
    <w:rsid w:val="005A614D"/>
    <w:rsid w:val="005A78C0"/>
    <w:rsid w:val="005A7A5A"/>
    <w:rsid w:val="005A7FEE"/>
    <w:rsid w:val="005B0312"/>
    <w:rsid w:val="005B05CA"/>
    <w:rsid w:val="005B0F06"/>
    <w:rsid w:val="005B1D36"/>
    <w:rsid w:val="005B2094"/>
    <w:rsid w:val="005B36DA"/>
    <w:rsid w:val="005B3D29"/>
    <w:rsid w:val="005B44B7"/>
    <w:rsid w:val="005B47F8"/>
    <w:rsid w:val="005B4EC6"/>
    <w:rsid w:val="005B55B1"/>
    <w:rsid w:val="005B68D9"/>
    <w:rsid w:val="005B6EAA"/>
    <w:rsid w:val="005B7A15"/>
    <w:rsid w:val="005C0550"/>
    <w:rsid w:val="005C08EC"/>
    <w:rsid w:val="005C213E"/>
    <w:rsid w:val="005C2CDA"/>
    <w:rsid w:val="005C3106"/>
    <w:rsid w:val="005C47EA"/>
    <w:rsid w:val="005C4F16"/>
    <w:rsid w:val="005C5453"/>
    <w:rsid w:val="005C56C3"/>
    <w:rsid w:val="005C64B1"/>
    <w:rsid w:val="005C683F"/>
    <w:rsid w:val="005C6895"/>
    <w:rsid w:val="005D19B4"/>
    <w:rsid w:val="005D22DB"/>
    <w:rsid w:val="005D2D64"/>
    <w:rsid w:val="005D3A8F"/>
    <w:rsid w:val="005D3C72"/>
    <w:rsid w:val="005D443B"/>
    <w:rsid w:val="005D5842"/>
    <w:rsid w:val="005D584D"/>
    <w:rsid w:val="005D6185"/>
    <w:rsid w:val="005D6C7A"/>
    <w:rsid w:val="005E010A"/>
    <w:rsid w:val="005E0451"/>
    <w:rsid w:val="005E13B8"/>
    <w:rsid w:val="005E141B"/>
    <w:rsid w:val="005E1C24"/>
    <w:rsid w:val="005E2E94"/>
    <w:rsid w:val="005E432D"/>
    <w:rsid w:val="005E4A29"/>
    <w:rsid w:val="005E53BC"/>
    <w:rsid w:val="005E6346"/>
    <w:rsid w:val="005E6D56"/>
    <w:rsid w:val="005F0261"/>
    <w:rsid w:val="005F05AC"/>
    <w:rsid w:val="005F12C2"/>
    <w:rsid w:val="005F16C2"/>
    <w:rsid w:val="005F1955"/>
    <w:rsid w:val="005F5CA8"/>
    <w:rsid w:val="005F5FDD"/>
    <w:rsid w:val="005F7584"/>
    <w:rsid w:val="005F7ADA"/>
    <w:rsid w:val="005F7E98"/>
    <w:rsid w:val="006002E5"/>
    <w:rsid w:val="00601526"/>
    <w:rsid w:val="00601F22"/>
    <w:rsid w:val="006039DD"/>
    <w:rsid w:val="00603AA4"/>
    <w:rsid w:val="00603AC5"/>
    <w:rsid w:val="00603D73"/>
    <w:rsid w:val="0060436D"/>
    <w:rsid w:val="00604AF8"/>
    <w:rsid w:val="00606F29"/>
    <w:rsid w:val="006073DC"/>
    <w:rsid w:val="006103D4"/>
    <w:rsid w:val="006104D7"/>
    <w:rsid w:val="006105A6"/>
    <w:rsid w:val="00610A00"/>
    <w:rsid w:val="0061173F"/>
    <w:rsid w:val="00611B8D"/>
    <w:rsid w:val="00611E89"/>
    <w:rsid w:val="00612625"/>
    <w:rsid w:val="006139D6"/>
    <w:rsid w:val="006149DA"/>
    <w:rsid w:val="006156FB"/>
    <w:rsid w:val="0061571B"/>
    <w:rsid w:val="006171DD"/>
    <w:rsid w:val="00617B57"/>
    <w:rsid w:val="00620527"/>
    <w:rsid w:val="0062068F"/>
    <w:rsid w:val="00620797"/>
    <w:rsid w:val="00621E46"/>
    <w:rsid w:val="00622643"/>
    <w:rsid w:val="006227A0"/>
    <w:rsid w:val="00622B9F"/>
    <w:rsid w:val="00624800"/>
    <w:rsid w:val="00624866"/>
    <w:rsid w:val="00624BAA"/>
    <w:rsid w:val="00624D03"/>
    <w:rsid w:val="006256B0"/>
    <w:rsid w:val="0062675C"/>
    <w:rsid w:val="00627951"/>
    <w:rsid w:val="00631320"/>
    <w:rsid w:val="006313C8"/>
    <w:rsid w:val="00631499"/>
    <w:rsid w:val="00631EE2"/>
    <w:rsid w:val="00632D36"/>
    <w:rsid w:val="00632EDD"/>
    <w:rsid w:val="00633BF3"/>
    <w:rsid w:val="00634414"/>
    <w:rsid w:val="00634DBB"/>
    <w:rsid w:val="00635074"/>
    <w:rsid w:val="00635373"/>
    <w:rsid w:val="0063652F"/>
    <w:rsid w:val="0063667C"/>
    <w:rsid w:val="00636AFA"/>
    <w:rsid w:val="00636CEC"/>
    <w:rsid w:val="006379C7"/>
    <w:rsid w:val="00637FCC"/>
    <w:rsid w:val="00640F0C"/>
    <w:rsid w:val="00641F29"/>
    <w:rsid w:val="006420BF"/>
    <w:rsid w:val="00642942"/>
    <w:rsid w:val="0064299A"/>
    <w:rsid w:val="00642F45"/>
    <w:rsid w:val="0064339B"/>
    <w:rsid w:val="00644E42"/>
    <w:rsid w:val="00645091"/>
    <w:rsid w:val="0064579B"/>
    <w:rsid w:val="00645B2B"/>
    <w:rsid w:val="006468E2"/>
    <w:rsid w:val="00647335"/>
    <w:rsid w:val="00647A8D"/>
    <w:rsid w:val="00647F3C"/>
    <w:rsid w:val="00650789"/>
    <w:rsid w:val="006508D5"/>
    <w:rsid w:val="00650C59"/>
    <w:rsid w:val="00651147"/>
    <w:rsid w:val="00651BDB"/>
    <w:rsid w:val="00651C37"/>
    <w:rsid w:val="00651EFE"/>
    <w:rsid w:val="00652E11"/>
    <w:rsid w:val="00653214"/>
    <w:rsid w:val="00655852"/>
    <w:rsid w:val="00655F79"/>
    <w:rsid w:val="00656011"/>
    <w:rsid w:val="00656225"/>
    <w:rsid w:val="00657890"/>
    <w:rsid w:val="00657E75"/>
    <w:rsid w:val="0066159F"/>
    <w:rsid w:val="00663411"/>
    <w:rsid w:val="00663510"/>
    <w:rsid w:val="006636EE"/>
    <w:rsid w:val="00663FBC"/>
    <w:rsid w:val="006648A1"/>
    <w:rsid w:val="00664ABD"/>
    <w:rsid w:val="00664E65"/>
    <w:rsid w:val="0066548A"/>
    <w:rsid w:val="0066609E"/>
    <w:rsid w:val="0066779B"/>
    <w:rsid w:val="00667922"/>
    <w:rsid w:val="006679D9"/>
    <w:rsid w:val="00670DD4"/>
    <w:rsid w:val="00671981"/>
    <w:rsid w:val="00671A76"/>
    <w:rsid w:val="00671A86"/>
    <w:rsid w:val="00674234"/>
    <w:rsid w:val="00674B9D"/>
    <w:rsid w:val="00675CCE"/>
    <w:rsid w:val="00676A26"/>
    <w:rsid w:val="006771A4"/>
    <w:rsid w:val="006800EF"/>
    <w:rsid w:val="00680CA2"/>
    <w:rsid w:val="006810D8"/>
    <w:rsid w:val="00682C4D"/>
    <w:rsid w:val="006843EA"/>
    <w:rsid w:val="0068552D"/>
    <w:rsid w:val="00685770"/>
    <w:rsid w:val="0068650F"/>
    <w:rsid w:val="006869CA"/>
    <w:rsid w:val="00687740"/>
    <w:rsid w:val="00690A49"/>
    <w:rsid w:val="00691072"/>
    <w:rsid w:val="0069331C"/>
    <w:rsid w:val="006935A0"/>
    <w:rsid w:val="00693901"/>
    <w:rsid w:val="00693C94"/>
    <w:rsid w:val="00694C48"/>
    <w:rsid w:val="00695450"/>
    <w:rsid w:val="006965A7"/>
    <w:rsid w:val="006973FA"/>
    <w:rsid w:val="0069742F"/>
    <w:rsid w:val="00697C87"/>
    <w:rsid w:val="006A2172"/>
    <w:rsid w:val="006A2370"/>
    <w:rsid w:val="006A3385"/>
    <w:rsid w:val="006A36BF"/>
    <w:rsid w:val="006A384F"/>
    <w:rsid w:val="006A469B"/>
    <w:rsid w:val="006A5235"/>
    <w:rsid w:val="006A56FD"/>
    <w:rsid w:val="006A58DF"/>
    <w:rsid w:val="006A5E56"/>
    <w:rsid w:val="006A63F7"/>
    <w:rsid w:val="006A6AE8"/>
    <w:rsid w:val="006A727B"/>
    <w:rsid w:val="006A7A14"/>
    <w:rsid w:val="006A7BCB"/>
    <w:rsid w:val="006B06DB"/>
    <w:rsid w:val="006B0A74"/>
    <w:rsid w:val="006B0C94"/>
    <w:rsid w:val="006B13C5"/>
    <w:rsid w:val="006B13CC"/>
    <w:rsid w:val="006B2DDD"/>
    <w:rsid w:val="006B2FFC"/>
    <w:rsid w:val="006B509E"/>
    <w:rsid w:val="006B58F2"/>
    <w:rsid w:val="006B61BA"/>
    <w:rsid w:val="006B62F2"/>
    <w:rsid w:val="006B6D3A"/>
    <w:rsid w:val="006B7C30"/>
    <w:rsid w:val="006C0665"/>
    <w:rsid w:val="006C0AFD"/>
    <w:rsid w:val="006C317D"/>
    <w:rsid w:val="006C34C6"/>
    <w:rsid w:val="006C3718"/>
    <w:rsid w:val="006C3899"/>
    <w:rsid w:val="006C4515"/>
    <w:rsid w:val="006C590B"/>
    <w:rsid w:val="006C5B51"/>
    <w:rsid w:val="006C5E2F"/>
    <w:rsid w:val="006C5E8B"/>
    <w:rsid w:val="006C5F47"/>
    <w:rsid w:val="006C6430"/>
    <w:rsid w:val="006C6896"/>
    <w:rsid w:val="006C6A58"/>
    <w:rsid w:val="006C6ED2"/>
    <w:rsid w:val="006C7626"/>
    <w:rsid w:val="006C7C3D"/>
    <w:rsid w:val="006D02FF"/>
    <w:rsid w:val="006D0BDC"/>
    <w:rsid w:val="006D18A2"/>
    <w:rsid w:val="006D18EE"/>
    <w:rsid w:val="006D1EA7"/>
    <w:rsid w:val="006D24C9"/>
    <w:rsid w:val="006D3712"/>
    <w:rsid w:val="006D3AD5"/>
    <w:rsid w:val="006D4298"/>
    <w:rsid w:val="006D4C4B"/>
    <w:rsid w:val="006D4E23"/>
    <w:rsid w:val="006D5453"/>
    <w:rsid w:val="006D59B8"/>
    <w:rsid w:val="006D59FC"/>
    <w:rsid w:val="006D5F34"/>
    <w:rsid w:val="006D64B8"/>
    <w:rsid w:val="006D69A8"/>
    <w:rsid w:val="006D72D1"/>
    <w:rsid w:val="006D7EA1"/>
    <w:rsid w:val="006E1490"/>
    <w:rsid w:val="006E2336"/>
    <w:rsid w:val="006E38DC"/>
    <w:rsid w:val="006E40DA"/>
    <w:rsid w:val="006E4C6F"/>
    <w:rsid w:val="006E5FC1"/>
    <w:rsid w:val="006E62D7"/>
    <w:rsid w:val="006E6852"/>
    <w:rsid w:val="006E79C5"/>
    <w:rsid w:val="006E7BAF"/>
    <w:rsid w:val="006F0B17"/>
    <w:rsid w:val="006F10CA"/>
    <w:rsid w:val="006F129C"/>
    <w:rsid w:val="006F1811"/>
    <w:rsid w:val="006F1BFA"/>
    <w:rsid w:val="006F1F6B"/>
    <w:rsid w:val="006F2373"/>
    <w:rsid w:val="006F2CD5"/>
    <w:rsid w:val="006F3BC2"/>
    <w:rsid w:val="006F3F90"/>
    <w:rsid w:val="006F4A87"/>
    <w:rsid w:val="006F5C28"/>
    <w:rsid w:val="006F5C44"/>
    <w:rsid w:val="006F6269"/>
    <w:rsid w:val="006F65FC"/>
    <w:rsid w:val="006F7B63"/>
    <w:rsid w:val="00700623"/>
    <w:rsid w:val="007008E7"/>
    <w:rsid w:val="00700EEF"/>
    <w:rsid w:val="00701887"/>
    <w:rsid w:val="00702F4A"/>
    <w:rsid w:val="007034AB"/>
    <w:rsid w:val="00704A3E"/>
    <w:rsid w:val="00705C7D"/>
    <w:rsid w:val="00706ACC"/>
    <w:rsid w:val="00710E60"/>
    <w:rsid w:val="00710ED7"/>
    <w:rsid w:val="007112BE"/>
    <w:rsid w:val="00711836"/>
    <w:rsid w:val="00711CA5"/>
    <w:rsid w:val="0071428F"/>
    <w:rsid w:val="0071440C"/>
    <w:rsid w:val="00715550"/>
    <w:rsid w:val="00716043"/>
    <w:rsid w:val="00716111"/>
    <w:rsid w:val="00716C5E"/>
    <w:rsid w:val="00717A11"/>
    <w:rsid w:val="00717BC5"/>
    <w:rsid w:val="00720199"/>
    <w:rsid w:val="007212F2"/>
    <w:rsid w:val="007218F2"/>
    <w:rsid w:val="00721EA6"/>
    <w:rsid w:val="00721FF8"/>
    <w:rsid w:val="00722823"/>
    <w:rsid w:val="0072328B"/>
    <w:rsid w:val="0072460F"/>
    <w:rsid w:val="00724710"/>
    <w:rsid w:val="007248ED"/>
    <w:rsid w:val="00726562"/>
    <w:rsid w:val="00726AD6"/>
    <w:rsid w:val="00726CFA"/>
    <w:rsid w:val="00726DDB"/>
    <w:rsid w:val="00730734"/>
    <w:rsid w:val="00730CB5"/>
    <w:rsid w:val="00731509"/>
    <w:rsid w:val="007320C7"/>
    <w:rsid w:val="007324B8"/>
    <w:rsid w:val="007334B2"/>
    <w:rsid w:val="007334C8"/>
    <w:rsid w:val="00733560"/>
    <w:rsid w:val="0073470C"/>
    <w:rsid w:val="00734B5A"/>
    <w:rsid w:val="00735272"/>
    <w:rsid w:val="00735C71"/>
    <w:rsid w:val="007367AC"/>
    <w:rsid w:val="00740984"/>
    <w:rsid w:val="00741FEC"/>
    <w:rsid w:val="00742F78"/>
    <w:rsid w:val="0074388B"/>
    <w:rsid w:val="00743BE8"/>
    <w:rsid w:val="00744D22"/>
    <w:rsid w:val="00745497"/>
    <w:rsid w:val="00745FF5"/>
    <w:rsid w:val="00746018"/>
    <w:rsid w:val="00747C3C"/>
    <w:rsid w:val="00747FE9"/>
    <w:rsid w:val="00750AE3"/>
    <w:rsid w:val="00750CCE"/>
    <w:rsid w:val="0075178F"/>
    <w:rsid w:val="00752275"/>
    <w:rsid w:val="00752FEF"/>
    <w:rsid w:val="00753236"/>
    <w:rsid w:val="00753F13"/>
    <w:rsid w:val="007540EB"/>
    <w:rsid w:val="00754145"/>
    <w:rsid w:val="007565EA"/>
    <w:rsid w:val="007567FB"/>
    <w:rsid w:val="00756BC7"/>
    <w:rsid w:val="00756CAC"/>
    <w:rsid w:val="007608E0"/>
    <w:rsid w:val="00761BA3"/>
    <w:rsid w:val="007624E9"/>
    <w:rsid w:val="007626E6"/>
    <w:rsid w:val="00762DFC"/>
    <w:rsid w:val="00763596"/>
    <w:rsid w:val="00765125"/>
    <w:rsid w:val="007658FD"/>
    <w:rsid w:val="00765A63"/>
    <w:rsid w:val="0076604C"/>
    <w:rsid w:val="007662FB"/>
    <w:rsid w:val="0076650D"/>
    <w:rsid w:val="00770306"/>
    <w:rsid w:val="007704D4"/>
    <w:rsid w:val="00771104"/>
    <w:rsid w:val="007712B0"/>
    <w:rsid w:val="007715B4"/>
    <w:rsid w:val="007719B7"/>
    <w:rsid w:val="00771A0D"/>
    <w:rsid w:val="00772D4C"/>
    <w:rsid w:val="0077489A"/>
    <w:rsid w:val="00774D1B"/>
    <w:rsid w:val="00775D37"/>
    <w:rsid w:val="007760E2"/>
    <w:rsid w:val="0077677B"/>
    <w:rsid w:val="00776AD2"/>
    <w:rsid w:val="00780350"/>
    <w:rsid w:val="00780AEB"/>
    <w:rsid w:val="0078222B"/>
    <w:rsid w:val="00783616"/>
    <w:rsid w:val="007840FF"/>
    <w:rsid w:val="0078512C"/>
    <w:rsid w:val="0078549A"/>
    <w:rsid w:val="00785DFB"/>
    <w:rsid w:val="00786370"/>
    <w:rsid w:val="00786B24"/>
    <w:rsid w:val="00790783"/>
    <w:rsid w:val="00790B13"/>
    <w:rsid w:val="00791D4F"/>
    <w:rsid w:val="007924BE"/>
    <w:rsid w:val="007928A2"/>
    <w:rsid w:val="00794175"/>
    <w:rsid w:val="00795362"/>
    <w:rsid w:val="007965C4"/>
    <w:rsid w:val="00797697"/>
    <w:rsid w:val="007978CC"/>
    <w:rsid w:val="00797EC4"/>
    <w:rsid w:val="007A0D94"/>
    <w:rsid w:val="007A0F1C"/>
    <w:rsid w:val="007A18F7"/>
    <w:rsid w:val="007A1BA0"/>
    <w:rsid w:val="007A1BE5"/>
    <w:rsid w:val="007A2191"/>
    <w:rsid w:val="007A25F1"/>
    <w:rsid w:val="007A340A"/>
    <w:rsid w:val="007A368A"/>
    <w:rsid w:val="007A3A2F"/>
    <w:rsid w:val="007A53C3"/>
    <w:rsid w:val="007A6A45"/>
    <w:rsid w:val="007A7D68"/>
    <w:rsid w:val="007A7F6B"/>
    <w:rsid w:val="007B0332"/>
    <w:rsid w:val="007B07E9"/>
    <w:rsid w:val="007B0B45"/>
    <w:rsid w:val="007B0B90"/>
    <w:rsid w:val="007B0DFC"/>
    <w:rsid w:val="007B1BA2"/>
    <w:rsid w:val="007B282F"/>
    <w:rsid w:val="007B2B03"/>
    <w:rsid w:val="007B2BCA"/>
    <w:rsid w:val="007B2CCF"/>
    <w:rsid w:val="007B2CE5"/>
    <w:rsid w:val="007B3CE8"/>
    <w:rsid w:val="007B5145"/>
    <w:rsid w:val="007B52F5"/>
    <w:rsid w:val="007B5D38"/>
    <w:rsid w:val="007B796F"/>
    <w:rsid w:val="007B7AAE"/>
    <w:rsid w:val="007C0858"/>
    <w:rsid w:val="007C169C"/>
    <w:rsid w:val="007C186F"/>
    <w:rsid w:val="007C23B8"/>
    <w:rsid w:val="007C2F3D"/>
    <w:rsid w:val="007C4046"/>
    <w:rsid w:val="007C4282"/>
    <w:rsid w:val="007C43B0"/>
    <w:rsid w:val="007C488E"/>
    <w:rsid w:val="007C4CEA"/>
    <w:rsid w:val="007C4D65"/>
    <w:rsid w:val="007C577E"/>
    <w:rsid w:val="007C5F30"/>
    <w:rsid w:val="007C60C6"/>
    <w:rsid w:val="007D0DEF"/>
    <w:rsid w:val="007D1771"/>
    <w:rsid w:val="007D194A"/>
    <w:rsid w:val="007D2051"/>
    <w:rsid w:val="007D35A9"/>
    <w:rsid w:val="007D3A77"/>
    <w:rsid w:val="007D3AC6"/>
    <w:rsid w:val="007D3E95"/>
    <w:rsid w:val="007D4363"/>
    <w:rsid w:val="007D46D9"/>
    <w:rsid w:val="007D49E7"/>
    <w:rsid w:val="007D5493"/>
    <w:rsid w:val="007D57B4"/>
    <w:rsid w:val="007D58B9"/>
    <w:rsid w:val="007D5F83"/>
    <w:rsid w:val="007D60F3"/>
    <w:rsid w:val="007D720C"/>
    <w:rsid w:val="007D7938"/>
    <w:rsid w:val="007E0084"/>
    <w:rsid w:val="007E1097"/>
    <w:rsid w:val="007E1BC3"/>
    <w:rsid w:val="007E2A04"/>
    <w:rsid w:val="007E4210"/>
    <w:rsid w:val="007E4C08"/>
    <w:rsid w:val="007E5017"/>
    <w:rsid w:val="007E5A0D"/>
    <w:rsid w:val="007E5C76"/>
    <w:rsid w:val="007E68E9"/>
    <w:rsid w:val="007E71D2"/>
    <w:rsid w:val="007E7932"/>
    <w:rsid w:val="007E7FBE"/>
    <w:rsid w:val="007F0C6B"/>
    <w:rsid w:val="007F11A7"/>
    <w:rsid w:val="007F1300"/>
    <w:rsid w:val="007F2E53"/>
    <w:rsid w:val="007F347E"/>
    <w:rsid w:val="007F39E6"/>
    <w:rsid w:val="007F429C"/>
    <w:rsid w:val="007F4347"/>
    <w:rsid w:val="007F4AF5"/>
    <w:rsid w:val="007F4E0F"/>
    <w:rsid w:val="007F5075"/>
    <w:rsid w:val="007F5855"/>
    <w:rsid w:val="007F6503"/>
    <w:rsid w:val="007F6C8A"/>
    <w:rsid w:val="007F70E2"/>
    <w:rsid w:val="00800321"/>
    <w:rsid w:val="0080095E"/>
    <w:rsid w:val="00800A1C"/>
    <w:rsid w:val="008016A6"/>
    <w:rsid w:val="00802646"/>
    <w:rsid w:val="008032C0"/>
    <w:rsid w:val="0080334A"/>
    <w:rsid w:val="00804961"/>
    <w:rsid w:val="00804F30"/>
    <w:rsid w:val="00805529"/>
    <w:rsid w:val="008058C1"/>
    <w:rsid w:val="00805A9D"/>
    <w:rsid w:val="00805E66"/>
    <w:rsid w:val="008071D5"/>
    <w:rsid w:val="00807E13"/>
    <w:rsid w:val="00810227"/>
    <w:rsid w:val="00810726"/>
    <w:rsid w:val="00811989"/>
    <w:rsid w:val="00811A61"/>
    <w:rsid w:val="00811D92"/>
    <w:rsid w:val="008124A9"/>
    <w:rsid w:val="008127A9"/>
    <w:rsid w:val="00813344"/>
    <w:rsid w:val="00813E06"/>
    <w:rsid w:val="00814712"/>
    <w:rsid w:val="00814836"/>
    <w:rsid w:val="008163DE"/>
    <w:rsid w:val="0081743A"/>
    <w:rsid w:val="00820954"/>
    <w:rsid w:val="00820D50"/>
    <w:rsid w:val="00821927"/>
    <w:rsid w:val="00822406"/>
    <w:rsid w:val="00823F58"/>
    <w:rsid w:val="00824539"/>
    <w:rsid w:val="008246FF"/>
    <w:rsid w:val="00824785"/>
    <w:rsid w:val="00824B5D"/>
    <w:rsid w:val="00824D92"/>
    <w:rsid w:val="008263F2"/>
    <w:rsid w:val="00826611"/>
    <w:rsid w:val="00826893"/>
    <w:rsid w:val="00826E3E"/>
    <w:rsid w:val="00827816"/>
    <w:rsid w:val="00827E3B"/>
    <w:rsid w:val="00830479"/>
    <w:rsid w:val="008305E3"/>
    <w:rsid w:val="008308FE"/>
    <w:rsid w:val="00831721"/>
    <w:rsid w:val="0083172F"/>
    <w:rsid w:val="00831914"/>
    <w:rsid w:val="00832D7B"/>
    <w:rsid w:val="00833CF0"/>
    <w:rsid w:val="00833EBB"/>
    <w:rsid w:val="00834E6B"/>
    <w:rsid w:val="008355D2"/>
    <w:rsid w:val="008360A0"/>
    <w:rsid w:val="008362C4"/>
    <w:rsid w:val="008370E0"/>
    <w:rsid w:val="0084026C"/>
    <w:rsid w:val="00840611"/>
    <w:rsid w:val="00840B77"/>
    <w:rsid w:val="008419FD"/>
    <w:rsid w:val="00841F6A"/>
    <w:rsid w:val="008421F3"/>
    <w:rsid w:val="00842245"/>
    <w:rsid w:val="008422D8"/>
    <w:rsid w:val="008426D0"/>
    <w:rsid w:val="0084341D"/>
    <w:rsid w:val="0084436F"/>
    <w:rsid w:val="00845317"/>
    <w:rsid w:val="00846820"/>
    <w:rsid w:val="00846897"/>
    <w:rsid w:val="0084701C"/>
    <w:rsid w:val="0084795A"/>
    <w:rsid w:val="00847A56"/>
    <w:rsid w:val="00850774"/>
    <w:rsid w:val="00850B2F"/>
    <w:rsid w:val="00850BA0"/>
    <w:rsid w:val="00851594"/>
    <w:rsid w:val="00852412"/>
    <w:rsid w:val="0085258F"/>
    <w:rsid w:val="00852914"/>
    <w:rsid w:val="00852B81"/>
    <w:rsid w:val="008533AE"/>
    <w:rsid w:val="00854509"/>
    <w:rsid w:val="0085452A"/>
    <w:rsid w:val="00854572"/>
    <w:rsid w:val="00854822"/>
    <w:rsid w:val="00854F81"/>
    <w:rsid w:val="00855144"/>
    <w:rsid w:val="0085562A"/>
    <w:rsid w:val="0085645A"/>
    <w:rsid w:val="008574EE"/>
    <w:rsid w:val="00857A55"/>
    <w:rsid w:val="0086015C"/>
    <w:rsid w:val="008611C7"/>
    <w:rsid w:val="00862725"/>
    <w:rsid w:val="008636D6"/>
    <w:rsid w:val="00863B98"/>
    <w:rsid w:val="0086471E"/>
    <w:rsid w:val="00865C35"/>
    <w:rsid w:val="008660A8"/>
    <w:rsid w:val="00866CF0"/>
    <w:rsid w:val="0086727C"/>
    <w:rsid w:val="0086734C"/>
    <w:rsid w:val="008673D3"/>
    <w:rsid w:val="00867BA7"/>
    <w:rsid w:val="00867F4D"/>
    <w:rsid w:val="00870E7D"/>
    <w:rsid w:val="008716CA"/>
    <w:rsid w:val="00871923"/>
    <w:rsid w:val="00871BC5"/>
    <w:rsid w:val="00871E36"/>
    <w:rsid w:val="008729CC"/>
    <w:rsid w:val="00872EFC"/>
    <w:rsid w:val="00873235"/>
    <w:rsid w:val="00873AFE"/>
    <w:rsid w:val="00873FF2"/>
    <w:rsid w:val="00874AB9"/>
    <w:rsid w:val="00874FFC"/>
    <w:rsid w:val="008752A3"/>
    <w:rsid w:val="0087560F"/>
    <w:rsid w:val="00875E46"/>
    <w:rsid w:val="00876766"/>
    <w:rsid w:val="00876986"/>
    <w:rsid w:val="00876FDD"/>
    <w:rsid w:val="00877791"/>
    <w:rsid w:val="008779C4"/>
    <w:rsid w:val="00877F5B"/>
    <w:rsid w:val="00880015"/>
    <w:rsid w:val="00880982"/>
    <w:rsid w:val="00881033"/>
    <w:rsid w:val="00881AC3"/>
    <w:rsid w:val="008836E5"/>
    <w:rsid w:val="0088373E"/>
    <w:rsid w:val="00883B17"/>
    <w:rsid w:val="00884220"/>
    <w:rsid w:val="00885375"/>
    <w:rsid w:val="00885EE0"/>
    <w:rsid w:val="00886C88"/>
    <w:rsid w:val="00887F9D"/>
    <w:rsid w:val="00892684"/>
    <w:rsid w:val="008931D9"/>
    <w:rsid w:val="008947F8"/>
    <w:rsid w:val="0089486D"/>
    <w:rsid w:val="00894A9C"/>
    <w:rsid w:val="00894B65"/>
    <w:rsid w:val="0089674C"/>
    <w:rsid w:val="008A0F15"/>
    <w:rsid w:val="008A130F"/>
    <w:rsid w:val="008A22F0"/>
    <w:rsid w:val="008A249F"/>
    <w:rsid w:val="008A2D45"/>
    <w:rsid w:val="008A3417"/>
    <w:rsid w:val="008A3AAA"/>
    <w:rsid w:val="008A486A"/>
    <w:rsid w:val="008A58E6"/>
    <w:rsid w:val="008A5B2E"/>
    <w:rsid w:val="008A67A6"/>
    <w:rsid w:val="008A71AF"/>
    <w:rsid w:val="008A7864"/>
    <w:rsid w:val="008A7AF6"/>
    <w:rsid w:val="008B0732"/>
    <w:rsid w:val="008B0BDE"/>
    <w:rsid w:val="008B17FB"/>
    <w:rsid w:val="008B1EA7"/>
    <w:rsid w:val="008B2230"/>
    <w:rsid w:val="008B2411"/>
    <w:rsid w:val="008B4152"/>
    <w:rsid w:val="008B4372"/>
    <w:rsid w:val="008B57C2"/>
    <w:rsid w:val="008B5D3B"/>
    <w:rsid w:val="008B6614"/>
    <w:rsid w:val="008B66E4"/>
    <w:rsid w:val="008B675C"/>
    <w:rsid w:val="008B7641"/>
    <w:rsid w:val="008B7B4D"/>
    <w:rsid w:val="008C05BD"/>
    <w:rsid w:val="008C0604"/>
    <w:rsid w:val="008C0AE4"/>
    <w:rsid w:val="008C2145"/>
    <w:rsid w:val="008C2302"/>
    <w:rsid w:val="008C25CD"/>
    <w:rsid w:val="008C3312"/>
    <w:rsid w:val="008C42B4"/>
    <w:rsid w:val="008C485C"/>
    <w:rsid w:val="008C4DB5"/>
    <w:rsid w:val="008C55DB"/>
    <w:rsid w:val="008C56E6"/>
    <w:rsid w:val="008C650D"/>
    <w:rsid w:val="008C7664"/>
    <w:rsid w:val="008C7E75"/>
    <w:rsid w:val="008D03C9"/>
    <w:rsid w:val="008D0433"/>
    <w:rsid w:val="008D05FD"/>
    <w:rsid w:val="008D14E9"/>
    <w:rsid w:val="008D1D78"/>
    <w:rsid w:val="008D1FDC"/>
    <w:rsid w:val="008D2969"/>
    <w:rsid w:val="008D3B28"/>
    <w:rsid w:val="008D3EE8"/>
    <w:rsid w:val="008D4009"/>
    <w:rsid w:val="008D43E6"/>
    <w:rsid w:val="008D4563"/>
    <w:rsid w:val="008D49EA"/>
    <w:rsid w:val="008D5205"/>
    <w:rsid w:val="008D55C9"/>
    <w:rsid w:val="008D5619"/>
    <w:rsid w:val="008D5BD2"/>
    <w:rsid w:val="008D6359"/>
    <w:rsid w:val="008D6B1F"/>
    <w:rsid w:val="008D70F1"/>
    <w:rsid w:val="008D7CC1"/>
    <w:rsid w:val="008E078E"/>
    <w:rsid w:val="008E1484"/>
    <w:rsid w:val="008E15EC"/>
    <w:rsid w:val="008E1906"/>
    <w:rsid w:val="008E1E3E"/>
    <w:rsid w:val="008E282F"/>
    <w:rsid w:val="008E2B17"/>
    <w:rsid w:val="008E3427"/>
    <w:rsid w:val="008E4889"/>
    <w:rsid w:val="008E4AAA"/>
    <w:rsid w:val="008E57B3"/>
    <w:rsid w:val="008E5E75"/>
    <w:rsid w:val="008E6332"/>
    <w:rsid w:val="008E64F0"/>
    <w:rsid w:val="008E702E"/>
    <w:rsid w:val="008E7D20"/>
    <w:rsid w:val="008F0378"/>
    <w:rsid w:val="008F08D8"/>
    <w:rsid w:val="008F0DA9"/>
    <w:rsid w:val="008F15E8"/>
    <w:rsid w:val="008F1B16"/>
    <w:rsid w:val="008F1BCF"/>
    <w:rsid w:val="008F2081"/>
    <w:rsid w:val="008F2FAE"/>
    <w:rsid w:val="008F3176"/>
    <w:rsid w:val="008F4C57"/>
    <w:rsid w:val="008F6446"/>
    <w:rsid w:val="008F6651"/>
    <w:rsid w:val="008F751C"/>
    <w:rsid w:val="008F7B36"/>
    <w:rsid w:val="008F7D0F"/>
    <w:rsid w:val="00900AF6"/>
    <w:rsid w:val="0090160D"/>
    <w:rsid w:val="00902D2A"/>
    <w:rsid w:val="009034BB"/>
    <w:rsid w:val="00904063"/>
    <w:rsid w:val="00906948"/>
    <w:rsid w:val="00906D7C"/>
    <w:rsid w:val="00906E52"/>
    <w:rsid w:val="00907599"/>
    <w:rsid w:val="009078BC"/>
    <w:rsid w:val="0091113E"/>
    <w:rsid w:val="0091119B"/>
    <w:rsid w:val="009117C0"/>
    <w:rsid w:val="0091200F"/>
    <w:rsid w:val="009122FE"/>
    <w:rsid w:val="009132A7"/>
    <w:rsid w:val="0091331B"/>
    <w:rsid w:val="009137D2"/>
    <w:rsid w:val="009139CF"/>
    <w:rsid w:val="00913E8E"/>
    <w:rsid w:val="009141E7"/>
    <w:rsid w:val="00914D71"/>
    <w:rsid w:val="00915F64"/>
    <w:rsid w:val="00915FE8"/>
    <w:rsid w:val="009161C9"/>
    <w:rsid w:val="009162D2"/>
    <w:rsid w:val="009166DD"/>
    <w:rsid w:val="00917177"/>
    <w:rsid w:val="00917213"/>
    <w:rsid w:val="009176A4"/>
    <w:rsid w:val="009179D6"/>
    <w:rsid w:val="009212CE"/>
    <w:rsid w:val="0092133C"/>
    <w:rsid w:val="00921724"/>
    <w:rsid w:val="009218E6"/>
    <w:rsid w:val="009219BD"/>
    <w:rsid w:val="00921DB5"/>
    <w:rsid w:val="00922061"/>
    <w:rsid w:val="00922107"/>
    <w:rsid w:val="00922538"/>
    <w:rsid w:val="0092263E"/>
    <w:rsid w:val="00922999"/>
    <w:rsid w:val="009230A8"/>
    <w:rsid w:val="00925084"/>
    <w:rsid w:val="009252FD"/>
    <w:rsid w:val="00925B34"/>
    <w:rsid w:val="009265FF"/>
    <w:rsid w:val="009269DF"/>
    <w:rsid w:val="00926B86"/>
    <w:rsid w:val="009271EA"/>
    <w:rsid w:val="00927292"/>
    <w:rsid w:val="00933228"/>
    <w:rsid w:val="0093350C"/>
    <w:rsid w:val="00935493"/>
    <w:rsid w:val="00937F0E"/>
    <w:rsid w:val="00940DF5"/>
    <w:rsid w:val="00942FD4"/>
    <w:rsid w:val="0094334C"/>
    <w:rsid w:val="009455F5"/>
    <w:rsid w:val="00946703"/>
    <w:rsid w:val="0094674B"/>
    <w:rsid w:val="00946B7F"/>
    <w:rsid w:val="00946BDC"/>
    <w:rsid w:val="009476D3"/>
    <w:rsid w:val="00950332"/>
    <w:rsid w:val="009530AD"/>
    <w:rsid w:val="00953570"/>
    <w:rsid w:val="00953B25"/>
    <w:rsid w:val="00953E98"/>
    <w:rsid w:val="00954096"/>
    <w:rsid w:val="00954804"/>
    <w:rsid w:val="0095561E"/>
    <w:rsid w:val="009567AE"/>
    <w:rsid w:val="009571CB"/>
    <w:rsid w:val="009573A8"/>
    <w:rsid w:val="009573FA"/>
    <w:rsid w:val="00957733"/>
    <w:rsid w:val="00957A10"/>
    <w:rsid w:val="00960298"/>
    <w:rsid w:val="009617EB"/>
    <w:rsid w:val="0096262A"/>
    <w:rsid w:val="00963690"/>
    <w:rsid w:val="009647CF"/>
    <w:rsid w:val="009651AF"/>
    <w:rsid w:val="00965737"/>
    <w:rsid w:val="00966564"/>
    <w:rsid w:val="009666D3"/>
    <w:rsid w:val="00967036"/>
    <w:rsid w:val="0096735A"/>
    <w:rsid w:val="00970F53"/>
    <w:rsid w:val="009712B8"/>
    <w:rsid w:val="00971B44"/>
    <w:rsid w:val="00972302"/>
    <w:rsid w:val="00972387"/>
    <w:rsid w:val="0097362C"/>
    <w:rsid w:val="00973BBF"/>
    <w:rsid w:val="00974115"/>
    <w:rsid w:val="00974512"/>
    <w:rsid w:val="009745A8"/>
    <w:rsid w:val="00974DE3"/>
    <w:rsid w:val="00974E2F"/>
    <w:rsid w:val="009754E3"/>
    <w:rsid w:val="009758B9"/>
    <w:rsid w:val="00977C80"/>
    <w:rsid w:val="00977F98"/>
    <w:rsid w:val="00980247"/>
    <w:rsid w:val="00980437"/>
    <w:rsid w:val="00980463"/>
    <w:rsid w:val="00980E44"/>
    <w:rsid w:val="00980F68"/>
    <w:rsid w:val="00981836"/>
    <w:rsid w:val="00982731"/>
    <w:rsid w:val="00982A9C"/>
    <w:rsid w:val="00982AA0"/>
    <w:rsid w:val="00982F01"/>
    <w:rsid w:val="009830F2"/>
    <w:rsid w:val="00983BD4"/>
    <w:rsid w:val="00985AF8"/>
    <w:rsid w:val="0098757F"/>
    <w:rsid w:val="00987AD1"/>
    <w:rsid w:val="009905AD"/>
    <w:rsid w:val="0099157F"/>
    <w:rsid w:val="009929D4"/>
    <w:rsid w:val="00993A40"/>
    <w:rsid w:val="009943CE"/>
    <w:rsid w:val="009946EE"/>
    <w:rsid w:val="009953D1"/>
    <w:rsid w:val="00996312"/>
    <w:rsid w:val="009963AF"/>
    <w:rsid w:val="00997335"/>
    <w:rsid w:val="009974AC"/>
    <w:rsid w:val="009979A7"/>
    <w:rsid w:val="00997CED"/>
    <w:rsid w:val="009A0804"/>
    <w:rsid w:val="009A092B"/>
    <w:rsid w:val="009A0BA2"/>
    <w:rsid w:val="009A180C"/>
    <w:rsid w:val="009A1A22"/>
    <w:rsid w:val="009A1EFD"/>
    <w:rsid w:val="009A2813"/>
    <w:rsid w:val="009A38FD"/>
    <w:rsid w:val="009A51BF"/>
    <w:rsid w:val="009A659D"/>
    <w:rsid w:val="009A69C7"/>
    <w:rsid w:val="009A71AA"/>
    <w:rsid w:val="009A7AAF"/>
    <w:rsid w:val="009B0472"/>
    <w:rsid w:val="009B064C"/>
    <w:rsid w:val="009B1020"/>
    <w:rsid w:val="009B1CB9"/>
    <w:rsid w:val="009B2285"/>
    <w:rsid w:val="009B26D5"/>
    <w:rsid w:val="009B26DB"/>
    <w:rsid w:val="009B2D3C"/>
    <w:rsid w:val="009B350A"/>
    <w:rsid w:val="009B4013"/>
    <w:rsid w:val="009B4446"/>
    <w:rsid w:val="009B491A"/>
    <w:rsid w:val="009B4F67"/>
    <w:rsid w:val="009B55DD"/>
    <w:rsid w:val="009B6667"/>
    <w:rsid w:val="009B6AE5"/>
    <w:rsid w:val="009C15C9"/>
    <w:rsid w:val="009C2A12"/>
    <w:rsid w:val="009C33EA"/>
    <w:rsid w:val="009C47E2"/>
    <w:rsid w:val="009C4F84"/>
    <w:rsid w:val="009C50BA"/>
    <w:rsid w:val="009C587D"/>
    <w:rsid w:val="009C5D0F"/>
    <w:rsid w:val="009C6A63"/>
    <w:rsid w:val="009D01E0"/>
    <w:rsid w:val="009D0E66"/>
    <w:rsid w:val="009D186B"/>
    <w:rsid w:val="009D37CC"/>
    <w:rsid w:val="009D4651"/>
    <w:rsid w:val="009D4EAB"/>
    <w:rsid w:val="009D5196"/>
    <w:rsid w:val="009D6603"/>
    <w:rsid w:val="009D69EC"/>
    <w:rsid w:val="009D730D"/>
    <w:rsid w:val="009D7644"/>
    <w:rsid w:val="009D7985"/>
    <w:rsid w:val="009D7AF6"/>
    <w:rsid w:val="009E078F"/>
    <w:rsid w:val="009E07D3"/>
    <w:rsid w:val="009E0D12"/>
    <w:rsid w:val="009E1111"/>
    <w:rsid w:val="009E1814"/>
    <w:rsid w:val="009E1DB0"/>
    <w:rsid w:val="009E2E0D"/>
    <w:rsid w:val="009E310A"/>
    <w:rsid w:val="009E3F82"/>
    <w:rsid w:val="009E60F2"/>
    <w:rsid w:val="009E6B27"/>
    <w:rsid w:val="009E6D10"/>
    <w:rsid w:val="009E7B31"/>
    <w:rsid w:val="009F0730"/>
    <w:rsid w:val="009F29D4"/>
    <w:rsid w:val="009F3514"/>
    <w:rsid w:val="009F3A00"/>
    <w:rsid w:val="009F4969"/>
    <w:rsid w:val="009F5137"/>
    <w:rsid w:val="009F51A4"/>
    <w:rsid w:val="009F65C0"/>
    <w:rsid w:val="009F7619"/>
    <w:rsid w:val="009F7990"/>
    <w:rsid w:val="009F7A41"/>
    <w:rsid w:val="00A00165"/>
    <w:rsid w:val="00A028BA"/>
    <w:rsid w:val="00A029EC"/>
    <w:rsid w:val="00A02E12"/>
    <w:rsid w:val="00A02E3E"/>
    <w:rsid w:val="00A0300F"/>
    <w:rsid w:val="00A0361E"/>
    <w:rsid w:val="00A04983"/>
    <w:rsid w:val="00A04C85"/>
    <w:rsid w:val="00A051CA"/>
    <w:rsid w:val="00A05634"/>
    <w:rsid w:val="00A05C29"/>
    <w:rsid w:val="00A05C5E"/>
    <w:rsid w:val="00A060B4"/>
    <w:rsid w:val="00A06D0B"/>
    <w:rsid w:val="00A0753F"/>
    <w:rsid w:val="00A078E1"/>
    <w:rsid w:val="00A10FFD"/>
    <w:rsid w:val="00A1107D"/>
    <w:rsid w:val="00A11347"/>
    <w:rsid w:val="00A11818"/>
    <w:rsid w:val="00A12B3C"/>
    <w:rsid w:val="00A13019"/>
    <w:rsid w:val="00A1323D"/>
    <w:rsid w:val="00A146A0"/>
    <w:rsid w:val="00A14A90"/>
    <w:rsid w:val="00A14B0A"/>
    <w:rsid w:val="00A15271"/>
    <w:rsid w:val="00A15795"/>
    <w:rsid w:val="00A15933"/>
    <w:rsid w:val="00A16DD9"/>
    <w:rsid w:val="00A17D52"/>
    <w:rsid w:val="00A17E32"/>
    <w:rsid w:val="00A208ED"/>
    <w:rsid w:val="00A20C80"/>
    <w:rsid w:val="00A20D58"/>
    <w:rsid w:val="00A213F0"/>
    <w:rsid w:val="00A214A9"/>
    <w:rsid w:val="00A216FB"/>
    <w:rsid w:val="00A22877"/>
    <w:rsid w:val="00A22BE5"/>
    <w:rsid w:val="00A2312A"/>
    <w:rsid w:val="00A240EB"/>
    <w:rsid w:val="00A251CC"/>
    <w:rsid w:val="00A27268"/>
    <w:rsid w:val="00A27CDB"/>
    <w:rsid w:val="00A30684"/>
    <w:rsid w:val="00A3091F"/>
    <w:rsid w:val="00A30DE3"/>
    <w:rsid w:val="00A31918"/>
    <w:rsid w:val="00A31DAA"/>
    <w:rsid w:val="00A32408"/>
    <w:rsid w:val="00A33018"/>
    <w:rsid w:val="00A33B8E"/>
    <w:rsid w:val="00A33FB1"/>
    <w:rsid w:val="00A35DA3"/>
    <w:rsid w:val="00A36317"/>
    <w:rsid w:val="00A36552"/>
    <w:rsid w:val="00A36A82"/>
    <w:rsid w:val="00A37756"/>
    <w:rsid w:val="00A40694"/>
    <w:rsid w:val="00A40FBA"/>
    <w:rsid w:val="00A4175E"/>
    <w:rsid w:val="00A41A81"/>
    <w:rsid w:val="00A41DEF"/>
    <w:rsid w:val="00A43235"/>
    <w:rsid w:val="00A434A7"/>
    <w:rsid w:val="00A43EDB"/>
    <w:rsid w:val="00A453D0"/>
    <w:rsid w:val="00A46046"/>
    <w:rsid w:val="00A46476"/>
    <w:rsid w:val="00A46CAE"/>
    <w:rsid w:val="00A47AB3"/>
    <w:rsid w:val="00A47DA0"/>
    <w:rsid w:val="00A5003B"/>
    <w:rsid w:val="00A5038D"/>
    <w:rsid w:val="00A5081E"/>
    <w:rsid w:val="00A50BDA"/>
    <w:rsid w:val="00A51559"/>
    <w:rsid w:val="00A516D8"/>
    <w:rsid w:val="00A52316"/>
    <w:rsid w:val="00A53027"/>
    <w:rsid w:val="00A54BCE"/>
    <w:rsid w:val="00A54FAC"/>
    <w:rsid w:val="00A55685"/>
    <w:rsid w:val="00A55763"/>
    <w:rsid w:val="00A55AAA"/>
    <w:rsid w:val="00A55DA9"/>
    <w:rsid w:val="00A56314"/>
    <w:rsid w:val="00A566E9"/>
    <w:rsid w:val="00A5697C"/>
    <w:rsid w:val="00A56A1D"/>
    <w:rsid w:val="00A6019E"/>
    <w:rsid w:val="00A60427"/>
    <w:rsid w:val="00A61992"/>
    <w:rsid w:val="00A61B98"/>
    <w:rsid w:val="00A628CE"/>
    <w:rsid w:val="00A63042"/>
    <w:rsid w:val="00A63527"/>
    <w:rsid w:val="00A63C00"/>
    <w:rsid w:val="00A6472E"/>
    <w:rsid w:val="00A6486B"/>
    <w:rsid w:val="00A64947"/>
    <w:rsid w:val="00A654AB"/>
    <w:rsid w:val="00A66451"/>
    <w:rsid w:val="00A70A64"/>
    <w:rsid w:val="00A71782"/>
    <w:rsid w:val="00A71AF4"/>
    <w:rsid w:val="00A72AC2"/>
    <w:rsid w:val="00A72AC5"/>
    <w:rsid w:val="00A72B5C"/>
    <w:rsid w:val="00A730BB"/>
    <w:rsid w:val="00A73368"/>
    <w:rsid w:val="00A73BA9"/>
    <w:rsid w:val="00A73DD4"/>
    <w:rsid w:val="00A74B6E"/>
    <w:rsid w:val="00A76791"/>
    <w:rsid w:val="00A76BA8"/>
    <w:rsid w:val="00A77684"/>
    <w:rsid w:val="00A7768C"/>
    <w:rsid w:val="00A77BFF"/>
    <w:rsid w:val="00A77EC8"/>
    <w:rsid w:val="00A808DC"/>
    <w:rsid w:val="00A81C50"/>
    <w:rsid w:val="00A83173"/>
    <w:rsid w:val="00A83879"/>
    <w:rsid w:val="00A848D1"/>
    <w:rsid w:val="00A85038"/>
    <w:rsid w:val="00A85361"/>
    <w:rsid w:val="00A85F83"/>
    <w:rsid w:val="00A866D7"/>
    <w:rsid w:val="00A86746"/>
    <w:rsid w:val="00A86B87"/>
    <w:rsid w:val="00A86D9B"/>
    <w:rsid w:val="00A86EF7"/>
    <w:rsid w:val="00A8785E"/>
    <w:rsid w:val="00A9001C"/>
    <w:rsid w:val="00A9096D"/>
    <w:rsid w:val="00A9180D"/>
    <w:rsid w:val="00A91D1B"/>
    <w:rsid w:val="00A91D88"/>
    <w:rsid w:val="00A925FA"/>
    <w:rsid w:val="00A9402E"/>
    <w:rsid w:val="00A95CD5"/>
    <w:rsid w:val="00A968AD"/>
    <w:rsid w:val="00A97615"/>
    <w:rsid w:val="00A977BD"/>
    <w:rsid w:val="00A97EBB"/>
    <w:rsid w:val="00AA0447"/>
    <w:rsid w:val="00AA0EA5"/>
    <w:rsid w:val="00AA14B8"/>
    <w:rsid w:val="00AA29FD"/>
    <w:rsid w:val="00AA3A3E"/>
    <w:rsid w:val="00AA3CAD"/>
    <w:rsid w:val="00AA5CBD"/>
    <w:rsid w:val="00AA676A"/>
    <w:rsid w:val="00AA6D63"/>
    <w:rsid w:val="00AA703B"/>
    <w:rsid w:val="00AA79D8"/>
    <w:rsid w:val="00AB011E"/>
    <w:rsid w:val="00AB02B8"/>
    <w:rsid w:val="00AB075E"/>
    <w:rsid w:val="00AB0761"/>
    <w:rsid w:val="00AB1658"/>
    <w:rsid w:val="00AB1EFF"/>
    <w:rsid w:val="00AB2E3D"/>
    <w:rsid w:val="00AB52D7"/>
    <w:rsid w:val="00AB681E"/>
    <w:rsid w:val="00AB770C"/>
    <w:rsid w:val="00AC057C"/>
    <w:rsid w:val="00AC1F08"/>
    <w:rsid w:val="00AC318A"/>
    <w:rsid w:val="00AC345C"/>
    <w:rsid w:val="00AC355D"/>
    <w:rsid w:val="00AC5022"/>
    <w:rsid w:val="00AC5684"/>
    <w:rsid w:val="00AC6824"/>
    <w:rsid w:val="00AC6E56"/>
    <w:rsid w:val="00AC72E7"/>
    <w:rsid w:val="00AC7BBA"/>
    <w:rsid w:val="00AC7BBE"/>
    <w:rsid w:val="00AC7C2B"/>
    <w:rsid w:val="00AD2CBE"/>
    <w:rsid w:val="00AD2F30"/>
    <w:rsid w:val="00AD35E3"/>
    <w:rsid w:val="00AD3632"/>
    <w:rsid w:val="00AD40C4"/>
    <w:rsid w:val="00AD40F9"/>
    <w:rsid w:val="00AD4D69"/>
    <w:rsid w:val="00AD5385"/>
    <w:rsid w:val="00AD5A99"/>
    <w:rsid w:val="00AD5ED7"/>
    <w:rsid w:val="00AD6A14"/>
    <w:rsid w:val="00AD772E"/>
    <w:rsid w:val="00AD7935"/>
    <w:rsid w:val="00AE03E0"/>
    <w:rsid w:val="00AE0F56"/>
    <w:rsid w:val="00AE12AC"/>
    <w:rsid w:val="00AE2044"/>
    <w:rsid w:val="00AE35CE"/>
    <w:rsid w:val="00AE3B92"/>
    <w:rsid w:val="00AE3CED"/>
    <w:rsid w:val="00AE4809"/>
    <w:rsid w:val="00AE4834"/>
    <w:rsid w:val="00AE49E3"/>
    <w:rsid w:val="00AE550C"/>
    <w:rsid w:val="00AE55F6"/>
    <w:rsid w:val="00AE6210"/>
    <w:rsid w:val="00AE6CB6"/>
    <w:rsid w:val="00AE6E63"/>
    <w:rsid w:val="00AE73B8"/>
    <w:rsid w:val="00AE74B5"/>
    <w:rsid w:val="00AE7661"/>
    <w:rsid w:val="00AE7BA7"/>
    <w:rsid w:val="00AF06CF"/>
    <w:rsid w:val="00AF2E47"/>
    <w:rsid w:val="00AF3385"/>
    <w:rsid w:val="00AF45B0"/>
    <w:rsid w:val="00AF63B1"/>
    <w:rsid w:val="00AF6721"/>
    <w:rsid w:val="00AF7880"/>
    <w:rsid w:val="00B000E7"/>
    <w:rsid w:val="00B0142B"/>
    <w:rsid w:val="00B02E77"/>
    <w:rsid w:val="00B02F2B"/>
    <w:rsid w:val="00B03244"/>
    <w:rsid w:val="00B034CA"/>
    <w:rsid w:val="00B03F94"/>
    <w:rsid w:val="00B06F24"/>
    <w:rsid w:val="00B06F6C"/>
    <w:rsid w:val="00B0734A"/>
    <w:rsid w:val="00B100DF"/>
    <w:rsid w:val="00B1108E"/>
    <w:rsid w:val="00B1148E"/>
    <w:rsid w:val="00B119EF"/>
    <w:rsid w:val="00B11F3F"/>
    <w:rsid w:val="00B13218"/>
    <w:rsid w:val="00B133ED"/>
    <w:rsid w:val="00B1351C"/>
    <w:rsid w:val="00B145DB"/>
    <w:rsid w:val="00B14735"/>
    <w:rsid w:val="00B14875"/>
    <w:rsid w:val="00B148DC"/>
    <w:rsid w:val="00B15868"/>
    <w:rsid w:val="00B1618F"/>
    <w:rsid w:val="00B16A0B"/>
    <w:rsid w:val="00B16D4C"/>
    <w:rsid w:val="00B20135"/>
    <w:rsid w:val="00B202B1"/>
    <w:rsid w:val="00B210F0"/>
    <w:rsid w:val="00B215E9"/>
    <w:rsid w:val="00B217B4"/>
    <w:rsid w:val="00B21DE9"/>
    <w:rsid w:val="00B21F56"/>
    <w:rsid w:val="00B2272B"/>
    <w:rsid w:val="00B22FEF"/>
    <w:rsid w:val="00B24134"/>
    <w:rsid w:val="00B24641"/>
    <w:rsid w:val="00B24666"/>
    <w:rsid w:val="00B246F1"/>
    <w:rsid w:val="00B24BBA"/>
    <w:rsid w:val="00B2560F"/>
    <w:rsid w:val="00B27F33"/>
    <w:rsid w:val="00B302DF"/>
    <w:rsid w:val="00B30815"/>
    <w:rsid w:val="00B30B2F"/>
    <w:rsid w:val="00B3146D"/>
    <w:rsid w:val="00B314CC"/>
    <w:rsid w:val="00B31980"/>
    <w:rsid w:val="00B3285C"/>
    <w:rsid w:val="00B32FF2"/>
    <w:rsid w:val="00B33547"/>
    <w:rsid w:val="00B33591"/>
    <w:rsid w:val="00B336B1"/>
    <w:rsid w:val="00B3389B"/>
    <w:rsid w:val="00B33E91"/>
    <w:rsid w:val="00B3411F"/>
    <w:rsid w:val="00B34BE4"/>
    <w:rsid w:val="00B36DAB"/>
    <w:rsid w:val="00B36F3C"/>
    <w:rsid w:val="00B37244"/>
    <w:rsid w:val="00B37C98"/>
    <w:rsid w:val="00B37E72"/>
    <w:rsid w:val="00B40093"/>
    <w:rsid w:val="00B4133C"/>
    <w:rsid w:val="00B4197E"/>
    <w:rsid w:val="00B429DB"/>
    <w:rsid w:val="00B42DEB"/>
    <w:rsid w:val="00B4317D"/>
    <w:rsid w:val="00B43CCA"/>
    <w:rsid w:val="00B44597"/>
    <w:rsid w:val="00B454F0"/>
    <w:rsid w:val="00B456D0"/>
    <w:rsid w:val="00B465AB"/>
    <w:rsid w:val="00B46A3D"/>
    <w:rsid w:val="00B46FC0"/>
    <w:rsid w:val="00B47164"/>
    <w:rsid w:val="00B47412"/>
    <w:rsid w:val="00B47CC2"/>
    <w:rsid w:val="00B47D93"/>
    <w:rsid w:val="00B51030"/>
    <w:rsid w:val="00B52E86"/>
    <w:rsid w:val="00B53632"/>
    <w:rsid w:val="00B53708"/>
    <w:rsid w:val="00B5475A"/>
    <w:rsid w:val="00B55CDC"/>
    <w:rsid w:val="00B56E23"/>
    <w:rsid w:val="00B57887"/>
    <w:rsid w:val="00B60978"/>
    <w:rsid w:val="00B62A21"/>
    <w:rsid w:val="00B63011"/>
    <w:rsid w:val="00B642FF"/>
    <w:rsid w:val="00B64457"/>
    <w:rsid w:val="00B64660"/>
    <w:rsid w:val="00B648CB"/>
    <w:rsid w:val="00B64DB9"/>
    <w:rsid w:val="00B64FBF"/>
    <w:rsid w:val="00B65C8C"/>
    <w:rsid w:val="00B67031"/>
    <w:rsid w:val="00B67229"/>
    <w:rsid w:val="00B7089F"/>
    <w:rsid w:val="00B70A42"/>
    <w:rsid w:val="00B7185B"/>
    <w:rsid w:val="00B7274D"/>
    <w:rsid w:val="00B72832"/>
    <w:rsid w:val="00B73ACE"/>
    <w:rsid w:val="00B740F3"/>
    <w:rsid w:val="00B744A1"/>
    <w:rsid w:val="00B75729"/>
    <w:rsid w:val="00B75EA6"/>
    <w:rsid w:val="00B76240"/>
    <w:rsid w:val="00B765F4"/>
    <w:rsid w:val="00B771ED"/>
    <w:rsid w:val="00B77CDC"/>
    <w:rsid w:val="00B80307"/>
    <w:rsid w:val="00B8207D"/>
    <w:rsid w:val="00B8289F"/>
    <w:rsid w:val="00B82966"/>
    <w:rsid w:val="00B82BB6"/>
    <w:rsid w:val="00B82F22"/>
    <w:rsid w:val="00B834FD"/>
    <w:rsid w:val="00B849D8"/>
    <w:rsid w:val="00B85D07"/>
    <w:rsid w:val="00B8621C"/>
    <w:rsid w:val="00B86F23"/>
    <w:rsid w:val="00B8743A"/>
    <w:rsid w:val="00B87B75"/>
    <w:rsid w:val="00B87F71"/>
    <w:rsid w:val="00B90BC9"/>
    <w:rsid w:val="00B91708"/>
    <w:rsid w:val="00B91CC2"/>
    <w:rsid w:val="00B92378"/>
    <w:rsid w:val="00B92771"/>
    <w:rsid w:val="00B92A01"/>
    <w:rsid w:val="00B92DFB"/>
    <w:rsid w:val="00B93258"/>
    <w:rsid w:val="00B944FB"/>
    <w:rsid w:val="00B946F3"/>
    <w:rsid w:val="00B94CB3"/>
    <w:rsid w:val="00B955EC"/>
    <w:rsid w:val="00B961E8"/>
    <w:rsid w:val="00B96670"/>
    <w:rsid w:val="00B9763A"/>
    <w:rsid w:val="00B978C5"/>
    <w:rsid w:val="00BA0130"/>
    <w:rsid w:val="00BA0582"/>
    <w:rsid w:val="00BA0BF9"/>
    <w:rsid w:val="00BA1101"/>
    <w:rsid w:val="00BA151F"/>
    <w:rsid w:val="00BA509B"/>
    <w:rsid w:val="00BA5F8A"/>
    <w:rsid w:val="00BA6289"/>
    <w:rsid w:val="00BA66C3"/>
    <w:rsid w:val="00BA707B"/>
    <w:rsid w:val="00BA7377"/>
    <w:rsid w:val="00BA7DB3"/>
    <w:rsid w:val="00BB0700"/>
    <w:rsid w:val="00BB130A"/>
    <w:rsid w:val="00BB1734"/>
    <w:rsid w:val="00BB22F7"/>
    <w:rsid w:val="00BB27C0"/>
    <w:rsid w:val="00BB33FA"/>
    <w:rsid w:val="00BB348C"/>
    <w:rsid w:val="00BB497B"/>
    <w:rsid w:val="00BB4988"/>
    <w:rsid w:val="00BB4ACB"/>
    <w:rsid w:val="00BB4F2F"/>
    <w:rsid w:val="00BB5538"/>
    <w:rsid w:val="00BB5B4C"/>
    <w:rsid w:val="00BB7CEE"/>
    <w:rsid w:val="00BB7EE9"/>
    <w:rsid w:val="00BB7F92"/>
    <w:rsid w:val="00BC0D0E"/>
    <w:rsid w:val="00BC1129"/>
    <w:rsid w:val="00BC1C67"/>
    <w:rsid w:val="00BC281E"/>
    <w:rsid w:val="00BC31C1"/>
    <w:rsid w:val="00BC364C"/>
    <w:rsid w:val="00BC36B3"/>
    <w:rsid w:val="00BC3D51"/>
    <w:rsid w:val="00BC4279"/>
    <w:rsid w:val="00BC43C0"/>
    <w:rsid w:val="00BC4BF1"/>
    <w:rsid w:val="00BC565A"/>
    <w:rsid w:val="00BC5A44"/>
    <w:rsid w:val="00BC5A74"/>
    <w:rsid w:val="00BC69AB"/>
    <w:rsid w:val="00BC6FC9"/>
    <w:rsid w:val="00BC6FF6"/>
    <w:rsid w:val="00BD2173"/>
    <w:rsid w:val="00BD2220"/>
    <w:rsid w:val="00BD2694"/>
    <w:rsid w:val="00BD3167"/>
    <w:rsid w:val="00BD34DB"/>
    <w:rsid w:val="00BD39D9"/>
    <w:rsid w:val="00BD41E6"/>
    <w:rsid w:val="00BD4436"/>
    <w:rsid w:val="00BD55FC"/>
    <w:rsid w:val="00BD5822"/>
    <w:rsid w:val="00BD600E"/>
    <w:rsid w:val="00BD6B44"/>
    <w:rsid w:val="00BD7715"/>
    <w:rsid w:val="00BD7D8F"/>
    <w:rsid w:val="00BE0EAC"/>
    <w:rsid w:val="00BE2DE5"/>
    <w:rsid w:val="00BE3ACE"/>
    <w:rsid w:val="00BE4318"/>
    <w:rsid w:val="00BE45C2"/>
    <w:rsid w:val="00BE51F5"/>
    <w:rsid w:val="00BE6757"/>
    <w:rsid w:val="00BE6827"/>
    <w:rsid w:val="00BE7613"/>
    <w:rsid w:val="00BE797A"/>
    <w:rsid w:val="00BF0EE6"/>
    <w:rsid w:val="00BF0F5C"/>
    <w:rsid w:val="00BF17C3"/>
    <w:rsid w:val="00BF1B5B"/>
    <w:rsid w:val="00BF1CBC"/>
    <w:rsid w:val="00BF2CE3"/>
    <w:rsid w:val="00BF2E5C"/>
    <w:rsid w:val="00BF4A10"/>
    <w:rsid w:val="00BF55F4"/>
    <w:rsid w:val="00BF740E"/>
    <w:rsid w:val="00C0105B"/>
    <w:rsid w:val="00C013CE"/>
    <w:rsid w:val="00C01C43"/>
    <w:rsid w:val="00C03F74"/>
    <w:rsid w:val="00C04138"/>
    <w:rsid w:val="00C04ADE"/>
    <w:rsid w:val="00C057F6"/>
    <w:rsid w:val="00C05EEC"/>
    <w:rsid w:val="00C06014"/>
    <w:rsid w:val="00C06483"/>
    <w:rsid w:val="00C073F7"/>
    <w:rsid w:val="00C07A59"/>
    <w:rsid w:val="00C07B40"/>
    <w:rsid w:val="00C1002E"/>
    <w:rsid w:val="00C10719"/>
    <w:rsid w:val="00C11164"/>
    <w:rsid w:val="00C111FF"/>
    <w:rsid w:val="00C11DDE"/>
    <w:rsid w:val="00C120C7"/>
    <w:rsid w:val="00C12AA2"/>
    <w:rsid w:val="00C12D57"/>
    <w:rsid w:val="00C134CE"/>
    <w:rsid w:val="00C15207"/>
    <w:rsid w:val="00C15432"/>
    <w:rsid w:val="00C15680"/>
    <w:rsid w:val="00C161E3"/>
    <w:rsid w:val="00C16295"/>
    <w:rsid w:val="00C1707E"/>
    <w:rsid w:val="00C200A6"/>
    <w:rsid w:val="00C20284"/>
    <w:rsid w:val="00C203A5"/>
    <w:rsid w:val="00C20DA0"/>
    <w:rsid w:val="00C220C4"/>
    <w:rsid w:val="00C235C8"/>
    <w:rsid w:val="00C238D6"/>
    <w:rsid w:val="00C23EFD"/>
    <w:rsid w:val="00C24427"/>
    <w:rsid w:val="00C245BB"/>
    <w:rsid w:val="00C248D8"/>
    <w:rsid w:val="00C251F3"/>
    <w:rsid w:val="00C25D3C"/>
    <w:rsid w:val="00C27B1F"/>
    <w:rsid w:val="00C27C31"/>
    <w:rsid w:val="00C27D90"/>
    <w:rsid w:val="00C3075C"/>
    <w:rsid w:val="00C30785"/>
    <w:rsid w:val="00C30890"/>
    <w:rsid w:val="00C31E03"/>
    <w:rsid w:val="00C325B6"/>
    <w:rsid w:val="00C333FC"/>
    <w:rsid w:val="00C336A5"/>
    <w:rsid w:val="00C33E96"/>
    <w:rsid w:val="00C34290"/>
    <w:rsid w:val="00C34623"/>
    <w:rsid w:val="00C34D9C"/>
    <w:rsid w:val="00C35A81"/>
    <w:rsid w:val="00C35E44"/>
    <w:rsid w:val="00C3697F"/>
    <w:rsid w:val="00C36EE6"/>
    <w:rsid w:val="00C37F1A"/>
    <w:rsid w:val="00C42B32"/>
    <w:rsid w:val="00C4389A"/>
    <w:rsid w:val="00C43A58"/>
    <w:rsid w:val="00C44747"/>
    <w:rsid w:val="00C45173"/>
    <w:rsid w:val="00C45E96"/>
    <w:rsid w:val="00C46553"/>
    <w:rsid w:val="00C50337"/>
    <w:rsid w:val="00C5050C"/>
    <w:rsid w:val="00C51F4B"/>
    <w:rsid w:val="00C5305B"/>
    <w:rsid w:val="00C53A08"/>
    <w:rsid w:val="00C54200"/>
    <w:rsid w:val="00C54412"/>
    <w:rsid w:val="00C5557F"/>
    <w:rsid w:val="00C555B2"/>
    <w:rsid w:val="00C55A83"/>
    <w:rsid w:val="00C5674B"/>
    <w:rsid w:val="00C56AC2"/>
    <w:rsid w:val="00C57356"/>
    <w:rsid w:val="00C600F5"/>
    <w:rsid w:val="00C61F38"/>
    <w:rsid w:val="00C62ADB"/>
    <w:rsid w:val="00C62C83"/>
    <w:rsid w:val="00C631AC"/>
    <w:rsid w:val="00C63882"/>
    <w:rsid w:val="00C63B7B"/>
    <w:rsid w:val="00C6567C"/>
    <w:rsid w:val="00C656F2"/>
    <w:rsid w:val="00C658A8"/>
    <w:rsid w:val="00C65D88"/>
    <w:rsid w:val="00C6628C"/>
    <w:rsid w:val="00C66631"/>
    <w:rsid w:val="00C66AC3"/>
    <w:rsid w:val="00C66BC7"/>
    <w:rsid w:val="00C67050"/>
    <w:rsid w:val="00C670D5"/>
    <w:rsid w:val="00C67AB1"/>
    <w:rsid w:val="00C70215"/>
    <w:rsid w:val="00C7040A"/>
    <w:rsid w:val="00C706FA"/>
    <w:rsid w:val="00C719FD"/>
    <w:rsid w:val="00C72C22"/>
    <w:rsid w:val="00C72FF4"/>
    <w:rsid w:val="00C73563"/>
    <w:rsid w:val="00C735FB"/>
    <w:rsid w:val="00C737CA"/>
    <w:rsid w:val="00C749DE"/>
    <w:rsid w:val="00C74A4B"/>
    <w:rsid w:val="00C764BC"/>
    <w:rsid w:val="00C778BD"/>
    <w:rsid w:val="00C77A2E"/>
    <w:rsid w:val="00C77AC6"/>
    <w:rsid w:val="00C802A0"/>
    <w:rsid w:val="00C80E9D"/>
    <w:rsid w:val="00C80F6B"/>
    <w:rsid w:val="00C81BF2"/>
    <w:rsid w:val="00C81D3B"/>
    <w:rsid w:val="00C829A9"/>
    <w:rsid w:val="00C832A6"/>
    <w:rsid w:val="00C83DFC"/>
    <w:rsid w:val="00C851B5"/>
    <w:rsid w:val="00C86024"/>
    <w:rsid w:val="00C864C3"/>
    <w:rsid w:val="00C86F14"/>
    <w:rsid w:val="00C87683"/>
    <w:rsid w:val="00C876A7"/>
    <w:rsid w:val="00C87AA3"/>
    <w:rsid w:val="00C87B14"/>
    <w:rsid w:val="00C911A2"/>
    <w:rsid w:val="00C91433"/>
    <w:rsid w:val="00C91E64"/>
    <w:rsid w:val="00C92592"/>
    <w:rsid w:val="00C93042"/>
    <w:rsid w:val="00C93351"/>
    <w:rsid w:val="00C93B2F"/>
    <w:rsid w:val="00C94AB5"/>
    <w:rsid w:val="00C95195"/>
    <w:rsid w:val="00C970D7"/>
    <w:rsid w:val="00C97681"/>
    <w:rsid w:val="00CA03F4"/>
    <w:rsid w:val="00CA05D0"/>
    <w:rsid w:val="00CA0B71"/>
    <w:rsid w:val="00CA0F32"/>
    <w:rsid w:val="00CA19AB"/>
    <w:rsid w:val="00CA19DE"/>
    <w:rsid w:val="00CA22E2"/>
    <w:rsid w:val="00CA512B"/>
    <w:rsid w:val="00CA62C1"/>
    <w:rsid w:val="00CA64BF"/>
    <w:rsid w:val="00CA6748"/>
    <w:rsid w:val="00CA69D1"/>
    <w:rsid w:val="00CA6D27"/>
    <w:rsid w:val="00CA7918"/>
    <w:rsid w:val="00CA7A97"/>
    <w:rsid w:val="00CA7E68"/>
    <w:rsid w:val="00CA7E96"/>
    <w:rsid w:val="00CB036B"/>
    <w:rsid w:val="00CB044D"/>
    <w:rsid w:val="00CB04AB"/>
    <w:rsid w:val="00CB0F75"/>
    <w:rsid w:val="00CB1DF8"/>
    <w:rsid w:val="00CB1EEF"/>
    <w:rsid w:val="00CB20BB"/>
    <w:rsid w:val="00CB33CC"/>
    <w:rsid w:val="00CB376D"/>
    <w:rsid w:val="00CB3F66"/>
    <w:rsid w:val="00CB3FFE"/>
    <w:rsid w:val="00CB42D9"/>
    <w:rsid w:val="00CB4436"/>
    <w:rsid w:val="00CB4C89"/>
    <w:rsid w:val="00CB50A8"/>
    <w:rsid w:val="00CB587E"/>
    <w:rsid w:val="00CB5ECE"/>
    <w:rsid w:val="00CB5F33"/>
    <w:rsid w:val="00CB6A6E"/>
    <w:rsid w:val="00CB6EBE"/>
    <w:rsid w:val="00CB7ED6"/>
    <w:rsid w:val="00CC2B32"/>
    <w:rsid w:val="00CC48A4"/>
    <w:rsid w:val="00CC4CE8"/>
    <w:rsid w:val="00CC51AF"/>
    <w:rsid w:val="00CC7923"/>
    <w:rsid w:val="00CC7B65"/>
    <w:rsid w:val="00CD1979"/>
    <w:rsid w:val="00CD19AE"/>
    <w:rsid w:val="00CD1BCE"/>
    <w:rsid w:val="00CD2376"/>
    <w:rsid w:val="00CD310E"/>
    <w:rsid w:val="00CD371C"/>
    <w:rsid w:val="00CD41F3"/>
    <w:rsid w:val="00CD43CB"/>
    <w:rsid w:val="00CD4AEC"/>
    <w:rsid w:val="00CD4B8A"/>
    <w:rsid w:val="00CD4DC0"/>
    <w:rsid w:val="00CD5538"/>
    <w:rsid w:val="00CD7578"/>
    <w:rsid w:val="00CD7FD8"/>
    <w:rsid w:val="00CE02B5"/>
    <w:rsid w:val="00CE13AE"/>
    <w:rsid w:val="00CE14FC"/>
    <w:rsid w:val="00CE1FC5"/>
    <w:rsid w:val="00CE230F"/>
    <w:rsid w:val="00CE2542"/>
    <w:rsid w:val="00CE25B4"/>
    <w:rsid w:val="00CE3E5B"/>
    <w:rsid w:val="00CE4C9D"/>
    <w:rsid w:val="00CE5354"/>
    <w:rsid w:val="00CE535A"/>
    <w:rsid w:val="00CE5923"/>
    <w:rsid w:val="00CE5E6E"/>
    <w:rsid w:val="00CE60F4"/>
    <w:rsid w:val="00CE6F69"/>
    <w:rsid w:val="00CE74CC"/>
    <w:rsid w:val="00CE7860"/>
    <w:rsid w:val="00CF07DD"/>
    <w:rsid w:val="00CF0A1D"/>
    <w:rsid w:val="00CF0FE1"/>
    <w:rsid w:val="00CF1318"/>
    <w:rsid w:val="00CF170E"/>
    <w:rsid w:val="00CF26BC"/>
    <w:rsid w:val="00CF26C8"/>
    <w:rsid w:val="00CF2EF1"/>
    <w:rsid w:val="00CF2FA8"/>
    <w:rsid w:val="00CF31BB"/>
    <w:rsid w:val="00CF3297"/>
    <w:rsid w:val="00CF3733"/>
    <w:rsid w:val="00CF42B2"/>
    <w:rsid w:val="00CF42DA"/>
    <w:rsid w:val="00CF4808"/>
    <w:rsid w:val="00CF5662"/>
    <w:rsid w:val="00CF5E23"/>
    <w:rsid w:val="00CF6312"/>
    <w:rsid w:val="00CF6A8B"/>
    <w:rsid w:val="00CF7D89"/>
    <w:rsid w:val="00D00055"/>
    <w:rsid w:val="00D0027A"/>
    <w:rsid w:val="00D012D0"/>
    <w:rsid w:val="00D012DF"/>
    <w:rsid w:val="00D01EAE"/>
    <w:rsid w:val="00D01EC6"/>
    <w:rsid w:val="00D01FB6"/>
    <w:rsid w:val="00D02E98"/>
    <w:rsid w:val="00D034EC"/>
    <w:rsid w:val="00D03C93"/>
    <w:rsid w:val="00D03D01"/>
    <w:rsid w:val="00D03EB3"/>
    <w:rsid w:val="00D0410A"/>
    <w:rsid w:val="00D043C0"/>
    <w:rsid w:val="00D0603C"/>
    <w:rsid w:val="00D06EA9"/>
    <w:rsid w:val="00D0769E"/>
    <w:rsid w:val="00D07E3E"/>
    <w:rsid w:val="00D100B0"/>
    <w:rsid w:val="00D10569"/>
    <w:rsid w:val="00D1080C"/>
    <w:rsid w:val="00D11D6B"/>
    <w:rsid w:val="00D11EE2"/>
    <w:rsid w:val="00D11FDC"/>
    <w:rsid w:val="00D136DA"/>
    <w:rsid w:val="00D1446B"/>
    <w:rsid w:val="00D14C72"/>
    <w:rsid w:val="00D14CDB"/>
    <w:rsid w:val="00D16E84"/>
    <w:rsid w:val="00D1766C"/>
    <w:rsid w:val="00D2037D"/>
    <w:rsid w:val="00D2046B"/>
    <w:rsid w:val="00D20EAF"/>
    <w:rsid w:val="00D21910"/>
    <w:rsid w:val="00D22D5A"/>
    <w:rsid w:val="00D23BCA"/>
    <w:rsid w:val="00D2464E"/>
    <w:rsid w:val="00D2497E"/>
    <w:rsid w:val="00D24B45"/>
    <w:rsid w:val="00D25F00"/>
    <w:rsid w:val="00D27456"/>
    <w:rsid w:val="00D274D3"/>
    <w:rsid w:val="00D30596"/>
    <w:rsid w:val="00D30F5D"/>
    <w:rsid w:val="00D31C1C"/>
    <w:rsid w:val="00D33349"/>
    <w:rsid w:val="00D33395"/>
    <w:rsid w:val="00D33410"/>
    <w:rsid w:val="00D3426A"/>
    <w:rsid w:val="00D351E8"/>
    <w:rsid w:val="00D35384"/>
    <w:rsid w:val="00D35C88"/>
    <w:rsid w:val="00D35CF6"/>
    <w:rsid w:val="00D35EDE"/>
    <w:rsid w:val="00D36EE7"/>
    <w:rsid w:val="00D36F62"/>
    <w:rsid w:val="00D37189"/>
    <w:rsid w:val="00D40A61"/>
    <w:rsid w:val="00D41489"/>
    <w:rsid w:val="00D41526"/>
    <w:rsid w:val="00D41A5E"/>
    <w:rsid w:val="00D42E0D"/>
    <w:rsid w:val="00D43F58"/>
    <w:rsid w:val="00D44A37"/>
    <w:rsid w:val="00D463CF"/>
    <w:rsid w:val="00D466FC"/>
    <w:rsid w:val="00D476EB"/>
    <w:rsid w:val="00D47F30"/>
    <w:rsid w:val="00D501D4"/>
    <w:rsid w:val="00D50336"/>
    <w:rsid w:val="00D50E2F"/>
    <w:rsid w:val="00D521BD"/>
    <w:rsid w:val="00D52547"/>
    <w:rsid w:val="00D526B5"/>
    <w:rsid w:val="00D52E3C"/>
    <w:rsid w:val="00D530F5"/>
    <w:rsid w:val="00D53E16"/>
    <w:rsid w:val="00D54D60"/>
    <w:rsid w:val="00D54D8F"/>
    <w:rsid w:val="00D54E5E"/>
    <w:rsid w:val="00D55B23"/>
    <w:rsid w:val="00D56153"/>
    <w:rsid w:val="00D56229"/>
    <w:rsid w:val="00D56F39"/>
    <w:rsid w:val="00D574F2"/>
    <w:rsid w:val="00D575DD"/>
    <w:rsid w:val="00D60B82"/>
    <w:rsid w:val="00D61157"/>
    <w:rsid w:val="00D61765"/>
    <w:rsid w:val="00D63657"/>
    <w:rsid w:val="00D6462F"/>
    <w:rsid w:val="00D64B72"/>
    <w:rsid w:val="00D6540D"/>
    <w:rsid w:val="00D65B03"/>
    <w:rsid w:val="00D66036"/>
    <w:rsid w:val="00D661C0"/>
    <w:rsid w:val="00D66853"/>
    <w:rsid w:val="00D66AD9"/>
    <w:rsid w:val="00D6712F"/>
    <w:rsid w:val="00D6721C"/>
    <w:rsid w:val="00D6772D"/>
    <w:rsid w:val="00D67982"/>
    <w:rsid w:val="00D67DDC"/>
    <w:rsid w:val="00D7035F"/>
    <w:rsid w:val="00D737CE"/>
    <w:rsid w:val="00D74206"/>
    <w:rsid w:val="00D756F9"/>
    <w:rsid w:val="00D7598E"/>
    <w:rsid w:val="00D75C45"/>
    <w:rsid w:val="00D76F6F"/>
    <w:rsid w:val="00D77F73"/>
    <w:rsid w:val="00D80187"/>
    <w:rsid w:val="00D80EBE"/>
    <w:rsid w:val="00D8115D"/>
    <w:rsid w:val="00D818CB"/>
    <w:rsid w:val="00D81B95"/>
    <w:rsid w:val="00D8268B"/>
    <w:rsid w:val="00D83233"/>
    <w:rsid w:val="00D832A3"/>
    <w:rsid w:val="00D8429E"/>
    <w:rsid w:val="00D8528F"/>
    <w:rsid w:val="00D8553A"/>
    <w:rsid w:val="00D85599"/>
    <w:rsid w:val="00D85DC4"/>
    <w:rsid w:val="00D85EA8"/>
    <w:rsid w:val="00D8606F"/>
    <w:rsid w:val="00D866FC"/>
    <w:rsid w:val="00D868E3"/>
    <w:rsid w:val="00D87844"/>
    <w:rsid w:val="00D87845"/>
    <w:rsid w:val="00D87C54"/>
    <w:rsid w:val="00D87C8B"/>
    <w:rsid w:val="00D90D08"/>
    <w:rsid w:val="00D9122F"/>
    <w:rsid w:val="00D91983"/>
    <w:rsid w:val="00D92E95"/>
    <w:rsid w:val="00D94CD8"/>
    <w:rsid w:val="00D94FDF"/>
    <w:rsid w:val="00D95645"/>
    <w:rsid w:val="00D961D4"/>
    <w:rsid w:val="00D96472"/>
    <w:rsid w:val="00D96922"/>
    <w:rsid w:val="00D974AA"/>
    <w:rsid w:val="00D97631"/>
    <w:rsid w:val="00D97990"/>
    <w:rsid w:val="00D97D71"/>
    <w:rsid w:val="00D97FBC"/>
    <w:rsid w:val="00DA0633"/>
    <w:rsid w:val="00DA08B5"/>
    <w:rsid w:val="00DA0916"/>
    <w:rsid w:val="00DA0D30"/>
    <w:rsid w:val="00DA1F17"/>
    <w:rsid w:val="00DA1F45"/>
    <w:rsid w:val="00DA1F94"/>
    <w:rsid w:val="00DA2DC6"/>
    <w:rsid w:val="00DA31E9"/>
    <w:rsid w:val="00DA3568"/>
    <w:rsid w:val="00DA52C4"/>
    <w:rsid w:val="00DA5A75"/>
    <w:rsid w:val="00DA6A25"/>
    <w:rsid w:val="00DA7266"/>
    <w:rsid w:val="00DA78F8"/>
    <w:rsid w:val="00DA7FB7"/>
    <w:rsid w:val="00DB0217"/>
    <w:rsid w:val="00DB04DE"/>
    <w:rsid w:val="00DB12F0"/>
    <w:rsid w:val="00DB1789"/>
    <w:rsid w:val="00DB2020"/>
    <w:rsid w:val="00DB2054"/>
    <w:rsid w:val="00DB240D"/>
    <w:rsid w:val="00DB2434"/>
    <w:rsid w:val="00DB24EF"/>
    <w:rsid w:val="00DB2C1F"/>
    <w:rsid w:val="00DB3143"/>
    <w:rsid w:val="00DB3929"/>
    <w:rsid w:val="00DB3A31"/>
    <w:rsid w:val="00DB41D1"/>
    <w:rsid w:val="00DB53A4"/>
    <w:rsid w:val="00DB70C9"/>
    <w:rsid w:val="00DB7EA6"/>
    <w:rsid w:val="00DC05AF"/>
    <w:rsid w:val="00DC226C"/>
    <w:rsid w:val="00DC3436"/>
    <w:rsid w:val="00DC3C33"/>
    <w:rsid w:val="00DC5285"/>
    <w:rsid w:val="00DC7423"/>
    <w:rsid w:val="00DC7C99"/>
    <w:rsid w:val="00DD0F00"/>
    <w:rsid w:val="00DD21C5"/>
    <w:rsid w:val="00DD2BB8"/>
    <w:rsid w:val="00DD2BF4"/>
    <w:rsid w:val="00DD3794"/>
    <w:rsid w:val="00DD3985"/>
    <w:rsid w:val="00DD4490"/>
    <w:rsid w:val="00DD46FA"/>
    <w:rsid w:val="00DD4F5D"/>
    <w:rsid w:val="00DD4FDE"/>
    <w:rsid w:val="00DD5123"/>
    <w:rsid w:val="00DD527F"/>
    <w:rsid w:val="00DD5700"/>
    <w:rsid w:val="00DD577A"/>
    <w:rsid w:val="00DD6698"/>
    <w:rsid w:val="00DD6A8B"/>
    <w:rsid w:val="00DD75FC"/>
    <w:rsid w:val="00DD77AC"/>
    <w:rsid w:val="00DE0F91"/>
    <w:rsid w:val="00DE1189"/>
    <w:rsid w:val="00DE2659"/>
    <w:rsid w:val="00DE2BF4"/>
    <w:rsid w:val="00DE3E1B"/>
    <w:rsid w:val="00DE489F"/>
    <w:rsid w:val="00DE4CBF"/>
    <w:rsid w:val="00DE5086"/>
    <w:rsid w:val="00DE5961"/>
    <w:rsid w:val="00DE5BD7"/>
    <w:rsid w:val="00DE601B"/>
    <w:rsid w:val="00DE606F"/>
    <w:rsid w:val="00DE6811"/>
    <w:rsid w:val="00DE72B3"/>
    <w:rsid w:val="00DE7C95"/>
    <w:rsid w:val="00DE7FB7"/>
    <w:rsid w:val="00DF067D"/>
    <w:rsid w:val="00DF3C78"/>
    <w:rsid w:val="00DF49BA"/>
    <w:rsid w:val="00DF4CCB"/>
    <w:rsid w:val="00DF4FC9"/>
    <w:rsid w:val="00DF5099"/>
    <w:rsid w:val="00DF5F1B"/>
    <w:rsid w:val="00DF623B"/>
    <w:rsid w:val="00DF6711"/>
    <w:rsid w:val="00DF76BF"/>
    <w:rsid w:val="00DF7F78"/>
    <w:rsid w:val="00E0002D"/>
    <w:rsid w:val="00E01F1A"/>
    <w:rsid w:val="00E025B8"/>
    <w:rsid w:val="00E03424"/>
    <w:rsid w:val="00E03ED0"/>
    <w:rsid w:val="00E0423D"/>
    <w:rsid w:val="00E04B31"/>
    <w:rsid w:val="00E04E98"/>
    <w:rsid w:val="00E055E7"/>
    <w:rsid w:val="00E0588E"/>
    <w:rsid w:val="00E06891"/>
    <w:rsid w:val="00E06FB0"/>
    <w:rsid w:val="00E07225"/>
    <w:rsid w:val="00E10A1A"/>
    <w:rsid w:val="00E116B3"/>
    <w:rsid w:val="00E1275D"/>
    <w:rsid w:val="00E13808"/>
    <w:rsid w:val="00E13C94"/>
    <w:rsid w:val="00E13E63"/>
    <w:rsid w:val="00E157AB"/>
    <w:rsid w:val="00E158C6"/>
    <w:rsid w:val="00E16094"/>
    <w:rsid w:val="00E17BB7"/>
    <w:rsid w:val="00E2052F"/>
    <w:rsid w:val="00E2076D"/>
    <w:rsid w:val="00E21A8F"/>
    <w:rsid w:val="00E21DBF"/>
    <w:rsid w:val="00E221CE"/>
    <w:rsid w:val="00E228FE"/>
    <w:rsid w:val="00E22AA6"/>
    <w:rsid w:val="00E23E5B"/>
    <w:rsid w:val="00E2444B"/>
    <w:rsid w:val="00E246DB"/>
    <w:rsid w:val="00E26207"/>
    <w:rsid w:val="00E26373"/>
    <w:rsid w:val="00E266AF"/>
    <w:rsid w:val="00E26BE6"/>
    <w:rsid w:val="00E26E43"/>
    <w:rsid w:val="00E30A33"/>
    <w:rsid w:val="00E30EFF"/>
    <w:rsid w:val="00E3181D"/>
    <w:rsid w:val="00E31863"/>
    <w:rsid w:val="00E31CBD"/>
    <w:rsid w:val="00E32966"/>
    <w:rsid w:val="00E33508"/>
    <w:rsid w:val="00E33BDC"/>
    <w:rsid w:val="00E33ED2"/>
    <w:rsid w:val="00E3444C"/>
    <w:rsid w:val="00E34EE4"/>
    <w:rsid w:val="00E3661A"/>
    <w:rsid w:val="00E37145"/>
    <w:rsid w:val="00E37479"/>
    <w:rsid w:val="00E37CB8"/>
    <w:rsid w:val="00E4082B"/>
    <w:rsid w:val="00E41BD9"/>
    <w:rsid w:val="00E42000"/>
    <w:rsid w:val="00E42EA9"/>
    <w:rsid w:val="00E43076"/>
    <w:rsid w:val="00E43AE4"/>
    <w:rsid w:val="00E4458B"/>
    <w:rsid w:val="00E44E32"/>
    <w:rsid w:val="00E44F98"/>
    <w:rsid w:val="00E44FBF"/>
    <w:rsid w:val="00E461B5"/>
    <w:rsid w:val="00E466BB"/>
    <w:rsid w:val="00E4704C"/>
    <w:rsid w:val="00E4768A"/>
    <w:rsid w:val="00E4777C"/>
    <w:rsid w:val="00E47985"/>
    <w:rsid w:val="00E47DC0"/>
    <w:rsid w:val="00E500DB"/>
    <w:rsid w:val="00E50493"/>
    <w:rsid w:val="00E50AEE"/>
    <w:rsid w:val="00E518FE"/>
    <w:rsid w:val="00E52548"/>
    <w:rsid w:val="00E52A97"/>
    <w:rsid w:val="00E53A80"/>
    <w:rsid w:val="00E54E3C"/>
    <w:rsid w:val="00E54F4D"/>
    <w:rsid w:val="00E55D23"/>
    <w:rsid w:val="00E564FE"/>
    <w:rsid w:val="00E5687C"/>
    <w:rsid w:val="00E569BC"/>
    <w:rsid w:val="00E57551"/>
    <w:rsid w:val="00E57B62"/>
    <w:rsid w:val="00E57E3F"/>
    <w:rsid w:val="00E603BB"/>
    <w:rsid w:val="00E611E9"/>
    <w:rsid w:val="00E61681"/>
    <w:rsid w:val="00E6392A"/>
    <w:rsid w:val="00E655EB"/>
    <w:rsid w:val="00E65A02"/>
    <w:rsid w:val="00E66305"/>
    <w:rsid w:val="00E66D97"/>
    <w:rsid w:val="00E6745D"/>
    <w:rsid w:val="00E67878"/>
    <w:rsid w:val="00E67A94"/>
    <w:rsid w:val="00E67FEB"/>
    <w:rsid w:val="00E7000B"/>
    <w:rsid w:val="00E702C1"/>
    <w:rsid w:val="00E70873"/>
    <w:rsid w:val="00E70B1C"/>
    <w:rsid w:val="00E731A7"/>
    <w:rsid w:val="00E73DA1"/>
    <w:rsid w:val="00E7444A"/>
    <w:rsid w:val="00E747E1"/>
    <w:rsid w:val="00E748C2"/>
    <w:rsid w:val="00E75659"/>
    <w:rsid w:val="00E75D67"/>
    <w:rsid w:val="00E75F30"/>
    <w:rsid w:val="00E76353"/>
    <w:rsid w:val="00E76D61"/>
    <w:rsid w:val="00E77C9B"/>
    <w:rsid w:val="00E800FA"/>
    <w:rsid w:val="00E802CC"/>
    <w:rsid w:val="00E80803"/>
    <w:rsid w:val="00E82B2E"/>
    <w:rsid w:val="00E83BD5"/>
    <w:rsid w:val="00E8410C"/>
    <w:rsid w:val="00E847EA"/>
    <w:rsid w:val="00E85067"/>
    <w:rsid w:val="00E85D4E"/>
    <w:rsid w:val="00E867CD"/>
    <w:rsid w:val="00E86C47"/>
    <w:rsid w:val="00E86D01"/>
    <w:rsid w:val="00E87FC3"/>
    <w:rsid w:val="00E9012B"/>
    <w:rsid w:val="00E90334"/>
    <w:rsid w:val="00E906A9"/>
    <w:rsid w:val="00E906C7"/>
    <w:rsid w:val="00E918D8"/>
    <w:rsid w:val="00E91D48"/>
    <w:rsid w:val="00E92845"/>
    <w:rsid w:val="00E938B8"/>
    <w:rsid w:val="00E93BC3"/>
    <w:rsid w:val="00E941BE"/>
    <w:rsid w:val="00E95301"/>
    <w:rsid w:val="00E95765"/>
    <w:rsid w:val="00E95B70"/>
    <w:rsid w:val="00E95C57"/>
    <w:rsid w:val="00E961AB"/>
    <w:rsid w:val="00E96462"/>
    <w:rsid w:val="00E9658F"/>
    <w:rsid w:val="00E967CB"/>
    <w:rsid w:val="00E96822"/>
    <w:rsid w:val="00E96DEB"/>
    <w:rsid w:val="00E97EE6"/>
    <w:rsid w:val="00EA0603"/>
    <w:rsid w:val="00EA093C"/>
    <w:rsid w:val="00EA0E36"/>
    <w:rsid w:val="00EA1029"/>
    <w:rsid w:val="00EA1CC9"/>
    <w:rsid w:val="00EA2449"/>
    <w:rsid w:val="00EA2634"/>
    <w:rsid w:val="00EA3522"/>
    <w:rsid w:val="00EA3C1F"/>
    <w:rsid w:val="00EA3D09"/>
    <w:rsid w:val="00EA4470"/>
    <w:rsid w:val="00EA5199"/>
    <w:rsid w:val="00EA5C98"/>
    <w:rsid w:val="00EA5F63"/>
    <w:rsid w:val="00EA65A6"/>
    <w:rsid w:val="00EA6669"/>
    <w:rsid w:val="00EA733C"/>
    <w:rsid w:val="00EB0442"/>
    <w:rsid w:val="00EB05BC"/>
    <w:rsid w:val="00EB1254"/>
    <w:rsid w:val="00EB1B1C"/>
    <w:rsid w:val="00EB2251"/>
    <w:rsid w:val="00EB2BA2"/>
    <w:rsid w:val="00EB2E3D"/>
    <w:rsid w:val="00EB33C7"/>
    <w:rsid w:val="00EB4191"/>
    <w:rsid w:val="00EB42D4"/>
    <w:rsid w:val="00EB49A6"/>
    <w:rsid w:val="00EB5BB3"/>
    <w:rsid w:val="00EB7145"/>
    <w:rsid w:val="00EB79EB"/>
    <w:rsid w:val="00EB7B3E"/>
    <w:rsid w:val="00EC02ED"/>
    <w:rsid w:val="00EC03A0"/>
    <w:rsid w:val="00EC06CB"/>
    <w:rsid w:val="00EC0C6E"/>
    <w:rsid w:val="00EC0FDD"/>
    <w:rsid w:val="00EC1863"/>
    <w:rsid w:val="00EC1E2B"/>
    <w:rsid w:val="00EC2BB8"/>
    <w:rsid w:val="00EC327D"/>
    <w:rsid w:val="00EC3A3D"/>
    <w:rsid w:val="00EC3BBD"/>
    <w:rsid w:val="00EC4678"/>
    <w:rsid w:val="00EC56C8"/>
    <w:rsid w:val="00EC5ADC"/>
    <w:rsid w:val="00EC5D31"/>
    <w:rsid w:val="00EC5E65"/>
    <w:rsid w:val="00EC5E7B"/>
    <w:rsid w:val="00EC793B"/>
    <w:rsid w:val="00ED0EA4"/>
    <w:rsid w:val="00ED2F8E"/>
    <w:rsid w:val="00ED3512"/>
    <w:rsid w:val="00ED4637"/>
    <w:rsid w:val="00ED568A"/>
    <w:rsid w:val="00ED66D0"/>
    <w:rsid w:val="00ED69C2"/>
    <w:rsid w:val="00ED6CCC"/>
    <w:rsid w:val="00ED7B17"/>
    <w:rsid w:val="00EE0213"/>
    <w:rsid w:val="00EE10A2"/>
    <w:rsid w:val="00EE1B3A"/>
    <w:rsid w:val="00EE1E05"/>
    <w:rsid w:val="00EE25C4"/>
    <w:rsid w:val="00EE2DC5"/>
    <w:rsid w:val="00EE2F5A"/>
    <w:rsid w:val="00EE379D"/>
    <w:rsid w:val="00EE3AC6"/>
    <w:rsid w:val="00EE4220"/>
    <w:rsid w:val="00EE4C98"/>
    <w:rsid w:val="00EE5B73"/>
    <w:rsid w:val="00EE6F0A"/>
    <w:rsid w:val="00EE7958"/>
    <w:rsid w:val="00EF08FA"/>
    <w:rsid w:val="00EF10CF"/>
    <w:rsid w:val="00EF13D5"/>
    <w:rsid w:val="00EF13FE"/>
    <w:rsid w:val="00EF1CCB"/>
    <w:rsid w:val="00EF2361"/>
    <w:rsid w:val="00EF247A"/>
    <w:rsid w:val="00EF28C1"/>
    <w:rsid w:val="00EF2ACA"/>
    <w:rsid w:val="00EF2CC7"/>
    <w:rsid w:val="00EF354B"/>
    <w:rsid w:val="00EF376C"/>
    <w:rsid w:val="00EF3D5F"/>
    <w:rsid w:val="00EF406B"/>
    <w:rsid w:val="00EF4682"/>
    <w:rsid w:val="00EF4B91"/>
    <w:rsid w:val="00EF60EF"/>
    <w:rsid w:val="00EF6343"/>
    <w:rsid w:val="00EF69DD"/>
    <w:rsid w:val="00EF6CED"/>
    <w:rsid w:val="00EF6F93"/>
    <w:rsid w:val="00EF7ED9"/>
    <w:rsid w:val="00F00600"/>
    <w:rsid w:val="00F0188C"/>
    <w:rsid w:val="00F01CE3"/>
    <w:rsid w:val="00F0265E"/>
    <w:rsid w:val="00F02FBF"/>
    <w:rsid w:val="00F03046"/>
    <w:rsid w:val="00F03595"/>
    <w:rsid w:val="00F036C4"/>
    <w:rsid w:val="00F03B8F"/>
    <w:rsid w:val="00F0404E"/>
    <w:rsid w:val="00F048D6"/>
    <w:rsid w:val="00F04967"/>
    <w:rsid w:val="00F04A1B"/>
    <w:rsid w:val="00F0536C"/>
    <w:rsid w:val="00F05462"/>
    <w:rsid w:val="00F05EB8"/>
    <w:rsid w:val="00F067DA"/>
    <w:rsid w:val="00F0694E"/>
    <w:rsid w:val="00F0776D"/>
    <w:rsid w:val="00F109A3"/>
    <w:rsid w:val="00F123F8"/>
    <w:rsid w:val="00F12AE0"/>
    <w:rsid w:val="00F12D8F"/>
    <w:rsid w:val="00F1316F"/>
    <w:rsid w:val="00F1380E"/>
    <w:rsid w:val="00F1390B"/>
    <w:rsid w:val="00F13A28"/>
    <w:rsid w:val="00F142AC"/>
    <w:rsid w:val="00F16033"/>
    <w:rsid w:val="00F16AE6"/>
    <w:rsid w:val="00F16ED3"/>
    <w:rsid w:val="00F17C5C"/>
    <w:rsid w:val="00F204B3"/>
    <w:rsid w:val="00F2084A"/>
    <w:rsid w:val="00F218A3"/>
    <w:rsid w:val="00F21D5E"/>
    <w:rsid w:val="00F21F82"/>
    <w:rsid w:val="00F22E5A"/>
    <w:rsid w:val="00F22FD0"/>
    <w:rsid w:val="00F23157"/>
    <w:rsid w:val="00F24327"/>
    <w:rsid w:val="00F253B6"/>
    <w:rsid w:val="00F25D6A"/>
    <w:rsid w:val="00F25E4A"/>
    <w:rsid w:val="00F25F99"/>
    <w:rsid w:val="00F26BFE"/>
    <w:rsid w:val="00F2731E"/>
    <w:rsid w:val="00F3124B"/>
    <w:rsid w:val="00F32547"/>
    <w:rsid w:val="00F32866"/>
    <w:rsid w:val="00F33740"/>
    <w:rsid w:val="00F3393A"/>
    <w:rsid w:val="00F33DD3"/>
    <w:rsid w:val="00F34529"/>
    <w:rsid w:val="00F35182"/>
    <w:rsid w:val="00F35AEB"/>
    <w:rsid w:val="00F3651C"/>
    <w:rsid w:val="00F36846"/>
    <w:rsid w:val="00F36982"/>
    <w:rsid w:val="00F36D0A"/>
    <w:rsid w:val="00F3773D"/>
    <w:rsid w:val="00F403E6"/>
    <w:rsid w:val="00F40E22"/>
    <w:rsid w:val="00F417CF"/>
    <w:rsid w:val="00F41E46"/>
    <w:rsid w:val="00F42C48"/>
    <w:rsid w:val="00F42DE2"/>
    <w:rsid w:val="00F42F5A"/>
    <w:rsid w:val="00F43434"/>
    <w:rsid w:val="00F438C3"/>
    <w:rsid w:val="00F445F1"/>
    <w:rsid w:val="00F44C6A"/>
    <w:rsid w:val="00F45609"/>
    <w:rsid w:val="00F45C43"/>
    <w:rsid w:val="00F4600E"/>
    <w:rsid w:val="00F46533"/>
    <w:rsid w:val="00F46FAD"/>
    <w:rsid w:val="00F502C3"/>
    <w:rsid w:val="00F5068C"/>
    <w:rsid w:val="00F50D42"/>
    <w:rsid w:val="00F5156F"/>
    <w:rsid w:val="00F516A8"/>
    <w:rsid w:val="00F51990"/>
    <w:rsid w:val="00F52260"/>
    <w:rsid w:val="00F526AE"/>
    <w:rsid w:val="00F530B7"/>
    <w:rsid w:val="00F530F0"/>
    <w:rsid w:val="00F53569"/>
    <w:rsid w:val="00F53DC9"/>
    <w:rsid w:val="00F53DD6"/>
    <w:rsid w:val="00F54973"/>
    <w:rsid w:val="00F55731"/>
    <w:rsid w:val="00F5595C"/>
    <w:rsid w:val="00F55BA0"/>
    <w:rsid w:val="00F55DF8"/>
    <w:rsid w:val="00F55E2C"/>
    <w:rsid w:val="00F5695D"/>
    <w:rsid w:val="00F576A9"/>
    <w:rsid w:val="00F57CAA"/>
    <w:rsid w:val="00F57F3B"/>
    <w:rsid w:val="00F60B75"/>
    <w:rsid w:val="00F61C2D"/>
    <w:rsid w:val="00F62419"/>
    <w:rsid w:val="00F631C2"/>
    <w:rsid w:val="00F632BD"/>
    <w:rsid w:val="00F64B90"/>
    <w:rsid w:val="00F650DD"/>
    <w:rsid w:val="00F6546F"/>
    <w:rsid w:val="00F65A05"/>
    <w:rsid w:val="00F66186"/>
    <w:rsid w:val="00F70231"/>
    <w:rsid w:val="00F71266"/>
    <w:rsid w:val="00F7196D"/>
    <w:rsid w:val="00F71D7E"/>
    <w:rsid w:val="00F71FB8"/>
    <w:rsid w:val="00F73B1E"/>
    <w:rsid w:val="00F73D83"/>
    <w:rsid w:val="00F74E04"/>
    <w:rsid w:val="00F74E95"/>
    <w:rsid w:val="00F753C5"/>
    <w:rsid w:val="00F75B9B"/>
    <w:rsid w:val="00F763F7"/>
    <w:rsid w:val="00F7701F"/>
    <w:rsid w:val="00F805CB"/>
    <w:rsid w:val="00F819FA"/>
    <w:rsid w:val="00F81D78"/>
    <w:rsid w:val="00F82445"/>
    <w:rsid w:val="00F8400A"/>
    <w:rsid w:val="00F84D3A"/>
    <w:rsid w:val="00F85193"/>
    <w:rsid w:val="00F85F89"/>
    <w:rsid w:val="00F86A40"/>
    <w:rsid w:val="00F86B4B"/>
    <w:rsid w:val="00F86E76"/>
    <w:rsid w:val="00F87228"/>
    <w:rsid w:val="00F877F6"/>
    <w:rsid w:val="00F87B82"/>
    <w:rsid w:val="00F87C23"/>
    <w:rsid w:val="00F900E9"/>
    <w:rsid w:val="00F903CD"/>
    <w:rsid w:val="00F917D5"/>
    <w:rsid w:val="00F9268F"/>
    <w:rsid w:val="00F931F1"/>
    <w:rsid w:val="00F9358D"/>
    <w:rsid w:val="00F93CAB"/>
    <w:rsid w:val="00F93D85"/>
    <w:rsid w:val="00F93E30"/>
    <w:rsid w:val="00F94D64"/>
    <w:rsid w:val="00F954FE"/>
    <w:rsid w:val="00F95F07"/>
    <w:rsid w:val="00F9629C"/>
    <w:rsid w:val="00F96FBB"/>
    <w:rsid w:val="00F97F19"/>
    <w:rsid w:val="00FA0A8E"/>
    <w:rsid w:val="00FA142C"/>
    <w:rsid w:val="00FA1A46"/>
    <w:rsid w:val="00FA1B5E"/>
    <w:rsid w:val="00FA1B88"/>
    <w:rsid w:val="00FA344D"/>
    <w:rsid w:val="00FA3CE0"/>
    <w:rsid w:val="00FA4306"/>
    <w:rsid w:val="00FA4355"/>
    <w:rsid w:val="00FA4A6C"/>
    <w:rsid w:val="00FA4FDC"/>
    <w:rsid w:val="00FA5A5A"/>
    <w:rsid w:val="00FA5F2D"/>
    <w:rsid w:val="00FA6BB0"/>
    <w:rsid w:val="00FA75F1"/>
    <w:rsid w:val="00FB0295"/>
    <w:rsid w:val="00FB0438"/>
    <w:rsid w:val="00FB0BF6"/>
    <w:rsid w:val="00FB0D38"/>
    <w:rsid w:val="00FB12C0"/>
    <w:rsid w:val="00FB17D9"/>
    <w:rsid w:val="00FB1B1B"/>
    <w:rsid w:val="00FB253C"/>
    <w:rsid w:val="00FB339C"/>
    <w:rsid w:val="00FB3781"/>
    <w:rsid w:val="00FB3AC1"/>
    <w:rsid w:val="00FB3E00"/>
    <w:rsid w:val="00FB3FA3"/>
    <w:rsid w:val="00FB414B"/>
    <w:rsid w:val="00FB4BE4"/>
    <w:rsid w:val="00FB54E0"/>
    <w:rsid w:val="00FB64A8"/>
    <w:rsid w:val="00FB6660"/>
    <w:rsid w:val="00FC024D"/>
    <w:rsid w:val="00FC1618"/>
    <w:rsid w:val="00FC281D"/>
    <w:rsid w:val="00FC301A"/>
    <w:rsid w:val="00FC386E"/>
    <w:rsid w:val="00FC3E05"/>
    <w:rsid w:val="00FC481D"/>
    <w:rsid w:val="00FC4F3D"/>
    <w:rsid w:val="00FC58E6"/>
    <w:rsid w:val="00FC5DA9"/>
    <w:rsid w:val="00FC5E74"/>
    <w:rsid w:val="00FC6891"/>
    <w:rsid w:val="00FC6896"/>
    <w:rsid w:val="00FC6C6D"/>
    <w:rsid w:val="00FC770D"/>
    <w:rsid w:val="00FC7B0B"/>
    <w:rsid w:val="00FC7CB6"/>
    <w:rsid w:val="00FD0C3E"/>
    <w:rsid w:val="00FD0D83"/>
    <w:rsid w:val="00FD1D7B"/>
    <w:rsid w:val="00FD3328"/>
    <w:rsid w:val="00FD344F"/>
    <w:rsid w:val="00FD3B5A"/>
    <w:rsid w:val="00FD3BC7"/>
    <w:rsid w:val="00FD4BA4"/>
    <w:rsid w:val="00FD4F07"/>
    <w:rsid w:val="00FD54AF"/>
    <w:rsid w:val="00FD5709"/>
    <w:rsid w:val="00FD5773"/>
    <w:rsid w:val="00FD653C"/>
    <w:rsid w:val="00FD75CB"/>
    <w:rsid w:val="00FD782D"/>
    <w:rsid w:val="00FE0045"/>
    <w:rsid w:val="00FE11D1"/>
    <w:rsid w:val="00FE14AD"/>
    <w:rsid w:val="00FE19E4"/>
    <w:rsid w:val="00FE2C73"/>
    <w:rsid w:val="00FE2E13"/>
    <w:rsid w:val="00FE39FA"/>
    <w:rsid w:val="00FE447E"/>
    <w:rsid w:val="00FE48E8"/>
    <w:rsid w:val="00FE504A"/>
    <w:rsid w:val="00FE59A0"/>
    <w:rsid w:val="00FE59F1"/>
    <w:rsid w:val="00FE5C55"/>
    <w:rsid w:val="00FE5CF0"/>
    <w:rsid w:val="00FE622D"/>
    <w:rsid w:val="00FE6797"/>
    <w:rsid w:val="00FE7456"/>
    <w:rsid w:val="00FE746E"/>
    <w:rsid w:val="00FF02B9"/>
    <w:rsid w:val="00FF0DDB"/>
    <w:rsid w:val="00FF194A"/>
    <w:rsid w:val="00FF21B8"/>
    <w:rsid w:val="00FF2D2B"/>
    <w:rsid w:val="00FF387C"/>
    <w:rsid w:val="00FF3FFE"/>
    <w:rsid w:val="00FF4AD4"/>
    <w:rsid w:val="00FF4BDE"/>
    <w:rsid w:val="00FF586F"/>
    <w:rsid w:val="00FF5AC5"/>
    <w:rsid w:val="00FF5CF1"/>
    <w:rsid w:val="00FF5D1B"/>
    <w:rsid w:val="00FF5D33"/>
    <w:rsid w:val="00FF74E6"/>
    <w:rsid w:val="00FF799A"/>
    <w:rsid w:val="1B9CDF99"/>
    <w:rsid w:val="6020E57C"/>
    <w:rsid w:val="621D37F1"/>
    <w:rsid w:val="79542A3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3766"/>
  <w15:docId w15:val="{294ED489-5DB3-467C-9969-FB4F5BEA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link w:val="BVIfnrChar"/>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s,Footnote ak,Char,footnote text,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1"/>
      </w:numPr>
      <w:tabs>
        <w:tab w:val="left" w:pos="1701"/>
      </w:tabs>
      <w:spacing w:after="120"/>
      <w:ind w:right="1134"/>
      <w:jc w:val="both"/>
    </w:pPr>
  </w:style>
  <w:style w:type="paragraph" w:styleId="TOC1">
    <w:name w:val="toc 1"/>
    <w:basedOn w:val="Normal"/>
    <w:next w:val="Normal"/>
    <w:autoRedefine/>
    <w:rsid w:val="002E1907"/>
    <w:pPr>
      <w:tabs>
        <w:tab w:val="right" w:pos="851"/>
        <w:tab w:val="left" w:pos="1134"/>
        <w:tab w:val="left" w:pos="2268"/>
        <w:tab w:val="right" w:leader="dot" w:pos="8930"/>
        <w:tab w:val="right" w:pos="9639"/>
      </w:tabs>
      <w:spacing w:after="120"/>
      <w:ind w:left="2268" w:hanging="2268"/>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F6A01"/>
    <w:rPr>
      <w:sz w:val="16"/>
      <w:szCs w:val="16"/>
    </w:rPr>
  </w:style>
  <w:style w:type="paragraph" w:styleId="CommentText">
    <w:name w:val="annotation text"/>
    <w:basedOn w:val="Normal"/>
    <w:link w:val="CommentTextChar"/>
    <w:unhideWhenUsed/>
    <w:rsid w:val="003F6A01"/>
    <w:pPr>
      <w:spacing w:line="240" w:lineRule="auto"/>
    </w:pPr>
  </w:style>
  <w:style w:type="character" w:customStyle="1" w:styleId="CommentTextChar">
    <w:name w:val="Comment Text Char"/>
    <w:basedOn w:val="DefaultParagraphFont"/>
    <w:link w:val="CommentText"/>
    <w:rsid w:val="003F6A01"/>
    <w:rPr>
      <w:rFonts w:eastAsia="SimSun"/>
      <w:lang w:val="en-GB" w:eastAsia="zh-CN"/>
    </w:rPr>
  </w:style>
  <w:style w:type="character" w:styleId="Hyperlink">
    <w:name w:val="Hyperlink"/>
    <w:basedOn w:val="DefaultParagraphFont"/>
    <w:unhideWhenUsed/>
    <w:rsid w:val="00D31C1C"/>
    <w:rPr>
      <w:color w:val="0000EE"/>
      <w:u w:val="single"/>
    </w:rPr>
  </w:style>
  <w:style w:type="character" w:customStyle="1" w:styleId="FootnoteTextChar">
    <w:name w:val="Footnote Text Char"/>
    <w:aliases w:val="5_G Char,Geneva 9 Char,Font: Geneva 9 Char,Boston 10 Char,f Char,fn Char,Footnotes Char,Footnote ak Char,Char Char,footnote text Char,Char Char Char Char Char,Default Paragraph Font Char Char Char,Footno Char,single space Char"/>
    <w:link w:val="FootnoteText"/>
    <w:locked/>
    <w:rsid w:val="00776AD2"/>
    <w:rPr>
      <w:rFonts w:eastAsia="SimSun"/>
      <w:sz w:val="18"/>
      <w:lang w:val="en-GB" w:eastAsia="zh-CN"/>
    </w:rPr>
  </w:style>
  <w:style w:type="character" w:customStyle="1" w:styleId="HChGChar">
    <w:name w:val="_ H _Ch_G Char"/>
    <w:link w:val="HChG"/>
    <w:rsid w:val="00776AD2"/>
    <w:rPr>
      <w:rFonts w:eastAsia="SimSun"/>
      <w:b/>
      <w:sz w:val="28"/>
      <w:lang w:val="en-GB" w:eastAsia="zh-CN"/>
    </w:rPr>
  </w:style>
  <w:style w:type="character" w:customStyle="1" w:styleId="RegSingleTxtGChar">
    <w:name w:val="Reg_Single Txt_G Char"/>
    <w:link w:val="RegSingleTxtG"/>
    <w:rsid w:val="00776AD2"/>
    <w:rPr>
      <w:rFonts w:eastAsia="SimSun"/>
      <w:lang w:val="en-GB" w:eastAsia="zh-CN"/>
    </w:rPr>
  </w:style>
  <w:style w:type="character" w:customStyle="1" w:styleId="normaltextrun">
    <w:name w:val="normaltextrun"/>
    <w:basedOn w:val="DefaultParagraphFont"/>
    <w:rsid w:val="00776AD2"/>
  </w:style>
  <w:style w:type="character" w:customStyle="1" w:styleId="RegHChGChar">
    <w:name w:val="Reg_H__Ch_G Char"/>
    <w:link w:val="RegHChG"/>
    <w:rsid w:val="00FC281D"/>
    <w:rPr>
      <w:rFonts w:eastAsia="SimSun"/>
      <w:b/>
      <w:sz w:val="2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FC281D"/>
    <w:pPr>
      <w:suppressAutoHyphens w:val="0"/>
      <w:spacing w:after="160" w:line="240" w:lineRule="exact"/>
    </w:pPr>
    <w:rPr>
      <w:rFonts w:eastAsia="Times New Roman"/>
      <w:sz w:val="18"/>
      <w:vertAlign w:val="superscript"/>
      <w:lang w:val="en-US" w:eastAsia="en-US"/>
    </w:rPr>
  </w:style>
  <w:style w:type="character" w:customStyle="1" w:styleId="HeaderChar">
    <w:name w:val="Header Char"/>
    <w:aliases w:val="6_G Char"/>
    <w:link w:val="Header"/>
    <w:rsid w:val="003B4E09"/>
    <w:rPr>
      <w:rFonts w:eastAsia="SimSun"/>
      <w:b/>
      <w:sz w:val="18"/>
      <w:lang w:val="en-GB" w:eastAsia="zh-CN"/>
    </w:rPr>
  </w:style>
  <w:style w:type="character" w:customStyle="1" w:styleId="FooterChar">
    <w:name w:val="Footer Char"/>
    <w:aliases w:val="3_G Char"/>
    <w:link w:val="Footer"/>
    <w:uiPriority w:val="99"/>
    <w:rsid w:val="003B4E09"/>
    <w:rPr>
      <w:rFonts w:eastAsia="SimSun"/>
      <w:sz w:val="16"/>
      <w:lang w:val="en-GB" w:eastAsia="zh-CN"/>
    </w:rPr>
  </w:style>
  <w:style w:type="character" w:customStyle="1" w:styleId="EndnoteTextChar">
    <w:name w:val="Endnote Text Char"/>
    <w:aliases w:val="2_G Char"/>
    <w:basedOn w:val="DefaultParagraphFont"/>
    <w:link w:val="EndnoteText"/>
    <w:rsid w:val="003C38D5"/>
    <w:rPr>
      <w:rFonts w:eastAsia="SimSun"/>
      <w:i/>
      <w:sz w:val="18"/>
      <w:lang w:val="en-GB" w:eastAsia="zh-CN"/>
    </w:rPr>
  </w:style>
  <w:style w:type="character" w:customStyle="1" w:styleId="H1GChar">
    <w:name w:val="_ H_1_G Char"/>
    <w:link w:val="H1G"/>
    <w:locked/>
    <w:rsid w:val="00CB6EBE"/>
    <w:rPr>
      <w:rFonts w:eastAsia="SimSun"/>
      <w:b/>
      <w:sz w:val="24"/>
      <w:lang w:val="en-GB" w:eastAsia="zh-CN"/>
    </w:rPr>
  </w:style>
  <w:style w:type="character" w:customStyle="1" w:styleId="ui-provider">
    <w:name w:val="ui-provider"/>
    <w:basedOn w:val="DefaultParagraphFont"/>
    <w:rsid w:val="00F16033"/>
  </w:style>
  <w:style w:type="character" w:styleId="UnresolvedMention">
    <w:name w:val="Unresolved Mention"/>
    <w:basedOn w:val="DefaultParagraphFont"/>
    <w:uiPriority w:val="99"/>
    <w:unhideWhenUsed/>
    <w:rsid w:val="00465E79"/>
    <w:rPr>
      <w:color w:val="605E5C"/>
      <w:shd w:val="clear" w:color="auto" w:fill="E1DFDD"/>
    </w:rPr>
  </w:style>
  <w:style w:type="paragraph" w:styleId="Revision">
    <w:name w:val="Revision"/>
    <w:hidden/>
    <w:uiPriority w:val="99"/>
    <w:semiHidden/>
    <w:rsid w:val="00C34290"/>
    <w:rPr>
      <w:rFonts w:eastAsia="SimSun"/>
      <w:lang w:val="en-GB" w:eastAsia="zh-CN"/>
    </w:rPr>
  </w:style>
  <w:style w:type="paragraph" w:styleId="CommentSubject">
    <w:name w:val="annotation subject"/>
    <w:basedOn w:val="CommentText"/>
    <w:next w:val="CommentText"/>
    <w:link w:val="CommentSubjectChar"/>
    <w:semiHidden/>
    <w:unhideWhenUsed/>
    <w:rsid w:val="00671A86"/>
    <w:rPr>
      <w:b/>
      <w:bCs/>
    </w:rPr>
  </w:style>
  <w:style w:type="character" w:customStyle="1" w:styleId="CommentSubjectChar">
    <w:name w:val="Comment Subject Char"/>
    <w:basedOn w:val="CommentTextChar"/>
    <w:link w:val="CommentSubject"/>
    <w:semiHidden/>
    <w:rsid w:val="00671A86"/>
    <w:rPr>
      <w:rFonts w:eastAsia="SimSun"/>
      <w:b/>
      <w:bCs/>
      <w:lang w:val="en-GB" w:eastAsia="zh-CN"/>
    </w:rPr>
  </w:style>
  <w:style w:type="character" w:styleId="FollowedHyperlink">
    <w:name w:val="FollowedHyperlink"/>
    <w:basedOn w:val="DefaultParagraphFont"/>
    <w:semiHidden/>
    <w:unhideWhenUsed/>
    <w:rsid w:val="007F5075"/>
    <w:rPr>
      <w:color w:val="800080" w:themeColor="followedHyperlink"/>
      <w:u w:val="single"/>
    </w:rPr>
  </w:style>
  <w:style w:type="character" w:styleId="Mention">
    <w:name w:val="Mention"/>
    <w:basedOn w:val="DefaultParagraphFont"/>
    <w:uiPriority w:val="99"/>
    <w:unhideWhenUsed/>
    <w:rsid w:val="00854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fccc.int/documents/460950" TargetMode="External"/><Relationship Id="rId21" Type="http://schemas.openxmlformats.org/officeDocument/2006/relationships/hyperlink" Target="https://unfccc.int/documents/637073" TargetMode="External"/><Relationship Id="rId42" Type="http://schemas.openxmlformats.org/officeDocument/2006/relationships/hyperlink" Target="https://unfccc.int/documents/637073" TargetMode="External"/><Relationship Id="rId63" Type="http://schemas.openxmlformats.org/officeDocument/2006/relationships/hyperlink" Target="https://unfccc.int/documents/460950" TargetMode="External"/><Relationship Id="rId84" Type="http://schemas.openxmlformats.org/officeDocument/2006/relationships/hyperlink" Target="https://unfccc.int/documents/460950" TargetMode="External"/><Relationship Id="rId138" Type="http://schemas.openxmlformats.org/officeDocument/2006/relationships/header" Target="header15.xml"/><Relationship Id="rId159" Type="http://schemas.openxmlformats.org/officeDocument/2006/relationships/footer" Target="footer20.xml"/><Relationship Id="rId170" Type="http://schemas.openxmlformats.org/officeDocument/2006/relationships/hyperlink" Target="https://unfccc.int/documents/460950" TargetMode="External"/><Relationship Id="rId191" Type="http://schemas.openxmlformats.org/officeDocument/2006/relationships/footer" Target="footer24.xml"/><Relationship Id="rId107" Type="http://schemas.openxmlformats.org/officeDocument/2006/relationships/hyperlink" Target="https://unfccc.int/documents/626570" TargetMode="External"/><Relationship Id="rId11" Type="http://schemas.openxmlformats.org/officeDocument/2006/relationships/footnotes" Target="footnotes.xml"/><Relationship Id="rId32" Type="http://schemas.openxmlformats.org/officeDocument/2006/relationships/hyperlink" Target="https://unfccc.int/documents/637073" TargetMode="External"/><Relationship Id="rId53" Type="http://schemas.openxmlformats.org/officeDocument/2006/relationships/hyperlink" Target="https://unfccc.int/documents/637073" TargetMode="External"/><Relationship Id="rId74" Type="http://schemas.openxmlformats.org/officeDocument/2006/relationships/hyperlink" Target="https://unfccc.int/documents/460950" TargetMode="External"/><Relationship Id="rId128" Type="http://schemas.openxmlformats.org/officeDocument/2006/relationships/footer" Target="footer8.xml"/><Relationship Id="rId149" Type="http://schemas.openxmlformats.org/officeDocument/2006/relationships/header" Target="header20.xml"/><Relationship Id="rId5" Type="http://schemas.openxmlformats.org/officeDocument/2006/relationships/customXml" Target="../customXml/item5.xml"/><Relationship Id="rId95" Type="http://schemas.openxmlformats.org/officeDocument/2006/relationships/hyperlink" Target="https://unfccc.int/documents/460950" TargetMode="External"/><Relationship Id="rId160" Type="http://schemas.openxmlformats.org/officeDocument/2006/relationships/footer" Target="footer21.xml"/><Relationship Id="rId181" Type="http://schemas.openxmlformats.org/officeDocument/2006/relationships/footer" Target="footer22.xml"/><Relationship Id="rId22" Type="http://schemas.openxmlformats.org/officeDocument/2006/relationships/hyperlink" Target="https://unfccc.int/documents/193408" TargetMode="External"/><Relationship Id="rId43" Type="http://schemas.openxmlformats.org/officeDocument/2006/relationships/hyperlink" Target="https://unfccc.int/documents/637073" TargetMode="External"/><Relationship Id="rId64" Type="http://schemas.openxmlformats.org/officeDocument/2006/relationships/hyperlink" Target="https://unfccc.int/documents/626570" TargetMode="External"/><Relationship Id="rId118" Type="http://schemas.openxmlformats.org/officeDocument/2006/relationships/hyperlink" Target="https://unfccc.int/documents/460950" TargetMode="External"/><Relationship Id="rId139" Type="http://schemas.openxmlformats.org/officeDocument/2006/relationships/footer" Target="footer12.xml"/><Relationship Id="rId85" Type="http://schemas.openxmlformats.org/officeDocument/2006/relationships/hyperlink" Target="https://unfccc.int/documents/626570" TargetMode="External"/><Relationship Id="rId150" Type="http://schemas.openxmlformats.org/officeDocument/2006/relationships/header" Target="header21.xml"/><Relationship Id="rId171" Type="http://schemas.openxmlformats.org/officeDocument/2006/relationships/hyperlink" Target="https://unfccc.int/documents/626570" TargetMode="External"/><Relationship Id="rId192" Type="http://schemas.openxmlformats.org/officeDocument/2006/relationships/footer" Target="footer25.xml"/><Relationship Id="rId12" Type="http://schemas.openxmlformats.org/officeDocument/2006/relationships/endnotes" Target="endnotes.xml"/><Relationship Id="rId33" Type="http://schemas.openxmlformats.org/officeDocument/2006/relationships/hyperlink" Target="https://unfccc.int/documents/626569" TargetMode="External"/><Relationship Id="rId108" Type="http://schemas.openxmlformats.org/officeDocument/2006/relationships/hyperlink" Target="https://unfccc.int/documents/460950" TargetMode="External"/><Relationship Id="rId129" Type="http://schemas.openxmlformats.org/officeDocument/2006/relationships/header" Target="header10.xml"/><Relationship Id="rId54" Type="http://schemas.openxmlformats.org/officeDocument/2006/relationships/hyperlink" Target="https://unfccc.int/documents/637073" TargetMode="External"/><Relationship Id="rId75" Type="http://schemas.openxmlformats.org/officeDocument/2006/relationships/hyperlink" Target="https://unfccc.int/documents/460950" TargetMode="External"/><Relationship Id="rId96" Type="http://schemas.openxmlformats.org/officeDocument/2006/relationships/hyperlink" Target="https://unfccc.int/documents/460950" TargetMode="External"/><Relationship Id="rId140" Type="http://schemas.openxmlformats.org/officeDocument/2006/relationships/footer" Target="footer13.xml"/><Relationship Id="rId161" Type="http://schemas.openxmlformats.org/officeDocument/2006/relationships/hyperlink" Target="https://unfccc.int/documents/460950" TargetMode="External"/><Relationship Id="rId182" Type="http://schemas.openxmlformats.org/officeDocument/2006/relationships/footer" Target="footer23.xml"/><Relationship Id="rId6" Type="http://schemas.openxmlformats.org/officeDocument/2006/relationships/customXml" Target="../customXml/item6.xml"/><Relationship Id="rId23" Type="http://schemas.openxmlformats.org/officeDocument/2006/relationships/hyperlink" Target="https://unfccc.int/documents/193408" TargetMode="External"/><Relationship Id="rId119" Type="http://schemas.openxmlformats.org/officeDocument/2006/relationships/hyperlink" Target="https://unfccc.int/documents/460950" TargetMode="External"/><Relationship Id="rId44" Type="http://schemas.openxmlformats.org/officeDocument/2006/relationships/hyperlink" Target="https://unfccc.int/documents/637073" TargetMode="External"/><Relationship Id="rId65" Type="http://schemas.openxmlformats.org/officeDocument/2006/relationships/hyperlink" Target="https://unfccc.int/documents/460950" TargetMode="External"/><Relationship Id="rId86" Type="http://schemas.openxmlformats.org/officeDocument/2006/relationships/hyperlink" Target="https://unfccc.int/documents/460950" TargetMode="External"/><Relationship Id="rId130" Type="http://schemas.openxmlformats.org/officeDocument/2006/relationships/footer" Target="footer9.xml"/><Relationship Id="rId151" Type="http://schemas.openxmlformats.org/officeDocument/2006/relationships/footer" Target="footer18.xml"/><Relationship Id="rId172" Type="http://schemas.openxmlformats.org/officeDocument/2006/relationships/hyperlink" Target="https://unfccc.int/documents/626570" TargetMode="External"/><Relationship Id="rId193" Type="http://schemas.openxmlformats.org/officeDocument/2006/relationships/fontTable" Target="fontTable.xml"/><Relationship Id="rId13" Type="http://schemas.openxmlformats.org/officeDocument/2006/relationships/image" Target="media/image1.wmf"/><Relationship Id="rId109" Type="http://schemas.openxmlformats.org/officeDocument/2006/relationships/hyperlink" Target="https://unfccc.int/documents/626570" TargetMode="External"/><Relationship Id="rId34" Type="http://schemas.openxmlformats.org/officeDocument/2006/relationships/hyperlink" Target="https://unfccc.int/documents/626569" TargetMode="External"/><Relationship Id="rId50" Type="http://schemas.openxmlformats.org/officeDocument/2006/relationships/hyperlink" Target="https://unfccc.int/documents/637073" TargetMode="External"/><Relationship Id="rId55" Type="http://schemas.openxmlformats.org/officeDocument/2006/relationships/hyperlink" Target="https://unfccc.int/documents/637073" TargetMode="External"/><Relationship Id="rId76" Type="http://schemas.openxmlformats.org/officeDocument/2006/relationships/hyperlink" Target="https://unfccc.int/documents/460950" TargetMode="External"/><Relationship Id="rId97" Type="http://schemas.openxmlformats.org/officeDocument/2006/relationships/hyperlink" Target="https://unfccc.int/documents/460950" TargetMode="External"/><Relationship Id="rId104" Type="http://schemas.openxmlformats.org/officeDocument/2006/relationships/hyperlink" Target="https://unfccc.int/documents/460950" TargetMode="External"/><Relationship Id="rId120" Type="http://schemas.openxmlformats.org/officeDocument/2006/relationships/hyperlink" Target="https://unfccc.int/documents/460950" TargetMode="External"/><Relationship Id="rId125" Type="http://schemas.openxmlformats.org/officeDocument/2006/relationships/header" Target="header8.xml"/><Relationship Id="rId141" Type="http://schemas.openxmlformats.org/officeDocument/2006/relationships/header" Target="header16.xml"/><Relationship Id="rId146" Type="http://schemas.openxmlformats.org/officeDocument/2006/relationships/header" Target="header19.xml"/><Relationship Id="rId167" Type="http://schemas.openxmlformats.org/officeDocument/2006/relationships/hyperlink" Target="https://unfccc.int/documents/460950" TargetMode="External"/><Relationship Id="rId188" Type="http://schemas.openxmlformats.org/officeDocument/2006/relationships/hyperlink" Target="https://unfccc.int/documents/460950" TargetMode="External"/><Relationship Id="rId7" Type="http://schemas.openxmlformats.org/officeDocument/2006/relationships/numbering" Target="numbering.xml"/><Relationship Id="rId71" Type="http://schemas.openxmlformats.org/officeDocument/2006/relationships/hyperlink" Target="https://unfccc.int/documents/460950" TargetMode="External"/><Relationship Id="rId92" Type="http://schemas.openxmlformats.org/officeDocument/2006/relationships/hyperlink" Target="https://unfccc.int/documents/460950" TargetMode="External"/><Relationship Id="rId162" Type="http://schemas.openxmlformats.org/officeDocument/2006/relationships/hyperlink" Target="https://unfccc.int/documents/626570" TargetMode="External"/><Relationship Id="rId183" Type="http://schemas.openxmlformats.org/officeDocument/2006/relationships/hyperlink" Target="https://unfccc.int/documents/460950" TargetMode="External"/><Relationship Id="rId2" Type="http://schemas.openxmlformats.org/officeDocument/2006/relationships/customXml" Target="../customXml/item2.xml"/><Relationship Id="rId29" Type="http://schemas.openxmlformats.org/officeDocument/2006/relationships/hyperlink" Target="https://unfccc.int/documents/626569" TargetMode="External"/><Relationship Id="rId24" Type="http://schemas.openxmlformats.org/officeDocument/2006/relationships/header" Target="header1.xml"/><Relationship Id="rId40" Type="http://schemas.openxmlformats.org/officeDocument/2006/relationships/footer" Target="footer4.xml"/><Relationship Id="rId45" Type="http://schemas.openxmlformats.org/officeDocument/2006/relationships/hyperlink" Target="https://unfccc.int/documents/637073" TargetMode="External"/><Relationship Id="rId66" Type="http://schemas.openxmlformats.org/officeDocument/2006/relationships/hyperlink" Target="https://unfccc.int/documents/626570" TargetMode="External"/><Relationship Id="rId87" Type="http://schemas.openxmlformats.org/officeDocument/2006/relationships/hyperlink" Target="https://unfccc.int/documents/460950" TargetMode="External"/><Relationship Id="rId110" Type="http://schemas.openxmlformats.org/officeDocument/2006/relationships/hyperlink" Target="https://unfccc.int/documents/460950" TargetMode="External"/><Relationship Id="rId115" Type="http://schemas.openxmlformats.org/officeDocument/2006/relationships/hyperlink" Target="https://unfccc.int/documents/460950" TargetMode="External"/><Relationship Id="rId131" Type="http://schemas.openxmlformats.org/officeDocument/2006/relationships/hyperlink" Target="https://unfccc.int/documents/644483" TargetMode="External"/><Relationship Id="rId136" Type="http://schemas.openxmlformats.org/officeDocument/2006/relationships/header" Target="header13.xml"/><Relationship Id="rId157" Type="http://schemas.openxmlformats.org/officeDocument/2006/relationships/header" Target="header22.xml"/><Relationship Id="rId178" Type="http://schemas.openxmlformats.org/officeDocument/2006/relationships/hyperlink" Target="https://unfccc.int/documents/626570" TargetMode="External"/><Relationship Id="rId61" Type="http://schemas.openxmlformats.org/officeDocument/2006/relationships/footer" Target="footer5.xml"/><Relationship Id="rId82" Type="http://schemas.openxmlformats.org/officeDocument/2006/relationships/hyperlink" Target="https://unfccc.int/documents/460950" TargetMode="External"/><Relationship Id="rId152" Type="http://schemas.openxmlformats.org/officeDocument/2006/relationships/footer" Target="footer19.xml"/><Relationship Id="rId173" Type="http://schemas.openxmlformats.org/officeDocument/2006/relationships/hyperlink" Target="https://unfccc.int/documents/460950" TargetMode="External"/><Relationship Id="rId194" Type="http://schemas.openxmlformats.org/officeDocument/2006/relationships/theme" Target="theme/theme1.xml"/><Relationship Id="rId19" Type="http://schemas.openxmlformats.org/officeDocument/2006/relationships/hyperlink" Target="https://unfccc.int/documents/637074" TargetMode="External"/><Relationship Id="rId14" Type="http://schemas.openxmlformats.org/officeDocument/2006/relationships/image" Target="media/image2.png"/><Relationship Id="rId30" Type="http://schemas.openxmlformats.org/officeDocument/2006/relationships/hyperlink" Target="https://unfccc.int/documents/637073" TargetMode="External"/><Relationship Id="rId35" Type="http://schemas.openxmlformats.org/officeDocument/2006/relationships/hyperlink" Target="https://unfccc.int/documents/637073" TargetMode="External"/><Relationship Id="rId56" Type="http://schemas.openxmlformats.org/officeDocument/2006/relationships/hyperlink" Target="https://unfccc.int/documents/637073" TargetMode="External"/><Relationship Id="rId77" Type="http://schemas.openxmlformats.org/officeDocument/2006/relationships/hyperlink" Target="https://unfccc.int/documents/460950" TargetMode="External"/><Relationship Id="rId100" Type="http://schemas.openxmlformats.org/officeDocument/2006/relationships/hyperlink" Target="https://unfccc.int/documents/9097" TargetMode="External"/><Relationship Id="rId105" Type="http://schemas.openxmlformats.org/officeDocument/2006/relationships/hyperlink" Target="https://unfccc.int/documents/460950" TargetMode="External"/><Relationship Id="rId126" Type="http://schemas.openxmlformats.org/officeDocument/2006/relationships/header" Target="header9.xml"/><Relationship Id="rId147" Type="http://schemas.openxmlformats.org/officeDocument/2006/relationships/footer" Target="footer16.xml"/><Relationship Id="rId168" Type="http://schemas.openxmlformats.org/officeDocument/2006/relationships/hyperlink" Target="https://unfccc.int/documents/460950" TargetMode="External"/><Relationship Id="rId8" Type="http://schemas.openxmlformats.org/officeDocument/2006/relationships/styles" Target="styles.xml"/><Relationship Id="rId51" Type="http://schemas.openxmlformats.org/officeDocument/2006/relationships/hyperlink" Target="https://unfccc.int/documents/637073" TargetMode="External"/><Relationship Id="rId72" Type="http://schemas.openxmlformats.org/officeDocument/2006/relationships/hyperlink" Target="https://unfccc.int/documents/460950" TargetMode="External"/><Relationship Id="rId93" Type="http://schemas.openxmlformats.org/officeDocument/2006/relationships/hyperlink" Target="https://unfccc.int/documents/626570" TargetMode="External"/><Relationship Id="rId98" Type="http://schemas.openxmlformats.org/officeDocument/2006/relationships/hyperlink" Target="https://unfccc.int/documents/460950" TargetMode="External"/><Relationship Id="rId121" Type="http://schemas.openxmlformats.org/officeDocument/2006/relationships/hyperlink" Target="https://unfccc.int/documents/460950" TargetMode="External"/><Relationship Id="rId142" Type="http://schemas.openxmlformats.org/officeDocument/2006/relationships/header" Target="header17.xml"/><Relationship Id="rId163" Type="http://schemas.openxmlformats.org/officeDocument/2006/relationships/hyperlink" Target="https://unfccc.int/documents/460950" TargetMode="External"/><Relationship Id="rId184" Type="http://schemas.openxmlformats.org/officeDocument/2006/relationships/hyperlink" Target="https://unfccc.int/documents/626570" TargetMode="External"/><Relationship Id="rId189" Type="http://schemas.openxmlformats.org/officeDocument/2006/relationships/header" Target="header26.xml"/><Relationship Id="rId3" Type="http://schemas.openxmlformats.org/officeDocument/2006/relationships/customXml" Target="../customXml/item3.xml"/><Relationship Id="rId25" Type="http://schemas.openxmlformats.org/officeDocument/2006/relationships/header" Target="header2.xml"/><Relationship Id="rId46" Type="http://schemas.openxmlformats.org/officeDocument/2006/relationships/hyperlink" Target="https://unfccc.int/documents/637073" TargetMode="External"/><Relationship Id="rId67" Type="http://schemas.openxmlformats.org/officeDocument/2006/relationships/hyperlink" Target="https://unfccc.int/documents/460950" TargetMode="External"/><Relationship Id="rId116" Type="http://schemas.openxmlformats.org/officeDocument/2006/relationships/hyperlink" Target="https://unfccc.int/documents/193408" TargetMode="External"/><Relationship Id="rId137" Type="http://schemas.openxmlformats.org/officeDocument/2006/relationships/header" Target="header14.xml"/><Relationship Id="rId158" Type="http://schemas.openxmlformats.org/officeDocument/2006/relationships/header" Target="header23.xml"/><Relationship Id="rId20" Type="http://schemas.openxmlformats.org/officeDocument/2006/relationships/hyperlink" Target="https://unfccc.int/documents/9097" TargetMode="External"/><Relationship Id="rId41" Type="http://schemas.openxmlformats.org/officeDocument/2006/relationships/hyperlink" Target="https://unfccc.int/documents/637073" TargetMode="External"/><Relationship Id="rId62" Type="http://schemas.openxmlformats.org/officeDocument/2006/relationships/footer" Target="footer6.xml"/><Relationship Id="rId83" Type="http://schemas.openxmlformats.org/officeDocument/2006/relationships/hyperlink" Target="https://unfccc.int/documents/460950" TargetMode="External"/><Relationship Id="rId88" Type="http://schemas.openxmlformats.org/officeDocument/2006/relationships/hyperlink" Target="https://unfccc.int/documents/626570" TargetMode="External"/><Relationship Id="rId111" Type="http://schemas.openxmlformats.org/officeDocument/2006/relationships/hyperlink" Target="https://unfccc.int/documents/460950" TargetMode="External"/><Relationship Id="rId132" Type="http://schemas.openxmlformats.org/officeDocument/2006/relationships/header" Target="header11.xml"/><Relationship Id="rId153" Type="http://schemas.openxmlformats.org/officeDocument/2006/relationships/hyperlink" Target="https://unfccc.int/documents/460950" TargetMode="External"/><Relationship Id="rId174" Type="http://schemas.openxmlformats.org/officeDocument/2006/relationships/hyperlink" Target="https://unfccc.int/documents/460950" TargetMode="External"/><Relationship Id="rId179" Type="http://schemas.openxmlformats.org/officeDocument/2006/relationships/header" Target="header24.xml"/><Relationship Id="rId190" Type="http://schemas.openxmlformats.org/officeDocument/2006/relationships/header" Target="header27.xml"/><Relationship Id="rId15" Type="http://schemas.openxmlformats.org/officeDocument/2006/relationships/hyperlink" Target="https://unfccc.int/documents/9097" TargetMode="External"/><Relationship Id="rId36" Type="http://schemas.openxmlformats.org/officeDocument/2006/relationships/hyperlink" Target="https://unfccc.int/documents/626569" TargetMode="External"/><Relationship Id="rId57" Type="http://schemas.openxmlformats.org/officeDocument/2006/relationships/hyperlink" Target="https://unfccc.int/documents/637073" TargetMode="External"/><Relationship Id="rId106" Type="http://schemas.openxmlformats.org/officeDocument/2006/relationships/hyperlink" Target="https://unfccc.int/documents/460950" TargetMode="External"/><Relationship Id="rId127" Type="http://schemas.openxmlformats.org/officeDocument/2006/relationships/footer" Target="footer7.xml"/><Relationship Id="rId10" Type="http://schemas.openxmlformats.org/officeDocument/2006/relationships/webSettings" Target="webSettings.xml"/><Relationship Id="rId31" Type="http://schemas.openxmlformats.org/officeDocument/2006/relationships/hyperlink" Target="https://unfccc.int/documents/626569" TargetMode="External"/><Relationship Id="rId52" Type="http://schemas.openxmlformats.org/officeDocument/2006/relationships/hyperlink" Target="https://unfccc.int/documents/637073" TargetMode="External"/><Relationship Id="rId73" Type="http://schemas.openxmlformats.org/officeDocument/2006/relationships/hyperlink" Target="https://unfccc.int/documents/460950" TargetMode="External"/><Relationship Id="rId78" Type="http://schemas.openxmlformats.org/officeDocument/2006/relationships/hyperlink" Target="https://unfccc.int/documents/460950" TargetMode="External"/><Relationship Id="rId94" Type="http://schemas.openxmlformats.org/officeDocument/2006/relationships/hyperlink" Target="https://unfccc.int/documents/460950" TargetMode="External"/><Relationship Id="rId99" Type="http://schemas.openxmlformats.org/officeDocument/2006/relationships/hyperlink" Target="https://unfccc.int/documents/626570" TargetMode="External"/><Relationship Id="rId101" Type="http://schemas.openxmlformats.org/officeDocument/2006/relationships/hyperlink" Target="https://unfccc.int/documents/626570" TargetMode="External"/><Relationship Id="rId122" Type="http://schemas.openxmlformats.org/officeDocument/2006/relationships/hyperlink" Target="https://unfccc.int/documents/460950" TargetMode="External"/><Relationship Id="rId143" Type="http://schemas.openxmlformats.org/officeDocument/2006/relationships/footer" Target="footer14.xml"/><Relationship Id="rId148" Type="http://schemas.openxmlformats.org/officeDocument/2006/relationships/footer" Target="footer17.xml"/><Relationship Id="rId164" Type="http://schemas.openxmlformats.org/officeDocument/2006/relationships/hyperlink" Target="https://unfccc.int/documents/460950" TargetMode="External"/><Relationship Id="rId169" Type="http://schemas.openxmlformats.org/officeDocument/2006/relationships/hyperlink" Target="https://unfccc.int/documents/460950" TargetMode="External"/><Relationship Id="rId185" Type="http://schemas.openxmlformats.org/officeDocument/2006/relationships/hyperlink" Target="https://unfccc.int/documents/637076"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eader" Target="header25.xml"/><Relationship Id="rId26" Type="http://schemas.openxmlformats.org/officeDocument/2006/relationships/footer" Target="footer1.xml"/><Relationship Id="rId47" Type="http://schemas.openxmlformats.org/officeDocument/2006/relationships/hyperlink" Target="https://unfccc.int/documents/637073" TargetMode="External"/><Relationship Id="rId68" Type="http://schemas.openxmlformats.org/officeDocument/2006/relationships/hyperlink" Target="https://unfccc.int/documents/460950" TargetMode="External"/><Relationship Id="rId89" Type="http://schemas.openxmlformats.org/officeDocument/2006/relationships/hyperlink" Target="https://unfccc.int/documents/460950" TargetMode="External"/><Relationship Id="rId112" Type="http://schemas.openxmlformats.org/officeDocument/2006/relationships/hyperlink" Target="https://unfccc.int/documents/626570" TargetMode="External"/><Relationship Id="rId133" Type="http://schemas.openxmlformats.org/officeDocument/2006/relationships/header" Target="header12.xml"/><Relationship Id="rId154" Type="http://schemas.openxmlformats.org/officeDocument/2006/relationships/hyperlink" Target="https://unfccc.int/documents/460950" TargetMode="External"/><Relationship Id="rId175" Type="http://schemas.openxmlformats.org/officeDocument/2006/relationships/hyperlink" Target="https://unfccc.int/documents/644937" TargetMode="External"/><Relationship Id="rId16" Type="http://schemas.openxmlformats.org/officeDocument/2006/relationships/hyperlink" Target="https://unfccc.int/documents/193408" TargetMode="External"/><Relationship Id="rId37" Type="http://schemas.openxmlformats.org/officeDocument/2006/relationships/header" Target="header4.xml"/><Relationship Id="rId58" Type="http://schemas.openxmlformats.org/officeDocument/2006/relationships/hyperlink" Target="https://unfccc.int/documents/637073" TargetMode="External"/><Relationship Id="rId79" Type="http://schemas.openxmlformats.org/officeDocument/2006/relationships/hyperlink" Target="https://unfccc.int/documents/460950" TargetMode="External"/><Relationship Id="rId102" Type="http://schemas.openxmlformats.org/officeDocument/2006/relationships/hyperlink" Target="https://unfccc.int/documents/193408" TargetMode="External"/><Relationship Id="rId123" Type="http://schemas.openxmlformats.org/officeDocument/2006/relationships/hyperlink" Target="https://unfccc.int/documents/460950" TargetMode="External"/><Relationship Id="rId144" Type="http://schemas.openxmlformats.org/officeDocument/2006/relationships/footer" Target="footer15.xml"/><Relationship Id="rId90" Type="http://schemas.openxmlformats.org/officeDocument/2006/relationships/hyperlink" Target="https://unfccc.int/documents/460950" TargetMode="External"/><Relationship Id="rId165" Type="http://schemas.openxmlformats.org/officeDocument/2006/relationships/hyperlink" Target="https://unfccc.int/documents/460950" TargetMode="External"/><Relationship Id="rId186" Type="http://schemas.openxmlformats.org/officeDocument/2006/relationships/hyperlink" Target="https://unfccc.int/documents/460950" TargetMode="External"/><Relationship Id="rId27" Type="http://schemas.openxmlformats.org/officeDocument/2006/relationships/footer" Target="footer2.xml"/><Relationship Id="rId48" Type="http://schemas.openxmlformats.org/officeDocument/2006/relationships/hyperlink" Target="https://unfccc.int/documents/637073" TargetMode="External"/><Relationship Id="rId69" Type="http://schemas.openxmlformats.org/officeDocument/2006/relationships/hyperlink" Target="https://unfccc.int/documents/460950" TargetMode="External"/><Relationship Id="rId113" Type="http://schemas.openxmlformats.org/officeDocument/2006/relationships/hyperlink" Target="https://unfccc.int/documents/460950" TargetMode="External"/><Relationship Id="rId134" Type="http://schemas.openxmlformats.org/officeDocument/2006/relationships/footer" Target="footer10.xml"/><Relationship Id="rId80" Type="http://schemas.openxmlformats.org/officeDocument/2006/relationships/hyperlink" Target="https://unfccc.int/documents/460950" TargetMode="External"/><Relationship Id="rId155" Type="http://schemas.openxmlformats.org/officeDocument/2006/relationships/hyperlink" Target="https://unfccc.int/documents/626570" TargetMode="External"/><Relationship Id="rId176" Type="http://schemas.openxmlformats.org/officeDocument/2006/relationships/hyperlink" Target="https://unfccc.int/documents/644937" TargetMode="External"/><Relationship Id="rId17" Type="http://schemas.openxmlformats.org/officeDocument/2006/relationships/hyperlink" Target="https://unfccc.int/documents/460952" TargetMode="External"/><Relationship Id="rId38" Type="http://schemas.openxmlformats.org/officeDocument/2006/relationships/header" Target="header5.xml"/><Relationship Id="rId59" Type="http://schemas.openxmlformats.org/officeDocument/2006/relationships/header" Target="header6.xml"/><Relationship Id="rId103" Type="http://schemas.openxmlformats.org/officeDocument/2006/relationships/hyperlink" Target="https://unfccc.int/documents/460950" TargetMode="External"/><Relationship Id="rId124" Type="http://schemas.openxmlformats.org/officeDocument/2006/relationships/hyperlink" Target="https://unfccc.int/documents/460950" TargetMode="External"/><Relationship Id="rId70" Type="http://schemas.openxmlformats.org/officeDocument/2006/relationships/hyperlink" Target="https://unfccc.int/documents/460950" TargetMode="External"/><Relationship Id="rId91" Type="http://schemas.openxmlformats.org/officeDocument/2006/relationships/hyperlink" Target="https://unfccc.int/documents/626570" TargetMode="External"/><Relationship Id="rId145" Type="http://schemas.openxmlformats.org/officeDocument/2006/relationships/header" Target="header18.xml"/><Relationship Id="rId166" Type="http://schemas.openxmlformats.org/officeDocument/2006/relationships/hyperlink" Target="https://unfccc.int/documents/626570" TargetMode="External"/><Relationship Id="rId187" Type="http://schemas.openxmlformats.org/officeDocument/2006/relationships/hyperlink" Target="https://unfccc.int/documents/460950" TargetMode="External"/><Relationship Id="rId28" Type="http://schemas.openxmlformats.org/officeDocument/2006/relationships/header" Target="header3.xml"/><Relationship Id="rId49" Type="http://schemas.openxmlformats.org/officeDocument/2006/relationships/hyperlink" Target="https://unfccc.int/documents/637073" TargetMode="External"/><Relationship Id="rId114" Type="http://schemas.openxmlformats.org/officeDocument/2006/relationships/hyperlink" Target="https://unfccc.int/documents/460950" TargetMode="External"/><Relationship Id="rId60" Type="http://schemas.openxmlformats.org/officeDocument/2006/relationships/header" Target="header7.xml"/><Relationship Id="rId81" Type="http://schemas.openxmlformats.org/officeDocument/2006/relationships/hyperlink" Target="https://unfccc.int/documents/460950" TargetMode="External"/><Relationship Id="rId135" Type="http://schemas.openxmlformats.org/officeDocument/2006/relationships/footer" Target="footer11.xml"/><Relationship Id="rId156" Type="http://schemas.openxmlformats.org/officeDocument/2006/relationships/hyperlink" Target="https://unfccc.int/documents/460950" TargetMode="External"/><Relationship Id="rId177" Type="http://schemas.openxmlformats.org/officeDocument/2006/relationships/hyperlink" Target="https://unfccc.int/documents/460950" TargetMode="External"/><Relationship Id="rId18" Type="http://schemas.openxmlformats.org/officeDocument/2006/relationships/hyperlink" Target="https://unfccc.int/documents/626569" TargetMode="External"/><Relationship Id="rId39" Type="http://schemas.openxmlformats.org/officeDocument/2006/relationships/footer" Target="footer3.xml"/></Relationships>
</file>

<file path=word/_rels/endnotes.xml.rels><?xml version="1.0" encoding="UTF-8" standalone="yes"?>
<Relationships xmlns="http://schemas.openxmlformats.org/package/2006/relationships"><Relationship Id="rId3" Type="http://schemas.openxmlformats.org/officeDocument/2006/relationships/hyperlink" Target="https://unfccc.int/documents/626570" TargetMode="External"/><Relationship Id="rId2" Type="http://schemas.openxmlformats.org/officeDocument/2006/relationships/hyperlink" Target="https://unfccc.int/documents/460950" TargetMode="External"/><Relationship Id="rId1" Type="http://schemas.openxmlformats.org/officeDocument/2006/relationships/hyperlink" Target="https://unfccc.int/documents/460950" TargetMode="External"/><Relationship Id="rId6" Type="http://schemas.openxmlformats.org/officeDocument/2006/relationships/hyperlink" Target="https://unfccc.int/documents/626570" TargetMode="External"/><Relationship Id="rId5" Type="http://schemas.openxmlformats.org/officeDocument/2006/relationships/hyperlink" Target="https://unfccc.int/documents/460950" TargetMode="External"/><Relationship Id="rId4" Type="http://schemas.openxmlformats.org/officeDocument/2006/relationships/hyperlink" Target="https://unfccc.int/documents/460950"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unfccc.int/documents/637073" TargetMode="External"/><Relationship Id="rId21" Type="http://schemas.openxmlformats.org/officeDocument/2006/relationships/hyperlink" Target="https://unfccc.int/documents/640211" TargetMode="External"/><Relationship Id="rId42" Type="http://schemas.openxmlformats.org/officeDocument/2006/relationships/hyperlink" Target="https://unfccc.int/documents/460951" TargetMode="External"/><Relationship Id="rId47" Type="http://schemas.openxmlformats.org/officeDocument/2006/relationships/hyperlink" Target="https://unfccc.int/documents/632331" TargetMode="External"/><Relationship Id="rId63" Type="http://schemas.openxmlformats.org/officeDocument/2006/relationships/hyperlink" Target="https://unfccc.int/documents/460950" TargetMode="External"/><Relationship Id="rId68" Type="http://schemas.openxmlformats.org/officeDocument/2006/relationships/hyperlink" Target="https://unfccc.int/documents/614162" TargetMode="External"/><Relationship Id="rId16" Type="http://schemas.openxmlformats.org/officeDocument/2006/relationships/hyperlink" Target="https://unfccc.int/documents/639931" TargetMode="External"/><Relationship Id="rId11" Type="http://schemas.openxmlformats.org/officeDocument/2006/relationships/hyperlink" Target="https://unfccc.int/documents/641886" TargetMode="External"/><Relationship Id="rId32" Type="http://schemas.openxmlformats.org/officeDocument/2006/relationships/hyperlink" Target="https://unfccc.int/documents/639931" TargetMode="External"/><Relationship Id="rId37" Type="http://schemas.openxmlformats.org/officeDocument/2006/relationships/hyperlink" Target="https://unfccc.int/documents/626569" TargetMode="External"/><Relationship Id="rId53" Type="http://schemas.openxmlformats.org/officeDocument/2006/relationships/hyperlink" Target="https://unfccc.int/documents/632332" TargetMode="External"/><Relationship Id="rId58" Type="http://schemas.openxmlformats.org/officeDocument/2006/relationships/hyperlink" Target="https://unfccc.int/documents/460950" TargetMode="External"/><Relationship Id="rId74" Type="http://schemas.openxmlformats.org/officeDocument/2006/relationships/hyperlink" Target="https://unfccc.int/documents/637076" TargetMode="External"/><Relationship Id="rId79" Type="http://schemas.openxmlformats.org/officeDocument/2006/relationships/hyperlink" Target="https://unfccc.int/documents/626570" TargetMode="External"/><Relationship Id="rId5" Type="http://schemas.openxmlformats.org/officeDocument/2006/relationships/hyperlink" Target="https://unfccc.int/documents/637073" TargetMode="External"/><Relationship Id="rId61" Type="http://schemas.openxmlformats.org/officeDocument/2006/relationships/hyperlink" Target="https://unfccc.int/documents/626570" TargetMode="External"/><Relationship Id="rId19" Type="http://schemas.openxmlformats.org/officeDocument/2006/relationships/hyperlink" Target="https://unfccc.int/documents/639931" TargetMode="External"/><Relationship Id="rId14" Type="http://schemas.openxmlformats.org/officeDocument/2006/relationships/hyperlink" Target="https://unfccc.int/documents/639931" TargetMode="External"/><Relationship Id="rId22" Type="http://schemas.openxmlformats.org/officeDocument/2006/relationships/hyperlink" Target="https://unfccc.int/documents/639931" TargetMode="External"/><Relationship Id="rId27" Type="http://schemas.openxmlformats.org/officeDocument/2006/relationships/hyperlink" Target="https://unfccc.int/documents/193408" TargetMode="External"/><Relationship Id="rId30" Type="http://schemas.openxmlformats.org/officeDocument/2006/relationships/hyperlink" Target="https://unfccc.int/documents/639931" TargetMode="External"/><Relationship Id="rId35" Type="http://schemas.openxmlformats.org/officeDocument/2006/relationships/hyperlink" Target="https://www4.unfccc.int/sites/submissionsstaging/Pages/Home.aspx" TargetMode="External"/><Relationship Id="rId43" Type="http://schemas.openxmlformats.org/officeDocument/2006/relationships/hyperlink" Target="https://unfccc.int/documents/626570" TargetMode="External"/><Relationship Id="rId48" Type="http://schemas.openxmlformats.org/officeDocument/2006/relationships/hyperlink" Target="https://unfccc.int/documents/632332" TargetMode="External"/><Relationship Id="rId56" Type="http://schemas.openxmlformats.org/officeDocument/2006/relationships/hyperlink" Target="https://unfccc.int/documents/460950" TargetMode="External"/><Relationship Id="rId64" Type="http://schemas.openxmlformats.org/officeDocument/2006/relationships/hyperlink" Target="https://unfccc.int/documents/460950" TargetMode="External"/><Relationship Id="rId69" Type="http://schemas.openxmlformats.org/officeDocument/2006/relationships/hyperlink" Target="https://unfccc.int/documents/626570" TargetMode="External"/><Relationship Id="rId77" Type="http://schemas.openxmlformats.org/officeDocument/2006/relationships/hyperlink" Target="https://www4.unfccc.int/sites/submissionsstaging/Pages/Home.aspx" TargetMode="External"/><Relationship Id="rId8" Type="http://schemas.openxmlformats.org/officeDocument/2006/relationships/hyperlink" Target="https://unfccc.int/documents/641886" TargetMode="External"/><Relationship Id="rId51" Type="http://schemas.openxmlformats.org/officeDocument/2006/relationships/hyperlink" Target="https://unfccc.int/documents/460950" TargetMode="External"/><Relationship Id="rId72" Type="http://schemas.openxmlformats.org/officeDocument/2006/relationships/hyperlink" Target="https://unfccc.int/documents/626570" TargetMode="External"/><Relationship Id="rId80" Type="http://schemas.openxmlformats.org/officeDocument/2006/relationships/hyperlink" Target="https://unfccc.int/documents/637076" TargetMode="External"/><Relationship Id="rId3" Type="http://schemas.openxmlformats.org/officeDocument/2006/relationships/hyperlink" Target="http://www.unep.org/resources/adaptation-gap-report-2023" TargetMode="External"/><Relationship Id="rId12" Type="http://schemas.openxmlformats.org/officeDocument/2006/relationships/hyperlink" Target="https://www4.unfccc.int/sites/submissionsstaging/Pages/Home.aspx" TargetMode="External"/><Relationship Id="rId17" Type="http://schemas.openxmlformats.org/officeDocument/2006/relationships/hyperlink" Target="https://unfccc.int/documents/637073" TargetMode="External"/><Relationship Id="rId25" Type="http://schemas.openxmlformats.org/officeDocument/2006/relationships/hyperlink" Target="https://unfccc.int/documents/639931" TargetMode="External"/><Relationship Id="rId33" Type="http://schemas.openxmlformats.org/officeDocument/2006/relationships/hyperlink" Target="https://unfccc.int/documents/640211" TargetMode="External"/><Relationship Id="rId38" Type="http://schemas.openxmlformats.org/officeDocument/2006/relationships/hyperlink" Target="https://unfccc.int/documents/641403" TargetMode="External"/><Relationship Id="rId46" Type="http://schemas.openxmlformats.org/officeDocument/2006/relationships/hyperlink" Target="https://unfccc.int/documents/637072" TargetMode="External"/><Relationship Id="rId59" Type="http://schemas.openxmlformats.org/officeDocument/2006/relationships/hyperlink" Target="https://unfccc.int/documents/626570" TargetMode="External"/><Relationship Id="rId67" Type="http://schemas.openxmlformats.org/officeDocument/2006/relationships/hyperlink" Target="https://unfccc.int/documents/638603" TargetMode="External"/><Relationship Id="rId20" Type="http://schemas.openxmlformats.org/officeDocument/2006/relationships/hyperlink" Target="https://unfccc.int/documents/642752" TargetMode="External"/><Relationship Id="rId41" Type="http://schemas.openxmlformats.org/officeDocument/2006/relationships/hyperlink" Target="https://unfccc.int/documents/626570" TargetMode="External"/><Relationship Id="rId54" Type="http://schemas.openxmlformats.org/officeDocument/2006/relationships/hyperlink" Target="https://unfccc.int/documents/640309" TargetMode="External"/><Relationship Id="rId62" Type="http://schemas.openxmlformats.org/officeDocument/2006/relationships/hyperlink" Target="https://unfccc.int/nma-platform" TargetMode="External"/><Relationship Id="rId70" Type="http://schemas.openxmlformats.org/officeDocument/2006/relationships/hyperlink" Target="https://unfccc.int/documents/638603" TargetMode="External"/><Relationship Id="rId75" Type="http://schemas.openxmlformats.org/officeDocument/2006/relationships/hyperlink" Target="https://unfccc.int/process-and-meetings/the-paris-agreement/nma-platform/list-of-NFPs-A6-8" TargetMode="External"/><Relationship Id="rId1" Type="http://schemas.openxmlformats.org/officeDocument/2006/relationships/hyperlink" Target="https://unfccc.int/documents/641151" TargetMode="External"/><Relationship Id="rId6" Type="http://schemas.openxmlformats.org/officeDocument/2006/relationships/hyperlink" Target="https://unfccc.int/documents/193408" TargetMode="External"/><Relationship Id="rId15" Type="http://schemas.openxmlformats.org/officeDocument/2006/relationships/hyperlink" Target="https://unfccc.int/documents/640211" TargetMode="External"/><Relationship Id="rId23" Type="http://schemas.openxmlformats.org/officeDocument/2006/relationships/hyperlink" Target="https://unfccc.int/documents/637073" TargetMode="External"/><Relationship Id="rId28" Type="http://schemas.openxmlformats.org/officeDocument/2006/relationships/hyperlink" Target="https://unfccc.int/documents/637073" TargetMode="External"/><Relationship Id="rId36" Type="http://schemas.openxmlformats.org/officeDocument/2006/relationships/hyperlink" Target="https://unfccc.int/documents/193408" TargetMode="External"/><Relationship Id="rId49" Type="http://schemas.openxmlformats.org/officeDocument/2006/relationships/hyperlink" Target="https://unfccc.int/documents/640309" TargetMode="External"/><Relationship Id="rId57" Type="http://schemas.openxmlformats.org/officeDocument/2006/relationships/hyperlink" Target="https://unfccc.int/documents/644911" TargetMode="External"/><Relationship Id="rId10" Type="http://schemas.openxmlformats.org/officeDocument/2006/relationships/hyperlink" Target="https://unfccc.int/documents/637073" TargetMode="External"/><Relationship Id="rId31" Type="http://schemas.openxmlformats.org/officeDocument/2006/relationships/hyperlink" Target="https://unfccc.int/documents/640211" TargetMode="External"/><Relationship Id="rId44" Type="http://schemas.openxmlformats.org/officeDocument/2006/relationships/hyperlink" Target="https://unfccc.int/documents/626570" TargetMode="External"/><Relationship Id="rId52" Type="http://schemas.openxmlformats.org/officeDocument/2006/relationships/hyperlink" Target="https://unfccc.int/documents/632331" TargetMode="External"/><Relationship Id="rId60" Type="http://schemas.openxmlformats.org/officeDocument/2006/relationships/hyperlink" Target="https://unfccc.int/documents/626570" TargetMode="External"/><Relationship Id="rId65" Type="http://schemas.openxmlformats.org/officeDocument/2006/relationships/hyperlink" Target="https://unfccc.int/documents/626570" TargetMode="External"/><Relationship Id="rId73" Type="http://schemas.openxmlformats.org/officeDocument/2006/relationships/hyperlink" Target="https://unfccc.int/documents/637076" TargetMode="External"/><Relationship Id="rId78" Type="http://schemas.openxmlformats.org/officeDocument/2006/relationships/hyperlink" Target="https://unfccc.int/documents/460950" TargetMode="External"/><Relationship Id="rId81" Type="http://schemas.openxmlformats.org/officeDocument/2006/relationships/hyperlink" Target="https://unfccc.int/documents/644911" TargetMode="External"/><Relationship Id="rId4" Type="http://schemas.openxmlformats.org/officeDocument/2006/relationships/hyperlink" Target="https://unfccc.int/topics/climate-finance/resources/biennial-assessment-and-overview-of-climate-finance-flows" TargetMode="External"/><Relationship Id="rId9" Type="http://schemas.openxmlformats.org/officeDocument/2006/relationships/hyperlink" Target="https://unfccc.int/documents/626569" TargetMode="External"/><Relationship Id="rId13" Type="http://schemas.openxmlformats.org/officeDocument/2006/relationships/hyperlink" Target="https://unfccc.int/documents/640211" TargetMode="External"/><Relationship Id="rId18" Type="http://schemas.openxmlformats.org/officeDocument/2006/relationships/hyperlink" Target="https://unfccc.int/documents/640211" TargetMode="External"/><Relationship Id="rId39" Type="http://schemas.openxmlformats.org/officeDocument/2006/relationships/hyperlink" Target="https://unfccc.int/documents/641852" TargetMode="External"/><Relationship Id="rId34" Type="http://schemas.openxmlformats.org/officeDocument/2006/relationships/hyperlink" Target="https://unfccc.int/documents/639931" TargetMode="External"/><Relationship Id="rId50" Type="http://schemas.openxmlformats.org/officeDocument/2006/relationships/hyperlink" Target="https://unfccc.int/documents/641722" TargetMode="External"/><Relationship Id="rId55" Type="http://schemas.openxmlformats.org/officeDocument/2006/relationships/hyperlink" Target="https://unfccc.int/documents/641722" TargetMode="External"/><Relationship Id="rId76" Type="http://schemas.openxmlformats.org/officeDocument/2006/relationships/hyperlink" Target="https://unfccc.int/documents/637076" TargetMode="External"/><Relationship Id="rId7" Type="http://schemas.openxmlformats.org/officeDocument/2006/relationships/hyperlink" Target="https://unfccc.int/documents/631986" TargetMode="External"/><Relationship Id="rId71" Type="http://schemas.openxmlformats.org/officeDocument/2006/relationships/hyperlink" Target="https://unfccc.int/documents/626570" TargetMode="External"/><Relationship Id="rId2" Type="http://schemas.openxmlformats.org/officeDocument/2006/relationships/hyperlink" Target="https://unfccc.int/documents/644941" TargetMode="External"/><Relationship Id="rId29" Type="http://schemas.openxmlformats.org/officeDocument/2006/relationships/hyperlink" Target="https://unfccc.int/documents/640211" TargetMode="External"/><Relationship Id="rId24" Type="http://schemas.openxmlformats.org/officeDocument/2006/relationships/hyperlink" Target="https://unfccc.int/documents/640211" TargetMode="External"/><Relationship Id="rId40" Type="http://schemas.openxmlformats.org/officeDocument/2006/relationships/hyperlink" Target="https://unfccc.int/documents/626570" TargetMode="External"/><Relationship Id="rId45" Type="http://schemas.openxmlformats.org/officeDocument/2006/relationships/hyperlink" Target="https://unfccc.int/documents/634354" TargetMode="External"/><Relationship Id="rId66" Type="http://schemas.openxmlformats.org/officeDocument/2006/relationships/hyperlink" Target="https://unfccc.int/documents/632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9d8c265a-5436-43a7-80c1-713d2827ffde" ContentTypeId="0x010100FBF3CCE9969B6749B3CE13949E44C4B503" PreviousValue="true"/>
</file>

<file path=customXml/item2.xml><?xml version="1.0" encoding="utf-8"?>
<?mso-contentType ?>
<SharedContentType xmlns="Microsoft.SharePoint.Taxonomy.ContentTypeSync" SourceId="9d8c265a-5436-43a7-80c1-713d2827ffd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53923-7051-440C-8B22-C1F9659E32D6}">
  <ds:schemaRefs>
    <ds:schemaRef ds:uri="Microsoft.SharePoint.Taxonomy.ContentTypeSync"/>
  </ds:schemaRefs>
</ds:datastoreItem>
</file>

<file path=customXml/itemProps2.xml><?xml version="1.0" encoding="utf-8"?>
<ds:datastoreItem xmlns:ds="http://schemas.openxmlformats.org/officeDocument/2006/customXml" ds:itemID="{E99EA40C-3787-45F2-8C8B-68611DF5F9E5}"/>
</file>

<file path=customXml/itemProps3.xml><?xml version="1.0" encoding="utf-8"?>
<ds:datastoreItem xmlns:ds="http://schemas.openxmlformats.org/officeDocument/2006/customXml" ds:itemID="{EE00819E-ADD0-429B-8ADE-E1417858C473}">
  <ds:schemaRefs>
    <ds:schemaRef ds:uri="http://schemas.microsoft.com/sharepoint/v3/contenttype/forms"/>
  </ds:schemaRefs>
</ds:datastoreItem>
</file>

<file path=customXml/itemProps4.xml><?xml version="1.0" encoding="utf-8"?>
<ds:datastoreItem xmlns:ds="http://schemas.openxmlformats.org/officeDocument/2006/customXml" ds:itemID="{61F0F169-2553-4669-BC65-29F423886E3F}">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5.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6.xml><?xml version="1.0" encoding="utf-8"?>
<ds:datastoreItem xmlns:ds="http://schemas.openxmlformats.org/officeDocument/2006/customXml" ds:itemID="{0B7DE075-C92A-4AD8-B9B8-DAF6A551AEC8}"/>
</file>

<file path=docProps/app.xml><?xml version="1.0" encoding="utf-8"?>
<Properties xmlns="http://schemas.openxmlformats.org/officeDocument/2006/extended-properties" xmlns:vt="http://schemas.openxmlformats.org/officeDocument/2006/docPropsVTypes">
  <Template>FCCC.dotm</Template>
  <TotalTime>2</TotalTime>
  <Pages>41</Pages>
  <Words>16865</Words>
  <Characters>96132</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sixtieth session. Addendum</vt:lpstr>
    </vt:vector>
  </TitlesOfParts>
  <Company>UNFCCC</Company>
  <LinksUpToDate>false</LinksUpToDate>
  <CharactersWithSpaces>112772</CharactersWithSpaces>
  <SharedDoc>false</SharedDoc>
  <HLinks>
    <vt:vector size="1320" baseType="variant">
      <vt:variant>
        <vt:i4>2359412</vt:i4>
      </vt:variant>
      <vt:variant>
        <vt:i4>399</vt:i4>
      </vt:variant>
      <vt:variant>
        <vt:i4>0</vt:i4>
      </vt:variant>
      <vt:variant>
        <vt:i4>5</vt:i4>
      </vt:variant>
      <vt:variant>
        <vt:lpwstr>https://unfccc.int/documents/460950</vt:lpwstr>
      </vt:variant>
      <vt:variant>
        <vt:lpwstr/>
      </vt:variant>
      <vt:variant>
        <vt:i4>2359412</vt:i4>
      </vt:variant>
      <vt:variant>
        <vt:i4>396</vt:i4>
      </vt:variant>
      <vt:variant>
        <vt:i4>0</vt:i4>
      </vt:variant>
      <vt:variant>
        <vt:i4>5</vt:i4>
      </vt:variant>
      <vt:variant>
        <vt:lpwstr>https://unfccc.int/documents/460950</vt:lpwstr>
      </vt:variant>
      <vt:variant>
        <vt:lpwstr/>
      </vt:variant>
      <vt:variant>
        <vt:i4>2359412</vt:i4>
      </vt:variant>
      <vt:variant>
        <vt:i4>393</vt:i4>
      </vt:variant>
      <vt:variant>
        <vt:i4>0</vt:i4>
      </vt:variant>
      <vt:variant>
        <vt:i4>5</vt:i4>
      </vt:variant>
      <vt:variant>
        <vt:lpwstr>https://unfccc.int/documents/460950</vt:lpwstr>
      </vt:variant>
      <vt:variant>
        <vt:lpwstr/>
      </vt:variant>
      <vt:variant>
        <vt:i4>2293880</vt:i4>
      </vt:variant>
      <vt:variant>
        <vt:i4>390</vt:i4>
      </vt:variant>
      <vt:variant>
        <vt:i4>0</vt:i4>
      </vt:variant>
      <vt:variant>
        <vt:i4>5</vt:i4>
      </vt:variant>
      <vt:variant>
        <vt:lpwstr>https://unfccc.int/documents/637076</vt:lpwstr>
      </vt:variant>
      <vt:variant>
        <vt:lpwstr/>
      </vt:variant>
      <vt:variant>
        <vt:i4>2228348</vt:i4>
      </vt:variant>
      <vt:variant>
        <vt:i4>387</vt:i4>
      </vt:variant>
      <vt:variant>
        <vt:i4>0</vt:i4>
      </vt:variant>
      <vt:variant>
        <vt:i4>5</vt:i4>
      </vt:variant>
      <vt:variant>
        <vt:lpwstr>https://unfccc.int/documents/626570</vt:lpwstr>
      </vt:variant>
      <vt:variant>
        <vt:lpwstr/>
      </vt:variant>
      <vt:variant>
        <vt:i4>2359412</vt:i4>
      </vt:variant>
      <vt:variant>
        <vt:i4>384</vt:i4>
      </vt:variant>
      <vt:variant>
        <vt:i4>0</vt:i4>
      </vt:variant>
      <vt:variant>
        <vt:i4>5</vt:i4>
      </vt:variant>
      <vt:variant>
        <vt:lpwstr>https://unfccc.int/documents/460950</vt:lpwstr>
      </vt:variant>
      <vt:variant>
        <vt:lpwstr/>
      </vt:variant>
      <vt:variant>
        <vt:i4>2228348</vt:i4>
      </vt:variant>
      <vt:variant>
        <vt:i4>381</vt:i4>
      </vt:variant>
      <vt:variant>
        <vt:i4>0</vt:i4>
      </vt:variant>
      <vt:variant>
        <vt:i4>5</vt:i4>
      </vt:variant>
      <vt:variant>
        <vt:lpwstr>https://unfccc.int/documents/626570</vt:lpwstr>
      </vt:variant>
      <vt:variant>
        <vt:lpwstr/>
      </vt:variant>
      <vt:variant>
        <vt:i4>2359412</vt:i4>
      </vt:variant>
      <vt:variant>
        <vt:i4>378</vt:i4>
      </vt:variant>
      <vt:variant>
        <vt:i4>0</vt:i4>
      </vt:variant>
      <vt:variant>
        <vt:i4>5</vt:i4>
      </vt:variant>
      <vt:variant>
        <vt:lpwstr>https://unfccc.int/documents/460950</vt:lpwstr>
      </vt:variant>
      <vt:variant>
        <vt:lpwstr/>
      </vt:variant>
      <vt:variant>
        <vt:i4>2359414</vt:i4>
      </vt:variant>
      <vt:variant>
        <vt:i4>372</vt:i4>
      </vt:variant>
      <vt:variant>
        <vt:i4>0</vt:i4>
      </vt:variant>
      <vt:variant>
        <vt:i4>5</vt:i4>
      </vt:variant>
      <vt:variant>
        <vt:lpwstr>https://unfccc.int/documents/644937</vt:lpwstr>
      </vt:variant>
      <vt:variant>
        <vt:lpwstr/>
      </vt:variant>
      <vt:variant>
        <vt:i4>2359414</vt:i4>
      </vt:variant>
      <vt:variant>
        <vt:i4>369</vt:i4>
      </vt:variant>
      <vt:variant>
        <vt:i4>0</vt:i4>
      </vt:variant>
      <vt:variant>
        <vt:i4>5</vt:i4>
      </vt:variant>
      <vt:variant>
        <vt:lpwstr>https://unfccc.int/documents/644937</vt:lpwstr>
      </vt:variant>
      <vt:variant>
        <vt:lpwstr/>
      </vt:variant>
      <vt:variant>
        <vt:i4>2359412</vt:i4>
      </vt:variant>
      <vt:variant>
        <vt:i4>366</vt:i4>
      </vt:variant>
      <vt:variant>
        <vt:i4>0</vt:i4>
      </vt:variant>
      <vt:variant>
        <vt:i4>5</vt:i4>
      </vt:variant>
      <vt:variant>
        <vt:lpwstr>https://unfccc.int/documents/460950</vt:lpwstr>
      </vt:variant>
      <vt:variant>
        <vt:lpwstr/>
      </vt:variant>
      <vt:variant>
        <vt:i4>2359412</vt:i4>
      </vt:variant>
      <vt:variant>
        <vt:i4>363</vt:i4>
      </vt:variant>
      <vt:variant>
        <vt:i4>0</vt:i4>
      </vt:variant>
      <vt:variant>
        <vt:i4>5</vt:i4>
      </vt:variant>
      <vt:variant>
        <vt:lpwstr>https://unfccc.int/documents/460950</vt:lpwstr>
      </vt:variant>
      <vt:variant>
        <vt:lpwstr/>
      </vt:variant>
      <vt:variant>
        <vt:i4>2228348</vt:i4>
      </vt:variant>
      <vt:variant>
        <vt:i4>360</vt:i4>
      </vt:variant>
      <vt:variant>
        <vt:i4>0</vt:i4>
      </vt:variant>
      <vt:variant>
        <vt:i4>5</vt:i4>
      </vt:variant>
      <vt:variant>
        <vt:lpwstr>https://unfccc.int/documents/626570</vt:lpwstr>
      </vt:variant>
      <vt:variant>
        <vt:lpwstr/>
      </vt:variant>
      <vt:variant>
        <vt:i4>2228348</vt:i4>
      </vt:variant>
      <vt:variant>
        <vt:i4>357</vt:i4>
      </vt:variant>
      <vt:variant>
        <vt:i4>0</vt:i4>
      </vt:variant>
      <vt:variant>
        <vt:i4>5</vt:i4>
      </vt:variant>
      <vt:variant>
        <vt:lpwstr>https://unfccc.int/documents/626570</vt:lpwstr>
      </vt:variant>
      <vt:variant>
        <vt:lpwstr/>
      </vt:variant>
      <vt:variant>
        <vt:i4>2359412</vt:i4>
      </vt:variant>
      <vt:variant>
        <vt:i4>354</vt:i4>
      </vt:variant>
      <vt:variant>
        <vt:i4>0</vt:i4>
      </vt:variant>
      <vt:variant>
        <vt:i4>5</vt:i4>
      </vt:variant>
      <vt:variant>
        <vt:lpwstr>https://unfccc.int/documents/460950</vt:lpwstr>
      </vt:variant>
      <vt:variant>
        <vt:lpwstr/>
      </vt:variant>
      <vt:variant>
        <vt:i4>2359412</vt:i4>
      </vt:variant>
      <vt:variant>
        <vt:i4>351</vt:i4>
      </vt:variant>
      <vt:variant>
        <vt:i4>0</vt:i4>
      </vt:variant>
      <vt:variant>
        <vt:i4>5</vt:i4>
      </vt:variant>
      <vt:variant>
        <vt:lpwstr>https://unfccc.int/documents/460950</vt:lpwstr>
      </vt:variant>
      <vt:variant>
        <vt:lpwstr/>
      </vt:variant>
      <vt:variant>
        <vt:i4>2359412</vt:i4>
      </vt:variant>
      <vt:variant>
        <vt:i4>348</vt:i4>
      </vt:variant>
      <vt:variant>
        <vt:i4>0</vt:i4>
      </vt:variant>
      <vt:variant>
        <vt:i4>5</vt:i4>
      </vt:variant>
      <vt:variant>
        <vt:lpwstr>https://unfccc.int/documents/460950</vt:lpwstr>
      </vt:variant>
      <vt:variant>
        <vt:lpwstr/>
      </vt:variant>
      <vt:variant>
        <vt:i4>2359412</vt:i4>
      </vt:variant>
      <vt:variant>
        <vt:i4>345</vt:i4>
      </vt:variant>
      <vt:variant>
        <vt:i4>0</vt:i4>
      </vt:variant>
      <vt:variant>
        <vt:i4>5</vt:i4>
      </vt:variant>
      <vt:variant>
        <vt:lpwstr>https://unfccc.int/documents/460950</vt:lpwstr>
      </vt:variant>
      <vt:variant>
        <vt:lpwstr/>
      </vt:variant>
      <vt:variant>
        <vt:i4>2228348</vt:i4>
      </vt:variant>
      <vt:variant>
        <vt:i4>342</vt:i4>
      </vt:variant>
      <vt:variant>
        <vt:i4>0</vt:i4>
      </vt:variant>
      <vt:variant>
        <vt:i4>5</vt:i4>
      </vt:variant>
      <vt:variant>
        <vt:lpwstr>https://unfccc.int/documents/626570</vt:lpwstr>
      </vt:variant>
      <vt:variant>
        <vt:lpwstr/>
      </vt:variant>
      <vt:variant>
        <vt:i4>2359412</vt:i4>
      </vt:variant>
      <vt:variant>
        <vt:i4>339</vt:i4>
      </vt:variant>
      <vt:variant>
        <vt:i4>0</vt:i4>
      </vt:variant>
      <vt:variant>
        <vt:i4>5</vt:i4>
      </vt:variant>
      <vt:variant>
        <vt:lpwstr>https://unfccc.int/documents/460950</vt:lpwstr>
      </vt:variant>
      <vt:variant>
        <vt:lpwstr/>
      </vt:variant>
      <vt:variant>
        <vt:i4>2359412</vt:i4>
      </vt:variant>
      <vt:variant>
        <vt:i4>336</vt:i4>
      </vt:variant>
      <vt:variant>
        <vt:i4>0</vt:i4>
      </vt:variant>
      <vt:variant>
        <vt:i4>5</vt:i4>
      </vt:variant>
      <vt:variant>
        <vt:lpwstr>https://unfccc.int/documents/460950</vt:lpwstr>
      </vt:variant>
      <vt:variant>
        <vt:lpwstr/>
      </vt:variant>
      <vt:variant>
        <vt:i4>2359412</vt:i4>
      </vt:variant>
      <vt:variant>
        <vt:i4>333</vt:i4>
      </vt:variant>
      <vt:variant>
        <vt:i4>0</vt:i4>
      </vt:variant>
      <vt:variant>
        <vt:i4>5</vt:i4>
      </vt:variant>
      <vt:variant>
        <vt:lpwstr>https://unfccc.int/documents/460950</vt:lpwstr>
      </vt:variant>
      <vt:variant>
        <vt:lpwstr/>
      </vt:variant>
      <vt:variant>
        <vt:i4>2228348</vt:i4>
      </vt:variant>
      <vt:variant>
        <vt:i4>330</vt:i4>
      </vt:variant>
      <vt:variant>
        <vt:i4>0</vt:i4>
      </vt:variant>
      <vt:variant>
        <vt:i4>5</vt:i4>
      </vt:variant>
      <vt:variant>
        <vt:lpwstr>https://unfccc.int/documents/626570</vt:lpwstr>
      </vt:variant>
      <vt:variant>
        <vt:lpwstr/>
      </vt:variant>
      <vt:variant>
        <vt:i4>2359412</vt:i4>
      </vt:variant>
      <vt:variant>
        <vt:i4>327</vt:i4>
      </vt:variant>
      <vt:variant>
        <vt:i4>0</vt:i4>
      </vt:variant>
      <vt:variant>
        <vt:i4>5</vt:i4>
      </vt:variant>
      <vt:variant>
        <vt:lpwstr>https://unfccc.int/documents/460950</vt:lpwstr>
      </vt:variant>
      <vt:variant>
        <vt:lpwstr/>
      </vt:variant>
      <vt:variant>
        <vt:i4>2359412</vt:i4>
      </vt:variant>
      <vt:variant>
        <vt:i4>324</vt:i4>
      </vt:variant>
      <vt:variant>
        <vt:i4>0</vt:i4>
      </vt:variant>
      <vt:variant>
        <vt:i4>5</vt:i4>
      </vt:variant>
      <vt:variant>
        <vt:lpwstr>https://unfccc.int/documents/460950</vt:lpwstr>
      </vt:variant>
      <vt:variant>
        <vt:lpwstr/>
      </vt:variant>
      <vt:variant>
        <vt:i4>2228348</vt:i4>
      </vt:variant>
      <vt:variant>
        <vt:i4>321</vt:i4>
      </vt:variant>
      <vt:variant>
        <vt:i4>0</vt:i4>
      </vt:variant>
      <vt:variant>
        <vt:i4>5</vt:i4>
      </vt:variant>
      <vt:variant>
        <vt:lpwstr>https://unfccc.int/documents/626570</vt:lpwstr>
      </vt:variant>
      <vt:variant>
        <vt:lpwstr/>
      </vt:variant>
      <vt:variant>
        <vt:i4>2359412</vt:i4>
      </vt:variant>
      <vt:variant>
        <vt:i4>318</vt:i4>
      </vt:variant>
      <vt:variant>
        <vt:i4>0</vt:i4>
      </vt:variant>
      <vt:variant>
        <vt:i4>5</vt:i4>
      </vt:variant>
      <vt:variant>
        <vt:lpwstr>https://unfccc.int/documents/460950</vt:lpwstr>
      </vt:variant>
      <vt:variant>
        <vt:lpwstr/>
      </vt:variant>
      <vt:variant>
        <vt:i4>2359412</vt:i4>
      </vt:variant>
      <vt:variant>
        <vt:i4>315</vt:i4>
      </vt:variant>
      <vt:variant>
        <vt:i4>0</vt:i4>
      </vt:variant>
      <vt:variant>
        <vt:i4>5</vt:i4>
      </vt:variant>
      <vt:variant>
        <vt:lpwstr>https://unfccc.int/documents/460950</vt:lpwstr>
      </vt:variant>
      <vt:variant>
        <vt:lpwstr/>
      </vt:variant>
      <vt:variant>
        <vt:i4>3080315</vt:i4>
      </vt:variant>
      <vt:variant>
        <vt:i4>312</vt:i4>
      </vt:variant>
      <vt:variant>
        <vt:i4>0</vt:i4>
      </vt:variant>
      <vt:variant>
        <vt:i4>5</vt:i4>
      </vt:variant>
      <vt:variant>
        <vt:lpwstr>https://unfccc.int/documents/644483</vt:lpwstr>
      </vt:variant>
      <vt:variant>
        <vt:lpwstr/>
      </vt:variant>
      <vt:variant>
        <vt:i4>2359412</vt:i4>
      </vt:variant>
      <vt:variant>
        <vt:i4>309</vt:i4>
      </vt:variant>
      <vt:variant>
        <vt:i4>0</vt:i4>
      </vt:variant>
      <vt:variant>
        <vt:i4>5</vt:i4>
      </vt:variant>
      <vt:variant>
        <vt:lpwstr>https://unfccc.int/documents/460950</vt:lpwstr>
      </vt:variant>
      <vt:variant>
        <vt:lpwstr/>
      </vt:variant>
      <vt:variant>
        <vt:i4>2359412</vt:i4>
      </vt:variant>
      <vt:variant>
        <vt:i4>306</vt:i4>
      </vt:variant>
      <vt:variant>
        <vt:i4>0</vt:i4>
      </vt:variant>
      <vt:variant>
        <vt:i4>5</vt:i4>
      </vt:variant>
      <vt:variant>
        <vt:lpwstr>https://unfccc.int/documents/460950</vt:lpwstr>
      </vt:variant>
      <vt:variant>
        <vt:lpwstr/>
      </vt:variant>
      <vt:variant>
        <vt:i4>2359412</vt:i4>
      </vt:variant>
      <vt:variant>
        <vt:i4>303</vt:i4>
      </vt:variant>
      <vt:variant>
        <vt:i4>0</vt:i4>
      </vt:variant>
      <vt:variant>
        <vt:i4>5</vt:i4>
      </vt:variant>
      <vt:variant>
        <vt:lpwstr>https://unfccc.int/documents/460950</vt:lpwstr>
      </vt:variant>
      <vt:variant>
        <vt:lpwstr/>
      </vt:variant>
      <vt:variant>
        <vt:i4>2359412</vt:i4>
      </vt:variant>
      <vt:variant>
        <vt:i4>300</vt:i4>
      </vt:variant>
      <vt:variant>
        <vt:i4>0</vt:i4>
      </vt:variant>
      <vt:variant>
        <vt:i4>5</vt:i4>
      </vt:variant>
      <vt:variant>
        <vt:lpwstr>https://unfccc.int/documents/460950</vt:lpwstr>
      </vt:variant>
      <vt:variant>
        <vt:lpwstr/>
      </vt:variant>
      <vt:variant>
        <vt:i4>2359412</vt:i4>
      </vt:variant>
      <vt:variant>
        <vt:i4>297</vt:i4>
      </vt:variant>
      <vt:variant>
        <vt:i4>0</vt:i4>
      </vt:variant>
      <vt:variant>
        <vt:i4>5</vt:i4>
      </vt:variant>
      <vt:variant>
        <vt:lpwstr>https://unfccc.int/documents/460950</vt:lpwstr>
      </vt:variant>
      <vt:variant>
        <vt:lpwstr/>
      </vt:variant>
      <vt:variant>
        <vt:i4>2359412</vt:i4>
      </vt:variant>
      <vt:variant>
        <vt:i4>294</vt:i4>
      </vt:variant>
      <vt:variant>
        <vt:i4>0</vt:i4>
      </vt:variant>
      <vt:variant>
        <vt:i4>5</vt:i4>
      </vt:variant>
      <vt:variant>
        <vt:lpwstr>https://unfccc.int/documents/460950</vt:lpwstr>
      </vt:variant>
      <vt:variant>
        <vt:lpwstr/>
      </vt:variant>
      <vt:variant>
        <vt:i4>2359412</vt:i4>
      </vt:variant>
      <vt:variant>
        <vt:i4>291</vt:i4>
      </vt:variant>
      <vt:variant>
        <vt:i4>0</vt:i4>
      </vt:variant>
      <vt:variant>
        <vt:i4>5</vt:i4>
      </vt:variant>
      <vt:variant>
        <vt:lpwstr>https://unfccc.int/documents/460950</vt:lpwstr>
      </vt:variant>
      <vt:variant>
        <vt:lpwstr/>
      </vt:variant>
      <vt:variant>
        <vt:i4>2359412</vt:i4>
      </vt:variant>
      <vt:variant>
        <vt:i4>288</vt:i4>
      </vt:variant>
      <vt:variant>
        <vt:i4>0</vt:i4>
      </vt:variant>
      <vt:variant>
        <vt:i4>5</vt:i4>
      </vt:variant>
      <vt:variant>
        <vt:lpwstr>https://unfccc.int/documents/460950</vt:lpwstr>
      </vt:variant>
      <vt:variant>
        <vt:lpwstr/>
      </vt:variant>
      <vt:variant>
        <vt:i4>2556022</vt:i4>
      </vt:variant>
      <vt:variant>
        <vt:i4>285</vt:i4>
      </vt:variant>
      <vt:variant>
        <vt:i4>0</vt:i4>
      </vt:variant>
      <vt:variant>
        <vt:i4>5</vt:i4>
      </vt:variant>
      <vt:variant>
        <vt:lpwstr>https://unfccc.int/documents/193408</vt:lpwstr>
      </vt:variant>
      <vt:variant>
        <vt:lpwstr/>
      </vt:variant>
      <vt:variant>
        <vt:i4>2359412</vt:i4>
      </vt:variant>
      <vt:variant>
        <vt:i4>282</vt:i4>
      </vt:variant>
      <vt:variant>
        <vt:i4>0</vt:i4>
      </vt:variant>
      <vt:variant>
        <vt:i4>5</vt:i4>
      </vt:variant>
      <vt:variant>
        <vt:lpwstr>https://unfccc.int/documents/460950</vt:lpwstr>
      </vt:variant>
      <vt:variant>
        <vt:lpwstr/>
      </vt:variant>
      <vt:variant>
        <vt:i4>2359412</vt:i4>
      </vt:variant>
      <vt:variant>
        <vt:i4>279</vt:i4>
      </vt:variant>
      <vt:variant>
        <vt:i4>0</vt:i4>
      </vt:variant>
      <vt:variant>
        <vt:i4>5</vt:i4>
      </vt:variant>
      <vt:variant>
        <vt:lpwstr>https://unfccc.int/documents/460950</vt:lpwstr>
      </vt:variant>
      <vt:variant>
        <vt:lpwstr/>
      </vt:variant>
      <vt:variant>
        <vt:i4>2359412</vt:i4>
      </vt:variant>
      <vt:variant>
        <vt:i4>276</vt:i4>
      </vt:variant>
      <vt:variant>
        <vt:i4>0</vt:i4>
      </vt:variant>
      <vt:variant>
        <vt:i4>5</vt:i4>
      </vt:variant>
      <vt:variant>
        <vt:lpwstr>https://unfccc.int/documents/460950</vt:lpwstr>
      </vt:variant>
      <vt:variant>
        <vt:lpwstr/>
      </vt:variant>
      <vt:variant>
        <vt:i4>2228348</vt:i4>
      </vt:variant>
      <vt:variant>
        <vt:i4>273</vt:i4>
      </vt:variant>
      <vt:variant>
        <vt:i4>0</vt:i4>
      </vt:variant>
      <vt:variant>
        <vt:i4>5</vt:i4>
      </vt:variant>
      <vt:variant>
        <vt:lpwstr>https://unfccc.int/documents/626570</vt:lpwstr>
      </vt:variant>
      <vt:variant>
        <vt:lpwstr/>
      </vt:variant>
      <vt:variant>
        <vt:i4>2359412</vt:i4>
      </vt:variant>
      <vt:variant>
        <vt:i4>270</vt:i4>
      </vt:variant>
      <vt:variant>
        <vt:i4>0</vt:i4>
      </vt:variant>
      <vt:variant>
        <vt:i4>5</vt:i4>
      </vt:variant>
      <vt:variant>
        <vt:lpwstr>https://unfccc.int/documents/460950</vt:lpwstr>
      </vt:variant>
      <vt:variant>
        <vt:lpwstr/>
      </vt:variant>
      <vt:variant>
        <vt:i4>2359412</vt:i4>
      </vt:variant>
      <vt:variant>
        <vt:i4>267</vt:i4>
      </vt:variant>
      <vt:variant>
        <vt:i4>0</vt:i4>
      </vt:variant>
      <vt:variant>
        <vt:i4>5</vt:i4>
      </vt:variant>
      <vt:variant>
        <vt:lpwstr>https://unfccc.int/documents/460950</vt:lpwstr>
      </vt:variant>
      <vt:variant>
        <vt:lpwstr/>
      </vt:variant>
      <vt:variant>
        <vt:i4>2228348</vt:i4>
      </vt:variant>
      <vt:variant>
        <vt:i4>264</vt:i4>
      </vt:variant>
      <vt:variant>
        <vt:i4>0</vt:i4>
      </vt:variant>
      <vt:variant>
        <vt:i4>5</vt:i4>
      </vt:variant>
      <vt:variant>
        <vt:lpwstr>https://unfccc.int/documents/626570</vt:lpwstr>
      </vt:variant>
      <vt:variant>
        <vt:lpwstr/>
      </vt:variant>
      <vt:variant>
        <vt:i4>2359412</vt:i4>
      </vt:variant>
      <vt:variant>
        <vt:i4>261</vt:i4>
      </vt:variant>
      <vt:variant>
        <vt:i4>0</vt:i4>
      </vt:variant>
      <vt:variant>
        <vt:i4>5</vt:i4>
      </vt:variant>
      <vt:variant>
        <vt:lpwstr>https://unfccc.int/documents/460950</vt:lpwstr>
      </vt:variant>
      <vt:variant>
        <vt:lpwstr/>
      </vt:variant>
      <vt:variant>
        <vt:i4>2228348</vt:i4>
      </vt:variant>
      <vt:variant>
        <vt:i4>258</vt:i4>
      </vt:variant>
      <vt:variant>
        <vt:i4>0</vt:i4>
      </vt:variant>
      <vt:variant>
        <vt:i4>5</vt:i4>
      </vt:variant>
      <vt:variant>
        <vt:lpwstr>https://unfccc.int/documents/626570</vt:lpwstr>
      </vt:variant>
      <vt:variant>
        <vt:lpwstr/>
      </vt:variant>
      <vt:variant>
        <vt:i4>2359412</vt:i4>
      </vt:variant>
      <vt:variant>
        <vt:i4>255</vt:i4>
      </vt:variant>
      <vt:variant>
        <vt:i4>0</vt:i4>
      </vt:variant>
      <vt:variant>
        <vt:i4>5</vt:i4>
      </vt:variant>
      <vt:variant>
        <vt:lpwstr>https://unfccc.int/documents/460950</vt:lpwstr>
      </vt:variant>
      <vt:variant>
        <vt:lpwstr/>
      </vt:variant>
      <vt:variant>
        <vt:i4>2359412</vt:i4>
      </vt:variant>
      <vt:variant>
        <vt:i4>252</vt:i4>
      </vt:variant>
      <vt:variant>
        <vt:i4>0</vt:i4>
      </vt:variant>
      <vt:variant>
        <vt:i4>5</vt:i4>
      </vt:variant>
      <vt:variant>
        <vt:lpwstr>https://unfccc.int/documents/460950</vt:lpwstr>
      </vt:variant>
      <vt:variant>
        <vt:lpwstr/>
      </vt:variant>
      <vt:variant>
        <vt:i4>2359412</vt:i4>
      </vt:variant>
      <vt:variant>
        <vt:i4>249</vt:i4>
      </vt:variant>
      <vt:variant>
        <vt:i4>0</vt:i4>
      </vt:variant>
      <vt:variant>
        <vt:i4>5</vt:i4>
      </vt:variant>
      <vt:variant>
        <vt:lpwstr>https://unfccc.int/documents/460950</vt:lpwstr>
      </vt:variant>
      <vt:variant>
        <vt:lpwstr/>
      </vt:variant>
      <vt:variant>
        <vt:i4>2359412</vt:i4>
      </vt:variant>
      <vt:variant>
        <vt:i4>246</vt:i4>
      </vt:variant>
      <vt:variant>
        <vt:i4>0</vt:i4>
      </vt:variant>
      <vt:variant>
        <vt:i4>5</vt:i4>
      </vt:variant>
      <vt:variant>
        <vt:lpwstr>https://unfccc.int/documents/460950</vt:lpwstr>
      </vt:variant>
      <vt:variant>
        <vt:lpwstr/>
      </vt:variant>
      <vt:variant>
        <vt:i4>2556022</vt:i4>
      </vt:variant>
      <vt:variant>
        <vt:i4>243</vt:i4>
      </vt:variant>
      <vt:variant>
        <vt:i4>0</vt:i4>
      </vt:variant>
      <vt:variant>
        <vt:i4>5</vt:i4>
      </vt:variant>
      <vt:variant>
        <vt:lpwstr>https://unfccc.int/documents/193408</vt:lpwstr>
      </vt:variant>
      <vt:variant>
        <vt:lpwstr/>
      </vt:variant>
      <vt:variant>
        <vt:i4>2228348</vt:i4>
      </vt:variant>
      <vt:variant>
        <vt:i4>240</vt:i4>
      </vt:variant>
      <vt:variant>
        <vt:i4>0</vt:i4>
      </vt:variant>
      <vt:variant>
        <vt:i4>5</vt:i4>
      </vt:variant>
      <vt:variant>
        <vt:lpwstr>https://unfccc.int/documents/626570</vt:lpwstr>
      </vt:variant>
      <vt:variant>
        <vt:lpwstr/>
      </vt:variant>
      <vt:variant>
        <vt:i4>1376331</vt:i4>
      </vt:variant>
      <vt:variant>
        <vt:i4>237</vt:i4>
      </vt:variant>
      <vt:variant>
        <vt:i4>0</vt:i4>
      </vt:variant>
      <vt:variant>
        <vt:i4>5</vt:i4>
      </vt:variant>
      <vt:variant>
        <vt:lpwstr>https://unfccc.int/documents/9097</vt:lpwstr>
      </vt:variant>
      <vt:variant>
        <vt:lpwstr/>
      </vt:variant>
      <vt:variant>
        <vt:i4>2228348</vt:i4>
      </vt:variant>
      <vt:variant>
        <vt:i4>234</vt:i4>
      </vt:variant>
      <vt:variant>
        <vt:i4>0</vt:i4>
      </vt:variant>
      <vt:variant>
        <vt:i4>5</vt:i4>
      </vt:variant>
      <vt:variant>
        <vt:lpwstr>https://unfccc.int/documents/626570</vt:lpwstr>
      </vt:variant>
      <vt:variant>
        <vt:lpwstr/>
      </vt:variant>
      <vt:variant>
        <vt:i4>2359412</vt:i4>
      </vt:variant>
      <vt:variant>
        <vt:i4>231</vt:i4>
      </vt:variant>
      <vt:variant>
        <vt:i4>0</vt:i4>
      </vt:variant>
      <vt:variant>
        <vt:i4>5</vt:i4>
      </vt:variant>
      <vt:variant>
        <vt:lpwstr>https://unfccc.int/documents/460950</vt:lpwstr>
      </vt:variant>
      <vt:variant>
        <vt:lpwstr/>
      </vt:variant>
      <vt:variant>
        <vt:i4>2359412</vt:i4>
      </vt:variant>
      <vt:variant>
        <vt:i4>228</vt:i4>
      </vt:variant>
      <vt:variant>
        <vt:i4>0</vt:i4>
      </vt:variant>
      <vt:variant>
        <vt:i4>5</vt:i4>
      </vt:variant>
      <vt:variant>
        <vt:lpwstr>https://unfccc.int/documents/460950</vt:lpwstr>
      </vt:variant>
      <vt:variant>
        <vt:lpwstr/>
      </vt:variant>
      <vt:variant>
        <vt:i4>2359412</vt:i4>
      </vt:variant>
      <vt:variant>
        <vt:i4>225</vt:i4>
      </vt:variant>
      <vt:variant>
        <vt:i4>0</vt:i4>
      </vt:variant>
      <vt:variant>
        <vt:i4>5</vt:i4>
      </vt:variant>
      <vt:variant>
        <vt:lpwstr>https://unfccc.int/documents/460950</vt:lpwstr>
      </vt:variant>
      <vt:variant>
        <vt:lpwstr/>
      </vt:variant>
      <vt:variant>
        <vt:i4>2359412</vt:i4>
      </vt:variant>
      <vt:variant>
        <vt:i4>222</vt:i4>
      </vt:variant>
      <vt:variant>
        <vt:i4>0</vt:i4>
      </vt:variant>
      <vt:variant>
        <vt:i4>5</vt:i4>
      </vt:variant>
      <vt:variant>
        <vt:lpwstr>https://unfccc.int/documents/460950</vt:lpwstr>
      </vt:variant>
      <vt:variant>
        <vt:lpwstr/>
      </vt:variant>
      <vt:variant>
        <vt:i4>2359412</vt:i4>
      </vt:variant>
      <vt:variant>
        <vt:i4>219</vt:i4>
      </vt:variant>
      <vt:variant>
        <vt:i4>0</vt:i4>
      </vt:variant>
      <vt:variant>
        <vt:i4>5</vt:i4>
      </vt:variant>
      <vt:variant>
        <vt:lpwstr>https://unfccc.int/documents/460950</vt:lpwstr>
      </vt:variant>
      <vt:variant>
        <vt:lpwstr/>
      </vt:variant>
      <vt:variant>
        <vt:i4>2228348</vt:i4>
      </vt:variant>
      <vt:variant>
        <vt:i4>216</vt:i4>
      </vt:variant>
      <vt:variant>
        <vt:i4>0</vt:i4>
      </vt:variant>
      <vt:variant>
        <vt:i4>5</vt:i4>
      </vt:variant>
      <vt:variant>
        <vt:lpwstr>https://unfccc.int/documents/626570</vt:lpwstr>
      </vt:variant>
      <vt:variant>
        <vt:lpwstr/>
      </vt:variant>
      <vt:variant>
        <vt:i4>2359412</vt:i4>
      </vt:variant>
      <vt:variant>
        <vt:i4>213</vt:i4>
      </vt:variant>
      <vt:variant>
        <vt:i4>0</vt:i4>
      </vt:variant>
      <vt:variant>
        <vt:i4>5</vt:i4>
      </vt:variant>
      <vt:variant>
        <vt:lpwstr>https://unfccc.int/documents/460950</vt:lpwstr>
      </vt:variant>
      <vt:variant>
        <vt:lpwstr/>
      </vt:variant>
      <vt:variant>
        <vt:i4>2228348</vt:i4>
      </vt:variant>
      <vt:variant>
        <vt:i4>210</vt:i4>
      </vt:variant>
      <vt:variant>
        <vt:i4>0</vt:i4>
      </vt:variant>
      <vt:variant>
        <vt:i4>5</vt:i4>
      </vt:variant>
      <vt:variant>
        <vt:lpwstr>https://unfccc.int/documents/626570</vt:lpwstr>
      </vt:variant>
      <vt:variant>
        <vt:lpwstr/>
      </vt:variant>
      <vt:variant>
        <vt:i4>2359412</vt:i4>
      </vt:variant>
      <vt:variant>
        <vt:i4>207</vt:i4>
      </vt:variant>
      <vt:variant>
        <vt:i4>0</vt:i4>
      </vt:variant>
      <vt:variant>
        <vt:i4>5</vt:i4>
      </vt:variant>
      <vt:variant>
        <vt:lpwstr>https://unfccc.int/documents/460950</vt:lpwstr>
      </vt:variant>
      <vt:variant>
        <vt:lpwstr/>
      </vt:variant>
      <vt:variant>
        <vt:i4>2359412</vt:i4>
      </vt:variant>
      <vt:variant>
        <vt:i4>204</vt:i4>
      </vt:variant>
      <vt:variant>
        <vt:i4>0</vt:i4>
      </vt:variant>
      <vt:variant>
        <vt:i4>5</vt:i4>
      </vt:variant>
      <vt:variant>
        <vt:lpwstr>https://unfccc.int/documents/460950</vt:lpwstr>
      </vt:variant>
      <vt:variant>
        <vt:lpwstr/>
      </vt:variant>
      <vt:variant>
        <vt:i4>2228348</vt:i4>
      </vt:variant>
      <vt:variant>
        <vt:i4>201</vt:i4>
      </vt:variant>
      <vt:variant>
        <vt:i4>0</vt:i4>
      </vt:variant>
      <vt:variant>
        <vt:i4>5</vt:i4>
      </vt:variant>
      <vt:variant>
        <vt:lpwstr>https://unfccc.int/documents/626570</vt:lpwstr>
      </vt:variant>
      <vt:variant>
        <vt:lpwstr/>
      </vt:variant>
      <vt:variant>
        <vt:i4>2359412</vt:i4>
      </vt:variant>
      <vt:variant>
        <vt:i4>198</vt:i4>
      </vt:variant>
      <vt:variant>
        <vt:i4>0</vt:i4>
      </vt:variant>
      <vt:variant>
        <vt:i4>5</vt:i4>
      </vt:variant>
      <vt:variant>
        <vt:lpwstr>https://unfccc.int/documents/460950</vt:lpwstr>
      </vt:variant>
      <vt:variant>
        <vt:lpwstr/>
      </vt:variant>
      <vt:variant>
        <vt:i4>2359412</vt:i4>
      </vt:variant>
      <vt:variant>
        <vt:i4>195</vt:i4>
      </vt:variant>
      <vt:variant>
        <vt:i4>0</vt:i4>
      </vt:variant>
      <vt:variant>
        <vt:i4>5</vt:i4>
      </vt:variant>
      <vt:variant>
        <vt:lpwstr>https://unfccc.int/documents/460950</vt:lpwstr>
      </vt:variant>
      <vt:variant>
        <vt:lpwstr/>
      </vt:variant>
      <vt:variant>
        <vt:i4>2228348</vt:i4>
      </vt:variant>
      <vt:variant>
        <vt:i4>192</vt:i4>
      </vt:variant>
      <vt:variant>
        <vt:i4>0</vt:i4>
      </vt:variant>
      <vt:variant>
        <vt:i4>5</vt:i4>
      </vt:variant>
      <vt:variant>
        <vt:lpwstr>https://unfccc.int/documents/626570</vt:lpwstr>
      </vt:variant>
      <vt:variant>
        <vt:lpwstr/>
      </vt:variant>
      <vt:variant>
        <vt:i4>2359412</vt:i4>
      </vt:variant>
      <vt:variant>
        <vt:i4>189</vt:i4>
      </vt:variant>
      <vt:variant>
        <vt:i4>0</vt:i4>
      </vt:variant>
      <vt:variant>
        <vt:i4>5</vt:i4>
      </vt:variant>
      <vt:variant>
        <vt:lpwstr>https://unfccc.int/documents/460950</vt:lpwstr>
      </vt:variant>
      <vt:variant>
        <vt:lpwstr/>
      </vt:variant>
      <vt:variant>
        <vt:i4>2359412</vt:i4>
      </vt:variant>
      <vt:variant>
        <vt:i4>186</vt:i4>
      </vt:variant>
      <vt:variant>
        <vt:i4>0</vt:i4>
      </vt:variant>
      <vt:variant>
        <vt:i4>5</vt:i4>
      </vt:variant>
      <vt:variant>
        <vt:lpwstr>https://unfccc.int/documents/460950</vt:lpwstr>
      </vt:variant>
      <vt:variant>
        <vt:lpwstr/>
      </vt:variant>
      <vt:variant>
        <vt:i4>2359412</vt:i4>
      </vt:variant>
      <vt:variant>
        <vt:i4>183</vt:i4>
      </vt:variant>
      <vt:variant>
        <vt:i4>0</vt:i4>
      </vt:variant>
      <vt:variant>
        <vt:i4>5</vt:i4>
      </vt:variant>
      <vt:variant>
        <vt:lpwstr>https://unfccc.int/documents/460950</vt:lpwstr>
      </vt:variant>
      <vt:variant>
        <vt:lpwstr/>
      </vt:variant>
      <vt:variant>
        <vt:i4>2359412</vt:i4>
      </vt:variant>
      <vt:variant>
        <vt:i4>180</vt:i4>
      </vt:variant>
      <vt:variant>
        <vt:i4>0</vt:i4>
      </vt:variant>
      <vt:variant>
        <vt:i4>5</vt:i4>
      </vt:variant>
      <vt:variant>
        <vt:lpwstr>https://unfccc.int/documents/460950</vt:lpwstr>
      </vt:variant>
      <vt:variant>
        <vt:lpwstr/>
      </vt:variant>
      <vt:variant>
        <vt:i4>2359412</vt:i4>
      </vt:variant>
      <vt:variant>
        <vt:i4>177</vt:i4>
      </vt:variant>
      <vt:variant>
        <vt:i4>0</vt:i4>
      </vt:variant>
      <vt:variant>
        <vt:i4>5</vt:i4>
      </vt:variant>
      <vt:variant>
        <vt:lpwstr>https://unfccc.int/documents/460950</vt:lpwstr>
      </vt:variant>
      <vt:variant>
        <vt:lpwstr/>
      </vt:variant>
      <vt:variant>
        <vt:i4>2359412</vt:i4>
      </vt:variant>
      <vt:variant>
        <vt:i4>174</vt:i4>
      </vt:variant>
      <vt:variant>
        <vt:i4>0</vt:i4>
      </vt:variant>
      <vt:variant>
        <vt:i4>5</vt:i4>
      </vt:variant>
      <vt:variant>
        <vt:lpwstr>https://unfccc.int/documents/460950</vt:lpwstr>
      </vt:variant>
      <vt:variant>
        <vt:lpwstr/>
      </vt:variant>
      <vt:variant>
        <vt:i4>2359412</vt:i4>
      </vt:variant>
      <vt:variant>
        <vt:i4>171</vt:i4>
      </vt:variant>
      <vt:variant>
        <vt:i4>0</vt:i4>
      </vt:variant>
      <vt:variant>
        <vt:i4>5</vt:i4>
      </vt:variant>
      <vt:variant>
        <vt:lpwstr>https://unfccc.int/documents/460950</vt:lpwstr>
      </vt:variant>
      <vt:variant>
        <vt:lpwstr/>
      </vt:variant>
      <vt:variant>
        <vt:i4>2359412</vt:i4>
      </vt:variant>
      <vt:variant>
        <vt:i4>168</vt:i4>
      </vt:variant>
      <vt:variant>
        <vt:i4>0</vt:i4>
      </vt:variant>
      <vt:variant>
        <vt:i4>5</vt:i4>
      </vt:variant>
      <vt:variant>
        <vt:lpwstr>https://unfccc.int/documents/460950</vt:lpwstr>
      </vt:variant>
      <vt:variant>
        <vt:lpwstr/>
      </vt:variant>
      <vt:variant>
        <vt:i4>2359412</vt:i4>
      </vt:variant>
      <vt:variant>
        <vt:i4>165</vt:i4>
      </vt:variant>
      <vt:variant>
        <vt:i4>0</vt:i4>
      </vt:variant>
      <vt:variant>
        <vt:i4>5</vt:i4>
      </vt:variant>
      <vt:variant>
        <vt:lpwstr>https://unfccc.int/documents/460950</vt:lpwstr>
      </vt:variant>
      <vt:variant>
        <vt:lpwstr/>
      </vt:variant>
      <vt:variant>
        <vt:i4>2359412</vt:i4>
      </vt:variant>
      <vt:variant>
        <vt:i4>162</vt:i4>
      </vt:variant>
      <vt:variant>
        <vt:i4>0</vt:i4>
      </vt:variant>
      <vt:variant>
        <vt:i4>5</vt:i4>
      </vt:variant>
      <vt:variant>
        <vt:lpwstr>https://unfccc.int/documents/460950</vt:lpwstr>
      </vt:variant>
      <vt:variant>
        <vt:lpwstr/>
      </vt:variant>
      <vt:variant>
        <vt:i4>2359412</vt:i4>
      </vt:variant>
      <vt:variant>
        <vt:i4>159</vt:i4>
      </vt:variant>
      <vt:variant>
        <vt:i4>0</vt:i4>
      </vt:variant>
      <vt:variant>
        <vt:i4>5</vt:i4>
      </vt:variant>
      <vt:variant>
        <vt:lpwstr>https://unfccc.int/documents/460950</vt:lpwstr>
      </vt:variant>
      <vt:variant>
        <vt:lpwstr/>
      </vt:variant>
      <vt:variant>
        <vt:i4>2359412</vt:i4>
      </vt:variant>
      <vt:variant>
        <vt:i4>156</vt:i4>
      </vt:variant>
      <vt:variant>
        <vt:i4>0</vt:i4>
      </vt:variant>
      <vt:variant>
        <vt:i4>5</vt:i4>
      </vt:variant>
      <vt:variant>
        <vt:lpwstr>https://unfccc.int/documents/460950</vt:lpwstr>
      </vt:variant>
      <vt:variant>
        <vt:lpwstr/>
      </vt:variant>
      <vt:variant>
        <vt:i4>2359412</vt:i4>
      </vt:variant>
      <vt:variant>
        <vt:i4>153</vt:i4>
      </vt:variant>
      <vt:variant>
        <vt:i4>0</vt:i4>
      </vt:variant>
      <vt:variant>
        <vt:i4>5</vt:i4>
      </vt:variant>
      <vt:variant>
        <vt:lpwstr>https://unfccc.int/documents/460950</vt:lpwstr>
      </vt:variant>
      <vt:variant>
        <vt:lpwstr/>
      </vt:variant>
      <vt:variant>
        <vt:i4>2359412</vt:i4>
      </vt:variant>
      <vt:variant>
        <vt:i4>150</vt:i4>
      </vt:variant>
      <vt:variant>
        <vt:i4>0</vt:i4>
      </vt:variant>
      <vt:variant>
        <vt:i4>5</vt:i4>
      </vt:variant>
      <vt:variant>
        <vt:lpwstr>https://unfccc.int/documents/460950</vt:lpwstr>
      </vt:variant>
      <vt:variant>
        <vt:lpwstr/>
      </vt:variant>
      <vt:variant>
        <vt:i4>2359412</vt:i4>
      </vt:variant>
      <vt:variant>
        <vt:i4>147</vt:i4>
      </vt:variant>
      <vt:variant>
        <vt:i4>0</vt:i4>
      </vt:variant>
      <vt:variant>
        <vt:i4>5</vt:i4>
      </vt:variant>
      <vt:variant>
        <vt:lpwstr>https://unfccc.int/documents/460950</vt:lpwstr>
      </vt:variant>
      <vt:variant>
        <vt:lpwstr/>
      </vt:variant>
      <vt:variant>
        <vt:i4>2359412</vt:i4>
      </vt:variant>
      <vt:variant>
        <vt:i4>144</vt:i4>
      </vt:variant>
      <vt:variant>
        <vt:i4>0</vt:i4>
      </vt:variant>
      <vt:variant>
        <vt:i4>5</vt:i4>
      </vt:variant>
      <vt:variant>
        <vt:lpwstr>https://unfccc.int/documents/460950</vt:lpwstr>
      </vt:variant>
      <vt:variant>
        <vt:lpwstr/>
      </vt:variant>
      <vt:variant>
        <vt:i4>2359412</vt:i4>
      </vt:variant>
      <vt:variant>
        <vt:i4>141</vt:i4>
      </vt:variant>
      <vt:variant>
        <vt:i4>0</vt:i4>
      </vt:variant>
      <vt:variant>
        <vt:i4>5</vt:i4>
      </vt:variant>
      <vt:variant>
        <vt:lpwstr>https://unfccc.int/documents/460950</vt:lpwstr>
      </vt:variant>
      <vt:variant>
        <vt:lpwstr/>
      </vt:variant>
      <vt:variant>
        <vt:i4>2359412</vt:i4>
      </vt:variant>
      <vt:variant>
        <vt:i4>138</vt:i4>
      </vt:variant>
      <vt:variant>
        <vt:i4>0</vt:i4>
      </vt:variant>
      <vt:variant>
        <vt:i4>5</vt:i4>
      </vt:variant>
      <vt:variant>
        <vt:lpwstr>https://unfccc.int/documents/460950</vt:lpwstr>
      </vt:variant>
      <vt:variant>
        <vt:lpwstr/>
      </vt:variant>
      <vt:variant>
        <vt:i4>2228348</vt:i4>
      </vt:variant>
      <vt:variant>
        <vt:i4>135</vt:i4>
      </vt:variant>
      <vt:variant>
        <vt:i4>0</vt:i4>
      </vt:variant>
      <vt:variant>
        <vt:i4>5</vt:i4>
      </vt:variant>
      <vt:variant>
        <vt:lpwstr>https://unfccc.int/documents/626570</vt:lpwstr>
      </vt:variant>
      <vt:variant>
        <vt:lpwstr/>
      </vt:variant>
      <vt:variant>
        <vt:i4>2359412</vt:i4>
      </vt:variant>
      <vt:variant>
        <vt:i4>132</vt:i4>
      </vt:variant>
      <vt:variant>
        <vt:i4>0</vt:i4>
      </vt:variant>
      <vt:variant>
        <vt:i4>5</vt:i4>
      </vt:variant>
      <vt:variant>
        <vt:lpwstr>https://unfccc.int/documents/460950</vt:lpwstr>
      </vt:variant>
      <vt:variant>
        <vt:lpwstr/>
      </vt:variant>
      <vt:variant>
        <vt:i4>2228348</vt:i4>
      </vt:variant>
      <vt:variant>
        <vt:i4>129</vt:i4>
      </vt:variant>
      <vt:variant>
        <vt:i4>0</vt:i4>
      </vt:variant>
      <vt:variant>
        <vt:i4>5</vt:i4>
      </vt:variant>
      <vt:variant>
        <vt:lpwstr>https://unfccc.int/documents/626570</vt:lpwstr>
      </vt:variant>
      <vt:variant>
        <vt:lpwstr/>
      </vt:variant>
      <vt:variant>
        <vt:i4>2359412</vt:i4>
      </vt:variant>
      <vt:variant>
        <vt:i4>126</vt:i4>
      </vt:variant>
      <vt:variant>
        <vt:i4>0</vt:i4>
      </vt:variant>
      <vt:variant>
        <vt:i4>5</vt:i4>
      </vt:variant>
      <vt:variant>
        <vt:lpwstr>https://unfccc.int/documents/460950</vt:lpwstr>
      </vt:variant>
      <vt:variant>
        <vt:lpwstr/>
      </vt:variant>
      <vt:variant>
        <vt:i4>2293880</vt:i4>
      </vt:variant>
      <vt:variant>
        <vt:i4>123</vt:i4>
      </vt:variant>
      <vt:variant>
        <vt:i4>0</vt:i4>
      </vt:variant>
      <vt:variant>
        <vt:i4>5</vt:i4>
      </vt:variant>
      <vt:variant>
        <vt:lpwstr>https://unfccc.int/documents/637073</vt:lpwstr>
      </vt:variant>
      <vt:variant>
        <vt:lpwstr/>
      </vt:variant>
      <vt:variant>
        <vt:i4>2293880</vt:i4>
      </vt:variant>
      <vt:variant>
        <vt:i4>120</vt:i4>
      </vt:variant>
      <vt:variant>
        <vt:i4>0</vt:i4>
      </vt:variant>
      <vt:variant>
        <vt:i4>5</vt:i4>
      </vt:variant>
      <vt:variant>
        <vt:lpwstr>https://unfccc.int/documents/637073</vt:lpwstr>
      </vt:variant>
      <vt:variant>
        <vt:lpwstr/>
      </vt:variant>
      <vt:variant>
        <vt:i4>2293880</vt:i4>
      </vt:variant>
      <vt:variant>
        <vt:i4>117</vt:i4>
      </vt:variant>
      <vt:variant>
        <vt:i4>0</vt:i4>
      </vt:variant>
      <vt:variant>
        <vt:i4>5</vt:i4>
      </vt:variant>
      <vt:variant>
        <vt:lpwstr>https://unfccc.int/documents/637073</vt:lpwstr>
      </vt:variant>
      <vt:variant>
        <vt:lpwstr/>
      </vt:variant>
      <vt:variant>
        <vt:i4>2293880</vt:i4>
      </vt:variant>
      <vt:variant>
        <vt:i4>114</vt:i4>
      </vt:variant>
      <vt:variant>
        <vt:i4>0</vt:i4>
      </vt:variant>
      <vt:variant>
        <vt:i4>5</vt:i4>
      </vt:variant>
      <vt:variant>
        <vt:lpwstr>https://unfccc.int/documents/637073</vt:lpwstr>
      </vt:variant>
      <vt:variant>
        <vt:lpwstr/>
      </vt:variant>
      <vt:variant>
        <vt:i4>2293880</vt:i4>
      </vt:variant>
      <vt:variant>
        <vt:i4>111</vt:i4>
      </vt:variant>
      <vt:variant>
        <vt:i4>0</vt:i4>
      </vt:variant>
      <vt:variant>
        <vt:i4>5</vt:i4>
      </vt:variant>
      <vt:variant>
        <vt:lpwstr>https://unfccc.int/documents/637073</vt:lpwstr>
      </vt:variant>
      <vt:variant>
        <vt:lpwstr/>
      </vt:variant>
      <vt:variant>
        <vt:i4>2293880</vt:i4>
      </vt:variant>
      <vt:variant>
        <vt:i4>108</vt:i4>
      </vt:variant>
      <vt:variant>
        <vt:i4>0</vt:i4>
      </vt:variant>
      <vt:variant>
        <vt:i4>5</vt:i4>
      </vt:variant>
      <vt:variant>
        <vt:lpwstr>https://unfccc.int/documents/637073</vt:lpwstr>
      </vt:variant>
      <vt:variant>
        <vt:lpwstr/>
      </vt:variant>
      <vt:variant>
        <vt:i4>2293880</vt:i4>
      </vt:variant>
      <vt:variant>
        <vt:i4>105</vt:i4>
      </vt:variant>
      <vt:variant>
        <vt:i4>0</vt:i4>
      </vt:variant>
      <vt:variant>
        <vt:i4>5</vt:i4>
      </vt:variant>
      <vt:variant>
        <vt:lpwstr>https://unfccc.int/documents/637073</vt:lpwstr>
      </vt:variant>
      <vt:variant>
        <vt:lpwstr/>
      </vt:variant>
      <vt:variant>
        <vt:i4>2293880</vt:i4>
      </vt:variant>
      <vt:variant>
        <vt:i4>102</vt:i4>
      </vt:variant>
      <vt:variant>
        <vt:i4>0</vt:i4>
      </vt:variant>
      <vt:variant>
        <vt:i4>5</vt:i4>
      </vt:variant>
      <vt:variant>
        <vt:lpwstr>https://unfccc.int/documents/637073</vt:lpwstr>
      </vt:variant>
      <vt:variant>
        <vt:lpwstr/>
      </vt:variant>
      <vt:variant>
        <vt:i4>2293880</vt:i4>
      </vt:variant>
      <vt:variant>
        <vt:i4>99</vt:i4>
      </vt:variant>
      <vt:variant>
        <vt:i4>0</vt:i4>
      </vt:variant>
      <vt:variant>
        <vt:i4>5</vt:i4>
      </vt:variant>
      <vt:variant>
        <vt:lpwstr>https://unfccc.int/documents/637073</vt:lpwstr>
      </vt:variant>
      <vt:variant>
        <vt:lpwstr/>
      </vt:variant>
      <vt:variant>
        <vt:i4>2293880</vt:i4>
      </vt:variant>
      <vt:variant>
        <vt:i4>96</vt:i4>
      </vt:variant>
      <vt:variant>
        <vt:i4>0</vt:i4>
      </vt:variant>
      <vt:variant>
        <vt:i4>5</vt:i4>
      </vt:variant>
      <vt:variant>
        <vt:lpwstr>https://unfccc.int/documents/637073</vt:lpwstr>
      </vt:variant>
      <vt:variant>
        <vt:lpwstr/>
      </vt:variant>
      <vt:variant>
        <vt:i4>2293880</vt:i4>
      </vt:variant>
      <vt:variant>
        <vt:i4>93</vt:i4>
      </vt:variant>
      <vt:variant>
        <vt:i4>0</vt:i4>
      </vt:variant>
      <vt:variant>
        <vt:i4>5</vt:i4>
      </vt:variant>
      <vt:variant>
        <vt:lpwstr>https://unfccc.int/documents/637073</vt:lpwstr>
      </vt:variant>
      <vt:variant>
        <vt:lpwstr/>
      </vt:variant>
      <vt:variant>
        <vt:i4>2293880</vt:i4>
      </vt:variant>
      <vt:variant>
        <vt:i4>90</vt:i4>
      </vt:variant>
      <vt:variant>
        <vt:i4>0</vt:i4>
      </vt:variant>
      <vt:variant>
        <vt:i4>5</vt:i4>
      </vt:variant>
      <vt:variant>
        <vt:lpwstr>https://unfccc.int/documents/637073</vt:lpwstr>
      </vt:variant>
      <vt:variant>
        <vt:lpwstr/>
      </vt:variant>
      <vt:variant>
        <vt:i4>2293880</vt:i4>
      </vt:variant>
      <vt:variant>
        <vt:i4>87</vt:i4>
      </vt:variant>
      <vt:variant>
        <vt:i4>0</vt:i4>
      </vt:variant>
      <vt:variant>
        <vt:i4>5</vt:i4>
      </vt:variant>
      <vt:variant>
        <vt:lpwstr>https://unfccc.int/documents/637073</vt:lpwstr>
      </vt:variant>
      <vt:variant>
        <vt:lpwstr/>
      </vt:variant>
      <vt:variant>
        <vt:i4>2293880</vt:i4>
      </vt:variant>
      <vt:variant>
        <vt:i4>84</vt:i4>
      </vt:variant>
      <vt:variant>
        <vt:i4>0</vt:i4>
      </vt:variant>
      <vt:variant>
        <vt:i4>5</vt:i4>
      </vt:variant>
      <vt:variant>
        <vt:lpwstr>https://unfccc.int/documents/637073</vt:lpwstr>
      </vt:variant>
      <vt:variant>
        <vt:lpwstr/>
      </vt:variant>
      <vt:variant>
        <vt:i4>2293880</vt:i4>
      </vt:variant>
      <vt:variant>
        <vt:i4>81</vt:i4>
      </vt:variant>
      <vt:variant>
        <vt:i4>0</vt:i4>
      </vt:variant>
      <vt:variant>
        <vt:i4>5</vt:i4>
      </vt:variant>
      <vt:variant>
        <vt:lpwstr>https://unfccc.int/documents/637073</vt:lpwstr>
      </vt:variant>
      <vt:variant>
        <vt:lpwstr/>
      </vt:variant>
      <vt:variant>
        <vt:i4>2293880</vt:i4>
      </vt:variant>
      <vt:variant>
        <vt:i4>78</vt:i4>
      </vt:variant>
      <vt:variant>
        <vt:i4>0</vt:i4>
      </vt:variant>
      <vt:variant>
        <vt:i4>5</vt:i4>
      </vt:variant>
      <vt:variant>
        <vt:lpwstr>https://unfccc.int/documents/637073</vt:lpwstr>
      </vt:variant>
      <vt:variant>
        <vt:lpwstr/>
      </vt:variant>
      <vt:variant>
        <vt:i4>2293880</vt:i4>
      </vt:variant>
      <vt:variant>
        <vt:i4>75</vt:i4>
      </vt:variant>
      <vt:variant>
        <vt:i4>0</vt:i4>
      </vt:variant>
      <vt:variant>
        <vt:i4>5</vt:i4>
      </vt:variant>
      <vt:variant>
        <vt:lpwstr>https://unfccc.int/documents/637073</vt:lpwstr>
      </vt:variant>
      <vt:variant>
        <vt:lpwstr/>
      </vt:variant>
      <vt:variant>
        <vt:i4>2293880</vt:i4>
      </vt:variant>
      <vt:variant>
        <vt:i4>72</vt:i4>
      </vt:variant>
      <vt:variant>
        <vt:i4>0</vt:i4>
      </vt:variant>
      <vt:variant>
        <vt:i4>5</vt:i4>
      </vt:variant>
      <vt:variant>
        <vt:lpwstr>https://unfccc.int/documents/637073</vt:lpwstr>
      </vt:variant>
      <vt:variant>
        <vt:lpwstr/>
      </vt:variant>
      <vt:variant>
        <vt:i4>2293884</vt:i4>
      </vt:variant>
      <vt:variant>
        <vt:i4>69</vt:i4>
      </vt:variant>
      <vt:variant>
        <vt:i4>0</vt:i4>
      </vt:variant>
      <vt:variant>
        <vt:i4>5</vt:i4>
      </vt:variant>
      <vt:variant>
        <vt:lpwstr>https://unfccc.int/documents/626569</vt:lpwstr>
      </vt:variant>
      <vt:variant>
        <vt:lpwstr/>
      </vt:variant>
      <vt:variant>
        <vt:i4>2293880</vt:i4>
      </vt:variant>
      <vt:variant>
        <vt:i4>66</vt:i4>
      </vt:variant>
      <vt:variant>
        <vt:i4>0</vt:i4>
      </vt:variant>
      <vt:variant>
        <vt:i4>5</vt:i4>
      </vt:variant>
      <vt:variant>
        <vt:lpwstr>https://unfccc.int/documents/637073</vt:lpwstr>
      </vt:variant>
      <vt:variant>
        <vt:lpwstr/>
      </vt:variant>
      <vt:variant>
        <vt:i4>2293884</vt:i4>
      </vt:variant>
      <vt:variant>
        <vt:i4>63</vt:i4>
      </vt:variant>
      <vt:variant>
        <vt:i4>0</vt:i4>
      </vt:variant>
      <vt:variant>
        <vt:i4>5</vt:i4>
      </vt:variant>
      <vt:variant>
        <vt:lpwstr>https://unfccc.int/documents/626569</vt:lpwstr>
      </vt:variant>
      <vt:variant>
        <vt:lpwstr/>
      </vt:variant>
      <vt:variant>
        <vt:i4>2293884</vt:i4>
      </vt:variant>
      <vt:variant>
        <vt:i4>60</vt:i4>
      </vt:variant>
      <vt:variant>
        <vt:i4>0</vt:i4>
      </vt:variant>
      <vt:variant>
        <vt:i4>5</vt:i4>
      </vt:variant>
      <vt:variant>
        <vt:lpwstr>https://unfccc.int/documents/626569</vt:lpwstr>
      </vt:variant>
      <vt:variant>
        <vt:lpwstr/>
      </vt:variant>
      <vt:variant>
        <vt:i4>2293880</vt:i4>
      </vt:variant>
      <vt:variant>
        <vt:i4>57</vt:i4>
      </vt:variant>
      <vt:variant>
        <vt:i4>0</vt:i4>
      </vt:variant>
      <vt:variant>
        <vt:i4>5</vt:i4>
      </vt:variant>
      <vt:variant>
        <vt:lpwstr>https://unfccc.int/documents/637073</vt:lpwstr>
      </vt:variant>
      <vt:variant>
        <vt:lpwstr/>
      </vt:variant>
      <vt:variant>
        <vt:i4>2293884</vt:i4>
      </vt:variant>
      <vt:variant>
        <vt:i4>54</vt:i4>
      </vt:variant>
      <vt:variant>
        <vt:i4>0</vt:i4>
      </vt:variant>
      <vt:variant>
        <vt:i4>5</vt:i4>
      </vt:variant>
      <vt:variant>
        <vt:lpwstr>https://unfccc.int/documents/626569</vt:lpwstr>
      </vt:variant>
      <vt:variant>
        <vt:lpwstr/>
      </vt:variant>
      <vt:variant>
        <vt:i4>2293880</vt:i4>
      </vt:variant>
      <vt:variant>
        <vt:i4>51</vt:i4>
      </vt:variant>
      <vt:variant>
        <vt:i4>0</vt:i4>
      </vt:variant>
      <vt:variant>
        <vt:i4>5</vt:i4>
      </vt:variant>
      <vt:variant>
        <vt:lpwstr>https://unfccc.int/documents/637073</vt:lpwstr>
      </vt:variant>
      <vt:variant>
        <vt:lpwstr/>
      </vt:variant>
      <vt:variant>
        <vt:i4>2293884</vt:i4>
      </vt:variant>
      <vt:variant>
        <vt:i4>48</vt:i4>
      </vt:variant>
      <vt:variant>
        <vt:i4>0</vt:i4>
      </vt:variant>
      <vt:variant>
        <vt:i4>5</vt:i4>
      </vt:variant>
      <vt:variant>
        <vt:lpwstr>https://unfccc.int/documents/626569</vt:lpwstr>
      </vt:variant>
      <vt:variant>
        <vt:lpwstr/>
      </vt:variant>
      <vt:variant>
        <vt:i4>2556022</vt:i4>
      </vt:variant>
      <vt:variant>
        <vt:i4>45</vt:i4>
      </vt:variant>
      <vt:variant>
        <vt:i4>0</vt:i4>
      </vt:variant>
      <vt:variant>
        <vt:i4>5</vt:i4>
      </vt:variant>
      <vt:variant>
        <vt:lpwstr>https://unfccc.int/documents/193408</vt:lpwstr>
      </vt:variant>
      <vt:variant>
        <vt:lpwstr/>
      </vt:variant>
      <vt:variant>
        <vt:i4>2556022</vt:i4>
      </vt:variant>
      <vt:variant>
        <vt:i4>42</vt:i4>
      </vt:variant>
      <vt:variant>
        <vt:i4>0</vt:i4>
      </vt:variant>
      <vt:variant>
        <vt:i4>5</vt:i4>
      </vt:variant>
      <vt:variant>
        <vt:lpwstr>https://unfccc.int/documents/193408</vt:lpwstr>
      </vt:variant>
      <vt:variant>
        <vt:lpwstr/>
      </vt:variant>
      <vt:variant>
        <vt:i4>2293880</vt:i4>
      </vt:variant>
      <vt:variant>
        <vt:i4>39</vt:i4>
      </vt:variant>
      <vt:variant>
        <vt:i4>0</vt:i4>
      </vt:variant>
      <vt:variant>
        <vt:i4>5</vt:i4>
      </vt:variant>
      <vt:variant>
        <vt:lpwstr>https://unfccc.int/documents/637073</vt:lpwstr>
      </vt:variant>
      <vt:variant>
        <vt:lpwstr/>
      </vt:variant>
      <vt:variant>
        <vt:i4>1376331</vt:i4>
      </vt:variant>
      <vt:variant>
        <vt:i4>36</vt:i4>
      </vt:variant>
      <vt:variant>
        <vt:i4>0</vt:i4>
      </vt:variant>
      <vt:variant>
        <vt:i4>5</vt:i4>
      </vt:variant>
      <vt:variant>
        <vt:lpwstr>https://unfccc.int/documents/9097</vt:lpwstr>
      </vt:variant>
      <vt:variant>
        <vt:lpwstr/>
      </vt:variant>
      <vt:variant>
        <vt:i4>2293880</vt:i4>
      </vt:variant>
      <vt:variant>
        <vt:i4>33</vt:i4>
      </vt:variant>
      <vt:variant>
        <vt:i4>0</vt:i4>
      </vt:variant>
      <vt:variant>
        <vt:i4>5</vt:i4>
      </vt:variant>
      <vt:variant>
        <vt:lpwstr>https://unfccc.int/documents/637074</vt:lpwstr>
      </vt:variant>
      <vt:variant>
        <vt:lpwstr/>
      </vt:variant>
      <vt:variant>
        <vt:i4>2293884</vt:i4>
      </vt:variant>
      <vt:variant>
        <vt:i4>30</vt:i4>
      </vt:variant>
      <vt:variant>
        <vt:i4>0</vt:i4>
      </vt:variant>
      <vt:variant>
        <vt:i4>5</vt:i4>
      </vt:variant>
      <vt:variant>
        <vt:lpwstr>https://unfccc.int/documents/626569</vt:lpwstr>
      </vt:variant>
      <vt:variant>
        <vt:lpwstr/>
      </vt:variant>
      <vt:variant>
        <vt:i4>2359412</vt:i4>
      </vt:variant>
      <vt:variant>
        <vt:i4>27</vt:i4>
      </vt:variant>
      <vt:variant>
        <vt:i4>0</vt:i4>
      </vt:variant>
      <vt:variant>
        <vt:i4>5</vt:i4>
      </vt:variant>
      <vt:variant>
        <vt:lpwstr>https://unfccc.int/documents/460952</vt:lpwstr>
      </vt:variant>
      <vt:variant>
        <vt:lpwstr/>
      </vt:variant>
      <vt:variant>
        <vt:i4>2556022</vt:i4>
      </vt:variant>
      <vt:variant>
        <vt:i4>24</vt:i4>
      </vt:variant>
      <vt:variant>
        <vt:i4>0</vt:i4>
      </vt:variant>
      <vt:variant>
        <vt:i4>5</vt:i4>
      </vt:variant>
      <vt:variant>
        <vt:lpwstr>https://unfccc.int/documents/193408</vt:lpwstr>
      </vt:variant>
      <vt:variant>
        <vt:lpwstr/>
      </vt:variant>
      <vt:variant>
        <vt:i4>1376331</vt:i4>
      </vt:variant>
      <vt:variant>
        <vt:i4>21</vt:i4>
      </vt:variant>
      <vt:variant>
        <vt:i4>0</vt:i4>
      </vt:variant>
      <vt:variant>
        <vt:i4>5</vt:i4>
      </vt:variant>
      <vt:variant>
        <vt:lpwstr>https://unfccc.int/documents/9097</vt:lpwstr>
      </vt:variant>
      <vt:variant>
        <vt:lpwstr/>
      </vt:variant>
      <vt:variant>
        <vt:i4>720923</vt:i4>
      </vt:variant>
      <vt:variant>
        <vt:i4>18</vt:i4>
      </vt:variant>
      <vt:variant>
        <vt:i4>0</vt:i4>
      </vt:variant>
      <vt:variant>
        <vt:i4>5</vt:i4>
      </vt:variant>
      <vt:variant>
        <vt:lpwstr/>
      </vt:variant>
      <vt:variant>
        <vt:lpwstr>decision7</vt:lpwstr>
      </vt:variant>
      <vt:variant>
        <vt:i4>720923</vt:i4>
      </vt:variant>
      <vt:variant>
        <vt:i4>15</vt:i4>
      </vt:variant>
      <vt:variant>
        <vt:i4>0</vt:i4>
      </vt:variant>
      <vt:variant>
        <vt:i4>5</vt:i4>
      </vt:variant>
      <vt:variant>
        <vt:lpwstr/>
      </vt:variant>
      <vt:variant>
        <vt:lpwstr>decision6</vt:lpwstr>
      </vt:variant>
      <vt:variant>
        <vt:i4>720923</vt:i4>
      </vt:variant>
      <vt:variant>
        <vt:i4>12</vt:i4>
      </vt:variant>
      <vt:variant>
        <vt:i4>0</vt:i4>
      </vt:variant>
      <vt:variant>
        <vt:i4>5</vt:i4>
      </vt:variant>
      <vt:variant>
        <vt:lpwstr/>
      </vt:variant>
      <vt:variant>
        <vt:lpwstr>decision5</vt:lpwstr>
      </vt:variant>
      <vt:variant>
        <vt:i4>720923</vt:i4>
      </vt:variant>
      <vt:variant>
        <vt:i4>9</vt:i4>
      </vt:variant>
      <vt:variant>
        <vt:i4>0</vt:i4>
      </vt:variant>
      <vt:variant>
        <vt:i4>5</vt:i4>
      </vt:variant>
      <vt:variant>
        <vt:lpwstr/>
      </vt:variant>
      <vt:variant>
        <vt:lpwstr>decision4</vt:lpwstr>
      </vt:variant>
      <vt:variant>
        <vt:i4>720923</vt:i4>
      </vt:variant>
      <vt:variant>
        <vt:i4>6</vt:i4>
      </vt:variant>
      <vt:variant>
        <vt:i4>0</vt:i4>
      </vt:variant>
      <vt:variant>
        <vt:i4>5</vt:i4>
      </vt:variant>
      <vt:variant>
        <vt:lpwstr/>
      </vt:variant>
      <vt:variant>
        <vt:lpwstr>decision3</vt:lpwstr>
      </vt:variant>
      <vt:variant>
        <vt:i4>720923</vt:i4>
      </vt:variant>
      <vt:variant>
        <vt:i4>3</vt:i4>
      </vt:variant>
      <vt:variant>
        <vt:i4>0</vt:i4>
      </vt:variant>
      <vt:variant>
        <vt:i4>5</vt:i4>
      </vt:variant>
      <vt:variant>
        <vt:lpwstr/>
      </vt:variant>
      <vt:variant>
        <vt:lpwstr>decision2</vt:lpwstr>
      </vt:variant>
      <vt:variant>
        <vt:i4>720923</vt:i4>
      </vt:variant>
      <vt:variant>
        <vt:i4>0</vt:i4>
      </vt:variant>
      <vt:variant>
        <vt:i4>0</vt:i4>
      </vt:variant>
      <vt:variant>
        <vt:i4>5</vt:i4>
      </vt:variant>
      <vt:variant>
        <vt:lpwstr/>
      </vt:variant>
      <vt:variant>
        <vt:lpwstr>decision1</vt:lpwstr>
      </vt:variant>
      <vt:variant>
        <vt:i4>2490486</vt:i4>
      </vt:variant>
      <vt:variant>
        <vt:i4>240</vt:i4>
      </vt:variant>
      <vt:variant>
        <vt:i4>0</vt:i4>
      </vt:variant>
      <vt:variant>
        <vt:i4>5</vt:i4>
      </vt:variant>
      <vt:variant>
        <vt:lpwstr>https://unfccc.int/documents/644911</vt:lpwstr>
      </vt:variant>
      <vt:variant>
        <vt:lpwstr/>
      </vt:variant>
      <vt:variant>
        <vt:i4>2293880</vt:i4>
      </vt:variant>
      <vt:variant>
        <vt:i4>237</vt:i4>
      </vt:variant>
      <vt:variant>
        <vt:i4>0</vt:i4>
      </vt:variant>
      <vt:variant>
        <vt:i4>5</vt:i4>
      </vt:variant>
      <vt:variant>
        <vt:lpwstr>https://unfccc.int/documents/637076</vt:lpwstr>
      </vt:variant>
      <vt:variant>
        <vt:lpwstr/>
      </vt:variant>
      <vt:variant>
        <vt:i4>2228348</vt:i4>
      </vt:variant>
      <vt:variant>
        <vt:i4>234</vt:i4>
      </vt:variant>
      <vt:variant>
        <vt:i4>0</vt:i4>
      </vt:variant>
      <vt:variant>
        <vt:i4>5</vt:i4>
      </vt:variant>
      <vt:variant>
        <vt:lpwstr>https://unfccc.int/documents/626570</vt:lpwstr>
      </vt:variant>
      <vt:variant>
        <vt:lpwstr/>
      </vt:variant>
      <vt:variant>
        <vt:i4>2359412</vt:i4>
      </vt:variant>
      <vt:variant>
        <vt:i4>231</vt:i4>
      </vt:variant>
      <vt:variant>
        <vt:i4>0</vt:i4>
      </vt:variant>
      <vt:variant>
        <vt:i4>5</vt:i4>
      </vt:variant>
      <vt:variant>
        <vt:lpwstr>https://unfccc.int/documents/460950</vt:lpwstr>
      </vt:variant>
      <vt:variant>
        <vt:lpwstr/>
      </vt:variant>
      <vt:variant>
        <vt:i4>5898268</vt:i4>
      </vt:variant>
      <vt:variant>
        <vt:i4>228</vt:i4>
      </vt:variant>
      <vt:variant>
        <vt:i4>0</vt:i4>
      </vt:variant>
      <vt:variant>
        <vt:i4>5</vt:i4>
      </vt:variant>
      <vt:variant>
        <vt:lpwstr>https://www4.unfccc.int/sites/submissionsstaging/Pages/Home.aspx</vt:lpwstr>
      </vt:variant>
      <vt:variant>
        <vt:lpwstr/>
      </vt:variant>
      <vt:variant>
        <vt:i4>2293880</vt:i4>
      </vt:variant>
      <vt:variant>
        <vt:i4>225</vt:i4>
      </vt:variant>
      <vt:variant>
        <vt:i4>0</vt:i4>
      </vt:variant>
      <vt:variant>
        <vt:i4>5</vt:i4>
      </vt:variant>
      <vt:variant>
        <vt:lpwstr>https://unfccc.int/documents/637076</vt:lpwstr>
      </vt:variant>
      <vt:variant>
        <vt:lpwstr/>
      </vt:variant>
      <vt:variant>
        <vt:i4>3801211</vt:i4>
      </vt:variant>
      <vt:variant>
        <vt:i4>222</vt:i4>
      </vt:variant>
      <vt:variant>
        <vt:i4>0</vt:i4>
      </vt:variant>
      <vt:variant>
        <vt:i4>5</vt:i4>
      </vt:variant>
      <vt:variant>
        <vt:lpwstr>https://unfccc.int/process-and-meetings/the-paris-agreement/nma-platform/list-of-NFPs-A6-8</vt:lpwstr>
      </vt:variant>
      <vt:variant>
        <vt:lpwstr/>
      </vt:variant>
      <vt:variant>
        <vt:i4>2293880</vt:i4>
      </vt:variant>
      <vt:variant>
        <vt:i4>219</vt:i4>
      </vt:variant>
      <vt:variant>
        <vt:i4>0</vt:i4>
      </vt:variant>
      <vt:variant>
        <vt:i4>5</vt:i4>
      </vt:variant>
      <vt:variant>
        <vt:lpwstr>https://unfccc.int/documents/637076</vt:lpwstr>
      </vt:variant>
      <vt:variant>
        <vt:lpwstr/>
      </vt:variant>
      <vt:variant>
        <vt:i4>2293880</vt:i4>
      </vt:variant>
      <vt:variant>
        <vt:i4>216</vt:i4>
      </vt:variant>
      <vt:variant>
        <vt:i4>0</vt:i4>
      </vt:variant>
      <vt:variant>
        <vt:i4>5</vt:i4>
      </vt:variant>
      <vt:variant>
        <vt:lpwstr>https://unfccc.int/documents/637076</vt:lpwstr>
      </vt:variant>
      <vt:variant>
        <vt:lpwstr/>
      </vt:variant>
      <vt:variant>
        <vt:i4>2228348</vt:i4>
      </vt:variant>
      <vt:variant>
        <vt:i4>213</vt:i4>
      </vt:variant>
      <vt:variant>
        <vt:i4>0</vt:i4>
      </vt:variant>
      <vt:variant>
        <vt:i4>5</vt:i4>
      </vt:variant>
      <vt:variant>
        <vt:lpwstr>https://unfccc.int/documents/626570</vt:lpwstr>
      </vt:variant>
      <vt:variant>
        <vt:lpwstr/>
      </vt:variant>
      <vt:variant>
        <vt:i4>2228348</vt:i4>
      </vt:variant>
      <vt:variant>
        <vt:i4>210</vt:i4>
      </vt:variant>
      <vt:variant>
        <vt:i4>0</vt:i4>
      </vt:variant>
      <vt:variant>
        <vt:i4>5</vt:i4>
      </vt:variant>
      <vt:variant>
        <vt:lpwstr>https://unfccc.int/documents/626570</vt:lpwstr>
      </vt:variant>
      <vt:variant>
        <vt:lpwstr/>
      </vt:variant>
      <vt:variant>
        <vt:i4>2818174</vt:i4>
      </vt:variant>
      <vt:variant>
        <vt:i4>207</vt:i4>
      </vt:variant>
      <vt:variant>
        <vt:i4>0</vt:i4>
      </vt:variant>
      <vt:variant>
        <vt:i4>5</vt:i4>
      </vt:variant>
      <vt:variant>
        <vt:lpwstr>https://unfccc.int/documents/638603</vt:lpwstr>
      </vt:variant>
      <vt:variant>
        <vt:lpwstr/>
      </vt:variant>
      <vt:variant>
        <vt:i4>2228348</vt:i4>
      </vt:variant>
      <vt:variant>
        <vt:i4>204</vt:i4>
      </vt:variant>
      <vt:variant>
        <vt:i4>0</vt:i4>
      </vt:variant>
      <vt:variant>
        <vt:i4>5</vt:i4>
      </vt:variant>
      <vt:variant>
        <vt:lpwstr>https://unfccc.int/documents/626570</vt:lpwstr>
      </vt:variant>
      <vt:variant>
        <vt:lpwstr/>
      </vt:variant>
      <vt:variant>
        <vt:i4>2162811</vt:i4>
      </vt:variant>
      <vt:variant>
        <vt:i4>201</vt:i4>
      </vt:variant>
      <vt:variant>
        <vt:i4>0</vt:i4>
      </vt:variant>
      <vt:variant>
        <vt:i4>5</vt:i4>
      </vt:variant>
      <vt:variant>
        <vt:lpwstr>https://unfccc.int/documents/614162</vt:lpwstr>
      </vt:variant>
      <vt:variant>
        <vt:lpwstr/>
      </vt:variant>
      <vt:variant>
        <vt:i4>2818174</vt:i4>
      </vt:variant>
      <vt:variant>
        <vt:i4>198</vt:i4>
      </vt:variant>
      <vt:variant>
        <vt:i4>0</vt:i4>
      </vt:variant>
      <vt:variant>
        <vt:i4>5</vt:i4>
      </vt:variant>
      <vt:variant>
        <vt:lpwstr>https://unfccc.int/documents/638603</vt:lpwstr>
      </vt:variant>
      <vt:variant>
        <vt:lpwstr/>
      </vt:variant>
      <vt:variant>
        <vt:i4>2162808</vt:i4>
      </vt:variant>
      <vt:variant>
        <vt:i4>195</vt:i4>
      </vt:variant>
      <vt:variant>
        <vt:i4>0</vt:i4>
      </vt:variant>
      <vt:variant>
        <vt:i4>5</vt:i4>
      </vt:variant>
      <vt:variant>
        <vt:lpwstr>https://unfccc.int/documents/632003</vt:lpwstr>
      </vt:variant>
      <vt:variant>
        <vt:lpwstr/>
      </vt:variant>
      <vt:variant>
        <vt:i4>2228348</vt:i4>
      </vt:variant>
      <vt:variant>
        <vt:i4>192</vt:i4>
      </vt:variant>
      <vt:variant>
        <vt:i4>0</vt:i4>
      </vt:variant>
      <vt:variant>
        <vt:i4>5</vt:i4>
      </vt:variant>
      <vt:variant>
        <vt:lpwstr>https://unfccc.int/documents/626570</vt:lpwstr>
      </vt:variant>
      <vt:variant>
        <vt:lpwstr/>
      </vt:variant>
      <vt:variant>
        <vt:i4>2359412</vt:i4>
      </vt:variant>
      <vt:variant>
        <vt:i4>189</vt:i4>
      </vt:variant>
      <vt:variant>
        <vt:i4>0</vt:i4>
      </vt:variant>
      <vt:variant>
        <vt:i4>5</vt:i4>
      </vt:variant>
      <vt:variant>
        <vt:lpwstr>https://unfccc.int/documents/460950</vt:lpwstr>
      </vt:variant>
      <vt:variant>
        <vt:lpwstr/>
      </vt:variant>
      <vt:variant>
        <vt:i4>2359412</vt:i4>
      </vt:variant>
      <vt:variant>
        <vt:i4>186</vt:i4>
      </vt:variant>
      <vt:variant>
        <vt:i4>0</vt:i4>
      </vt:variant>
      <vt:variant>
        <vt:i4>5</vt:i4>
      </vt:variant>
      <vt:variant>
        <vt:lpwstr>https://unfccc.int/documents/460950</vt:lpwstr>
      </vt:variant>
      <vt:variant>
        <vt:lpwstr/>
      </vt:variant>
      <vt:variant>
        <vt:i4>6815848</vt:i4>
      </vt:variant>
      <vt:variant>
        <vt:i4>183</vt:i4>
      </vt:variant>
      <vt:variant>
        <vt:i4>0</vt:i4>
      </vt:variant>
      <vt:variant>
        <vt:i4>5</vt:i4>
      </vt:variant>
      <vt:variant>
        <vt:lpwstr>https://unfccc.int/nma-platform</vt:lpwstr>
      </vt:variant>
      <vt:variant>
        <vt:lpwstr/>
      </vt:variant>
      <vt:variant>
        <vt:i4>2228348</vt:i4>
      </vt:variant>
      <vt:variant>
        <vt:i4>180</vt:i4>
      </vt:variant>
      <vt:variant>
        <vt:i4>0</vt:i4>
      </vt:variant>
      <vt:variant>
        <vt:i4>5</vt:i4>
      </vt:variant>
      <vt:variant>
        <vt:lpwstr>https://unfccc.int/documents/626570</vt:lpwstr>
      </vt:variant>
      <vt:variant>
        <vt:lpwstr/>
      </vt:variant>
      <vt:variant>
        <vt:i4>2228348</vt:i4>
      </vt:variant>
      <vt:variant>
        <vt:i4>177</vt:i4>
      </vt:variant>
      <vt:variant>
        <vt:i4>0</vt:i4>
      </vt:variant>
      <vt:variant>
        <vt:i4>5</vt:i4>
      </vt:variant>
      <vt:variant>
        <vt:lpwstr>https://unfccc.int/documents/626570</vt:lpwstr>
      </vt:variant>
      <vt:variant>
        <vt:lpwstr/>
      </vt:variant>
      <vt:variant>
        <vt:i4>2228348</vt:i4>
      </vt:variant>
      <vt:variant>
        <vt:i4>174</vt:i4>
      </vt:variant>
      <vt:variant>
        <vt:i4>0</vt:i4>
      </vt:variant>
      <vt:variant>
        <vt:i4>5</vt:i4>
      </vt:variant>
      <vt:variant>
        <vt:lpwstr>https://unfccc.int/documents/626570</vt:lpwstr>
      </vt:variant>
      <vt:variant>
        <vt:lpwstr/>
      </vt:variant>
      <vt:variant>
        <vt:i4>2359412</vt:i4>
      </vt:variant>
      <vt:variant>
        <vt:i4>171</vt:i4>
      </vt:variant>
      <vt:variant>
        <vt:i4>0</vt:i4>
      </vt:variant>
      <vt:variant>
        <vt:i4>5</vt:i4>
      </vt:variant>
      <vt:variant>
        <vt:lpwstr>https://unfccc.int/documents/460950</vt:lpwstr>
      </vt:variant>
      <vt:variant>
        <vt:lpwstr/>
      </vt:variant>
      <vt:variant>
        <vt:i4>2490486</vt:i4>
      </vt:variant>
      <vt:variant>
        <vt:i4>168</vt:i4>
      </vt:variant>
      <vt:variant>
        <vt:i4>0</vt:i4>
      </vt:variant>
      <vt:variant>
        <vt:i4>5</vt:i4>
      </vt:variant>
      <vt:variant>
        <vt:lpwstr>https://unfccc.int/documents/644911</vt:lpwstr>
      </vt:variant>
      <vt:variant>
        <vt:lpwstr/>
      </vt:variant>
      <vt:variant>
        <vt:i4>2359412</vt:i4>
      </vt:variant>
      <vt:variant>
        <vt:i4>165</vt:i4>
      </vt:variant>
      <vt:variant>
        <vt:i4>0</vt:i4>
      </vt:variant>
      <vt:variant>
        <vt:i4>5</vt:i4>
      </vt:variant>
      <vt:variant>
        <vt:lpwstr>https://unfccc.int/documents/460950</vt:lpwstr>
      </vt:variant>
      <vt:variant>
        <vt:lpwstr/>
      </vt:variant>
      <vt:variant>
        <vt:i4>2097272</vt:i4>
      </vt:variant>
      <vt:variant>
        <vt:i4>162</vt:i4>
      </vt:variant>
      <vt:variant>
        <vt:i4>0</vt:i4>
      </vt:variant>
      <vt:variant>
        <vt:i4>5</vt:i4>
      </vt:variant>
      <vt:variant>
        <vt:lpwstr>https://unfccc.int/documents/641722</vt:lpwstr>
      </vt:variant>
      <vt:variant>
        <vt:lpwstr/>
      </vt:variant>
      <vt:variant>
        <vt:i4>2293884</vt:i4>
      </vt:variant>
      <vt:variant>
        <vt:i4>159</vt:i4>
      </vt:variant>
      <vt:variant>
        <vt:i4>0</vt:i4>
      </vt:variant>
      <vt:variant>
        <vt:i4>5</vt:i4>
      </vt:variant>
      <vt:variant>
        <vt:lpwstr>https://unfccc.int/documents/640309</vt:lpwstr>
      </vt:variant>
      <vt:variant>
        <vt:lpwstr/>
      </vt:variant>
      <vt:variant>
        <vt:i4>2228347</vt:i4>
      </vt:variant>
      <vt:variant>
        <vt:i4>156</vt:i4>
      </vt:variant>
      <vt:variant>
        <vt:i4>0</vt:i4>
      </vt:variant>
      <vt:variant>
        <vt:i4>5</vt:i4>
      </vt:variant>
      <vt:variant>
        <vt:lpwstr>https://unfccc.int/documents/632332</vt:lpwstr>
      </vt:variant>
      <vt:variant>
        <vt:lpwstr/>
      </vt:variant>
      <vt:variant>
        <vt:i4>2228347</vt:i4>
      </vt:variant>
      <vt:variant>
        <vt:i4>153</vt:i4>
      </vt:variant>
      <vt:variant>
        <vt:i4>0</vt:i4>
      </vt:variant>
      <vt:variant>
        <vt:i4>5</vt:i4>
      </vt:variant>
      <vt:variant>
        <vt:lpwstr>https://unfccc.int/documents/632331</vt:lpwstr>
      </vt:variant>
      <vt:variant>
        <vt:lpwstr/>
      </vt:variant>
      <vt:variant>
        <vt:i4>2359412</vt:i4>
      </vt:variant>
      <vt:variant>
        <vt:i4>150</vt:i4>
      </vt:variant>
      <vt:variant>
        <vt:i4>0</vt:i4>
      </vt:variant>
      <vt:variant>
        <vt:i4>5</vt:i4>
      </vt:variant>
      <vt:variant>
        <vt:lpwstr>https://unfccc.int/documents/460950</vt:lpwstr>
      </vt:variant>
      <vt:variant>
        <vt:lpwstr/>
      </vt:variant>
      <vt:variant>
        <vt:i4>2097272</vt:i4>
      </vt:variant>
      <vt:variant>
        <vt:i4>147</vt:i4>
      </vt:variant>
      <vt:variant>
        <vt:i4>0</vt:i4>
      </vt:variant>
      <vt:variant>
        <vt:i4>5</vt:i4>
      </vt:variant>
      <vt:variant>
        <vt:lpwstr>https://unfccc.int/documents/641722</vt:lpwstr>
      </vt:variant>
      <vt:variant>
        <vt:lpwstr/>
      </vt:variant>
      <vt:variant>
        <vt:i4>2293884</vt:i4>
      </vt:variant>
      <vt:variant>
        <vt:i4>144</vt:i4>
      </vt:variant>
      <vt:variant>
        <vt:i4>0</vt:i4>
      </vt:variant>
      <vt:variant>
        <vt:i4>5</vt:i4>
      </vt:variant>
      <vt:variant>
        <vt:lpwstr>https://unfccc.int/documents/640309</vt:lpwstr>
      </vt:variant>
      <vt:variant>
        <vt:lpwstr/>
      </vt:variant>
      <vt:variant>
        <vt:i4>2228347</vt:i4>
      </vt:variant>
      <vt:variant>
        <vt:i4>141</vt:i4>
      </vt:variant>
      <vt:variant>
        <vt:i4>0</vt:i4>
      </vt:variant>
      <vt:variant>
        <vt:i4>5</vt:i4>
      </vt:variant>
      <vt:variant>
        <vt:lpwstr>https://unfccc.int/documents/632332</vt:lpwstr>
      </vt:variant>
      <vt:variant>
        <vt:lpwstr/>
      </vt:variant>
      <vt:variant>
        <vt:i4>2228347</vt:i4>
      </vt:variant>
      <vt:variant>
        <vt:i4>138</vt:i4>
      </vt:variant>
      <vt:variant>
        <vt:i4>0</vt:i4>
      </vt:variant>
      <vt:variant>
        <vt:i4>5</vt:i4>
      </vt:variant>
      <vt:variant>
        <vt:lpwstr>https://unfccc.int/documents/632331</vt:lpwstr>
      </vt:variant>
      <vt:variant>
        <vt:lpwstr/>
      </vt:variant>
      <vt:variant>
        <vt:i4>2293880</vt:i4>
      </vt:variant>
      <vt:variant>
        <vt:i4>135</vt:i4>
      </vt:variant>
      <vt:variant>
        <vt:i4>0</vt:i4>
      </vt:variant>
      <vt:variant>
        <vt:i4>5</vt:i4>
      </vt:variant>
      <vt:variant>
        <vt:lpwstr>https://unfccc.int/documents/637072</vt:lpwstr>
      </vt:variant>
      <vt:variant>
        <vt:lpwstr/>
      </vt:variant>
      <vt:variant>
        <vt:i4>2228347</vt:i4>
      </vt:variant>
      <vt:variant>
        <vt:i4>132</vt:i4>
      </vt:variant>
      <vt:variant>
        <vt:i4>0</vt:i4>
      </vt:variant>
      <vt:variant>
        <vt:i4>5</vt:i4>
      </vt:variant>
      <vt:variant>
        <vt:lpwstr>https://unfccc.int/documents/634354</vt:lpwstr>
      </vt:variant>
      <vt:variant>
        <vt:lpwstr/>
      </vt:variant>
      <vt:variant>
        <vt:i4>2228348</vt:i4>
      </vt:variant>
      <vt:variant>
        <vt:i4>129</vt:i4>
      </vt:variant>
      <vt:variant>
        <vt:i4>0</vt:i4>
      </vt:variant>
      <vt:variant>
        <vt:i4>5</vt:i4>
      </vt:variant>
      <vt:variant>
        <vt:lpwstr>https://unfccc.int/documents/626570</vt:lpwstr>
      </vt:variant>
      <vt:variant>
        <vt:lpwstr/>
      </vt:variant>
      <vt:variant>
        <vt:i4>2228348</vt:i4>
      </vt:variant>
      <vt:variant>
        <vt:i4>126</vt:i4>
      </vt:variant>
      <vt:variant>
        <vt:i4>0</vt:i4>
      </vt:variant>
      <vt:variant>
        <vt:i4>5</vt:i4>
      </vt:variant>
      <vt:variant>
        <vt:lpwstr>https://unfccc.int/documents/626570</vt:lpwstr>
      </vt:variant>
      <vt:variant>
        <vt:lpwstr/>
      </vt:variant>
      <vt:variant>
        <vt:i4>2359412</vt:i4>
      </vt:variant>
      <vt:variant>
        <vt:i4>123</vt:i4>
      </vt:variant>
      <vt:variant>
        <vt:i4>0</vt:i4>
      </vt:variant>
      <vt:variant>
        <vt:i4>5</vt:i4>
      </vt:variant>
      <vt:variant>
        <vt:lpwstr>https://unfccc.int/documents/460951</vt:lpwstr>
      </vt:variant>
      <vt:variant>
        <vt:lpwstr/>
      </vt:variant>
      <vt:variant>
        <vt:i4>2228348</vt:i4>
      </vt:variant>
      <vt:variant>
        <vt:i4>120</vt:i4>
      </vt:variant>
      <vt:variant>
        <vt:i4>0</vt:i4>
      </vt:variant>
      <vt:variant>
        <vt:i4>5</vt:i4>
      </vt:variant>
      <vt:variant>
        <vt:lpwstr>https://unfccc.int/documents/626570</vt:lpwstr>
      </vt:variant>
      <vt:variant>
        <vt:lpwstr/>
      </vt:variant>
      <vt:variant>
        <vt:i4>2228348</vt:i4>
      </vt:variant>
      <vt:variant>
        <vt:i4>117</vt:i4>
      </vt:variant>
      <vt:variant>
        <vt:i4>0</vt:i4>
      </vt:variant>
      <vt:variant>
        <vt:i4>5</vt:i4>
      </vt:variant>
      <vt:variant>
        <vt:lpwstr>https://unfccc.int/documents/626570</vt:lpwstr>
      </vt:variant>
      <vt:variant>
        <vt:lpwstr/>
      </vt:variant>
      <vt:variant>
        <vt:i4>2556023</vt:i4>
      </vt:variant>
      <vt:variant>
        <vt:i4>114</vt:i4>
      </vt:variant>
      <vt:variant>
        <vt:i4>0</vt:i4>
      </vt:variant>
      <vt:variant>
        <vt:i4>5</vt:i4>
      </vt:variant>
      <vt:variant>
        <vt:lpwstr>https://unfccc.int/documents/641852</vt:lpwstr>
      </vt:variant>
      <vt:variant>
        <vt:lpwstr/>
      </vt:variant>
      <vt:variant>
        <vt:i4>2228347</vt:i4>
      </vt:variant>
      <vt:variant>
        <vt:i4>111</vt:i4>
      </vt:variant>
      <vt:variant>
        <vt:i4>0</vt:i4>
      </vt:variant>
      <vt:variant>
        <vt:i4>5</vt:i4>
      </vt:variant>
      <vt:variant>
        <vt:lpwstr>https://unfccc.int/documents/641403</vt:lpwstr>
      </vt:variant>
      <vt:variant>
        <vt:lpwstr/>
      </vt:variant>
      <vt:variant>
        <vt:i4>2293884</vt:i4>
      </vt:variant>
      <vt:variant>
        <vt:i4>108</vt:i4>
      </vt:variant>
      <vt:variant>
        <vt:i4>0</vt:i4>
      </vt:variant>
      <vt:variant>
        <vt:i4>5</vt:i4>
      </vt:variant>
      <vt:variant>
        <vt:lpwstr>https://unfccc.int/documents/626569</vt:lpwstr>
      </vt:variant>
      <vt:variant>
        <vt:lpwstr/>
      </vt:variant>
      <vt:variant>
        <vt:i4>2556022</vt:i4>
      </vt:variant>
      <vt:variant>
        <vt:i4>105</vt:i4>
      </vt:variant>
      <vt:variant>
        <vt:i4>0</vt:i4>
      </vt:variant>
      <vt:variant>
        <vt:i4>5</vt:i4>
      </vt:variant>
      <vt:variant>
        <vt:lpwstr>https://unfccc.int/documents/193408</vt:lpwstr>
      </vt:variant>
      <vt:variant>
        <vt:lpwstr/>
      </vt:variant>
      <vt:variant>
        <vt:i4>5898268</vt:i4>
      </vt:variant>
      <vt:variant>
        <vt:i4>102</vt:i4>
      </vt:variant>
      <vt:variant>
        <vt:i4>0</vt:i4>
      </vt:variant>
      <vt:variant>
        <vt:i4>5</vt:i4>
      </vt:variant>
      <vt:variant>
        <vt:lpwstr>https://www4.unfccc.int/sites/submissionsstaging/Pages/Home.aspx</vt:lpwstr>
      </vt:variant>
      <vt:variant>
        <vt:lpwstr/>
      </vt:variant>
      <vt:variant>
        <vt:i4>2687089</vt:i4>
      </vt:variant>
      <vt:variant>
        <vt:i4>99</vt:i4>
      </vt:variant>
      <vt:variant>
        <vt:i4>0</vt:i4>
      </vt:variant>
      <vt:variant>
        <vt:i4>5</vt:i4>
      </vt:variant>
      <vt:variant>
        <vt:lpwstr>https://unfccc.int/documents/639931</vt:lpwstr>
      </vt:variant>
      <vt:variant>
        <vt:lpwstr/>
      </vt:variant>
      <vt:variant>
        <vt:i4>2228349</vt:i4>
      </vt:variant>
      <vt:variant>
        <vt:i4>96</vt:i4>
      </vt:variant>
      <vt:variant>
        <vt:i4>0</vt:i4>
      </vt:variant>
      <vt:variant>
        <vt:i4>5</vt:i4>
      </vt:variant>
      <vt:variant>
        <vt:lpwstr>https://unfccc.int/documents/640211</vt:lpwstr>
      </vt:variant>
      <vt:variant>
        <vt:lpwstr/>
      </vt:variant>
      <vt:variant>
        <vt:i4>2687089</vt:i4>
      </vt:variant>
      <vt:variant>
        <vt:i4>93</vt:i4>
      </vt:variant>
      <vt:variant>
        <vt:i4>0</vt:i4>
      </vt:variant>
      <vt:variant>
        <vt:i4>5</vt:i4>
      </vt:variant>
      <vt:variant>
        <vt:lpwstr>https://unfccc.int/documents/639931</vt:lpwstr>
      </vt:variant>
      <vt:variant>
        <vt:lpwstr/>
      </vt:variant>
      <vt:variant>
        <vt:i4>2228349</vt:i4>
      </vt:variant>
      <vt:variant>
        <vt:i4>90</vt:i4>
      </vt:variant>
      <vt:variant>
        <vt:i4>0</vt:i4>
      </vt:variant>
      <vt:variant>
        <vt:i4>5</vt:i4>
      </vt:variant>
      <vt:variant>
        <vt:lpwstr>https://unfccc.int/documents/640211</vt:lpwstr>
      </vt:variant>
      <vt:variant>
        <vt:lpwstr/>
      </vt:variant>
      <vt:variant>
        <vt:i4>2687089</vt:i4>
      </vt:variant>
      <vt:variant>
        <vt:i4>87</vt:i4>
      </vt:variant>
      <vt:variant>
        <vt:i4>0</vt:i4>
      </vt:variant>
      <vt:variant>
        <vt:i4>5</vt:i4>
      </vt:variant>
      <vt:variant>
        <vt:lpwstr>https://unfccc.int/documents/639931</vt:lpwstr>
      </vt:variant>
      <vt:variant>
        <vt:lpwstr/>
      </vt:variant>
      <vt:variant>
        <vt:i4>2228349</vt:i4>
      </vt:variant>
      <vt:variant>
        <vt:i4>84</vt:i4>
      </vt:variant>
      <vt:variant>
        <vt:i4>0</vt:i4>
      </vt:variant>
      <vt:variant>
        <vt:i4>5</vt:i4>
      </vt:variant>
      <vt:variant>
        <vt:lpwstr>https://unfccc.int/documents/640211</vt:lpwstr>
      </vt:variant>
      <vt:variant>
        <vt:lpwstr/>
      </vt:variant>
      <vt:variant>
        <vt:i4>2293880</vt:i4>
      </vt:variant>
      <vt:variant>
        <vt:i4>81</vt:i4>
      </vt:variant>
      <vt:variant>
        <vt:i4>0</vt:i4>
      </vt:variant>
      <vt:variant>
        <vt:i4>5</vt:i4>
      </vt:variant>
      <vt:variant>
        <vt:lpwstr>https://unfccc.int/documents/637073</vt:lpwstr>
      </vt:variant>
      <vt:variant>
        <vt:lpwstr/>
      </vt:variant>
      <vt:variant>
        <vt:i4>2556022</vt:i4>
      </vt:variant>
      <vt:variant>
        <vt:i4>78</vt:i4>
      </vt:variant>
      <vt:variant>
        <vt:i4>0</vt:i4>
      </vt:variant>
      <vt:variant>
        <vt:i4>5</vt:i4>
      </vt:variant>
      <vt:variant>
        <vt:lpwstr>https://unfccc.int/documents/193408</vt:lpwstr>
      </vt:variant>
      <vt:variant>
        <vt:lpwstr/>
      </vt:variant>
      <vt:variant>
        <vt:i4>2293880</vt:i4>
      </vt:variant>
      <vt:variant>
        <vt:i4>75</vt:i4>
      </vt:variant>
      <vt:variant>
        <vt:i4>0</vt:i4>
      </vt:variant>
      <vt:variant>
        <vt:i4>5</vt:i4>
      </vt:variant>
      <vt:variant>
        <vt:lpwstr>https://unfccc.int/documents/637073</vt:lpwstr>
      </vt:variant>
      <vt:variant>
        <vt:lpwstr/>
      </vt:variant>
      <vt:variant>
        <vt:i4>2687089</vt:i4>
      </vt:variant>
      <vt:variant>
        <vt:i4>72</vt:i4>
      </vt:variant>
      <vt:variant>
        <vt:i4>0</vt:i4>
      </vt:variant>
      <vt:variant>
        <vt:i4>5</vt:i4>
      </vt:variant>
      <vt:variant>
        <vt:lpwstr>https://unfccc.int/documents/639931</vt:lpwstr>
      </vt:variant>
      <vt:variant>
        <vt:lpwstr/>
      </vt:variant>
      <vt:variant>
        <vt:i4>2228349</vt:i4>
      </vt:variant>
      <vt:variant>
        <vt:i4>69</vt:i4>
      </vt:variant>
      <vt:variant>
        <vt:i4>0</vt:i4>
      </vt:variant>
      <vt:variant>
        <vt:i4>5</vt:i4>
      </vt:variant>
      <vt:variant>
        <vt:lpwstr>https://unfccc.int/documents/640211</vt:lpwstr>
      </vt:variant>
      <vt:variant>
        <vt:lpwstr/>
      </vt:variant>
      <vt:variant>
        <vt:i4>2293880</vt:i4>
      </vt:variant>
      <vt:variant>
        <vt:i4>66</vt:i4>
      </vt:variant>
      <vt:variant>
        <vt:i4>0</vt:i4>
      </vt:variant>
      <vt:variant>
        <vt:i4>5</vt:i4>
      </vt:variant>
      <vt:variant>
        <vt:lpwstr>https://unfccc.int/documents/637073</vt:lpwstr>
      </vt:variant>
      <vt:variant>
        <vt:lpwstr/>
      </vt:variant>
      <vt:variant>
        <vt:i4>2687089</vt:i4>
      </vt:variant>
      <vt:variant>
        <vt:i4>63</vt:i4>
      </vt:variant>
      <vt:variant>
        <vt:i4>0</vt:i4>
      </vt:variant>
      <vt:variant>
        <vt:i4>5</vt:i4>
      </vt:variant>
      <vt:variant>
        <vt:lpwstr>https://unfccc.int/documents/639931</vt:lpwstr>
      </vt:variant>
      <vt:variant>
        <vt:lpwstr/>
      </vt:variant>
      <vt:variant>
        <vt:i4>2228349</vt:i4>
      </vt:variant>
      <vt:variant>
        <vt:i4>60</vt:i4>
      </vt:variant>
      <vt:variant>
        <vt:i4>0</vt:i4>
      </vt:variant>
      <vt:variant>
        <vt:i4>5</vt:i4>
      </vt:variant>
      <vt:variant>
        <vt:lpwstr>https://unfccc.int/documents/640211</vt:lpwstr>
      </vt:variant>
      <vt:variant>
        <vt:lpwstr/>
      </vt:variant>
      <vt:variant>
        <vt:i4>2359416</vt:i4>
      </vt:variant>
      <vt:variant>
        <vt:i4>57</vt:i4>
      </vt:variant>
      <vt:variant>
        <vt:i4>0</vt:i4>
      </vt:variant>
      <vt:variant>
        <vt:i4>5</vt:i4>
      </vt:variant>
      <vt:variant>
        <vt:lpwstr>https://unfccc.int/documents/642752</vt:lpwstr>
      </vt:variant>
      <vt:variant>
        <vt:lpwstr/>
      </vt:variant>
      <vt:variant>
        <vt:i4>2687089</vt:i4>
      </vt:variant>
      <vt:variant>
        <vt:i4>54</vt:i4>
      </vt:variant>
      <vt:variant>
        <vt:i4>0</vt:i4>
      </vt:variant>
      <vt:variant>
        <vt:i4>5</vt:i4>
      </vt:variant>
      <vt:variant>
        <vt:lpwstr>https://unfccc.int/documents/639931</vt:lpwstr>
      </vt:variant>
      <vt:variant>
        <vt:lpwstr/>
      </vt:variant>
      <vt:variant>
        <vt:i4>2228349</vt:i4>
      </vt:variant>
      <vt:variant>
        <vt:i4>51</vt:i4>
      </vt:variant>
      <vt:variant>
        <vt:i4>0</vt:i4>
      </vt:variant>
      <vt:variant>
        <vt:i4>5</vt:i4>
      </vt:variant>
      <vt:variant>
        <vt:lpwstr>https://unfccc.int/documents/640211</vt:lpwstr>
      </vt:variant>
      <vt:variant>
        <vt:lpwstr/>
      </vt:variant>
      <vt:variant>
        <vt:i4>2293880</vt:i4>
      </vt:variant>
      <vt:variant>
        <vt:i4>48</vt:i4>
      </vt:variant>
      <vt:variant>
        <vt:i4>0</vt:i4>
      </vt:variant>
      <vt:variant>
        <vt:i4>5</vt:i4>
      </vt:variant>
      <vt:variant>
        <vt:lpwstr>https://unfccc.int/documents/637073</vt:lpwstr>
      </vt:variant>
      <vt:variant>
        <vt:lpwstr/>
      </vt:variant>
      <vt:variant>
        <vt:i4>2687089</vt:i4>
      </vt:variant>
      <vt:variant>
        <vt:i4>45</vt:i4>
      </vt:variant>
      <vt:variant>
        <vt:i4>0</vt:i4>
      </vt:variant>
      <vt:variant>
        <vt:i4>5</vt:i4>
      </vt:variant>
      <vt:variant>
        <vt:lpwstr>https://unfccc.int/documents/639931</vt:lpwstr>
      </vt:variant>
      <vt:variant>
        <vt:lpwstr/>
      </vt:variant>
      <vt:variant>
        <vt:i4>2228349</vt:i4>
      </vt:variant>
      <vt:variant>
        <vt:i4>42</vt:i4>
      </vt:variant>
      <vt:variant>
        <vt:i4>0</vt:i4>
      </vt:variant>
      <vt:variant>
        <vt:i4>5</vt:i4>
      </vt:variant>
      <vt:variant>
        <vt:lpwstr>https://unfccc.int/documents/640211</vt:lpwstr>
      </vt:variant>
      <vt:variant>
        <vt:lpwstr/>
      </vt:variant>
      <vt:variant>
        <vt:i4>2687089</vt:i4>
      </vt:variant>
      <vt:variant>
        <vt:i4>39</vt:i4>
      </vt:variant>
      <vt:variant>
        <vt:i4>0</vt:i4>
      </vt:variant>
      <vt:variant>
        <vt:i4>5</vt:i4>
      </vt:variant>
      <vt:variant>
        <vt:lpwstr>https://unfccc.int/documents/639931</vt:lpwstr>
      </vt:variant>
      <vt:variant>
        <vt:lpwstr/>
      </vt:variant>
      <vt:variant>
        <vt:i4>2228349</vt:i4>
      </vt:variant>
      <vt:variant>
        <vt:i4>36</vt:i4>
      </vt:variant>
      <vt:variant>
        <vt:i4>0</vt:i4>
      </vt:variant>
      <vt:variant>
        <vt:i4>5</vt:i4>
      </vt:variant>
      <vt:variant>
        <vt:lpwstr>https://unfccc.int/documents/640211</vt:lpwstr>
      </vt:variant>
      <vt:variant>
        <vt:lpwstr/>
      </vt:variant>
      <vt:variant>
        <vt:i4>5898268</vt:i4>
      </vt:variant>
      <vt:variant>
        <vt:i4>33</vt:i4>
      </vt:variant>
      <vt:variant>
        <vt:i4>0</vt:i4>
      </vt:variant>
      <vt:variant>
        <vt:i4>5</vt:i4>
      </vt:variant>
      <vt:variant>
        <vt:lpwstr>https://www4.unfccc.int/sites/submissionsstaging/Pages/Home.aspx</vt:lpwstr>
      </vt:variant>
      <vt:variant>
        <vt:lpwstr/>
      </vt:variant>
      <vt:variant>
        <vt:i4>2752631</vt:i4>
      </vt:variant>
      <vt:variant>
        <vt:i4>30</vt:i4>
      </vt:variant>
      <vt:variant>
        <vt:i4>0</vt:i4>
      </vt:variant>
      <vt:variant>
        <vt:i4>5</vt:i4>
      </vt:variant>
      <vt:variant>
        <vt:lpwstr>https://unfccc.int/documents/641886</vt:lpwstr>
      </vt:variant>
      <vt:variant>
        <vt:lpwstr/>
      </vt:variant>
      <vt:variant>
        <vt:i4>2293880</vt:i4>
      </vt:variant>
      <vt:variant>
        <vt:i4>27</vt:i4>
      </vt:variant>
      <vt:variant>
        <vt:i4>0</vt:i4>
      </vt:variant>
      <vt:variant>
        <vt:i4>5</vt:i4>
      </vt:variant>
      <vt:variant>
        <vt:lpwstr>https://unfccc.int/documents/637073</vt:lpwstr>
      </vt:variant>
      <vt:variant>
        <vt:lpwstr/>
      </vt:variant>
      <vt:variant>
        <vt:i4>2293884</vt:i4>
      </vt:variant>
      <vt:variant>
        <vt:i4>24</vt:i4>
      </vt:variant>
      <vt:variant>
        <vt:i4>0</vt:i4>
      </vt:variant>
      <vt:variant>
        <vt:i4>5</vt:i4>
      </vt:variant>
      <vt:variant>
        <vt:lpwstr>https://unfccc.int/documents/626569</vt:lpwstr>
      </vt:variant>
      <vt:variant>
        <vt:lpwstr/>
      </vt:variant>
      <vt:variant>
        <vt:i4>2752631</vt:i4>
      </vt:variant>
      <vt:variant>
        <vt:i4>21</vt:i4>
      </vt:variant>
      <vt:variant>
        <vt:i4>0</vt:i4>
      </vt:variant>
      <vt:variant>
        <vt:i4>5</vt:i4>
      </vt:variant>
      <vt:variant>
        <vt:lpwstr>https://unfccc.int/documents/641886</vt:lpwstr>
      </vt:variant>
      <vt:variant>
        <vt:lpwstr/>
      </vt:variant>
      <vt:variant>
        <vt:i4>2752625</vt:i4>
      </vt:variant>
      <vt:variant>
        <vt:i4>18</vt:i4>
      </vt:variant>
      <vt:variant>
        <vt:i4>0</vt:i4>
      </vt:variant>
      <vt:variant>
        <vt:i4>5</vt:i4>
      </vt:variant>
      <vt:variant>
        <vt:lpwstr>https://unfccc.int/documents/631986</vt:lpwstr>
      </vt:variant>
      <vt:variant>
        <vt:lpwstr/>
      </vt:variant>
      <vt:variant>
        <vt:i4>2556022</vt:i4>
      </vt:variant>
      <vt:variant>
        <vt:i4>15</vt:i4>
      </vt:variant>
      <vt:variant>
        <vt:i4>0</vt:i4>
      </vt:variant>
      <vt:variant>
        <vt:i4>5</vt:i4>
      </vt:variant>
      <vt:variant>
        <vt:lpwstr>https://unfccc.int/documents/193408</vt:lpwstr>
      </vt:variant>
      <vt:variant>
        <vt:lpwstr/>
      </vt:variant>
      <vt:variant>
        <vt:i4>2293880</vt:i4>
      </vt:variant>
      <vt:variant>
        <vt:i4>12</vt:i4>
      </vt:variant>
      <vt:variant>
        <vt:i4>0</vt:i4>
      </vt:variant>
      <vt:variant>
        <vt:i4>5</vt:i4>
      </vt:variant>
      <vt:variant>
        <vt:lpwstr>https://unfccc.int/documents/637073</vt:lpwstr>
      </vt:variant>
      <vt:variant>
        <vt:lpwstr/>
      </vt:variant>
      <vt:variant>
        <vt:i4>5701697</vt:i4>
      </vt:variant>
      <vt:variant>
        <vt:i4>9</vt:i4>
      </vt:variant>
      <vt:variant>
        <vt:i4>0</vt:i4>
      </vt:variant>
      <vt:variant>
        <vt:i4>5</vt:i4>
      </vt:variant>
      <vt:variant>
        <vt:lpwstr>https://unfccc.int/topics/climate-finance/resources/biennial-assessment-and-overview-of-climate-finance-flows</vt:lpwstr>
      </vt:variant>
      <vt:variant>
        <vt:lpwstr/>
      </vt:variant>
      <vt:variant>
        <vt:i4>4259922</vt:i4>
      </vt:variant>
      <vt:variant>
        <vt:i4>6</vt:i4>
      </vt:variant>
      <vt:variant>
        <vt:i4>0</vt:i4>
      </vt:variant>
      <vt:variant>
        <vt:i4>5</vt:i4>
      </vt:variant>
      <vt:variant>
        <vt:lpwstr>http://www.unep.org/resources/adaptation-gap-report-2023</vt:lpwstr>
      </vt:variant>
      <vt:variant>
        <vt:lpwstr/>
      </vt:variant>
      <vt:variant>
        <vt:i4>2293878</vt:i4>
      </vt:variant>
      <vt:variant>
        <vt:i4>3</vt:i4>
      </vt:variant>
      <vt:variant>
        <vt:i4>0</vt:i4>
      </vt:variant>
      <vt:variant>
        <vt:i4>5</vt:i4>
      </vt:variant>
      <vt:variant>
        <vt:lpwstr>https://unfccc.int/documents/644941</vt:lpwstr>
      </vt:variant>
      <vt:variant>
        <vt:lpwstr/>
      </vt:variant>
      <vt:variant>
        <vt:i4>2556030</vt:i4>
      </vt:variant>
      <vt:variant>
        <vt:i4>0</vt:i4>
      </vt:variant>
      <vt:variant>
        <vt:i4>0</vt:i4>
      </vt:variant>
      <vt:variant>
        <vt:i4>5</vt:i4>
      </vt:variant>
      <vt:variant>
        <vt:lpwstr>https://unfccc.int/documents/641151</vt:lpwstr>
      </vt:variant>
      <vt:variant>
        <vt:lpwstr/>
      </vt:variant>
      <vt:variant>
        <vt:i4>2228348</vt:i4>
      </vt:variant>
      <vt:variant>
        <vt:i4>15</vt:i4>
      </vt:variant>
      <vt:variant>
        <vt:i4>0</vt:i4>
      </vt:variant>
      <vt:variant>
        <vt:i4>5</vt:i4>
      </vt:variant>
      <vt:variant>
        <vt:lpwstr>https://unfccc.int/documents/626570</vt:lpwstr>
      </vt:variant>
      <vt:variant>
        <vt:lpwstr/>
      </vt:variant>
      <vt:variant>
        <vt:i4>2359412</vt:i4>
      </vt:variant>
      <vt:variant>
        <vt:i4>12</vt:i4>
      </vt:variant>
      <vt:variant>
        <vt:i4>0</vt:i4>
      </vt:variant>
      <vt:variant>
        <vt:i4>5</vt:i4>
      </vt:variant>
      <vt:variant>
        <vt:lpwstr>https://unfccc.int/documents/460950</vt:lpwstr>
      </vt:variant>
      <vt:variant>
        <vt:lpwstr/>
      </vt:variant>
      <vt:variant>
        <vt:i4>2359412</vt:i4>
      </vt:variant>
      <vt:variant>
        <vt:i4>9</vt:i4>
      </vt:variant>
      <vt:variant>
        <vt:i4>0</vt:i4>
      </vt:variant>
      <vt:variant>
        <vt:i4>5</vt:i4>
      </vt:variant>
      <vt:variant>
        <vt:lpwstr>https://unfccc.int/documents/460950</vt:lpwstr>
      </vt:variant>
      <vt:variant>
        <vt:lpwstr/>
      </vt:variant>
      <vt:variant>
        <vt:i4>2228348</vt:i4>
      </vt:variant>
      <vt:variant>
        <vt:i4>6</vt:i4>
      </vt:variant>
      <vt:variant>
        <vt:i4>0</vt:i4>
      </vt:variant>
      <vt:variant>
        <vt:i4>5</vt:i4>
      </vt:variant>
      <vt:variant>
        <vt:lpwstr>https://unfccc.int/documents/626570</vt:lpwstr>
      </vt:variant>
      <vt:variant>
        <vt:lpwstr/>
      </vt:variant>
      <vt:variant>
        <vt:i4>2359412</vt:i4>
      </vt:variant>
      <vt:variant>
        <vt:i4>3</vt:i4>
      </vt:variant>
      <vt:variant>
        <vt:i4>0</vt:i4>
      </vt:variant>
      <vt:variant>
        <vt:i4>5</vt:i4>
      </vt:variant>
      <vt:variant>
        <vt:lpwstr>https://unfccc.int/documents/460950</vt:lpwstr>
      </vt:variant>
      <vt:variant>
        <vt:lpwstr/>
      </vt:variant>
      <vt:variant>
        <vt:i4>2359412</vt:i4>
      </vt:variant>
      <vt:variant>
        <vt:i4>0</vt:i4>
      </vt:variant>
      <vt:variant>
        <vt:i4>0</vt:i4>
      </vt:variant>
      <vt:variant>
        <vt:i4>5</vt:i4>
      </vt:variant>
      <vt:variant>
        <vt:lpwstr>https://unfccc.int/documents/460950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sixtieth session. Addendum</dc:title>
  <dc:subject/>
  <dc:creator>Aisulu Aldasheva</dc:creator>
  <cp:keywords/>
  <dc:description>Updated for COP28</dc:description>
  <cp:lastModifiedBy>Aisulu Aldasheva</cp:lastModifiedBy>
  <cp:revision>4</cp:revision>
  <cp:lastPrinted>2022-09-19T09:19:00Z</cp:lastPrinted>
  <dcterms:created xsi:type="dcterms:W3CDTF">2025-03-27T15:15:00Z</dcterms:created>
  <dcterms:modified xsi:type="dcterms:W3CDTF">2025-04-23T16:08:00Z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4/4/2024 15:24:08</vt:lpwstr>
  </property>
  <property fmtid="{D5CDD505-2E9C-101B-9397-08002B2CF9AE}" pid="4" name="ContentTypeId">
    <vt:lpwstr>0x01010093B27815B4C26448A2AC74C6D94E050B</vt:lpwstr>
  </property>
  <property fmtid="{D5CDD505-2E9C-101B-9397-08002B2CF9AE}" pid="5" name="_dlc_DocIdItemGuid">
    <vt:lpwstr>be265435-e718-44e0-be57-9ed620b2ce65</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828;#CMA 6|921772ad-b3b9-4474-ad2a-c67c251a1b9a</vt:lpwstr>
  </property>
  <property fmtid="{D5CDD505-2E9C-101B-9397-08002B2CF9AE}" pid="12" name="LinkedUNFCCCDocumentTracker">
    <vt:lpwstr>6955</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mc8c0c91454a4efc97cb5a2e90a99718">
    <vt:lpwstr/>
  </property>
  <property fmtid="{D5CDD505-2E9C-101B-9397-08002B2CF9AE}" pid="17" name="Corporate author">
    <vt:lpwstr/>
  </property>
  <property fmtid="{D5CDD505-2E9C-101B-9397-08002B2CF9AE}" pid="18" name="Agenda Item">
    <vt:lpwstr/>
  </property>
  <property fmtid="{D5CDD505-2E9C-101B-9397-08002B2CF9AE}" pid="19" name="Web doc type">
    <vt:lpwstr/>
  </property>
  <property fmtid="{D5CDD505-2E9C-101B-9397-08002B2CF9AE}" pid="20" name="Document Group">
    <vt:lpwstr/>
  </property>
  <property fmtid="{D5CDD505-2E9C-101B-9397-08002B2CF9AE}" pid="21" name="Embargo">
    <vt:lpwstr>No</vt:lpwstr>
  </property>
  <property fmtid="{D5CDD505-2E9C-101B-9397-08002B2CF9AE}" pid="22" name="lcf76f155ced4ddcb4097134ff3c332f">
    <vt:lpwstr/>
  </property>
  <property fmtid="{D5CDD505-2E9C-101B-9397-08002B2CF9AE}" pid="23" name="docSymbol1">
    <vt:lpwstr>FCCC/PA/CMA/2024/17/Add.1</vt:lpwstr>
  </property>
  <property fmtid="{D5CDD505-2E9C-101B-9397-08002B2CF9AE}" pid="24" name="docSymbol2">
    <vt:lpwstr/>
  </property>
  <property fmtid="{D5CDD505-2E9C-101B-9397-08002B2CF9AE}" pid="25" name="Corporate_x0020_author">
    <vt:lpwstr/>
  </property>
</Properties>
</file>