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7CFB316F" w14:textId="77777777" w:rsidTr="008F1E61">
        <w:trPr>
          <w:cantSplit/>
          <w:trHeight w:hRule="exact" w:val="1134"/>
        </w:trPr>
        <w:tc>
          <w:tcPr>
            <w:tcW w:w="1242" w:type="dxa"/>
            <w:vAlign w:val="bottom"/>
          </w:tcPr>
          <w:p w14:paraId="6F2E0533" w14:textId="77777777" w:rsidR="002D66A2" w:rsidRPr="003F5FEE" w:rsidRDefault="002D66A2" w:rsidP="008F1E61">
            <w:bookmarkStart w:id="0" w:name="_Hlk55297588"/>
            <w:bookmarkEnd w:id="0"/>
            <w:r>
              <w:rPr>
                <w:noProof/>
                <w:lang w:val="en-US" w:eastAsia="en-US"/>
              </w:rPr>
              <w:drawing>
                <wp:inline distT="0" distB="0" distL="0" distR="0" wp14:anchorId="3694D843" wp14:editId="36647E28">
                  <wp:extent cx="668020" cy="564515"/>
                  <wp:effectExtent l="0" t="0" r="0" b="698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538A66BE" w14:textId="77777777" w:rsidR="002D66A2" w:rsidRPr="00A86746" w:rsidRDefault="002D66A2" w:rsidP="008F1E61">
            <w:pPr>
              <w:ind w:left="113"/>
              <w:rPr>
                <w:sz w:val="28"/>
                <w:szCs w:val="28"/>
              </w:rPr>
            </w:pPr>
            <w:r w:rsidRPr="00A86746">
              <w:rPr>
                <w:sz w:val="28"/>
                <w:szCs w:val="28"/>
              </w:rPr>
              <w:t>United Nations</w:t>
            </w:r>
          </w:p>
        </w:tc>
        <w:tc>
          <w:tcPr>
            <w:tcW w:w="5845" w:type="dxa"/>
            <w:gridSpan w:val="3"/>
            <w:vAlign w:val="bottom"/>
          </w:tcPr>
          <w:p w14:paraId="7F94728B" w14:textId="4340401B" w:rsidR="002D66A2" w:rsidRPr="00F76195" w:rsidRDefault="00F76195" w:rsidP="00F76195">
            <w:pPr>
              <w:jc w:val="right"/>
            </w:pPr>
            <w:r w:rsidRPr="006D0603">
              <w:rPr>
                <w:sz w:val="40"/>
              </w:rPr>
              <w:t>FCCC</w:t>
            </w:r>
            <w:r w:rsidRPr="006D0603">
              <w:t>/PA/CMA/2024/17</w:t>
            </w:r>
            <w:r>
              <w:t>/Add.2</w:t>
            </w:r>
          </w:p>
        </w:tc>
      </w:tr>
      <w:tr w:rsidR="002D66A2" w14:paraId="06B76353" w14:textId="77777777" w:rsidTr="008F1E61">
        <w:trPr>
          <w:cantSplit/>
          <w:trHeight w:hRule="exact" w:val="2552"/>
        </w:trPr>
        <w:tc>
          <w:tcPr>
            <w:tcW w:w="4511" w:type="dxa"/>
            <w:gridSpan w:val="3"/>
          </w:tcPr>
          <w:p w14:paraId="4BA461BD" w14:textId="77777777" w:rsidR="002D66A2" w:rsidRPr="003F5FEE" w:rsidRDefault="002D66A2" w:rsidP="008F1E61">
            <w:r>
              <w:rPr>
                <w:noProof/>
                <w:lang w:val="en-US" w:eastAsia="en-US"/>
              </w:rPr>
              <w:drawing>
                <wp:anchor distT="0" distB="0" distL="114300" distR="114300" simplePos="0" relativeHeight="251658240" behindDoc="1" locked="0" layoutInCell="1" allowOverlap="1" wp14:anchorId="3F2D5B66" wp14:editId="744F5989">
                  <wp:simplePos x="0" y="0"/>
                  <wp:positionH relativeFrom="column">
                    <wp:posOffset>-3200</wp:posOffset>
                  </wp:positionH>
                  <wp:positionV relativeFrom="paragraph">
                    <wp:posOffset>305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7795" w14:textId="63123213" w:rsidR="002D66A2" w:rsidRDefault="002D66A2" w:rsidP="008F1E61"/>
          <w:p w14:paraId="36668CDC" w14:textId="77777777" w:rsidR="002D66A2" w:rsidRDefault="002D66A2" w:rsidP="008F1E61"/>
          <w:p w14:paraId="1736A5F9" w14:textId="77777777" w:rsidR="002D66A2" w:rsidRPr="003F5FEE" w:rsidRDefault="002D66A2" w:rsidP="008F1E61"/>
        </w:tc>
        <w:tc>
          <w:tcPr>
            <w:tcW w:w="2293" w:type="dxa"/>
          </w:tcPr>
          <w:p w14:paraId="2689F0F7" w14:textId="77777777" w:rsidR="002D66A2" w:rsidRPr="003F5FEE" w:rsidRDefault="002D66A2" w:rsidP="008F1E61"/>
        </w:tc>
        <w:tc>
          <w:tcPr>
            <w:tcW w:w="2835" w:type="dxa"/>
          </w:tcPr>
          <w:p w14:paraId="0D90E954" w14:textId="77777777" w:rsidR="004D06FC" w:rsidRDefault="00F76195" w:rsidP="00F76195">
            <w:pPr>
              <w:spacing w:before="240" w:line="240" w:lineRule="exact"/>
              <w:ind w:left="143"/>
            </w:pPr>
            <w:r>
              <w:t>Distr.: General</w:t>
            </w:r>
          </w:p>
          <w:p w14:paraId="30A942C3" w14:textId="297AB22D" w:rsidR="00F76195" w:rsidRDefault="000F0FD8" w:rsidP="00F76195">
            <w:pPr>
              <w:spacing w:line="240" w:lineRule="exact"/>
              <w:ind w:left="143"/>
            </w:pPr>
            <w:r>
              <w:t>27 March</w:t>
            </w:r>
            <w:r w:rsidR="00F76195">
              <w:t xml:space="preserve"> 202</w:t>
            </w:r>
            <w:r w:rsidR="001E1D93">
              <w:t>5</w:t>
            </w:r>
          </w:p>
          <w:p w14:paraId="1D1CAA87" w14:textId="77777777" w:rsidR="00F76195" w:rsidRDefault="00F76195" w:rsidP="00F76195">
            <w:pPr>
              <w:spacing w:line="240" w:lineRule="exact"/>
              <w:ind w:left="143"/>
            </w:pPr>
          </w:p>
          <w:p w14:paraId="14EDED5A" w14:textId="6FC6C6B2" w:rsidR="00F76195" w:rsidRPr="00E0470D" w:rsidRDefault="00F76195" w:rsidP="00F76195">
            <w:pPr>
              <w:spacing w:line="240" w:lineRule="exact"/>
              <w:ind w:left="143"/>
            </w:pPr>
            <w:r>
              <w:t>Original: English</w:t>
            </w:r>
          </w:p>
        </w:tc>
      </w:tr>
    </w:tbl>
    <w:p w14:paraId="0ED489C7" w14:textId="34ACA549" w:rsidR="003F6A01" w:rsidRDefault="009647CF" w:rsidP="003F6A01">
      <w:pPr>
        <w:spacing w:before="120"/>
        <w:rPr>
          <w:b/>
          <w:sz w:val="24"/>
          <w:szCs w:val="24"/>
        </w:rPr>
      </w:pPr>
      <w:r>
        <w:rPr>
          <w:b/>
          <w:sz w:val="24"/>
          <w:szCs w:val="24"/>
        </w:rPr>
        <w:t xml:space="preserve">Conference of the </w:t>
      </w:r>
      <w:r w:rsidR="00823F58">
        <w:rPr>
          <w:b/>
          <w:sz w:val="24"/>
          <w:szCs w:val="24"/>
        </w:rPr>
        <w:t>Parties</w:t>
      </w:r>
      <w:r w:rsidR="00823F58" w:rsidRPr="008B33C9">
        <w:rPr>
          <w:b/>
          <w:sz w:val="24"/>
          <w:szCs w:val="24"/>
        </w:rPr>
        <w:t xml:space="preserve"> </w:t>
      </w:r>
      <w:bookmarkStart w:id="1" w:name="_Hlk75869726"/>
      <w:r w:rsidR="00823F58">
        <w:rPr>
          <w:b/>
          <w:sz w:val="24"/>
          <w:szCs w:val="24"/>
        </w:rPr>
        <w:t xml:space="preserve">serving as the meeting </w:t>
      </w:r>
      <w:r w:rsidR="00823F58">
        <w:rPr>
          <w:b/>
          <w:sz w:val="24"/>
          <w:szCs w:val="24"/>
        </w:rPr>
        <w:br/>
        <w:t>of the Parties to the Paris Agreement</w:t>
      </w:r>
      <w:bookmarkEnd w:id="1"/>
    </w:p>
    <w:p w14:paraId="0AB6453A" w14:textId="16467DC2" w:rsidR="003F6A01" w:rsidRDefault="003F6A01" w:rsidP="004250A3">
      <w:pPr>
        <w:pStyle w:val="RegHChG"/>
        <w:numPr>
          <w:ilvl w:val="0"/>
          <w:numId w:val="0"/>
        </w:numPr>
        <w:ind w:left="1135" w:hanging="454"/>
      </w:pPr>
      <w:r>
        <w:t>R</w:t>
      </w:r>
      <w:r w:rsidRPr="00DE51A7">
        <w:t xml:space="preserve">eport of the </w:t>
      </w:r>
      <w:r w:rsidR="00823F58">
        <w:t xml:space="preserve">Conference of the Parties </w:t>
      </w:r>
      <w:r w:rsidR="00823F58" w:rsidRPr="008B33C9">
        <w:t>serving as the meeting of the Parties to the Paris Agreement</w:t>
      </w:r>
      <w:r w:rsidR="00823F58">
        <w:t xml:space="preserve"> </w:t>
      </w:r>
      <w:r>
        <w:t>o</w:t>
      </w:r>
      <w:r w:rsidRPr="00DE51A7">
        <w:t xml:space="preserve">n its </w:t>
      </w:r>
      <w:r w:rsidR="00823F58">
        <w:br/>
        <w:t>sixth</w:t>
      </w:r>
      <w:r w:rsidR="009647CF">
        <w:t xml:space="preserve"> </w:t>
      </w:r>
      <w:r>
        <w:t>session, held in Baku from 11 to</w:t>
      </w:r>
      <w:r w:rsidR="009647CF">
        <w:t xml:space="preserve"> 2</w:t>
      </w:r>
      <w:r w:rsidR="001E1D93">
        <w:t>4</w:t>
      </w:r>
      <w:r>
        <w:t xml:space="preserve"> November 2024</w:t>
      </w:r>
    </w:p>
    <w:p w14:paraId="21648675" w14:textId="77777777" w:rsidR="008B64B6" w:rsidRDefault="008B64B6" w:rsidP="004250A3">
      <w:pPr>
        <w:pStyle w:val="RegH1G"/>
        <w:numPr>
          <w:ilvl w:val="0"/>
          <w:numId w:val="0"/>
        </w:numPr>
        <w:ind w:left="1135" w:hanging="454"/>
      </w:pPr>
      <w:bookmarkStart w:id="2" w:name="_Toc161241743"/>
      <w:bookmarkStart w:id="3" w:name="_Toc161241969"/>
      <w:r>
        <w:t>Addendum</w:t>
      </w:r>
      <w:bookmarkEnd w:id="2"/>
      <w:bookmarkEnd w:id="3"/>
    </w:p>
    <w:p w14:paraId="0D8A82D0" w14:textId="71F87EBD" w:rsidR="003F6A01" w:rsidRPr="007D1A65" w:rsidRDefault="008B64B6" w:rsidP="004250A3">
      <w:pPr>
        <w:pStyle w:val="RegH1G"/>
        <w:numPr>
          <w:ilvl w:val="0"/>
          <w:numId w:val="0"/>
        </w:numPr>
        <w:ind w:left="1135" w:hanging="454"/>
      </w:pPr>
      <w:bookmarkStart w:id="4" w:name="_Toc161241744"/>
      <w:bookmarkStart w:id="5" w:name="_Toc161241970"/>
      <w:r w:rsidRPr="007D1A65">
        <w:t xml:space="preserve">Part </w:t>
      </w:r>
      <w:r w:rsidR="00565F0B" w:rsidRPr="007D1A65">
        <w:t>two</w:t>
      </w:r>
      <w:r w:rsidRPr="007D1A65">
        <w:t>: Action taken by the Conference of the Parties serving as the meeting of the Parties to the Paris Agreement at its sixth session</w:t>
      </w:r>
      <w:bookmarkEnd w:id="4"/>
      <w:bookmarkEnd w:id="5"/>
    </w:p>
    <w:p w14:paraId="15C916A5" w14:textId="2BB3A6FA" w:rsidR="003F6A01" w:rsidRDefault="007D1A65" w:rsidP="007D1A65">
      <w:pPr>
        <w:spacing w:after="120"/>
        <w:rPr>
          <w:sz w:val="28"/>
        </w:rPr>
      </w:pPr>
      <w:r>
        <w:rPr>
          <w:sz w:val="28"/>
        </w:rPr>
        <w:t>Contents</w:t>
      </w:r>
    </w:p>
    <w:p w14:paraId="272610B4" w14:textId="7238D13B" w:rsidR="00965856" w:rsidRPr="00442683" w:rsidRDefault="00965856" w:rsidP="004250A3">
      <w:pPr>
        <w:pStyle w:val="RegHChG"/>
        <w:numPr>
          <w:ilvl w:val="0"/>
          <w:numId w:val="0"/>
        </w:numPr>
        <w:ind w:left="1135" w:hanging="454"/>
      </w:pPr>
      <w:r w:rsidRPr="00442683">
        <w:t xml:space="preserve">Decisions adopted by the Conference of the Parties </w:t>
      </w:r>
    </w:p>
    <w:p w14:paraId="7A5B8C4C" w14:textId="77777777" w:rsidR="00965856" w:rsidRPr="009374F3" w:rsidRDefault="00965856" w:rsidP="00965856">
      <w:pPr>
        <w:tabs>
          <w:tab w:val="right" w:pos="9638"/>
        </w:tabs>
        <w:spacing w:after="120"/>
        <w:ind w:left="1134"/>
      </w:pPr>
      <w:r w:rsidRPr="009374F3">
        <w:rPr>
          <w:i/>
        </w:rPr>
        <w:t>Decision</w:t>
      </w:r>
      <w:r w:rsidRPr="009374F3">
        <w:rPr>
          <w:i/>
        </w:rPr>
        <w:tab/>
        <w:t>Page</w:t>
      </w:r>
    </w:p>
    <w:p w14:paraId="51781533" w14:textId="65DB142F" w:rsidR="002B1B4B" w:rsidRDefault="002B1B4B" w:rsidP="00AC314B">
      <w:pPr>
        <w:pStyle w:val="TOC1"/>
        <w:tabs>
          <w:tab w:val="clear" w:pos="1985"/>
          <w:tab w:val="clear" w:pos="9356"/>
          <w:tab w:val="left" w:pos="2268"/>
          <w:tab w:val="right" w:pos="9639"/>
        </w:tabs>
        <w:ind w:right="0"/>
      </w:pPr>
      <w:r>
        <w:tab/>
      </w:r>
      <w:r>
        <w:tab/>
      </w:r>
      <w:hyperlink w:anchor="decision8" w:history="1">
        <w:r w:rsidR="00307430" w:rsidRPr="008F1E61">
          <w:rPr>
            <w:rStyle w:val="Hyperlink"/>
          </w:rPr>
          <w:t>8</w:t>
        </w:r>
        <w:r w:rsidR="00965856" w:rsidRPr="008F1E61">
          <w:rPr>
            <w:rStyle w:val="Hyperlink"/>
          </w:rPr>
          <w:t>/CMA.6</w:t>
        </w:r>
      </w:hyperlink>
      <w:r w:rsidR="00EA5647">
        <w:tab/>
      </w:r>
      <w:r w:rsidR="00C767DA">
        <w:t>Matters relating to the Standing Committee on Finance</w:t>
      </w:r>
      <w:r>
        <w:tab/>
      </w:r>
      <w:r w:rsidR="00EA5647">
        <w:tab/>
      </w:r>
      <w:r w:rsidR="00471C21">
        <w:t>2</w:t>
      </w:r>
    </w:p>
    <w:p w14:paraId="25E35983" w14:textId="44FC28BB" w:rsidR="003D41A4" w:rsidRDefault="002B1B4B" w:rsidP="002E6A2A">
      <w:pPr>
        <w:pStyle w:val="TOC1"/>
        <w:tabs>
          <w:tab w:val="clear" w:pos="1985"/>
          <w:tab w:val="clear" w:pos="9356"/>
          <w:tab w:val="left" w:pos="2268"/>
          <w:tab w:val="right" w:pos="9639"/>
        </w:tabs>
        <w:ind w:right="0"/>
      </w:pPr>
      <w:r>
        <w:tab/>
      </w:r>
      <w:r>
        <w:tab/>
      </w:r>
      <w:hyperlink w:anchor="decision9" w:history="1">
        <w:r w:rsidR="00C767DA" w:rsidRPr="008F1E61">
          <w:rPr>
            <w:rStyle w:val="Hyperlink"/>
          </w:rPr>
          <w:t>9/CMA.</w:t>
        </w:r>
        <w:r w:rsidR="00E4406B" w:rsidRPr="008F1E61">
          <w:rPr>
            <w:rStyle w:val="Hyperlink"/>
          </w:rPr>
          <w:t>6</w:t>
        </w:r>
      </w:hyperlink>
      <w:r w:rsidR="00E4406B">
        <w:tab/>
      </w:r>
      <w:r w:rsidR="003072DE">
        <w:t>Guidance to the Green Climate Fund</w:t>
      </w:r>
      <w:r w:rsidR="003072DE">
        <w:tab/>
      </w:r>
      <w:r w:rsidR="00BB71D3">
        <w:tab/>
      </w:r>
      <w:r w:rsidR="00471C21">
        <w:t>3</w:t>
      </w:r>
    </w:p>
    <w:p w14:paraId="25154955" w14:textId="18B35E2F" w:rsidR="003D41A4" w:rsidRDefault="003D41A4" w:rsidP="002E6A2A">
      <w:pPr>
        <w:pStyle w:val="TOC1"/>
        <w:tabs>
          <w:tab w:val="clear" w:pos="1985"/>
          <w:tab w:val="clear" w:pos="9356"/>
          <w:tab w:val="left" w:pos="2268"/>
          <w:tab w:val="right" w:pos="9639"/>
        </w:tabs>
        <w:ind w:right="0"/>
      </w:pPr>
      <w:r>
        <w:tab/>
      </w:r>
      <w:r>
        <w:tab/>
      </w:r>
      <w:hyperlink w:anchor="decision10" w:history="1">
        <w:r w:rsidR="003072DE" w:rsidRPr="008E0631">
          <w:rPr>
            <w:rStyle w:val="Hyperlink"/>
          </w:rPr>
          <w:t>10/CMA.6</w:t>
        </w:r>
      </w:hyperlink>
      <w:r w:rsidR="003072DE">
        <w:tab/>
      </w:r>
      <w:r w:rsidR="00002934">
        <w:t>Guidance to the Global Environment Facility</w:t>
      </w:r>
      <w:r>
        <w:tab/>
      </w:r>
      <w:r w:rsidR="00BB71D3">
        <w:tab/>
      </w:r>
      <w:r w:rsidR="00471C21">
        <w:t>4</w:t>
      </w:r>
    </w:p>
    <w:p w14:paraId="68E911DE" w14:textId="2DD74A50" w:rsidR="003D41A4" w:rsidRDefault="003D41A4" w:rsidP="002E6A2A">
      <w:pPr>
        <w:pStyle w:val="TOC1"/>
        <w:tabs>
          <w:tab w:val="clear" w:pos="1985"/>
          <w:tab w:val="clear" w:pos="9356"/>
          <w:tab w:val="left" w:pos="2268"/>
          <w:tab w:val="right" w:pos="9639"/>
        </w:tabs>
        <w:ind w:right="0"/>
      </w:pPr>
      <w:r>
        <w:tab/>
      </w:r>
      <w:r>
        <w:tab/>
      </w:r>
      <w:hyperlink w:anchor="decision11" w:history="1">
        <w:r w:rsidR="00002934" w:rsidRPr="008E0631">
          <w:rPr>
            <w:rStyle w:val="Hyperlink"/>
          </w:rPr>
          <w:t>11/CMA.6</w:t>
        </w:r>
      </w:hyperlink>
      <w:r w:rsidR="00002934">
        <w:tab/>
      </w:r>
      <w:r w:rsidR="00353C1C">
        <w:t>Report of the Fund for responding to Loss and Damage and guidance to the Fund</w:t>
      </w:r>
      <w:r w:rsidR="00EE3790">
        <w:tab/>
      </w:r>
      <w:r w:rsidR="00EE3790">
        <w:tab/>
      </w:r>
      <w:r w:rsidR="00471C21">
        <w:t>5</w:t>
      </w:r>
    </w:p>
    <w:p w14:paraId="4648CFF6" w14:textId="695DC3B2" w:rsidR="003D41A4" w:rsidRDefault="003D41A4" w:rsidP="002E6A2A">
      <w:pPr>
        <w:pStyle w:val="TOC1"/>
        <w:tabs>
          <w:tab w:val="clear" w:pos="1985"/>
          <w:tab w:val="clear" w:pos="9356"/>
          <w:tab w:val="left" w:pos="2268"/>
          <w:tab w:val="right" w:pos="9639"/>
        </w:tabs>
        <w:ind w:right="0"/>
      </w:pPr>
      <w:r>
        <w:tab/>
      </w:r>
      <w:r>
        <w:tab/>
      </w:r>
      <w:hyperlink w:anchor="decision12" w:history="1">
        <w:r w:rsidR="00061D35" w:rsidRPr="008E0631">
          <w:rPr>
            <w:rStyle w:val="Hyperlink"/>
          </w:rPr>
          <w:t>12/CMA.6</w:t>
        </w:r>
      </w:hyperlink>
      <w:r w:rsidR="00061D35">
        <w:tab/>
      </w:r>
      <w:r w:rsidR="00ED3D8F">
        <w:t xml:space="preserve">Arrangements between the Conference of </w:t>
      </w:r>
      <w:r w:rsidR="002B1B4B">
        <w:t>t</w:t>
      </w:r>
      <w:r w:rsidR="00ED3D8F">
        <w:t>he Parties, the Conference of the Parties</w:t>
      </w:r>
      <w:r w:rsidR="00B33C59">
        <w:t xml:space="preserve"> </w:t>
      </w:r>
      <w:r w:rsidR="00D70BD6">
        <w:br/>
      </w:r>
      <w:r w:rsidR="00ED3D8F">
        <w:t>serving as the meeting of the Parties to the Paris Agreement and the Board of the</w:t>
      </w:r>
      <w:r w:rsidR="00BB71D3">
        <w:t xml:space="preserve"> </w:t>
      </w:r>
      <w:r w:rsidR="00D70BD6">
        <w:br/>
      </w:r>
      <w:r w:rsidR="00ED3D8F">
        <w:t>Fund for responding to Loss and Damage</w:t>
      </w:r>
      <w:r w:rsidR="00BB71D3">
        <w:tab/>
      </w:r>
      <w:r>
        <w:tab/>
      </w:r>
      <w:r w:rsidR="00471C21">
        <w:t>8</w:t>
      </w:r>
    </w:p>
    <w:p w14:paraId="4C5201BF" w14:textId="468ABFC6" w:rsidR="003D41A4" w:rsidRDefault="003D41A4" w:rsidP="00EE3790">
      <w:pPr>
        <w:pStyle w:val="TOC1"/>
        <w:tabs>
          <w:tab w:val="clear" w:pos="1985"/>
          <w:tab w:val="clear" w:pos="9356"/>
          <w:tab w:val="left" w:pos="2268"/>
          <w:tab w:val="right" w:pos="9639"/>
        </w:tabs>
        <w:ind w:right="0"/>
      </w:pPr>
      <w:r>
        <w:tab/>
      </w:r>
      <w:r>
        <w:tab/>
      </w:r>
      <w:hyperlink w:anchor="decision13" w:history="1">
        <w:r w:rsidR="00ED3D8F" w:rsidRPr="008E0631">
          <w:rPr>
            <w:rStyle w:val="Hyperlink"/>
          </w:rPr>
          <w:t>13/CMA.6</w:t>
        </w:r>
      </w:hyperlink>
      <w:r w:rsidR="00ED3D8F">
        <w:tab/>
      </w:r>
      <w:r w:rsidR="00B32A57">
        <w:t>Matters relating to the Adaptation Fund</w:t>
      </w:r>
      <w:r>
        <w:tab/>
      </w:r>
      <w:r w:rsidR="00BB71D3">
        <w:tab/>
      </w:r>
      <w:r w:rsidR="00B32A57">
        <w:t>1</w:t>
      </w:r>
      <w:r w:rsidR="00471C21">
        <w:t>4</w:t>
      </w:r>
    </w:p>
    <w:p w14:paraId="3DFA60B9" w14:textId="6582746E" w:rsidR="00EC13C8" w:rsidRDefault="003D41A4" w:rsidP="00EE3790">
      <w:pPr>
        <w:pStyle w:val="TOC1"/>
        <w:tabs>
          <w:tab w:val="clear" w:pos="1985"/>
          <w:tab w:val="clear" w:pos="9356"/>
          <w:tab w:val="left" w:pos="2268"/>
          <w:tab w:val="right" w:pos="9639"/>
        </w:tabs>
        <w:ind w:right="0"/>
      </w:pPr>
      <w:r>
        <w:tab/>
      </w:r>
      <w:r>
        <w:tab/>
      </w:r>
      <w:hyperlink w:anchor="decision14" w:history="1">
        <w:r w:rsidR="00B32A57" w:rsidRPr="008E0631">
          <w:rPr>
            <w:rStyle w:val="Hyperlink"/>
          </w:rPr>
          <w:t>14/CMA.6</w:t>
        </w:r>
      </w:hyperlink>
      <w:r w:rsidR="00B32A57">
        <w:tab/>
      </w:r>
      <w:r w:rsidR="00EA3CE3">
        <w:t xml:space="preserve">Sharm el-Sheikh dialogue on the scope of Article 2, paragraph 1(c), of the </w:t>
      </w:r>
      <w:r w:rsidR="00D70BD6">
        <w:br/>
      </w:r>
      <w:r w:rsidR="00EA3CE3">
        <w:t>Paris Agreement and its complementari</w:t>
      </w:r>
      <w:r w:rsidR="00DE6400">
        <w:t>t</w:t>
      </w:r>
      <w:r w:rsidR="00EA3CE3">
        <w:t>y with Article 9 of the Paris Agreement</w:t>
      </w:r>
      <w:r>
        <w:tab/>
      </w:r>
      <w:r w:rsidR="00BB71D3">
        <w:tab/>
      </w:r>
      <w:r w:rsidR="00757BDE">
        <w:t>1</w:t>
      </w:r>
      <w:r w:rsidR="00471C21">
        <w:t>7</w:t>
      </w:r>
    </w:p>
    <w:p w14:paraId="0F193F03" w14:textId="5661DA52" w:rsidR="007D1A65" w:rsidRPr="007D1A65" w:rsidRDefault="00EC13C8" w:rsidP="00EE3790">
      <w:pPr>
        <w:pStyle w:val="TOC1"/>
        <w:tabs>
          <w:tab w:val="clear" w:pos="1985"/>
          <w:tab w:val="clear" w:pos="9356"/>
          <w:tab w:val="left" w:pos="2268"/>
          <w:tab w:val="right" w:pos="9639"/>
        </w:tabs>
        <w:ind w:right="0"/>
      </w:pPr>
      <w:r>
        <w:tab/>
      </w:r>
      <w:r>
        <w:tab/>
      </w:r>
      <w:hyperlink w:anchor="decision15" w:history="1">
        <w:r w:rsidR="00757BDE" w:rsidRPr="008E0631">
          <w:rPr>
            <w:rStyle w:val="Hyperlink"/>
          </w:rPr>
          <w:t>15/CMA.6</w:t>
        </w:r>
      </w:hyperlink>
      <w:r w:rsidR="00757BDE">
        <w:tab/>
      </w:r>
      <w:r w:rsidR="00171B2B">
        <w:t xml:space="preserve">Report of developed country Parties on doubling the collective provision of climate </w:t>
      </w:r>
      <w:r w:rsidR="00D70BD6">
        <w:br/>
      </w:r>
      <w:r w:rsidR="00171B2B">
        <w:t>finance for adapt</w:t>
      </w:r>
      <w:r w:rsidR="004152BB">
        <w:t>at</w:t>
      </w:r>
      <w:r w:rsidR="00171B2B">
        <w:t>ion to developing country Parties from 2019 le</w:t>
      </w:r>
      <w:r w:rsidR="009E28EF">
        <w:t>vels by 2025</w:t>
      </w:r>
      <w:r>
        <w:tab/>
      </w:r>
      <w:r w:rsidR="00BB71D3">
        <w:tab/>
      </w:r>
      <w:r w:rsidR="00471C21">
        <w:t>18</w:t>
      </w:r>
    </w:p>
    <w:p w14:paraId="28C8C591" w14:textId="4739FCBE" w:rsidR="003F6A01" w:rsidRDefault="003F6A01" w:rsidP="00782B64">
      <w:pPr>
        <w:suppressAutoHyphens w:val="0"/>
        <w:spacing w:line="240" w:lineRule="auto"/>
      </w:pPr>
      <w:r>
        <w:br w:type="page"/>
      </w:r>
    </w:p>
    <w:p w14:paraId="5A6ED1ED" w14:textId="487CA2BA" w:rsidR="00E81B43" w:rsidRDefault="00E81B43" w:rsidP="004250A3">
      <w:pPr>
        <w:pStyle w:val="RegHChG"/>
        <w:numPr>
          <w:ilvl w:val="0"/>
          <w:numId w:val="0"/>
        </w:numPr>
        <w:ind w:left="1135" w:hanging="454"/>
      </w:pPr>
      <w:bookmarkStart w:id="6" w:name="decision8"/>
      <w:r>
        <w:lastRenderedPageBreak/>
        <w:t xml:space="preserve">Decision </w:t>
      </w:r>
      <w:r w:rsidRPr="00A573BC">
        <w:t>8/CMA.6</w:t>
      </w:r>
    </w:p>
    <w:bookmarkEnd w:id="6"/>
    <w:p w14:paraId="39CC7352" w14:textId="126B94FE" w:rsidR="001B7A11" w:rsidRPr="009B50DB" w:rsidRDefault="001B7A11" w:rsidP="004250A3">
      <w:pPr>
        <w:pStyle w:val="RegHChG"/>
        <w:numPr>
          <w:ilvl w:val="0"/>
          <w:numId w:val="0"/>
        </w:numPr>
        <w:ind w:left="1135" w:hanging="454"/>
      </w:pPr>
      <w:r w:rsidRPr="00D133B9">
        <w:t>Matters relating to the Standing Committee on Finance</w:t>
      </w:r>
    </w:p>
    <w:p w14:paraId="7370DFD6" w14:textId="77777777" w:rsidR="001B7A11" w:rsidRPr="00082B38" w:rsidRDefault="001B7A11" w:rsidP="001B7A11">
      <w:pPr>
        <w:pStyle w:val="RegSingleTxtG2"/>
        <w:numPr>
          <w:ilvl w:val="0"/>
          <w:numId w:val="0"/>
        </w:numPr>
        <w:ind w:left="1134" w:firstLine="567"/>
        <w:rPr>
          <w:b/>
          <w:bCs/>
        </w:rPr>
      </w:pPr>
      <w:r w:rsidRPr="00082B38">
        <w:rPr>
          <w:bCs/>
          <w:i/>
          <w:iCs/>
        </w:rPr>
        <w:t xml:space="preserve">The Conference of the Parties serving as the meeting of the Parties to the Paris </w:t>
      </w:r>
      <w:r w:rsidRPr="00082B38">
        <w:rPr>
          <w:i/>
          <w:iCs/>
        </w:rPr>
        <w:t>Agreement</w:t>
      </w:r>
      <w:r w:rsidRPr="00082B38">
        <w:t>,</w:t>
      </w:r>
    </w:p>
    <w:p w14:paraId="4C4806C8" w14:textId="77777777" w:rsidR="001B7A11" w:rsidRPr="00082B38" w:rsidRDefault="001B7A11" w:rsidP="001B7A11">
      <w:pPr>
        <w:pStyle w:val="RegSingleTxtG2"/>
        <w:numPr>
          <w:ilvl w:val="0"/>
          <w:numId w:val="0"/>
        </w:numPr>
        <w:ind w:left="1134" w:firstLine="567"/>
      </w:pPr>
      <w:r w:rsidRPr="00082B38">
        <w:rPr>
          <w:i/>
          <w:iCs/>
        </w:rPr>
        <w:t>Recalling</w:t>
      </w:r>
      <w:r w:rsidRPr="00082B38">
        <w:t xml:space="preserve"> Article 2, paragraph 1(c), and Article 9 of the Paris Agreement,</w:t>
      </w:r>
    </w:p>
    <w:p w14:paraId="0239122F" w14:textId="71E54A89" w:rsidR="001B7A11" w:rsidRPr="00082B38" w:rsidRDefault="001B7A11" w:rsidP="001B7A11">
      <w:pPr>
        <w:pStyle w:val="RegSingleTxtG2"/>
        <w:numPr>
          <w:ilvl w:val="0"/>
          <w:numId w:val="0"/>
        </w:numPr>
        <w:ind w:left="1134" w:firstLine="567"/>
      </w:pPr>
      <w:r w:rsidRPr="00082B38">
        <w:rPr>
          <w:i/>
          <w:iCs/>
        </w:rPr>
        <w:t>Also recalling</w:t>
      </w:r>
      <w:r w:rsidRPr="00082B38">
        <w:t xml:space="preserve"> decisions </w:t>
      </w:r>
      <w:hyperlink r:id="rId15" w:history="1">
        <w:r w:rsidRPr="00C479DE">
          <w:rPr>
            <w:rStyle w:val="Hyperlink"/>
          </w:rPr>
          <w:t>1/CP.21</w:t>
        </w:r>
      </w:hyperlink>
      <w:r w:rsidRPr="00082B38">
        <w:t xml:space="preserve">, paragraphs 53 and 63, </w:t>
      </w:r>
      <w:hyperlink r:id="rId16" w:history="1">
        <w:r w:rsidRPr="00C479DE">
          <w:rPr>
            <w:rStyle w:val="Hyperlink"/>
          </w:rPr>
          <w:t>11/CP.25</w:t>
        </w:r>
      </w:hyperlink>
      <w:r w:rsidRPr="00082B38">
        <w:t xml:space="preserve">, </w:t>
      </w:r>
      <w:hyperlink r:id="rId17" w:history="1">
        <w:r w:rsidRPr="00C479DE">
          <w:rPr>
            <w:rStyle w:val="Hyperlink"/>
          </w:rPr>
          <w:t>5/CP.26</w:t>
        </w:r>
      </w:hyperlink>
      <w:r w:rsidRPr="00082B38">
        <w:t xml:space="preserve">, </w:t>
      </w:r>
      <w:hyperlink r:id="rId18" w:history="1">
        <w:r w:rsidRPr="00C479DE">
          <w:rPr>
            <w:rStyle w:val="Hyperlink"/>
          </w:rPr>
          <w:t>14/CMA.1</w:t>
        </w:r>
      </w:hyperlink>
      <w:r w:rsidRPr="00082B38">
        <w:t xml:space="preserve">, </w:t>
      </w:r>
      <w:hyperlink r:id="rId19" w:history="1">
        <w:r w:rsidRPr="00C479DE">
          <w:rPr>
            <w:rStyle w:val="Hyperlink"/>
          </w:rPr>
          <w:t>5/CMA.2</w:t>
        </w:r>
      </w:hyperlink>
      <w:r w:rsidRPr="00082B38">
        <w:t xml:space="preserve">, </w:t>
      </w:r>
      <w:hyperlink r:id="rId20" w:history="1">
        <w:r w:rsidRPr="00C479DE">
          <w:rPr>
            <w:rStyle w:val="Hyperlink"/>
          </w:rPr>
          <w:t>11/CMA.3</w:t>
        </w:r>
      </w:hyperlink>
      <w:r w:rsidRPr="00082B38">
        <w:t xml:space="preserve">, </w:t>
      </w:r>
      <w:hyperlink r:id="rId21" w:history="1">
        <w:r w:rsidRPr="00C479DE">
          <w:rPr>
            <w:rStyle w:val="Hyperlink"/>
          </w:rPr>
          <w:t>14/CMA.4</w:t>
        </w:r>
      </w:hyperlink>
      <w:r w:rsidRPr="00082B38">
        <w:t xml:space="preserve"> and </w:t>
      </w:r>
      <w:hyperlink r:id="rId22" w:history="1">
        <w:r w:rsidRPr="00C479DE">
          <w:rPr>
            <w:rStyle w:val="Hyperlink"/>
          </w:rPr>
          <w:t>9/CMA.5</w:t>
        </w:r>
      </w:hyperlink>
      <w:r w:rsidRPr="00082B38">
        <w:t>,</w:t>
      </w:r>
    </w:p>
    <w:p w14:paraId="627B3B49" w14:textId="5A7FB08E" w:rsidR="001B7A11" w:rsidRPr="00082B38" w:rsidRDefault="001B7A11" w:rsidP="001B7A11">
      <w:pPr>
        <w:pStyle w:val="RegSingleTxtG2"/>
        <w:numPr>
          <w:ilvl w:val="0"/>
          <w:numId w:val="0"/>
        </w:numPr>
        <w:ind w:left="1134" w:firstLine="567"/>
      </w:pPr>
      <w:r w:rsidRPr="00082B38">
        <w:rPr>
          <w:i/>
          <w:iCs/>
        </w:rPr>
        <w:t>Further recalling</w:t>
      </w:r>
      <w:r w:rsidRPr="00082B38">
        <w:t xml:space="preserve"> decision </w:t>
      </w:r>
      <w:hyperlink r:id="rId23" w:history="1">
        <w:r w:rsidRPr="00C479DE">
          <w:rPr>
            <w:rStyle w:val="Hyperlink"/>
          </w:rPr>
          <w:t>1/CMA.4</w:t>
        </w:r>
      </w:hyperlink>
      <w:r w:rsidRPr="00082B38">
        <w:t xml:space="preserve">, paragraph 42, </w:t>
      </w:r>
    </w:p>
    <w:p w14:paraId="2C9E51CA" w14:textId="530E91D1" w:rsidR="001B7A11" w:rsidRPr="00082B38" w:rsidRDefault="004250A3" w:rsidP="004250A3">
      <w:pPr>
        <w:pStyle w:val="RegSingleTxtG"/>
        <w:numPr>
          <w:ilvl w:val="0"/>
          <w:numId w:val="0"/>
        </w:numPr>
        <w:ind w:left="1134"/>
      </w:pPr>
      <w:r w:rsidRPr="00082B38">
        <w:t>1.</w:t>
      </w:r>
      <w:r w:rsidRPr="00082B38">
        <w:tab/>
      </w:r>
      <w:r w:rsidR="001B7A11" w:rsidRPr="00082B38">
        <w:rPr>
          <w:i/>
          <w:iCs/>
        </w:rPr>
        <w:t>Affirms</w:t>
      </w:r>
      <w:r w:rsidR="001B7A11" w:rsidRPr="00082B38">
        <w:t xml:space="preserve"> decision </w:t>
      </w:r>
      <w:hyperlink r:id="rId24" w:history="1">
        <w:r w:rsidR="00304FAD" w:rsidRPr="000336B9">
          <w:rPr>
            <w:rStyle w:val="Hyperlink"/>
          </w:rPr>
          <w:t>2</w:t>
        </w:r>
        <w:r w:rsidR="001B7A11" w:rsidRPr="000336B9">
          <w:rPr>
            <w:rStyle w:val="Hyperlink"/>
          </w:rPr>
          <w:t>/CP.29</w:t>
        </w:r>
      </w:hyperlink>
      <w:r w:rsidR="001B7A11">
        <w:t>;</w:t>
      </w:r>
      <w:r w:rsidR="001B7A11" w:rsidRPr="00082B38">
        <w:t xml:space="preserve"> </w:t>
      </w:r>
    </w:p>
    <w:p w14:paraId="50B47CF0" w14:textId="148525FA" w:rsidR="001B7A11" w:rsidRPr="007D5F68" w:rsidRDefault="004250A3" w:rsidP="004250A3">
      <w:pPr>
        <w:pStyle w:val="RegSingleTxtG"/>
        <w:numPr>
          <w:ilvl w:val="0"/>
          <w:numId w:val="0"/>
        </w:numPr>
        <w:ind w:left="1134"/>
      </w:pPr>
      <w:r w:rsidRPr="007D5F68">
        <w:t>2.</w:t>
      </w:r>
      <w:r w:rsidRPr="007D5F68">
        <w:tab/>
      </w:r>
      <w:r w:rsidR="001B7A11" w:rsidRPr="00082B38">
        <w:rPr>
          <w:i/>
          <w:iCs/>
        </w:rPr>
        <w:t>Notes</w:t>
      </w:r>
      <w:r w:rsidR="001B7A11" w:rsidRPr="00102A10">
        <w:t xml:space="preserve"> </w:t>
      </w:r>
      <w:r w:rsidR="001B7A11" w:rsidRPr="00082B38">
        <w:t>the</w:t>
      </w:r>
      <w:r w:rsidR="001B7A11" w:rsidRPr="00D3556B">
        <w:t xml:space="preserve"> </w:t>
      </w:r>
      <w:r w:rsidR="001B7A11" w:rsidRPr="004D14BA">
        <w:t>mapping</w:t>
      </w:r>
      <w:r w:rsidR="001B7A11" w:rsidRPr="00082B38">
        <w:t xml:space="preserve"> of available information relevant to Article 2, paragraph 1(c), of the Paris Agreement, including its reference to Article </w:t>
      </w:r>
      <w:r w:rsidR="001B7A11" w:rsidRPr="007D5F68">
        <w:t>9 thereof</w:t>
      </w:r>
      <w:r w:rsidR="001B7A11">
        <w:t>,</w:t>
      </w:r>
      <w:r w:rsidR="001B7A11" w:rsidRPr="007D5F68">
        <w:t xml:space="preserve"> </w:t>
      </w:r>
      <w:r w:rsidR="001B7A11">
        <w:t>in</w:t>
      </w:r>
      <w:r w:rsidR="001B7A11" w:rsidRPr="00102A10">
        <w:t xml:space="preserve"> the sixth Biennial Assessment and Overview of Climate Finance Flows</w:t>
      </w:r>
      <w:r w:rsidR="001B7A11">
        <w:t>;</w:t>
      </w:r>
      <w:r w:rsidR="001B7A11" w:rsidRPr="007D5F68">
        <w:rPr>
          <w:rStyle w:val="FootnoteReference"/>
        </w:rPr>
        <w:footnoteReference w:id="2"/>
      </w:r>
      <w:r w:rsidR="001B7A11" w:rsidRPr="007D5F68">
        <w:t xml:space="preserve"> </w:t>
      </w:r>
    </w:p>
    <w:p w14:paraId="3729D2C3" w14:textId="0CB846EA" w:rsidR="001B7A11" w:rsidRDefault="004250A3" w:rsidP="004250A3">
      <w:pPr>
        <w:pStyle w:val="RegSingleTxtG"/>
        <w:numPr>
          <w:ilvl w:val="0"/>
          <w:numId w:val="0"/>
        </w:numPr>
        <w:ind w:left="1134"/>
      </w:pPr>
      <w:r>
        <w:t>3.</w:t>
      </w:r>
      <w:r>
        <w:tab/>
      </w:r>
      <w:r w:rsidR="001B7A11" w:rsidRPr="00082B38">
        <w:rPr>
          <w:i/>
          <w:iCs/>
        </w:rPr>
        <w:t>Recognizes</w:t>
      </w:r>
      <w:r w:rsidR="001B7A11" w:rsidRPr="00082B38">
        <w:t xml:space="preserve"> the importance of making finance flows consistent with a pathway towards low </w:t>
      </w:r>
      <w:r w:rsidR="001B7A11">
        <w:t>greenhouse gas</w:t>
      </w:r>
      <w:r w:rsidR="001B7A11" w:rsidRPr="00082B38">
        <w:t xml:space="preserve"> emissions and climate-resilient development and that there is no common</w:t>
      </w:r>
      <w:r w:rsidR="001B7A11" w:rsidRPr="001602D3">
        <w:t xml:space="preserve"> </w:t>
      </w:r>
      <w:r w:rsidR="001B7A11" w:rsidRPr="004D14BA">
        <w:t>interpretation</w:t>
      </w:r>
      <w:r w:rsidR="001B7A11" w:rsidRPr="00082B38">
        <w:t xml:space="preserve"> of the scope of Article 2, paragraph 1(c), </w:t>
      </w:r>
      <w:r w:rsidR="001B7A11">
        <w:t xml:space="preserve">of the Paris Agreement </w:t>
      </w:r>
      <w:r w:rsidR="001B7A11" w:rsidRPr="00082B38">
        <w:t>or the manner of its implementation</w:t>
      </w:r>
      <w:r w:rsidR="001B7A11">
        <w:t xml:space="preserve"> </w:t>
      </w:r>
      <w:r w:rsidR="001B7A11" w:rsidRPr="00082B38">
        <w:t xml:space="preserve">and </w:t>
      </w:r>
      <w:r w:rsidR="001B7A11" w:rsidRPr="00082B38">
        <w:rPr>
          <w:i/>
          <w:iCs/>
        </w:rPr>
        <w:t>encourages</w:t>
      </w:r>
      <w:r w:rsidR="001B7A11" w:rsidRPr="00082B38">
        <w:t xml:space="preserve"> Parties to continue constructive engagement on </w:t>
      </w:r>
      <w:r w:rsidR="001B7A11">
        <w:t>this issue</w:t>
      </w:r>
      <w:r w:rsidR="001B7A11" w:rsidRPr="00082B38">
        <w:t xml:space="preserve">, where relevant, including under the strengthened Sharm el-Sheikh dialogue </w:t>
      </w:r>
      <w:r w:rsidR="001B7A11" w:rsidRPr="00DA041A">
        <w:t>on the scope of Article 2, paragraph 1(c), of the Paris</w:t>
      </w:r>
      <w:r w:rsidR="001B7A11">
        <w:t xml:space="preserve"> </w:t>
      </w:r>
      <w:r w:rsidR="001B7A11" w:rsidRPr="0004611F">
        <w:t>Agreement and its complementarity with Article 9 of the Paris Agreement</w:t>
      </w:r>
      <w:r w:rsidR="001B7A11">
        <w:t>;</w:t>
      </w:r>
      <w:r w:rsidR="001B7A11">
        <w:rPr>
          <w:rStyle w:val="FootnoteReference"/>
        </w:rPr>
        <w:footnoteReference w:id="3"/>
      </w:r>
      <w:r w:rsidR="001B7A11" w:rsidRPr="00082B38">
        <w:t xml:space="preserve"> </w:t>
      </w:r>
    </w:p>
    <w:p w14:paraId="5A8758EE" w14:textId="01895616" w:rsidR="001B7A11" w:rsidRDefault="004250A3" w:rsidP="004250A3">
      <w:pPr>
        <w:pStyle w:val="RegSingleTxtG"/>
        <w:numPr>
          <w:ilvl w:val="0"/>
          <w:numId w:val="0"/>
        </w:numPr>
        <w:ind w:left="1134"/>
      </w:pPr>
      <w:r>
        <w:t>4.</w:t>
      </w:r>
      <w:r>
        <w:tab/>
      </w:r>
      <w:r w:rsidR="001B7A11" w:rsidRPr="00082B38">
        <w:rPr>
          <w:i/>
          <w:iCs/>
        </w:rPr>
        <w:t xml:space="preserve">Recalls </w:t>
      </w:r>
      <w:r w:rsidR="001B7A11" w:rsidRPr="00082B38">
        <w:t xml:space="preserve">the request </w:t>
      </w:r>
      <w:r w:rsidR="001B7A11">
        <w:t>for</w:t>
      </w:r>
      <w:r w:rsidR="001B7A11" w:rsidRPr="00082B38">
        <w:t xml:space="preserve"> the Standing Committee on Finance to include in its s</w:t>
      </w:r>
      <w:r w:rsidR="001B7A11">
        <w:t>ixth</w:t>
      </w:r>
      <w:r w:rsidR="001B7A11" w:rsidRPr="00082B38">
        <w:t xml:space="preserve"> Biennial Assessment and Overview of Climate Finance Flows information reported in biennial communications under Article 9, paragraph 5, of the Paris Agreement, as appropriate</w:t>
      </w:r>
      <w:r w:rsidR="001B7A11" w:rsidRPr="00EE1DFB">
        <w:t>;</w:t>
      </w:r>
      <w:r w:rsidR="001B7A11" w:rsidRPr="00EE1DFB">
        <w:rPr>
          <w:rStyle w:val="FootnoteReference"/>
        </w:rPr>
        <w:footnoteReference w:id="4"/>
      </w:r>
    </w:p>
    <w:p w14:paraId="156B975A" w14:textId="206298B7" w:rsidR="001B7A11" w:rsidRPr="00082B38" w:rsidRDefault="004250A3" w:rsidP="004250A3">
      <w:pPr>
        <w:pStyle w:val="RegSingleTxtG"/>
        <w:numPr>
          <w:ilvl w:val="0"/>
          <w:numId w:val="0"/>
        </w:numPr>
        <w:ind w:left="1134"/>
        <w:rPr>
          <w:i/>
          <w:iCs/>
        </w:rPr>
      </w:pPr>
      <w:r w:rsidRPr="00082B38">
        <w:t>5.</w:t>
      </w:r>
      <w:r w:rsidRPr="00082B38">
        <w:tab/>
      </w:r>
      <w:r w:rsidR="001B7A11">
        <w:rPr>
          <w:i/>
          <w:iCs/>
        </w:rPr>
        <w:t>Also r</w:t>
      </w:r>
      <w:r w:rsidR="001B7A11" w:rsidRPr="00082B38">
        <w:rPr>
          <w:i/>
          <w:iCs/>
        </w:rPr>
        <w:t xml:space="preserve">ecalls </w:t>
      </w:r>
      <w:r w:rsidR="001B7A11" w:rsidRPr="00082B38">
        <w:t xml:space="preserve">the request </w:t>
      </w:r>
      <w:r w:rsidR="001B7A11">
        <w:t>for</w:t>
      </w:r>
      <w:r w:rsidR="001B7A11" w:rsidRPr="00082B38">
        <w:t xml:space="preserve"> the Standing Committee on Finance to consider Article 4, paragraph 5, of the Paris Agreement in implementing its relevant mandates and workplan</w:t>
      </w:r>
      <w:r w:rsidR="001B7A11" w:rsidRPr="00EE1DFB">
        <w:t>;</w:t>
      </w:r>
      <w:r w:rsidR="001B7A11" w:rsidRPr="00EE1DFB">
        <w:rPr>
          <w:rStyle w:val="FootnoteReference"/>
        </w:rPr>
        <w:footnoteReference w:id="5"/>
      </w:r>
      <w:r w:rsidR="001B7A11" w:rsidRPr="00EE1DFB">
        <w:t xml:space="preserve"> </w:t>
      </w:r>
    </w:p>
    <w:p w14:paraId="65194BC0" w14:textId="39983CD5" w:rsidR="00293179" w:rsidRDefault="004250A3" w:rsidP="004250A3">
      <w:pPr>
        <w:pStyle w:val="RegSingleTxtG"/>
        <w:numPr>
          <w:ilvl w:val="0"/>
          <w:numId w:val="0"/>
        </w:numPr>
        <w:ind w:left="1134"/>
      </w:pPr>
      <w:r>
        <w:t>6.</w:t>
      </w:r>
      <w:r>
        <w:tab/>
      </w:r>
      <w:r w:rsidR="001B7A11" w:rsidRPr="00082B38">
        <w:rPr>
          <w:i/>
          <w:iCs/>
        </w:rPr>
        <w:t xml:space="preserve">Requests </w:t>
      </w:r>
      <w:r w:rsidR="001B7A11" w:rsidRPr="00082B38">
        <w:t xml:space="preserve">the Standing Committee on Finance to report to the Conference of the Parties serving as the </w:t>
      </w:r>
      <w:r w:rsidR="001B7A11" w:rsidRPr="00277ECD">
        <w:t>meeting</w:t>
      </w:r>
      <w:r w:rsidR="001B7A11" w:rsidRPr="00082B38">
        <w:t xml:space="preserve"> of the Parties to the Paris Agreement at its seventh session (November 2025) on progress in implementing its workplan for 2025;</w:t>
      </w:r>
      <w:r w:rsidR="001B7A11" w:rsidRPr="00082B38">
        <w:rPr>
          <w:vertAlign w:val="superscript"/>
        </w:rPr>
        <w:footnoteReference w:id="6"/>
      </w:r>
    </w:p>
    <w:p w14:paraId="74A43452" w14:textId="7D2CC541" w:rsidR="001B7A11" w:rsidRDefault="004250A3" w:rsidP="004250A3">
      <w:pPr>
        <w:pStyle w:val="RegSingleTxtG"/>
        <w:numPr>
          <w:ilvl w:val="0"/>
          <w:numId w:val="0"/>
        </w:numPr>
        <w:ind w:left="1134"/>
      </w:pPr>
      <w:r>
        <w:t>7.</w:t>
      </w:r>
      <w:r>
        <w:tab/>
      </w:r>
      <w:r w:rsidR="001B7A11" w:rsidRPr="00293179">
        <w:rPr>
          <w:i/>
          <w:iCs/>
        </w:rPr>
        <w:t>Also requests</w:t>
      </w:r>
      <w:r w:rsidR="001B7A11" w:rsidRPr="00082B38">
        <w:t xml:space="preserve"> the Standing</w:t>
      </w:r>
      <w:r w:rsidR="001B7A11" w:rsidRPr="00B842D8">
        <w:t xml:space="preserve"> </w:t>
      </w:r>
      <w:r w:rsidR="001B7A11" w:rsidRPr="00174D1F">
        <w:t>Committee</w:t>
      </w:r>
      <w:r w:rsidR="001B7A11" w:rsidRPr="00082B38">
        <w:t xml:space="preserve"> on Finance to consider the guidance provided to it in other relevant decisions of the Conference of the Parties serving as the meeting of the Parties to the Paris Agreement.</w:t>
      </w:r>
    </w:p>
    <w:p w14:paraId="22F11E9C" w14:textId="20D787D8" w:rsidR="00293179" w:rsidRDefault="00EF0C23" w:rsidP="00293179">
      <w:pPr>
        <w:pStyle w:val="RegSingleTxtG"/>
        <w:numPr>
          <w:ilvl w:val="0"/>
          <w:numId w:val="0"/>
        </w:numPr>
        <w:spacing w:after="0"/>
        <w:ind w:left="1134"/>
        <w:jc w:val="right"/>
        <w:rPr>
          <w:i/>
          <w:iCs/>
        </w:rPr>
      </w:pPr>
      <w:r>
        <w:rPr>
          <w:i/>
          <w:iCs/>
        </w:rPr>
        <w:t>11</w:t>
      </w:r>
      <w:r w:rsidRPr="00EF0C23">
        <w:rPr>
          <w:i/>
          <w:iCs/>
          <w:vertAlign w:val="superscript"/>
        </w:rPr>
        <w:t>th</w:t>
      </w:r>
      <w:r>
        <w:rPr>
          <w:i/>
          <w:iCs/>
        </w:rPr>
        <w:t xml:space="preserve"> p</w:t>
      </w:r>
      <w:r w:rsidR="00293179">
        <w:rPr>
          <w:i/>
          <w:iCs/>
        </w:rPr>
        <w:t>lenary meeting</w:t>
      </w:r>
    </w:p>
    <w:p w14:paraId="2B55FEAA" w14:textId="30922F9E" w:rsidR="00293179" w:rsidRDefault="00EF0C23" w:rsidP="00293179">
      <w:pPr>
        <w:pStyle w:val="RegSingleTxtG"/>
        <w:numPr>
          <w:ilvl w:val="0"/>
          <w:numId w:val="0"/>
        </w:numPr>
        <w:spacing w:after="0"/>
        <w:ind w:left="1134"/>
        <w:jc w:val="right"/>
      </w:pPr>
      <w:r>
        <w:rPr>
          <w:i/>
          <w:iCs/>
        </w:rPr>
        <w:t>23</w:t>
      </w:r>
      <w:r w:rsidR="00293179">
        <w:rPr>
          <w:i/>
          <w:iCs/>
        </w:rPr>
        <w:t xml:space="preserve"> November 2024 </w:t>
      </w:r>
    </w:p>
    <w:p w14:paraId="2F469E67" w14:textId="125C621E" w:rsidR="00BA4A46" w:rsidRDefault="004250A3" w:rsidP="004250A3">
      <w:pPr>
        <w:pStyle w:val="RegHChG"/>
        <w:numPr>
          <w:ilvl w:val="0"/>
          <w:numId w:val="0"/>
        </w:numPr>
        <w:tabs>
          <w:tab w:val="left" w:pos="1135"/>
        </w:tabs>
        <w:ind w:left="1135" w:hanging="454"/>
        <w:sectPr w:rsidR="00BA4A46" w:rsidSect="00F76195">
          <w:headerReference w:type="even" r:id="rId25"/>
          <w:headerReference w:type="default" r:id="rId26"/>
          <w:footerReference w:type="even" r:id="rId27"/>
          <w:footerReference w:type="default" r:id="rId28"/>
          <w:headerReference w:type="first" r:id="rId29"/>
          <w:pgSz w:w="11906" w:h="16838" w:code="9"/>
          <w:pgMar w:top="1417" w:right="1134" w:bottom="1134" w:left="1134" w:header="850" w:footer="567" w:gutter="0"/>
          <w:cols w:space="708"/>
          <w:titlePg/>
          <w:docGrid w:linePitch="360"/>
        </w:sectPr>
      </w:pPr>
      <w:r>
        <w:t>I.</w:t>
      </w:r>
      <w:r>
        <w:tab/>
      </w:r>
    </w:p>
    <w:p w14:paraId="46CA70FF" w14:textId="4D8E4EF1" w:rsidR="00BA4A46" w:rsidRDefault="00BA4A46" w:rsidP="004250A3">
      <w:pPr>
        <w:pStyle w:val="RegHChG"/>
        <w:numPr>
          <w:ilvl w:val="0"/>
          <w:numId w:val="0"/>
        </w:numPr>
        <w:ind w:left="1135" w:hanging="454"/>
      </w:pPr>
      <w:bookmarkStart w:id="7" w:name="decision9"/>
      <w:r>
        <w:lastRenderedPageBreak/>
        <w:t xml:space="preserve">Decision </w:t>
      </w:r>
      <w:r w:rsidRPr="00A573BC">
        <w:t>9/CMA.6</w:t>
      </w:r>
    </w:p>
    <w:bookmarkEnd w:id="7"/>
    <w:p w14:paraId="2EADF252" w14:textId="77777777" w:rsidR="00BF3499" w:rsidRPr="00862295" w:rsidRDefault="00BF3499" w:rsidP="004250A3">
      <w:pPr>
        <w:pStyle w:val="RegHChG"/>
        <w:numPr>
          <w:ilvl w:val="0"/>
          <w:numId w:val="0"/>
        </w:numPr>
        <w:ind w:left="1135" w:hanging="454"/>
        <w:rPr>
          <w:lang w:val="en-US"/>
        </w:rPr>
      </w:pPr>
      <w:r w:rsidRPr="00862295">
        <w:rPr>
          <w:lang w:val="en-US"/>
        </w:rPr>
        <w:t>Guidance to the Green Climate Fund</w:t>
      </w:r>
    </w:p>
    <w:p w14:paraId="6236108C" w14:textId="77777777" w:rsidR="00BF3499" w:rsidRPr="00142B0D" w:rsidRDefault="00BF3499" w:rsidP="00BF3499">
      <w:pPr>
        <w:spacing w:after="120"/>
        <w:ind w:left="1134" w:right="1133" w:firstLine="567"/>
        <w:jc w:val="both"/>
        <w:rPr>
          <w:rFonts w:asciiTheme="majorBidi" w:hAnsiTheme="majorBidi" w:cstheme="majorBidi"/>
          <w:i/>
          <w:iCs/>
          <w:lang w:val="en-US"/>
        </w:rPr>
      </w:pPr>
      <w:r w:rsidRPr="00142B0D">
        <w:rPr>
          <w:rFonts w:asciiTheme="majorBidi" w:hAnsiTheme="majorBidi" w:cstheme="majorBidi"/>
          <w:i/>
          <w:iCs/>
          <w:lang w:val="en-US"/>
        </w:rPr>
        <w:t>The Conference of the Parties serving as the meeting of the Parties to the Paris Agreement</w:t>
      </w:r>
    </w:p>
    <w:p w14:paraId="4F25C61E" w14:textId="3B930610" w:rsidR="00BF3499" w:rsidRPr="0070704D" w:rsidRDefault="004250A3" w:rsidP="004250A3">
      <w:pPr>
        <w:pStyle w:val="RegSingleTxtG"/>
        <w:numPr>
          <w:ilvl w:val="0"/>
          <w:numId w:val="0"/>
        </w:numPr>
        <w:ind w:left="1134"/>
        <w:rPr>
          <w:lang w:val="en-US"/>
        </w:rPr>
      </w:pPr>
      <w:r w:rsidRPr="0070704D">
        <w:rPr>
          <w:lang w:val="en-US"/>
        </w:rPr>
        <w:t>1.</w:t>
      </w:r>
      <w:r w:rsidRPr="0070704D">
        <w:rPr>
          <w:lang w:val="en-US"/>
        </w:rPr>
        <w:tab/>
      </w:r>
      <w:r w:rsidR="00BF3499" w:rsidRPr="0070704D">
        <w:rPr>
          <w:i/>
          <w:iCs/>
          <w:lang w:val="en-US"/>
        </w:rPr>
        <w:t>Recommends</w:t>
      </w:r>
      <w:r w:rsidR="00BF3499" w:rsidRPr="0070704D">
        <w:rPr>
          <w:lang w:val="en-US"/>
        </w:rPr>
        <w:t xml:space="preserve"> that the Conference of the Parties at its twenty-ninth session transmit to the Green Climate Fund the guidance contained in paragraphs 2–8 below;</w:t>
      </w:r>
      <w:r w:rsidR="00BF3499" w:rsidRPr="00142B0D">
        <w:rPr>
          <w:rStyle w:val="FootnoteReference"/>
          <w:rFonts w:asciiTheme="majorBidi" w:hAnsiTheme="majorBidi" w:cstheme="majorBidi"/>
          <w:lang w:val="en-US"/>
        </w:rPr>
        <w:footnoteReference w:id="7"/>
      </w:r>
    </w:p>
    <w:p w14:paraId="772E3F04" w14:textId="7C253C9B" w:rsidR="00BF3499" w:rsidRDefault="004250A3" w:rsidP="004250A3">
      <w:pPr>
        <w:pStyle w:val="RegSingleTxtG"/>
        <w:numPr>
          <w:ilvl w:val="0"/>
          <w:numId w:val="0"/>
        </w:numPr>
        <w:ind w:left="1134"/>
        <w:rPr>
          <w:lang w:val="en-US"/>
        </w:rPr>
      </w:pPr>
      <w:r>
        <w:rPr>
          <w:lang w:val="en-US"/>
        </w:rPr>
        <w:t>2.</w:t>
      </w:r>
      <w:r>
        <w:rPr>
          <w:lang w:val="en-US"/>
        </w:rPr>
        <w:tab/>
      </w:r>
      <w:r w:rsidR="00BF3499" w:rsidRPr="00142B0D">
        <w:rPr>
          <w:i/>
          <w:iCs/>
          <w:lang w:val="en-US"/>
        </w:rPr>
        <w:t>Welcomes</w:t>
      </w:r>
      <w:r w:rsidR="00BF3499" w:rsidRPr="00142B0D">
        <w:rPr>
          <w:lang w:val="en-US"/>
        </w:rPr>
        <w:t xml:space="preserve"> the report of the Green Climate Fund to the Conference of the Parties at its twenty-ninth session,</w:t>
      </w:r>
      <w:r w:rsidR="00BF3499" w:rsidRPr="00142B0D">
        <w:rPr>
          <w:rStyle w:val="FootnoteReference"/>
          <w:rFonts w:asciiTheme="majorBidi" w:hAnsiTheme="majorBidi" w:cstheme="majorBidi"/>
          <w:lang w:val="en-US"/>
        </w:rPr>
        <w:footnoteReference w:id="8"/>
      </w:r>
      <w:r w:rsidR="00BF3499" w:rsidRPr="00142B0D">
        <w:rPr>
          <w:lang w:val="en-US"/>
        </w:rPr>
        <w:t xml:space="preserve"> including the information on action taken by the Board of the Green Climate Fund in response to guidance received from the Conference of the Parties;</w:t>
      </w:r>
    </w:p>
    <w:p w14:paraId="44347FA7" w14:textId="4D9F87B0" w:rsidR="00BF3499" w:rsidRPr="00266B25" w:rsidRDefault="004250A3" w:rsidP="004250A3">
      <w:pPr>
        <w:pStyle w:val="RegSingleTxtG"/>
        <w:numPr>
          <w:ilvl w:val="0"/>
          <w:numId w:val="0"/>
        </w:numPr>
        <w:ind w:left="1134"/>
        <w:rPr>
          <w:lang w:val="en-US"/>
        </w:rPr>
      </w:pPr>
      <w:r w:rsidRPr="00266B25">
        <w:rPr>
          <w:lang w:val="en-US"/>
        </w:rPr>
        <w:t>3.</w:t>
      </w:r>
      <w:r w:rsidRPr="00266B25">
        <w:rPr>
          <w:lang w:val="en-US"/>
        </w:rPr>
        <w:tab/>
      </w:r>
      <w:r w:rsidR="00BF3499">
        <w:rPr>
          <w:i/>
          <w:iCs/>
          <w:lang w:val="en-US"/>
        </w:rPr>
        <w:t>Also w</w:t>
      </w:r>
      <w:r w:rsidR="00BF3499" w:rsidRPr="00266B25">
        <w:rPr>
          <w:i/>
          <w:iCs/>
          <w:lang w:val="en-US"/>
        </w:rPr>
        <w:t>elcomes</w:t>
      </w:r>
      <w:r w:rsidR="00BF3499" w:rsidRPr="00266B25">
        <w:rPr>
          <w:lang w:val="en-US"/>
        </w:rPr>
        <w:t xml:space="preserve"> the adoption </w:t>
      </w:r>
      <w:r w:rsidR="00BF3499">
        <w:rPr>
          <w:lang w:val="en-US"/>
        </w:rPr>
        <w:t xml:space="preserve">by the Board </w:t>
      </w:r>
      <w:r w:rsidR="00BF3499" w:rsidRPr="00266B25">
        <w:rPr>
          <w:lang w:val="en-US"/>
        </w:rPr>
        <w:t>of a policy for results-based payments for activities referred to in paragraph 70</w:t>
      </w:r>
      <w:r w:rsidR="00BF3499">
        <w:rPr>
          <w:lang w:val="en-US"/>
        </w:rPr>
        <w:t xml:space="preserve"> of </w:t>
      </w:r>
      <w:r w:rsidR="00BF3499" w:rsidRPr="00266B25">
        <w:rPr>
          <w:lang w:val="en-US"/>
        </w:rPr>
        <w:t xml:space="preserve">decision </w:t>
      </w:r>
      <w:hyperlink r:id="rId30" w:history="1">
        <w:r w:rsidR="00BF3499" w:rsidRPr="00C479DE">
          <w:rPr>
            <w:rStyle w:val="Hyperlink"/>
            <w:lang w:val="en-US"/>
          </w:rPr>
          <w:t>1/CP.16</w:t>
        </w:r>
      </w:hyperlink>
      <w:r w:rsidR="00BF3499">
        <w:rPr>
          <w:lang w:val="en-US"/>
        </w:rPr>
        <w:t>;</w:t>
      </w:r>
      <w:r w:rsidR="00BF3499">
        <w:rPr>
          <w:rStyle w:val="FootnoteReference"/>
          <w:lang w:val="en-US"/>
        </w:rPr>
        <w:footnoteReference w:id="9"/>
      </w:r>
    </w:p>
    <w:p w14:paraId="2D12059B" w14:textId="2D2DB5AD" w:rsidR="00BF3499" w:rsidRDefault="004250A3" w:rsidP="004250A3">
      <w:pPr>
        <w:pStyle w:val="RegSingleTxtG"/>
        <w:numPr>
          <w:ilvl w:val="0"/>
          <w:numId w:val="0"/>
        </w:numPr>
        <w:ind w:left="1134"/>
        <w:rPr>
          <w:lang w:val="en-US"/>
        </w:rPr>
      </w:pPr>
      <w:r>
        <w:rPr>
          <w:lang w:val="en-US"/>
        </w:rPr>
        <w:t>4.</w:t>
      </w:r>
      <w:r>
        <w:rPr>
          <w:lang w:val="en-US"/>
        </w:rPr>
        <w:tab/>
      </w:r>
      <w:r w:rsidR="00BF3499" w:rsidRPr="0087533C">
        <w:rPr>
          <w:i/>
          <w:iCs/>
        </w:rPr>
        <w:t>Encourages</w:t>
      </w:r>
      <w:r w:rsidR="00BF3499" w:rsidRPr="0085519A">
        <w:rPr>
          <w:i/>
          <w:iCs/>
        </w:rPr>
        <w:t xml:space="preserve"> </w:t>
      </w:r>
      <w:r w:rsidR="00BF3499">
        <w:t xml:space="preserve">the Board to </w:t>
      </w:r>
      <w:r w:rsidR="00BF3499" w:rsidRPr="00317598">
        <w:t>support the increased</w:t>
      </w:r>
      <w:r w:rsidR="00BF3499">
        <w:t xml:space="preserve"> use of alternative financial instruments and structures with a view to increasing public and private finance, in line with the Board’s risk appetite statement</w:t>
      </w:r>
      <w:r w:rsidR="00415222">
        <w:t>,</w:t>
      </w:r>
      <w:r w:rsidR="00BF3499">
        <w:rPr>
          <w:rStyle w:val="FootnoteReference"/>
        </w:rPr>
        <w:footnoteReference w:id="10"/>
      </w:r>
      <w:r w:rsidR="00BF3499">
        <w:t xml:space="preserve"> for mitigation and adaptation projects in developing countries </w:t>
      </w:r>
      <w:r w:rsidR="00BF3499">
        <w:rPr>
          <w:lang w:val="en-US"/>
        </w:rPr>
        <w:t>in line with the Board’s policy;</w:t>
      </w:r>
    </w:p>
    <w:p w14:paraId="276DE047" w14:textId="492BB78F" w:rsidR="00BF3499" w:rsidRPr="00266B25" w:rsidRDefault="004250A3" w:rsidP="004250A3">
      <w:pPr>
        <w:pStyle w:val="RegSingleTxtG"/>
        <w:numPr>
          <w:ilvl w:val="0"/>
          <w:numId w:val="0"/>
        </w:numPr>
        <w:ind w:left="1134"/>
        <w:rPr>
          <w:lang w:val="en-US"/>
        </w:rPr>
      </w:pPr>
      <w:r w:rsidRPr="00266B25">
        <w:rPr>
          <w:lang w:val="en-US"/>
        </w:rPr>
        <w:t>5.</w:t>
      </w:r>
      <w:r w:rsidRPr="00266B25">
        <w:rPr>
          <w:lang w:val="en-US"/>
        </w:rPr>
        <w:tab/>
      </w:r>
      <w:r w:rsidR="00BF3499" w:rsidRPr="0064135B">
        <w:rPr>
          <w:i/>
          <w:iCs/>
          <w:lang w:val="en-US"/>
        </w:rPr>
        <w:t>Requests</w:t>
      </w:r>
      <w:r w:rsidR="00BF3499">
        <w:rPr>
          <w:lang w:val="en-US"/>
        </w:rPr>
        <w:t xml:space="preserve"> the Board to continue to streamline and simplify access to funding by reducing median times taken during the second replenishment of the Green Climate Fund to process accreditation, readiness, and </w:t>
      </w:r>
      <w:r w:rsidR="00BF3499" w:rsidRPr="003120C0">
        <w:rPr>
          <w:lang w:val="en-US"/>
        </w:rPr>
        <w:t xml:space="preserve">standard proposal approval process </w:t>
      </w:r>
      <w:r w:rsidR="00BF3499">
        <w:rPr>
          <w:lang w:val="en-US"/>
        </w:rPr>
        <w:t xml:space="preserve">and </w:t>
      </w:r>
      <w:r w:rsidR="00BF3499" w:rsidRPr="00AC0BF1">
        <w:rPr>
          <w:lang w:val="en-US"/>
        </w:rPr>
        <w:t xml:space="preserve">simplified approval process </w:t>
      </w:r>
      <w:r w:rsidR="00BF3499">
        <w:rPr>
          <w:lang w:val="en-US"/>
        </w:rPr>
        <w:t xml:space="preserve">proposals from review to first disbursement, relative to the first replenishment, with an emphasis on reducing processing time for funding proposals in line with the </w:t>
      </w:r>
      <w:r w:rsidR="00BF3499" w:rsidRPr="00A20163">
        <w:rPr>
          <w:lang w:val="en-US"/>
        </w:rPr>
        <w:t>Strategic Plan for the Green Climate Fund 2024–2027</w:t>
      </w:r>
      <w:r w:rsidR="00BF3499">
        <w:rPr>
          <w:rStyle w:val="FootnoteReference"/>
          <w:lang w:val="en-US"/>
        </w:rPr>
        <w:footnoteReference w:id="11"/>
      </w:r>
      <w:r w:rsidR="00BF3499">
        <w:rPr>
          <w:lang w:val="en-US"/>
        </w:rPr>
        <w:t xml:space="preserve"> and </w:t>
      </w:r>
      <w:r w:rsidR="00BF3499" w:rsidRPr="00D474FE">
        <w:rPr>
          <w:lang w:val="en-US"/>
        </w:rPr>
        <w:t xml:space="preserve">strengthening relationships with </w:t>
      </w:r>
      <w:r w:rsidR="00BF3499">
        <w:rPr>
          <w:lang w:val="en-US"/>
        </w:rPr>
        <w:t xml:space="preserve">developing </w:t>
      </w:r>
      <w:r w:rsidR="00BF3499" w:rsidRPr="00D474FE">
        <w:rPr>
          <w:lang w:val="en-US"/>
        </w:rPr>
        <w:t>countries</w:t>
      </w:r>
      <w:r w:rsidR="00BF3499">
        <w:rPr>
          <w:lang w:val="en-US"/>
        </w:rPr>
        <w:t>, especially those that are particularly vulnerable to the adverse effects of climate change and have significant capacity constraints</w:t>
      </w:r>
      <w:r w:rsidR="00BF3499" w:rsidRPr="00D474FE">
        <w:rPr>
          <w:lang w:val="en-US"/>
        </w:rPr>
        <w:t xml:space="preserve">, particularly </w:t>
      </w:r>
      <w:r w:rsidR="00BF3499">
        <w:rPr>
          <w:lang w:val="en-US"/>
        </w:rPr>
        <w:t>the l</w:t>
      </w:r>
      <w:r w:rsidR="00BF3499" w:rsidRPr="004060BE">
        <w:rPr>
          <w:lang w:val="en-US"/>
        </w:rPr>
        <w:t xml:space="preserve">east </w:t>
      </w:r>
      <w:r w:rsidR="00BF3499">
        <w:rPr>
          <w:lang w:val="en-US"/>
        </w:rPr>
        <w:t>d</w:t>
      </w:r>
      <w:r w:rsidR="00BF3499" w:rsidRPr="004060BE">
        <w:rPr>
          <w:lang w:val="en-US"/>
        </w:rPr>
        <w:t xml:space="preserve">eveloped </w:t>
      </w:r>
      <w:r w:rsidR="00BF3499">
        <w:rPr>
          <w:lang w:val="en-US"/>
        </w:rPr>
        <w:t>c</w:t>
      </w:r>
      <w:r w:rsidR="00BF3499" w:rsidRPr="004060BE">
        <w:rPr>
          <w:lang w:val="en-US"/>
        </w:rPr>
        <w:t xml:space="preserve">ountries and </w:t>
      </w:r>
      <w:r w:rsidR="00BF3499">
        <w:rPr>
          <w:lang w:val="en-US"/>
        </w:rPr>
        <w:t>s</w:t>
      </w:r>
      <w:r w:rsidR="00BF3499" w:rsidRPr="004060BE">
        <w:rPr>
          <w:lang w:val="en-US"/>
        </w:rPr>
        <w:t xml:space="preserve">mall </w:t>
      </w:r>
      <w:r w:rsidR="00BF3499">
        <w:rPr>
          <w:lang w:val="en-US"/>
        </w:rPr>
        <w:t>i</w:t>
      </w:r>
      <w:r w:rsidR="00BF3499" w:rsidRPr="004060BE">
        <w:rPr>
          <w:lang w:val="en-US"/>
        </w:rPr>
        <w:t xml:space="preserve">sland </w:t>
      </w:r>
      <w:r w:rsidR="00BF3499">
        <w:rPr>
          <w:lang w:val="en-US"/>
        </w:rPr>
        <w:t>d</w:t>
      </w:r>
      <w:r w:rsidR="00BF3499" w:rsidRPr="004060BE">
        <w:rPr>
          <w:lang w:val="en-US"/>
        </w:rPr>
        <w:t>eveloping States</w:t>
      </w:r>
      <w:r w:rsidR="00BF3499">
        <w:rPr>
          <w:lang w:val="en-US"/>
        </w:rPr>
        <w:t>;</w:t>
      </w:r>
    </w:p>
    <w:p w14:paraId="3D41DCE2" w14:textId="3ED9EB7C" w:rsidR="00BF3499" w:rsidRDefault="004250A3" w:rsidP="004250A3">
      <w:pPr>
        <w:pStyle w:val="RegSingleTxtG"/>
        <w:numPr>
          <w:ilvl w:val="0"/>
          <w:numId w:val="0"/>
        </w:numPr>
        <w:ind w:left="1134"/>
        <w:rPr>
          <w:lang w:val="en-US"/>
        </w:rPr>
      </w:pPr>
      <w:r>
        <w:rPr>
          <w:lang w:val="en-US"/>
        </w:rPr>
        <w:t>6.</w:t>
      </w:r>
      <w:r>
        <w:rPr>
          <w:lang w:val="en-US"/>
        </w:rPr>
        <w:tab/>
      </w:r>
      <w:r w:rsidR="00BF3499">
        <w:rPr>
          <w:i/>
          <w:iCs/>
          <w:lang w:val="en-US"/>
        </w:rPr>
        <w:t xml:space="preserve">Welcomes </w:t>
      </w:r>
      <w:r w:rsidR="00BF3499" w:rsidRPr="001170BD">
        <w:rPr>
          <w:lang w:val="en-US"/>
        </w:rPr>
        <w:t>the ongoing efforts of the Green Climate Fund</w:t>
      </w:r>
      <w:r w:rsidR="00BF3499">
        <w:rPr>
          <w:lang w:val="en-US"/>
        </w:rPr>
        <w:t>,</w:t>
      </w:r>
      <w:r w:rsidR="00BF3499" w:rsidRPr="001170BD">
        <w:rPr>
          <w:lang w:val="en-US"/>
        </w:rPr>
        <w:t xml:space="preserve"> in collaboration with the Global Environment Facility, the Adaptation Fund and the Climate Investment Funds</w:t>
      </w:r>
      <w:r w:rsidR="00BF3499">
        <w:rPr>
          <w:lang w:val="en-US"/>
        </w:rPr>
        <w:t>,</w:t>
      </w:r>
      <w:r w:rsidR="00BF3499" w:rsidRPr="001170BD">
        <w:rPr>
          <w:lang w:val="en-US"/>
        </w:rPr>
        <w:t xml:space="preserve"> </w:t>
      </w:r>
      <w:r w:rsidR="00BF3499">
        <w:rPr>
          <w:lang w:val="en-US"/>
        </w:rPr>
        <w:t xml:space="preserve">to </w:t>
      </w:r>
      <w:r w:rsidR="00BF3499" w:rsidRPr="001170BD">
        <w:rPr>
          <w:lang w:val="en-US"/>
        </w:rPr>
        <w:t xml:space="preserve">enhance access to climate finance </w:t>
      </w:r>
      <w:r w:rsidR="00BF3499">
        <w:rPr>
          <w:lang w:val="en-US"/>
        </w:rPr>
        <w:t>with a view to</w:t>
      </w:r>
      <w:r w:rsidR="00BF3499" w:rsidRPr="0010717E">
        <w:rPr>
          <w:lang w:val="en-US"/>
        </w:rPr>
        <w:t xml:space="preserve"> </w:t>
      </w:r>
      <w:r w:rsidR="00BF3499" w:rsidRPr="00CC3916">
        <w:rPr>
          <w:lang w:val="en-US"/>
        </w:rPr>
        <w:t xml:space="preserve">scaling </w:t>
      </w:r>
      <w:r w:rsidR="00BF3499">
        <w:rPr>
          <w:lang w:val="en-US"/>
        </w:rPr>
        <w:t xml:space="preserve">up </w:t>
      </w:r>
      <w:r w:rsidR="00BF3499" w:rsidRPr="00CC3916">
        <w:rPr>
          <w:lang w:val="en-US"/>
        </w:rPr>
        <w:t>successful projects</w:t>
      </w:r>
      <w:r w:rsidR="00BF3499">
        <w:rPr>
          <w:lang w:val="en-US"/>
        </w:rPr>
        <w:t xml:space="preserve">, </w:t>
      </w:r>
      <w:r w:rsidR="00BF3499" w:rsidRPr="0010717E">
        <w:rPr>
          <w:lang w:val="en-US"/>
        </w:rPr>
        <w:t>maximizing impact and strengthening coherence</w:t>
      </w:r>
      <w:r w:rsidR="00BF3499" w:rsidRPr="007F6137">
        <w:rPr>
          <w:lang w:val="en-US"/>
        </w:rPr>
        <w:t xml:space="preserve"> </w:t>
      </w:r>
      <w:r w:rsidR="00BF3499" w:rsidRPr="001170BD">
        <w:rPr>
          <w:lang w:val="en-US"/>
        </w:rPr>
        <w:t>and</w:t>
      </w:r>
      <w:r w:rsidR="00BF3499">
        <w:rPr>
          <w:i/>
          <w:iCs/>
          <w:lang w:val="en-US"/>
        </w:rPr>
        <w:t xml:space="preserve"> invites</w:t>
      </w:r>
      <w:r w:rsidR="00BF3499" w:rsidRPr="00B72732">
        <w:rPr>
          <w:lang w:val="en-US"/>
        </w:rPr>
        <w:t xml:space="preserve"> the Board to ensure that </w:t>
      </w:r>
      <w:r w:rsidR="00BF3499">
        <w:rPr>
          <w:lang w:val="en-US"/>
        </w:rPr>
        <w:t xml:space="preserve">efforts to enhance </w:t>
      </w:r>
      <w:r w:rsidR="00BF3499" w:rsidRPr="00B72732">
        <w:rPr>
          <w:lang w:val="en-US"/>
        </w:rPr>
        <w:t xml:space="preserve">coherence and complementarity do not restrict </w:t>
      </w:r>
      <w:r w:rsidR="00BF3499">
        <w:rPr>
          <w:lang w:val="en-US"/>
        </w:rPr>
        <w:t xml:space="preserve">the </w:t>
      </w:r>
      <w:r w:rsidR="00BF3499" w:rsidRPr="00B72732">
        <w:rPr>
          <w:lang w:val="en-US"/>
        </w:rPr>
        <w:t xml:space="preserve">access </w:t>
      </w:r>
      <w:r w:rsidR="00BF3499">
        <w:rPr>
          <w:lang w:val="en-US"/>
        </w:rPr>
        <w:t xml:space="preserve">of </w:t>
      </w:r>
      <w:r w:rsidR="00BF3499" w:rsidRPr="00BE2BB6">
        <w:rPr>
          <w:lang w:val="en-US"/>
        </w:rPr>
        <w:t xml:space="preserve">developing countries </w:t>
      </w:r>
      <w:r w:rsidR="00BF3499" w:rsidRPr="00B72732">
        <w:rPr>
          <w:lang w:val="en-US"/>
        </w:rPr>
        <w:t xml:space="preserve">to resources or reduce </w:t>
      </w:r>
      <w:r w:rsidR="00BF3499">
        <w:rPr>
          <w:lang w:val="en-US"/>
        </w:rPr>
        <w:t xml:space="preserve">the </w:t>
      </w:r>
      <w:r w:rsidR="00BF3499" w:rsidRPr="00B72732">
        <w:rPr>
          <w:lang w:val="en-US"/>
        </w:rPr>
        <w:t xml:space="preserve">finance available to </w:t>
      </w:r>
      <w:r w:rsidR="00BF3499">
        <w:rPr>
          <w:lang w:val="en-US"/>
        </w:rPr>
        <w:t>them;</w:t>
      </w:r>
    </w:p>
    <w:p w14:paraId="1179CF51" w14:textId="568B737A" w:rsidR="00175E0F" w:rsidRDefault="004250A3" w:rsidP="004250A3">
      <w:pPr>
        <w:pStyle w:val="RegSingleTxtG"/>
        <w:numPr>
          <w:ilvl w:val="0"/>
          <w:numId w:val="0"/>
        </w:numPr>
        <w:ind w:left="1134"/>
        <w:rPr>
          <w:lang w:val="en-US"/>
        </w:rPr>
      </w:pPr>
      <w:r>
        <w:rPr>
          <w:lang w:val="en-US"/>
        </w:rPr>
        <w:t>7.</w:t>
      </w:r>
      <w:r>
        <w:rPr>
          <w:lang w:val="en-US"/>
        </w:rPr>
        <w:tab/>
      </w:r>
      <w:r w:rsidR="00BF3499" w:rsidRPr="0000067D">
        <w:rPr>
          <w:i/>
          <w:iCs/>
          <w:lang w:val="en-US"/>
        </w:rPr>
        <w:t>Notes</w:t>
      </w:r>
      <w:r w:rsidR="00BF3499" w:rsidRPr="00CB3BB9">
        <w:rPr>
          <w:lang w:val="en-US"/>
        </w:rPr>
        <w:t xml:space="preserve"> </w:t>
      </w:r>
      <w:r w:rsidR="00BF3499">
        <w:rPr>
          <w:lang w:val="en-US"/>
        </w:rPr>
        <w:t xml:space="preserve">paragraphs 18–19 of </w:t>
      </w:r>
      <w:r w:rsidR="00BF3499" w:rsidRPr="00CB3BB9">
        <w:rPr>
          <w:lang w:val="en-US"/>
        </w:rPr>
        <w:t xml:space="preserve">decision </w:t>
      </w:r>
      <w:hyperlink r:id="rId31" w:history="1">
        <w:r w:rsidR="00F92CC1" w:rsidRPr="007643B7">
          <w:rPr>
            <w:rStyle w:val="Hyperlink"/>
            <w:lang w:val="en-US"/>
          </w:rPr>
          <w:t>3</w:t>
        </w:r>
        <w:r w:rsidR="00BF3499" w:rsidRPr="007643B7">
          <w:rPr>
            <w:rStyle w:val="Hyperlink"/>
            <w:lang w:val="en-US"/>
          </w:rPr>
          <w:t>/CP.29</w:t>
        </w:r>
      </w:hyperlink>
      <w:r w:rsidR="00BF3499">
        <w:rPr>
          <w:lang w:val="en-US"/>
        </w:rPr>
        <w:t xml:space="preserve"> </w:t>
      </w:r>
      <w:r w:rsidR="00BF3499" w:rsidRPr="00CB3BB9">
        <w:rPr>
          <w:lang w:val="en-US"/>
        </w:rPr>
        <w:t>regarding guidance to the G</w:t>
      </w:r>
      <w:r w:rsidR="00BF3499">
        <w:rPr>
          <w:lang w:val="en-US"/>
        </w:rPr>
        <w:t xml:space="preserve">reen </w:t>
      </w:r>
      <w:r w:rsidR="00BF3499" w:rsidRPr="00CB3BB9">
        <w:rPr>
          <w:lang w:val="en-US"/>
        </w:rPr>
        <w:t>C</w:t>
      </w:r>
      <w:r w:rsidR="00BF3499">
        <w:rPr>
          <w:lang w:val="en-US"/>
        </w:rPr>
        <w:t xml:space="preserve">limate </w:t>
      </w:r>
      <w:r w:rsidR="00BF3499" w:rsidRPr="00CB3BB9">
        <w:rPr>
          <w:lang w:val="en-US"/>
        </w:rPr>
        <w:t>F</w:t>
      </w:r>
      <w:r w:rsidR="00BF3499">
        <w:rPr>
          <w:lang w:val="en-US"/>
        </w:rPr>
        <w:t>und</w:t>
      </w:r>
      <w:r w:rsidR="00BF3499" w:rsidRPr="00CB3BB9">
        <w:rPr>
          <w:lang w:val="en-US"/>
        </w:rPr>
        <w:t>;</w:t>
      </w:r>
    </w:p>
    <w:p w14:paraId="4F4B3E7B" w14:textId="56FD82B0" w:rsidR="00BF3499" w:rsidRPr="00175E0F" w:rsidRDefault="004250A3" w:rsidP="004250A3">
      <w:pPr>
        <w:pStyle w:val="RegSingleTxtG"/>
        <w:numPr>
          <w:ilvl w:val="0"/>
          <w:numId w:val="0"/>
        </w:numPr>
        <w:ind w:left="1134"/>
        <w:rPr>
          <w:lang w:val="en-US"/>
        </w:rPr>
      </w:pPr>
      <w:r w:rsidRPr="00175E0F">
        <w:rPr>
          <w:lang w:val="en-US"/>
        </w:rPr>
        <w:t>8.</w:t>
      </w:r>
      <w:r w:rsidRPr="00175E0F">
        <w:rPr>
          <w:lang w:val="en-US"/>
        </w:rPr>
        <w:tab/>
      </w:r>
      <w:r w:rsidR="00BF3499" w:rsidRPr="00175E0F">
        <w:rPr>
          <w:i/>
          <w:iCs/>
        </w:rPr>
        <w:t xml:space="preserve">Confirms </w:t>
      </w:r>
      <w:r w:rsidR="00BF3499" w:rsidRPr="00163703">
        <w:t>that</w:t>
      </w:r>
      <w:r w:rsidR="00BF3499">
        <w:t xml:space="preserve"> guidance may be provided,</w:t>
      </w:r>
      <w:r w:rsidR="00BF3499" w:rsidRPr="00175E0F">
        <w:rPr>
          <w:lang w:val="en-US"/>
        </w:rPr>
        <w:t xml:space="preserve"> for transmission by the Conference of the Parties</w:t>
      </w:r>
      <w:r w:rsidR="00BF3499">
        <w:t xml:space="preserve">, in accordance with the modified arrangements outlined in the annex to decision </w:t>
      </w:r>
      <w:hyperlink r:id="rId32" w:history="1">
        <w:r w:rsidR="00AB3DCB" w:rsidRPr="003E43C3">
          <w:rPr>
            <w:rStyle w:val="Hyperlink"/>
          </w:rPr>
          <w:t>3</w:t>
        </w:r>
        <w:r w:rsidR="00BF3499" w:rsidRPr="003E43C3">
          <w:rPr>
            <w:rStyle w:val="Hyperlink"/>
          </w:rPr>
          <w:t>/CP.29</w:t>
        </w:r>
      </w:hyperlink>
      <w:r w:rsidR="00BF3499">
        <w:t>, upon request by a Party consistent with rules 9–13 of the draft rules of procedure</w:t>
      </w:r>
      <w:r w:rsidR="00BF3499">
        <w:rPr>
          <w:rStyle w:val="FootnoteReference"/>
        </w:rPr>
        <w:footnoteReference w:id="12"/>
      </w:r>
      <w:r w:rsidR="00BF3499">
        <w:t xml:space="preserve"> being applied, as well as at</w:t>
      </w:r>
      <w:r w:rsidR="00BF3499" w:rsidRPr="006B6CC4">
        <w:t xml:space="preserve"> each session </w:t>
      </w:r>
      <w:r w:rsidR="00BF3499">
        <w:t xml:space="preserve">of the </w:t>
      </w:r>
      <w:r w:rsidR="00BF3499" w:rsidRPr="00C54250">
        <w:t>Conference of the Parties serving as the meeting of the Parties to the Paris Agreement</w:t>
      </w:r>
      <w:r w:rsidR="00BF3499" w:rsidRPr="00C54250" w:rsidDel="00C54250">
        <w:t xml:space="preserve"> </w:t>
      </w:r>
      <w:r w:rsidR="00BF3499" w:rsidRPr="006B6CC4">
        <w:t>preced</w:t>
      </w:r>
      <w:r w:rsidR="00BF3499">
        <w:t>ing</w:t>
      </w:r>
      <w:r w:rsidR="00BF3499" w:rsidRPr="006B6CC4">
        <w:t xml:space="preserve"> the final year of </w:t>
      </w:r>
      <w:r w:rsidR="00BF3499">
        <w:t xml:space="preserve">each </w:t>
      </w:r>
      <w:r w:rsidR="00BF3499" w:rsidRPr="001A74B3">
        <w:t xml:space="preserve">replenishment </w:t>
      </w:r>
      <w:r w:rsidR="00BF3499">
        <w:t xml:space="preserve">of the </w:t>
      </w:r>
      <w:r w:rsidR="00BF3499" w:rsidRPr="006B6CC4">
        <w:t>Green Climate F</w:t>
      </w:r>
      <w:r w:rsidR="00BF3499">
        <w:t>und.</w:t>
      </w:r>
    </w:p>
    <w:p w14:paraId="38D1C737" w14:textId="4ABFA789" w:rsidR="00175E0F" w:rsidRDefault="00EF0C23" w:rsidP="00175E0F">
      <w:pPr>
        <w:pStyle w:val="RegSingleTxtG"/>
        <w:numPr>
          <w:ilvl w:val="0"/>
          <w:numId w:val="0"/>
        </w:numPr>
        <w:spacing w:after="0"/>
        <w:ind w:left="1134"/>
        <w:jc w:val="right"/>
        <w:rPr>
          <w:i/>
          <w:iCs/>
        </w:rPr>
      </w:pPr>
      <w:r>
        <w:rPr>
          <w:i/>
          <w:iCs/>
        </w:rPr>
        <w:t>11</w:t>
      </w:r>
      <w:r w:rsidRPr="00EF0C23">
        <w:rPr>
          <w:i/>
          <w:iCs/>
          <w:vertAlign w:val="superscript"/>
        </w:rPr>
        <w:t>th</w:t>
      </w:r>
      <w:r>
        <w:rPr>
          <w:i/>
          <w:iCs/>
        </w:rPr>
        <w:t xml:space="preserve"> </w:t>
      </w:r>
      <w:r w:rsidR="00175E0F">
        <w:rPr>
          <w:i/>
          <w:iCs/>
        </w:rPr>
        <w:t>plenary meeting</w:t>
      </w:r>
    </w:p>
    <w:p w14:paraId="0248320B" w14:textId="07FEDAA3" w:rsidR="00175E0F" w:rsidRPr="00175E0F" w:rsidRDefault="00EF0C23" w:rsidP="00175E0F">
      <w:pPr>
        <w:pStyle w:val="RegSingleTxtG"/>
        <w:numPr>
          <w:ilvl w:val="0"/>
          <w:numId w:val="0"/>
        </w:numPr>
        <w:spacing w:after="0"/>
        <w:ind w:left="1134"/>
        <w:jc w:val="right"/>
        <w:rPr>
          <w:lang w:val="en-US"/>
        </w:rPr>
      </w:pPr>
      <w:r>
        <w:rPr>
          <w:i/>
          <w:iCs/>
        </w:rPr>
        <w:t>23</w:t>
      </w:r>
      <w:r w:rsidR="00175E0F">
        <w:rPr>
          <w:i/>
          <w:iCs/>
        </w:rPr>
        <w:t xml:space="preserve"> November 2024</w:t>
      </w:r>
    </w:p>
    <w:p w14:paraId="15C26221" w14:textId="77777777" w:rsidR="00A947BB" w:rsidRDefault="00A947BB" w:rsidP="004250A3">
      <w:pPr>
        <w:pStyle w:val="RegHChG"/>
        <w:numPr>
          <w:ilvl w:val="0"/>
          <w:numId w:val="0"/>
        </w:numPr>
        <w:ind w:left="1135" w:hanging="454"/>
        <w:sectPr w:rsidR="00A947BB" w:rsidSect="00F76195">
          <w:headerReference w:type="even" r:id="rId33"/>
          <w:footerReference w:type="even" r:id="rId34"/>
          <w:footnotePr>
            <w:numRestart w:val="eachSect"/>
          </w:footnotePr>
          <w:pgSz w:w="11906" w:h="16838" w:code="9"/>
          <w:pgMar w:top="1417" w:right="1134" w:bottom="1134" w:left="1134" w:header="850" w:footer="567" w:gutter="0"/>
          <w:cols w:space="708"/>
          <w:docGrid w:linePitch="360"/>
        </w:sectPr>
      </w:pPr>
      <w:bookmarkStart w:id="8" w:name="decision10"/>
    </w:p>
    <w:p w14:paraId="57B322DF" w14:textId="6C3CF5E2" w:rsidR="00D83C7D" w:rsidRDefault="00D83C7D" w:rsidP="004250A3">
      <w:pPr>
        <w:pStyle w:val="RegHChG"/>
        <w:numPr>
          <w:ilvl w:val="0"/>
          <w:numId w:val="0"/>
        </w:numPr>
        <w:ind w:left="1135" w:hanging="454"/>
      </w:pPr>
      <w:r>
        <w:lastRenderedPageBreak/>
        <w:t xml:space="preserve">Decision </w:t>
      </w:r>
      <w:r w:rsidRPr="00A573BC">
        <w:t>10/CMA.6</w:t>
      </w:r>
      <w:bookmarkEnd w:id="8"/>
    </w:p>
    <w:p w14:paraId="6D2B1771" w14:textId="30F3829A" w:rsidR="00E54854" w:rsidRPr="000E033B" w:rsidRDefault="00E54854" w:rsidP="004250A3">
      <w:pPr>
        <w:pStyle w:val="RegHChG"/>
        <w:numPr>
          <w:ilvl w:val="0"/>
          <w:numId w:val="0"/>
        </w:numPr>
        <w:ind w:left="1135" w:hanging="454"/>
      </w:pPr>
      <w:r w:rsidRPr="000E033B">
        <w:t>Guidance to the Global Environment Facility</w:t>
      </w:r>
    </w:p>
    <w:p w14:paraId="292F33C7" w14:textId="77777777" w:rsidR="00E54854" w:rsidRPr="005E0BBE" w:rsidRDefault="00E54854" w:rsidP="00E54854">
      <w:pPr>
        <w:pStyle w:val="RegSingleTxtG"/>
        <w:numPr>
          <w:ilvl w:val="0"/>
          <w:numId w:val="0"/>
        </w:numPr>
        <w:ind w:left="1134"/>
        <w:rPr>
          <w:color w:val="000000"/>
        </w:rPr>
      </w:pPr>
      <w:r>
        <w:rPr>
          <w:i/>
          <w:iCs/>
          <w:color w:val="000000"/>
        </w:rPr>
        <w:tab/>
      </w:r>
      <w:r w:rsidRPr="005E0BBE">
        <w:rPr>
          <w:i/>
          <w:iCs/>
          <w:color w:val="000000"/>
        </w:rPr>
        <w:t>The Conference of the Parties serving as the meeting of the Parties to the Paris Agreement</w:t>
      </w:r>
    </w:p>
    <w:p w14:paraId="12E21829" w14:textId="4D01BEB2" w:rsidR="00E54854" w:rsidRPr="005E0BBE" w:rsidRDefault="004250A3" w:rsidP="004250A3">
      <w:pPr>
        <w:pStyle w:val="RegSingleTxtG"/>
        <w:numPr>
          <w:ilvl w:val="0"/>
          <w:numId w:val="0"/>
        </w:numPr>
        <w:ind w:left="1134"/>
        <w:rPr>
          <w:rStyle w:val="eop"/>
        </w:rPr>
      </w:pPr>
      <w:r w:rsidRPr="005E0BBE">
        <w:rPr>
          <w:rStyle w:val="eop"/>
        </w:rPr>
        <w:t>1.</w:t>
      </w:r>
      <w:r w:rsidRPr="005E0BBE">
        <w:rPr>
          <w:rStyle w:val="eop"/>
        </w:rPr>
        <w:tab/>
      </w:r>
      <w:r w:rsidR="00E54854" w:rsidRPr="00B75F56">
        <w:rPr>
          <w:rStyle w:val="eop"/>
          <w:i/>
          <w:iCs/>
        </w:rPr>
        <w:t>Recommends</w:t>
      </w:r>
      <w:r w:rsidR="00E54854" w:rsidRPr="005E0BBE">
        <w:rPr>
          <w:rStyle w:val="eop"/>
        </w:rPr>
        <w:t xml:space="preserve"> that the Conference of the Parties at its twenty-ninth session transmit to the Global Environment Facility the guidance contained in paragraphs </w:t>
      </w:r>
      <w:r w:rsidR="00E54854" w:rsidRPr="00B75F56">
        <w:rPr>
          <w:rStyle w:val="eop"/>
          <w:rFonts w:eastAsia="Malgun Gothic" w:hint="eastAsia"/>
          <w:lang w:eastAsia="ko-KR"/>
        </w:rPr>
        <w:t>2</w:t>
      </w:r>
      <w:r w:rsidR="00E54854" w:rsidRPr="005E0BBE">
        <w:rPr>
          <w:rStyle w:val="eop"/>
        </w:rPr>
        <w:t>–</w:t>
      </w:r>
      <w:r w:rsidR="00E54854">
        <w:rPr>
          <w:rStyle w:val="eop"/>
        </w:rPr>
        <w:t>6</w:t>
      </w:r>
      <w:r w:rsidR="00E54854" w:rsidRPr="005E0BBE">
        <w:rPr>
          <w:rStyle w:val="eop"/>
        </w:rPr>
        <w:t xml:space="preserve"> below;</w:t>
      </w:r>
      <w:r w:rsidR="00E54854">
        <w:rPr>
          <w:rStyle w:val="FootnoteReference"/>
        </w:rPr>
        <w:footnoteReference w:id="13"/>
      </w:r>
    </w:p>
    <w:p w14:paraId="06C59F96" w14:textId="54BF613A" w:rsidR="00E54854" w:rsidRPr="005E0BBE" w:rsidRDefault="004250A3" w:rsidP="004250A3">
      <w:pPr>
        <w:pStyle w:val="RegSingleTxtG"/>
        <w:numPr>
          <w:ilvl w:val="0"/>
          <w:numId w:val="0"/>
        </w:numPr>
        <w:ind w:left="1134"/>
        <w:rPr>
          <w:rFonts w:eastAsia="Malgun Gothic"/>
          <w:lang w:eastAsia="ko-KR"/>
        </w:rPr>
      </w:pPr>
      <w:r w:rsidRPr="005E0BBE">
        <w:rPr>
          <w:rFonts w:eastAsia="Malgun Gothic"/>
          <w:lang w:eastAsia="ko-KR"/>
        </w:rPr>
        <w:t>2.</w:t>
      </w:r>
      <w:r w:rsidRPr="005E0BBE">
        <w:rPr>
          <w:rFonts w:eastAsia="Malgun Gothic"/>
          <w:lang w:eastAsia="ko-KR"/>
        </w:rPr>
        <w:tab/>
      </w:r>
      <w:r w:rsidR="00E54854" w:rsidRPr="005E0BBE">
        <w:rPr>
          <w:rFonts w:eastAsia="Malgun Gothic"/>
          <w:i/>
          <w:iCs/>
          <w:lang w:eastAsia="ko-KR"/>
        </w:rPr>
        <w:t>Requests</w:t>
      </w:r>
      <w:r w:rsidR="00E54854" w:rsidRPr="005E0BBE">
        <w:rPr>
          <w:rFonts w:eastAsia="Malgun Gothic"/>
          <w:lang w:eastAsia="ko-KR"/>
        </w:rPr>
        <w:t xml:space="preserve"> the </w:t>
      </w:r>
      <w:r w:rsidR="00E54854" w:rsidRPr="005E0BBE">
        <w:t>Global Environment Facility</w:t>
      </w:r>
      <w:r w:rsidR="00E54854" w:rsidRPr="005E0BBE">
        <w:rPr>
          <w:rFonts w:eastAsia="Malgun Gothic"/>
          <w:lang w:eastAsia="ko-KR"/>
        </w:rPr>
        <w:t xml:space="preserve"> to include further information in its annual report </w:t>
      </w:r>
      <w:r w:rsidR="00E54854">
        <w:rPr>
          <w:rFonts w:eastAsia="Malgun Gothic"/>
          <w:lang w:eastAsia="ko-KR"/>
        </w:rPr>
        <w:t>for 2025</w:t>
      </w:r>
      <w:r w:rsidR="00E54854" w:rsidRPr="005E0BBE">
        <w:rPr>
          <w:rFonts w:eastAsia="Malgun Gothic"/>
          <w:lang w:eastAsia="ko-KR"/>
        </w:rPr>
        <w:t xml:space="preserve"> regarding how funds are used to ensure that enabling activities support the sustainability of national reporting systems and enhance institutional capacity in developing country Parties;</w:t>
      </w:r>
    </w:p>
    <w:p w14:paraId="6687E3EE" w14:textId="0173DBAE" w:rsidR="00E54854" w:rsidRPr="005E0BBE" w:rsidRDefault="004250A3" w:rsidP="004250A3">
      <w:pPr>
        <w:pStyle w:val="RegSingleTxtG"/>
        <w:numPr>
          <w:ilvl w:val="0"/>
          <w:numId w:val="0"/>
        </w:numPr>
        <w:ind w:left="1134"/>
        <w:rPr>
          <w:rFonts w:eastAsia="Malgun Gothic"/>
          <w:lang w:eastAsia="ko-KR"/>
        </w:rPr>
      </w:pPr>
      <w:r w:rsidRPr="005E0BBE">
        <w:rPr>
          <w:rFonts w:eastAsia="Malgun Gothic"/>
          <w:lang w:eastAsia="ko-KR"/>
        </w:rPr>
        <w:t>3.</w:t>
      </w:r>
      <w:r w:rsidRPr="005E0BBE">
        <w:rPr>
          <w:rFonts w:eastAsia="Malgun Gothic"/>
          <w:lang w:eastAsia="ko-KR"/>
        </w:rPr>
        <w:tab/>
      </w:r>
      <w:r w:rsidR="00E54854">
        <w:rPr>
          <w:rFonts w:eastAsia="Malgun Gothic"/>
          <w:i/>
          <w:iCs/>
          <w:lang w:eastAsia="ko-KR"/>
        </w:rPr>
        <w:t>Also r</w:t>
      </w:r>
      <w:r w:rsidR="00E54854" w:rsidRPr="005E0BBE">
        <w:rPr>
          <w:rFonts w:eastAsia="Malgun Gothic"/>
          <w:i/>
          <w:iCs/>
          <w:lang w:eastAsia="ko-KR"/>
        </w:rPr>
        <w:t>equests</w:t>
      </w:r>
      <w:r w:rsidR="00E54854" w:rsidRPr="005E0BBE">
        <w:rPr>
          <w:rFonts w:eastAsia="Malgun Gothic"/>
          <w:lang w:eastAsia="ko-KR"/>
        </w:rPr>
        <w:t xml:space="preserve"> the </w:t>
      </w:r>
      <w:r w:rsidR="00E54854" w:rsidRPr="005E0BBE">
        <w:t>Global Environment Facility</w:t>
      </w:r>
      <w:r w:rsidR="00E54854" w:rsidRPr="005E0BBE">
        <w:rPr>
          <w:rFonts w:eastAsia="Malgun Gothic"/>
          <w:lang w:eastAsia="ko-KR"/>
        </w:rPr>
        <w:t xml:space="preserve"> to consider how </w:t>
      </w:r>
      <w:r w:rsidR="00E54854">
        <w:rPr>
          <w:rFonts w:eastAsia="Malgun Gothic" w:hint="eastAsia"/>
          <w:lang w:eastAsia="ko-KR"/>
        </w:rPr>
        <w:t xml:space="preserve">it can improve the delivery of support for </w:t>
      </w:r>
      <w:r w:rsidR="00E54854" w:rsidRPr="005E0BBE">
        <w:rPr>
          <w:rFonts w:eastAsia="Malgun Gothic"/>
          <w:lang w:eastAsia="ko-KR"/>
        </w:rPr>
        <w:t xml:space="preserve">the </w:t>
      </w:r>
      <w:r w:rsidR="00E54854" w:rsidRPr="007225B7">
        <w:rPr>
          <w:rFonts w:eastAsia="Malgun Gothic"/>
          <w:lang w:eastAsia="ko-KR"/>
        </w:rPr>
        <w:t>Capacity-building Initiative for Transparency</w:t>
      </w:r>
      <w:r w:rsidR="00E54854" w:rsidRPr="005E0BBE">
        <w:rPr>
          <w:rFonts w:eastAsia="Malgun Gothic"/>
          <w:lang w:eastAsia="ko-KR"/>
        </w:rPr>
        <w:t xml:space="preserve"> and enabling activities </w:t>
      </w:r>
      <w:r w:rsidR="00E54854">
        <w:rPr>
          <w:rFonts w:eastAsia="Malgun Gothic" w:hint="eastAsia"/>
          <w:lang w:eastAsia="ko-KR"/>
        </w:rPr>
        <w:t xml:space="preserve">to </w:t>
      </w:r>
      <w:r w:rsidR="00E54854" w:rsidRPr="005E0BBE">
        <w:rPr>
          <w:rFonts w:eastAsia="Malgun Gothic"/>
          <w:lang w:eastAsia="ko-KR"/>
        </w:rPr>
        <w:t xml:space="preserve">avoid gaps between </w:t>
      </w:r>
      <w:r w:rsidR="00E54854">
        <w:rPr>
          <w:rFonts w:eastAsia="Malgun Gothic" w:hint="eastAsia"/>
          <w:lang w:eastAsia="ko-KR"/>
        </w:rPr>
        <w:t xml:space="preserve">the </w:t>
      </w:r>
      <w:r w:rsidR="00E54854" w:rsidRPr="005E0BBE">
        <w:rPr>
          <w:rFonts w:eastAsia="Malgun Gothic"/>
          <w:lang w:eastAsia="ko-KR"/>
        </w:rPr>
        <w:t>project cycles, provide support</w:t>
      </w:r>
      <w:r w:rsidR="00E54854">
        <w:rPr>
          <w:rFonts w:eastAsia="Malgun Gothic" w:hint="eastAsia"/>
          <w:lang w:eastAsia="ko-KR"/>
        </w:rPr>
        <w:t xml:space="preserve"> that is timely</w:t>
      </w:r>
      <w:r w:rsidR="00E54854">
        <w:rPr>
          <w:rFonts w:eastAsia="Malgun Gothic"/>
          <w:lang w:eastAsia="ko-KR"/>
        </w:rPr>
        <w:t>,</w:t>
      </w:r>
      <w:r w:rsidR="00E54854">
        <w:rPr>
          <w:rFonts w:eastAsia="Malgun Gothic" w:hint="eastAsia"/>
          <w:lang w:eastAsia="ko-KR"/>
        </w:rPr>
        <w:t xml:space="preserve"> and </w:t>
      </w:r>
      <w:r w:rsidR="00E54854" w:rsidRPr="005E0BBE">
        <w:rPr>
          <w:rFonts w:eastAsia="Malgun Gothic"/>
          <w:lang w:eastAsia="ko-KR"/>
        </w:rPr>
        <w:t xml:space="preserve">enhance the sustainability of national reporting systems and workflows necessary for developing country Parties </w:t>
      </w:r>
      <w:r w:rsidR="00E54854">
        <w:rPr>
          <w:rFonts w:eastAsia="Malgun Gothic" w:hint="eastAsia"/>
          <w:lang w:eastAsia="ko-KR"/>
        </w:rPr>
        <w:t xml:space="preserve">to </w:t>
      </w:r>
      <w:r w:rsidR="00E54854" w:rsidRPr="005E0BBE">
        <w:rPr>
          <w:rFonts w:eastAsia="Malgun Gothic"/>
          <w:lang w:eastAsia="ko-KR"/>
        </w:rPr>
        <w:t>meet their requirements under the enhanced transparency framework under the Paris Agreement on a continuous basis;</w:t>
      </w:r>
    </w:p>
    <w:p w14:paraId="06400246" w14:textId="0C570552" w:rsidR="00E54854" w:rsidRDefault="004250A3" w:rsidP="004250A3">
      <w:pPr>
        <w:pStyle w:val="RegSingleTxtG"/>
        <w:numPr>
          <w:ilvl w:val="0"/>
          <w:numId w:val="0"/>
        </w:numPr>
        <w:ind w:left="1134"/>
        <w:rPr>
          <w:rFonts w:eastAsia="Malgun Gothic"/>
          <w:lang w:eastAsia="ko-KR"/>
        </w:rPr>
      </w:pPr>
      <w:r>
        <w:rPr>
          <w:rFonts w:eastAsia="Malgun Gothic"/>
          <w:lang w:eastAsia="ko-KR"/>
        </w:rPr>
        <w:t>4.</w:t>
      </w:r>
      <w:r>
        <w:rPr>
          <w:rFonts w:eastAsia="Malgun Gothic"/>
          <w:lang w:eastAsia="ko-KR"/>
        </w:rPr>
        <w:tab/>
      </w:r>
      <w:r w:rsidR="00E54854" w:rsidRPr="005E0BBE">
        <w:rPr>
          <w:rFonts w:eastAsia="Malgun Gothic"/>
          <w:i/>
          <w:iCs/>
          <w:lang w:eastAsia="ko-KR"/>
        </w:rPr>
        <w:t>Encourages</w:t>
      </w:r>
      <w:r w:rsidR="00E54854" w:rsidRPr="005E0BBE">
        <w:rPr>
          <w:rFonts w:eastAsia="Malgun Gothic"/>
          <w:lang w:eastAsia="ko-KR"/>
        </w:rPr>
        <w:t xml:space="preserve"> the </w:t>
      </w:r>
      <w:r w:rsidR="00E54854" w:rsidRPr="005E0BBE">
        <w:t>Global Environment Facility</w:t>
      </w:r>
      <w:r w:rsidR="00E54854">
        <w:rPr>
          <w:rFonts w:eastAsia="Malgun Gothic" w:hint="eastAsia"/>
          <w:lang w:eastAsia="ko-KR"/>
        </w:rPr>
        <w:t>, in the context of its ninth replenishment,</w:t>
      </w:r>
      <w:r w:rsidR="00E54854" w:rsidRPr="005E0BBE">
        <w:rPr>
          <w:rFonts w:eastAsia="Malgun Gothic"/>
          <w:lang w:eastAsia="ko-KR"/>
        </w:rPr>
        <w:t xml:space="preserve"> to consider</w:t>
      </w:r>
      <w:r w:rsidR="00E54854">
        <w:rPr>
          <w:rFonts w:eastAsia="Malgun Gothic" w:hint="eastAsia"/>
          <w:lang w:eastAsia="ko-KR"/>
        </w:rPr>
        <w:t>:</w:t>
      </w:r>
    </w:p>
    <w:p w14:paraId="60A3DE9E" w14:textId="46ECFA9C" w:rsidR="00E54854" w:rsidRDefault="004250A3" w:rsidP="004250A3">
      <w:pPr>
        <w:pStyle w:val="RegSingleTxtG2"/>
        <w:numPr>
          <w:ilvl w:val="0"/>
          <w:numId w:val="0"/>
        </w:numPr>
        <w:tabs>
          <w:tab w:val="left" w:pos="1702"/>
        </w:tabs>
        <w:ind w:left="1134" w:firstLine="567"/>
        <w:rPr>
          <w:rFonts w:eastAsia="Malgun Gothic"/>
          <w:lang w:eastAsia="ko-KR"/>
        </w:rPr>
      </w:pPr>
      <w:r>
        <w:rPr>
          <w:rFonts w:eastAsia="Malgun Gothic"/>
          <w:szCs w:val="28"/>
          <w:lang w:eastAsia="ko-KR"/>
        </w:rPr>
        <w:t>(a)</w:t>
      </w:r>
      <w:r>
        <w:rPr>
          <w:rFonts w:eastAsia="Malgun Gothic"/>
          <w:szCs w:val="28"/>
          <w:lang w:eastAsia="ko-KR"/>
        </w:rPr>
        <w:tab/>
      </w:r>
      <w:r w:rsidR="00E54854">
        <w:rPr>
          <w:rFonts w:eastAsia="Malgun Gothic" w:hint="eastAsia"/>
          <w:lang w:eastAsia="ko-KR"/>
        </w:rPr>
        <w:t>I</w:t>
      </w:r>
      <w:r w:rsidR="00E54854" w:rsidRPr="003858BE">
        <w:rPr>
          <w:rFonts w:eastAsia="Malgun Gothic"/>
          <w:lang w:eastAsia="ko-KR"/>
        </w:rPr>
        <w:t xml:space="preserve">nformation submitted </w:t>
      </w:r>
      <w:r w:rsidR="00E54854">
        <w:rPr>
          <w:rFonts w:eastAsia="Malgun Gothic" w:hint="eastAsia"/>
          <w:lang w:eastAsia="ko-KR"/>
        </w:rPr>
        <w:t xml:space="preserve">by </w:t>
      </w:r>
      <w:r w:rsidR="00E54854">
        <w:rPr>
          <w:rFonts w:eastAsia="Malgun Gothic"/>
          <w:lang w:eastAsia="ko-KR"/>
        </w:rPr>
        <w:t>developing</w:t>
      </w:r>
      <w:r w:rsidR="00E54854">
        <w:rPr>
          <w:rFonts w:eastAsia="Malgun Gothic" w:hint="eastAsia"/>
          <w:lang w:eastAsia="ko-KR"/>
        </w:rPr>
        <w:t xml:space="preserve"> country Parties in their </w:t>
      </w:r>
      <w:r w:rsidR="00E54854" w:rsidRPr="003858BE">
        <w:rPr>
          <w:rFonts w:eastAsia="Malgun Gothic"/>
          <w:lang w:eastAsia="ko-KR"/>
        </w:rPr>
        <w:t>first biennial transparency reports</w:t>
      </w:r>
      <w:r w:rsidR="00E54854">
        <w:rPr>
          <w:rFonts w:eastAsia="Malgun Gothic" w:hint="eastAsia"/>
          <w:lang w:eastAsia="ko-KR"/>
        </w:rPr>
        <w:t xml:space="preserve"> </w:t>
      </w:r>
      <w:r w:rsidR="00E54854" w:rsidRPr="003858BE">
        <w:rPr>
          <w:rFonts w:eastAsia="Malgun Gothic"/>
          <w:lang w:eastAsia="ko-KR"/>
        </w:rPr>
        <w:t>pursuant to paragraphs 143</w:t>
      </w:r>
      <w:r w:rsidR="00E54854">
        <w:rPr>
          <w:rFonts w:eastAsia="Malgun Gothic"/>
          <w:lang w:eastAsia="ko-KR"/>
        </w:rPr>
        <w:t>–</w:t>
      </w:r>
      <w:r w:rsidR="00E54854" w:rsidRPr="003858BE">
        <w:rPr>
          <w:rFonts w:eastAsia="Malgun Gothic"/>
          <w:lang w:eastAsia="ko-KR"/>
        </w:rPr>
        <w:t xml:space="preserve">145 of the annex </w:t>
      </w:r>
      <w:r w:rsidR="00E54854">
        <w:rPr>
          <w:rFonts w:eastAsia="Malgun Gothic" w:hint="eastAsia"/>
          <w:lang w:eastAsia="ko-KR"/>
        </w:rPr>
        <w:t xml:space="preserve">to </w:t>
      </w:r>
      <w:r w:rsidR="00E54854" w:rsidRPr="003858BE">
        <w:rPr>
          <w:rFonts w:eastAsia="Malgun Gothic"/>
          <w:lang w:eastAsia="ko-KR"/>
        </w:rPr>
        <w:t xml:space="preserve">decision </w:t>
      </w:r>
      <w:hyperlink r:id="rId35" w:history="1">
        <w:r w:rsidR="00E54854" w:rsidRPr="00C479DE">
          <w:rPr>
            <w:rStyle w:val="Hyperlink"/>
            <w:rFonts w:eastAsia="Malgun Gothic"/>
            <w:lang w:eastAsia="ko-KR"/>
          </w:rPr>
          <w:t>18/CMA.1</w:t>
        </w:r>
      </w:hyperlink>
      <w:r w:rsidR="00E54854">
        <w:rPr>
          <w:rFonts w:eastAsia="Malgun Gothic" w:hint="eastAsia"/>
          <w:lang w:eastAsia="ko-KR"/>
        </w:rPr>
        <w:t>;</w:t>
      </w:r>
    </w:p>
    <w:p w14:paraId="09A02D2B" w14:textId="6F0FA9AB" w:rsidR="00E54854" w:rsidRDefault="004250A3" w:rsidP="004250A3">
      <w:pPr>
        <w:pStyle w:val="RegSingleTxtG2"/>
        <w:numPr>
          <w:ilvl w:val="0"/>
          <w:numId w:val="0"/>
        </w:numPr>
        <w:tabs>
          <w:tab w:val="left" w:pos="1702"/>
        </w:tabs>
        <w:ind w:left="1134" w:firstLine="567"/>
        <w:rPr>
          <w:rFonts w:eastAsia="Malgun Gothic"/>
          <w:lang w:eastAsia="ko-KR"/>
        </w:rPr>
      </w:pPr>
      <w:r>
        <w:rPr>
          <w:rFonts w:eastAsia="Malgun Gothic"/>
          <w:szCs w:val="28"/>
          <w:lang w:eastAsia="ko-KR"/>
        </w:rPr>
        <w:t>(b)</w:t>
      </w:r>
      <w:r>
        <w:rPr>
          <w:rFonts w:eastAsia="Malgun Gothic"/>
          <w:szCs w:val="28"/>
          <w:lang w:eastAsia="ko-KR"/>
        </w:rPr>
        <w:tab/>
      </w:r>
      <w:r w:rsidR="00E54854">
        <w:rPr>
          <w:rFonts w:eastAsia="Malgun Gothic" w:hint="eastAsia"/>
          <w:lang w:eastAsia="ko-KR"/>
        </w:rPr>
        <w:t>I</w:t>
      </w:r>
      <w:r w:rsidR="00E54854" w:rsidRPr="003858BE">
        <w:rPr>
          <w:rFonts w:eastAsia="Malgun Gothic"/>
          <w:lang w:eastAsia="ko-KR"/>
        </w:rPr>
        <w:t xml:space="preserve">nformation </w:t>
      </w:r>
      <w:r w:rsidR="00E54854">
        <w:rPr>
          <w:rFonts w:eastAsia="Malgun Gothic" w:hint="eastAsia"/>
          <w:lang w:eastAsia="ko-KR"/>
        </w:rPr>
        <w:t xml:space="preserve">submitted by </w:t>
      </w:r>
      <w:r w:rsidR="00E54854" w:rsidRPr="003858BE">
        <w:rPr>
          <w:rFonts w:eastAsia="Malgun Gothic"/>
          <w:lang w:eastAsia="ko-KR"/>
        </w:rPr>
        <w:t xml:space="preserve">Parties pursuant to paragraph 17 </w:t>
      </w:r>
      <w:r w:rsidR="00E54854">
        <w:rPr>
          <w:rFonts w:eastAsia="Malgun Gothic"/>
          <w:lang w:eastAsia="ko-KR"/>
        </w:rPr>
        <w:t xml:space="preserve">of </w:t>
      </w:r>
      <w:r w:rsidR="00E54854" w:rsidRPr="003858BE">
        <w:rPr>
          <w:rFonts w:eastAsia="Malgun Gothic"/>
          <w:lang w:eastAsia="ko-KR"/>
        </w:rPr>
        <w:t xml:space="preserve">decision </w:t>
      </w:r>
      <w:hyperlink r:id="rId36" w:history="1">
        <w:r w:rsidR="00E54854" w:rsidRPr="00C479DE">
          <w:rPr>
            <w:rStyle w:val="Hyperlink"/>
            <w:rFonts w:eastAsia="Malgun Gothic"/>
            <w:lang w:eastAsia="ko-KR"/>
          </w:rPr>
          <w:t>18/CMA.5</w:t>
        </w:r>
      </w:hyperlink>
      <w:r w:rsidR="00E54854">
        <w:rPr>
          <w:rFonts w:eastAsia="Malgun Gothic" w:hint="eastAsia"/>
          <w:lang w:eastAsia="ko-KR"/>
        </w:rPr>
        <w:t xml:space="preserve">; </w:t>
      </w:r>
    </w:p>
    <w:p w14:paraId="60F16EF6" w14:textId="61BEC81B" w:rsidR="00E54854" w:rsidRDefault="004250A3" w:rsidP="004250A3">
      <w:pPr>
        <w:pStyle w:val="RegSingleTxtG2"/>
        <w:numPr>
          <w:ilvl w:val="0"/>
          <w:numId w:val="0"/>
        </w:numPr>
        <w:tabs>
          <w:tab w:val="left" w:pos="1702"/>
        </w:tabs>
        <w:ind w:left="1134" w:firstLine="567"/>
        <w:rPr>
          <w:rFonts w:eastAsia="Malgun Gothic"/>
          <w:lang w:eastAsia="ko-KR"/>
        </w:rPr>
      </w:pPr>
      <w:r>
        <w:rPr>
          <w:rFonts w:eastAsia="Malgun Gothic"/>
          <w:szCs w:val="28"/>
          <w:lang w:eastAsia="ko-KR"/>
        </w:rPr>
        <w:t>(c)</w:t>
      </w:r>
      <w:r>
        <w:rPr>
          <w:rFonts w:eastAsia="Malgun Gothic"/>
          <w:szCs w:val="28"/>
          <w:lang w:eastAsia="ko-KR"/>
        </w:rPr>
        <w:tab/>
      </w:r>
      <w:r w:rsidR="00E54854">
        <w:rPr>
          <w:rFonts w:eastAsia="Malgun Gothic" w:hint="eastAsia"/>
          <w:lang w:eastAsia="ko-KR"/>
        </w:rPr>
        <w:t>T</w:t>
      </w:r>
      <w:r w:rsidR="00E54854" w:rsidRPr="003858BE">
        <w:rPr>
          <w:rFonts w:eastAsia="Malgun Gothic"/>
          <w:lang w:eastAsia="ko-KR"/>
        </w:rPr>
        <w:t xml:space="preserve">he synthesis report </w:t>
      </w:r>
      <w:r w:rsidR="00E54854">
        <w:rPr>
          <w:rFonts w:eastAsia="Malgun Gothic" w:hint="eastAsia"/>
          <w:lang w:eastAsia="ko-KR"/>
        </w:rPr>
        <w:t xml:space="preserve">referred to in </w:t>
      </w:r>
      <w:r w:rsidR="00E54854" w:rsidRPr="003858BE">
        <w:rPr>
          <w:rFonts w:eastAsia="Malgun Gothic"/>
          <w:lang w:eastAsia="ko-KR"/>
        </w:rPr>
        <w:t xml:space="preserve">paragraph 18 of decision </w:t>
      </w:r>
      <w:hyperlink r:id="rId37" w:history="1">
        <w:r w:rsidR="00E54854" w:rsidRPr="00C479DE">
          <w:rPr>
            <w:rStyle w:val="Hyperlink"/>
            <w:rFonts w:eastAsia="Malgun Gothic"/>
            <w:lang w:eastAsia="ko-KR"/>
          </w:rPr>
          <w:t>18/CMA.5</w:t>
        </w:r>
      </w:hyperlink>
      <w:r w:rsidR="00E54854">
        <w:rPr>
          <w:rFonts w:eastAsia="Malgun Gothic" w:hint="eastAsia"/>
          <w:lang w:eastAsia="ko-KR"/>
        </w:rPr>
        <w:t xml:space="preserve">; </w:t>
      </w:r>
    </w:p>
    <w:p w14:paraId="293AB0E1" w14:textId="6DB55D07" w:rsidR="00E54854" w:rsidRPr="003858BE" w:rsidRDefault="004250A3" w:rsidP="004250A3">
      <w:pPr>
        <w:pStyle w:val="RegSingleTxtG2"/>
        <w:numPr>
          <w:ilvl w:val="0"/>
          <w:numId w:val="0"/>
        </w:numPr>
        <w:tabs>
          <w:tab w:val="left" w:pos="1702"/>
        </w:tabs>
        <w:ind w:left="1134" w:firstLine="567"/>
        <w:rPr>
          <w:rFonts w:eastAsia="Malgun Gothic"/>
          <w:lang w:eastAsia="ko-KR"/>
        </w:rPr>
      </w:pPr>
      <w:r w:rsidRPr="003858BE">
        <w:rPr>
          <w:rFonts w:eastAsia="Malgun Gothic"/>
          <w:szCs w:val="28"/>
          <w:lang w:eastAsia="ko-KR"/>
        </w:rPr>
        <w:t>(d)</w:t>
      </w:r>
      <w:r w:rsidRPr="003858BE">
        <w:rPr>
          <w:rFonts w:eastAsia="Malgun Gothic"/>
          <w:szCs w:val="28"/>
          <w:lang w:eastAsia="ko-KR"/>
        </w:rPr>
        <w:tab/>
      </w:r>
      <w:r w:rsidR="00E54854">
        <w:rPr>
          <w:rFonts w:eastAsia="Malgun Gothic" w:hint="eastAsia"/>
          <w:lang w:eastAsia="ko-KR"/>
        </w:rPr>
        <w:t>T</w:t>
      </w:r>
      <w:r w:rsidR="00E54854" w:rsidRPr="003858BE">
        <w:rPr>
          <w:rFonts w:eastAsia="Malgun Gothic"/>
          <w:lang w:eastAsia="ko-KR"/>
        </w:rPr>
        <w:t>he u</w:t>
      </w:r>
      <w:r w:rsidR="00E54854">
        <w:rPr>
          <w:rFonts w:eastAsia="Malgun Gothic"/>
          <w:lang w:eastAsia="ko-KR"/>
        </w:rPr>
        <w:t>se</w:t>
      </w:r>
      <w:r w:rsidR="00E54854" w:rsidRPr="003858BE">
        <w:rPr>
          <w:rFonts w:eastAsia="Malgun Gothic"/>
          <w:lang w:eastAsia="ko-KR"/>
        </w:rPr>
        <w:t xml:space="preserve"> of transparency support funds available through the transparency allocation under </w:t>
      </w:r>
      <w:r w:rsidR="00E54854">
        <w:rPr>
          <w:rFonts w:eastAsia="Malgun Gothic"/>
          <w:lang w:eastAsia="ko-KR"/>
        </w:rPr>
        <w:t>its</w:t>
      </w:r>
      <w:r w:rsidR="00E54854" w:rsidRPr="003858BE">
        <w:rPr>
          <w:rFonts w:eastAsia="Malgun Gothic"/>
          <w:lang w:eastAsia="ko-KR"/>
        </w:rPr>
        <w:t xml:space="preserve"> eighth replenishment;</w:t>
      </w:r>
    </w:p>
    <w:p w14:paraId="71E5AB51" w14:textId="3EA226C0" w:rsidR="00B75F56" w:rsidRDefault="004250A3" w:rsidP="004250A3">
      <w:pPr>
        <w:pStyle w:val="RegSingleTxtG"/>
        <w:numPr>
          <w:ilvl w:val="0"/>
          <w:numId w:val="0"/>
        </w:numPr>
        <w:ind w:left="1134"/>
      </w:pPr>
      <w:r>
        <w:t>5.</w:t>
      </w:r>
      <w:r>
        <w:tab/>
      </w:r>
      <w:r w:rsidR="00E54854" w:rsidRPr="005E0BBE">
        <w:rPr>
          <w:i/>
          <w:iCs/>
        </w:rPr>
        <w:t>Notes</w:t>
      </w:r>
      <w:r w:rsidR="00E54854">
        <w:t xml:space="preserve"> paragraphs 16–17 of </w:t>
      </w:r>
      <w:r w:rsidR="00E54854" w:rsidRPr="005E0BBE">
        <w:t xml:space="preserve">decision </w:t>
      </w:r>
      <w:hyperlink r:id="rId38" w:history="1">
        <w:r w:rsidR="008C7959" w:rsidRPr="002D12AD">
          <w:rPr>
            <w:rStyle w:val="Hyperlink"/>
          </w:rPr>
          <w:t>4</w:t>
        </w:r>
        <w:r w:rsidR="00E54854" w:rsidRPr="002D12AD">
          <w:rPr>
            <w:rStyle w:val="Hyperlink"/>
          </w:rPr>
          <w:t>/CP.29</w:t>
        </w:r>
      </w:hyperlink>
      <w:r w:rsidR="00E54854" w:rsidRPr="005E0BBE">
        <w:t xml:space="preserve"> </w:t>
      </w:r>
      <w:r w:rsidR="00E54854">
        <w:t xml:space="preserve">regarding </w:t>
      </w:r>
      <w:r w:rsidR="00E54854" w:rsidRPr="005E0BBE">
        <w:t>guidance to the Global Environment Facility;</w:t>
      </w:r>
    </w:p>
    <w:p w14:paraId="0E7B8A8A" w14:textId="32B75770" w:rsidR="00D83C7D" w:rsidRDefault="004250A3" w:rsidP="004250A3">
      <w:pPr>
        <w:pStyle w:val="RegSingleTxtG"/>
        <w:numPr>
          <w:ilvl w:val="0"/>
          <w:numId w:val="0"/>
        </w:numPr>
        <w:ind w:left="1134"/>
      </w:pPr>
      <w:r>
        <w:t>6.</w:t>
      </w:r>
      <w:r>
        <w:tab/>
      </w:r>
      <w:r w:rsidR="00E54854" w:rsidRPr="00B75F56">
        <w:rPr>
          <w:i/>
          <w:iCs/>
        </w:rPr>
        <w:t xml:space="preserve">Confirms </w:t>
      </w:r>
      <w:r w:rsidR="00E54854" w:rsidRPr="005E0BBE">
        <w:t>that guidance may be provided</w:t>
      </w:r>
      <w:r w:rsidR="00E54854">
        <w:t>,</w:t>
      </w:r>
      <w:r w:rsidR="00E54854" w:rsidRPr="005E0BBE">
        <w:t xml:space="preserve"> for transmission by the Conference of the Parties</w:t>
      </w:r>
      <w:r w:rsidR="00E54854" w:rsidRPr="00B75F56">
        <w:rPr>
          <w:rFonts w:eastAsia="Malgun Gothic" w:hint="eastAsia"/>
          <w:lang w:eastAsia="ko-KR"/>
        </w:rPr>
        <w:t>, in accordance with the modifi</w:t>
      </w:r>
      <w:r w:rsidR="00E54854" w:rsidRPr="00B75F56">
        <w:rPr>
          <w:rFonts w:eastAsia="Malgun Gothic"/>
          <w:lang w:eastAsia="ko-KR"/>
        </w:rPr>
        <w:t>cation</w:t>
      </w:r>
      <w:r w:rsidR="00E54854" w:rsidRPr="00B75F56">
        <w:rPr>
          <w:rFonts w:eastAsia="Malgun Gothic" w:hint="eastAsia"/>
          <w:lang w:eastAsia="ko-KR"/>
        </w:rPr>
        <w:t xml:space="preserve"> </w:t>
      </w:r>
      <w:r w:rsidR="00E54854" w:rsidRPr="00B75F56">
        <w:rPr>
          <w:rFonts w:eastAsia="Malgun Gothic"/>
          <w:lang w:eastAsia="ko-KR"/>
        </w:rPr>
        <w:t>to the</w:t>
      </w:r>
      <w:r w:rsidR="00E54854" w:rsidRPr="00B75F56">
        <w:rPr>
          <w:rFonts w:eastAsia="Malgun Gothic" w:hint="eastAsia"/>
          <w:lang w:eastAsia="ko-KR"/>
        </w:rPr>
        <w:t xml:space="preserve"> </w:t>
      </w:r>
      <w:r w:rsidR="00E54854" w:rsidRPr="00B75F56">
        <w:rPr>
          <w:rFonts w:eastAsia="Malgun Gothic"/>
          <w:lang w:eastAsia="ko-KR"/>
        </w:rPr>
        <w:t>memorandum of understanding</w:t>
      </w:r>
      <w:r w:rsidR="00E54854" w:rsidRPr="005E0BBE">
        <w:t xml:space="preserve"> </w:t>
      </w:r>
      <w:r w:rsidR="00E54854">
        <w:t xml:space="preserve">as outlined </w:t>
      </w:r>
      <w:r w:rsidR="00E54854" w:rsidRPr="005E0BBE">
        <w:t xml:space="preserve">in the annex </w:t>
      </w:r>
      <w:r w:rsidR="00E54854">
        <w:t>to</w:t>
      </w:r>
      <w:r w:rsidR="00E54854" w:rsidRPr="005E0BBE">
        <w:t xml:space="preserve"> decision </w:t>
      </w:r>
      <w:hyperlink r:id="rId39" w:history="1">
        <w:r w:rsidR="002D12AD" w:rsidRPr="002D12AD">
          <w:rPr>
            <w:rStyle w:val="Hyperlink"/>
          </w:rPr>
          <w:t>4</w:t>
        </w:r>
        <w:r w:rsidR="00E54854" w:rsidRPr="002D12AD">
          <w:rPr>
            <w:rStyle w:val="Hyperlink"/>
          </w:rPr>
          <w:t>/CP.29</w:t>
        </w:r>
      </w:hyperlink>
      <w:r w:rsidR="00E54854" w:rsidRPr="00B75F56">
        <w:rPr>
          <w:rFonts w:eastAsia="Malgun Gothic" w:hint="eastAsia"/>
          <w:lang w:eastAsia="ko-KR"/>
        </w:rPr>
        <w:t>,</w:t>
      </w:r>
      <w:r w:rsidR="00E54854" w:rsidRPr="005E0BBE">
        <w:t xml:space="preserve"> upon request by a Party consistent with rule</w:t>
      </w:r>
      <w:r w:rsidR="00E54854" w:rsidRPr="00B75F56">
        <w:rPr>
          <w:rFonts w:eastAsia="Malgun Gothic" w:hint="eastAsia"/>
          <w:lang w:eastAsia="ko-KR"/>
        </w:rPr>
        <w:t>s</w:t>
      </w:r>
      <w:r w:rsidR="00E54854" w:rsidRPr="005E0BBE">
        <w:t xml:space="preserve"> 9</w:t>
      </w:r>
      <w:r w:rsidR="00E54854">
        <w:t>–</w:t>
      </w:r>
      <w:r w:rsidR="00E54854" w:rsidRPr="005E0BBE">
        <w:t>13 of the draft rules of procedure being applied</w:t>
      </w:r>
      <w:r w:rsidR="00E54854" w:rsidRPr="00B75F56">
        <w:rPr>
          <w:rFonts w:eastAsia="Malgun Gothic" w:hint="eastAsia"/>
          <w:lang w:eastAsia="ko-KR"/>
        </w:rPr>
        <w:t>,</w:t>
      </w:r>
      <w:r w:rsidR="00E54854">
        <w:rPr>
          <w:rStyle w:val="FootnoteReference"/>
          <w:rFonts w:eastAsia="Malgun Gothic"/>
          <w:lang w:eastAsia="ko-KR"/>
        </w:rPr>
        <w:footnoteReference w:id="14"/>
      </w:r>
      <w:r w:rsidR="00E54854" w:rsidRPr="00B75F56">
        <w:rPr>
          <w:rFonts w:eastAsia="Malgun Gothic" w:hint="eastAsia"/>
          <w:lang w:eastAsia="ko-KR"/>
        </w:rPr>
        <w:t xml:space="preserve"> as well as at each session of the </w:t>
      </w:r>
      <w:r w:rsidR="00E54854" w:rsidRPr="00B75F56">
        <w:rPr>
          <w:rFonts w:eastAsia="Malgun Gothic"/>
          <w:lang w:eastAsia="ko-KR"/>
        </w:rPr>
        <w:t xml:space="preserve">Conference of the Parties serving as the meeting of the Parties to the Paris Agreement </w:t>
      </w:r>
      <w:r w:rsidR="00E54854" w:rsidRPr="00B75F56">
        <w:rPr>
          <w:rFonts w:eastAsia="Malgun Gothic" w:hint="eastAsia"/>
          <w:lang w:eastAsia="ko-KR"/>
        </w:rPr>
        <w:t xml:space="preserve">preceding </w:t>
      </w:r>
      <w:r w:rsidR="00E54854" w:rsidRPr="005E0BBE">
        <w:t>the final year of each replenishment of the Global Environment Facility.</w:t>
      </w:r>
    </w:p>
    <w:p w14:paraId="659F7E3A" w14:textId="5E8A0FC3" w:rsidR="00C352E2" w:rsidRDefault="00E41E8E" w:rsidP="00C352E2">
      <w:pPr>
        <w:pStyle w:val="RegSingleTxtG"/>
        <w:numPr>
          <w:ilvl w:val="0"/>
          <w:numId w:val="0"/>
        </w:numPr>
        <w:spacing w:after="0"/>
        <w:ind w:left="1134"/>
        <w:jc w:val="right"/>
        <w:rPr>
          <w:i/>
          <w:iCs/>
        </w:rPr>
      </w:pPr>
      <w:r>
        <w:rPr>
          <w:i/>
          <w:iCs/>
        </w:rPr>
        <w:t>11</w:t>
      </w:r>
      <w:r w:rsidRPr="00E41E8E">
        <w:rPr>
          <w:i/>
          <w:iCs/>
          <w:vertAlign w:val="superscript"/>
        </w:rPr>
        <w:t>th</w:t>
      </w:r>
      <w:r>
        <w:rPr>
          <w:i/>
          <w:iCs/>
        </w:rPr>
        <w:t xml:space="preserve"> </w:t>
      </w:r>
      <w:r w:rsidR="00C352E2">
        <w:rPr>
          <w:i/>
          <w:iCs/>
        </w:rPr>
        <w:t>plenary meeting</w:t>
      </w:r>
    </w:p>
    <w:p w14:paraId="0623DB8A" w14:textId="7B4BAE24" w:rsidR="00C352E2" w:rsidRDefault="00E41E8E" w:rsidP="00C352E2">
      <w:pPr>
        <w:pStyle w:val="RegSingleTxtG"/>
        <w:numPr>
          <w:ilvl w:val="0"/>
          <w:numId w:val="0"/>
        </w:numPr>
        <w:spacing w:after="0"/>
        <w:ind w:left="1134"/>
        <w:jc w:val="right"/>
      </w:pPr>
      <w:r>
        <w:rPr>
          <w:i/>
          <w:iCs/>
        </w:rPr>
        <w:t>23</w:t>
      </w:r>
      <w:r w:rsidR="00C352E2">
        <w:rPr>
          <w:i/>
          <w:iCs/>
        </w:rPr>
        <w:t xml:space="preserve"> November 2024</w:t>
      </w:r>
    </w:p>
    <w:p w14:paraId="08959ECB" w14:textId="0A1DC265" w:rsidR="00C352E2" w:rsidRDefault="004250A3" w:rsidP="004250A3">
      <w:pPr>
        <w:pStyle w:val="RegHChG"/>
        <w:numPr>
          <w:ilvl w:val="0"/>
          <w:numId w:val="0"/>
        </w:numPr>
        <w:tabs>
          <w:tab w:val="left" w:pos="1135"/>
        </w:tabs>
        <w:ind w:left="1135" w:hanging="454"/>
        <w:sectPr w:rsidR="00C352E2" w:rsidSect="00F76195">
          <w:footnotePr>
            <w:numRestart w:val="eachSect"/>
          </w:footnotePr>
          <w:pgSz w:w="11906" w:h="16838" w:code="9"/>
          <w:pgMar w:top="1417" w:right="1134" w:bottom="1134" w:left="1134" w:header="850" w:footer="567" w:gutter="0"/>
          <w:cols w:space="708"/>
          <w:docGrid w:linePitch="360"/>
        </w:sectPr>
      </w:pPr>
      <w:r>
        <w:t>I.</w:t>
      </w:r>
      <w:r>
        <w:tab/>
      </w:r>
    </w:p>
    <w:p w14:paraId="6A6A9899" w14:textId="32D71E4D" w:rsidR="00DF2FF4" w:rsidRDefault="00DF2FF4" w:rsidP="004250A3">
      <w:pPr>
        <w:pStyle w:val="RegHChG"/>
        <w:numPr>
          <w:ilvl w:val="0"/>
          <w:numId w:val="0"/>
        </w:numPr>
        <w:ind w:left="1135" w:hanging="454"/>
      </w:pPr>
      <w:bookmarkStart w:id="9" w:name="decision11"/>
      <w:r>
        <w:lastRenderedPageBreak/>
        <w:t xml:space="preserve">Decision </w:t>
      </w:r>
      <w:r w:rsidRPr="00A573BC">
        <w:t>11/CMA.6</w:t>
      </w:r>
    </w:p>
    <w:bookmarkEnd w:id="9"/>
    <w:p w14:paraId="66FEEF8F" w14:textId="684B7225" w:rsidR="00912266" w:rsidRPr="00A96DC7" w:rsidRDefault="00912266" w:rsidP="004250A3">
      <w:pPr>
        <w:pStyle w:val="RegHChG"/>
        <w:numPr>
          <w:ilvl w:val="0"/>
          <w:numId w:val="0"/>
        </w:numPr>
        <w:ind w:left="1135" w:hanging="454"/>
      </w:pPr>
      <w:r w:rsidRPr="00A6384D">
        <w:t>Report of the Fund for responding to Loss and Damage and guidance to the Fund</w:t>
      </w:r>
    </w:p>
    <w:p w14:paraId="5D393C48" w14:textId="77777777" w:rsidR="00912266" w:rsidRPr="00311D6B" w:rsidRDefault="00912266" w:rsidP="00912266">
      <w:pPr>
        <w:suppressAutoHyphens w:val="0"/>
        <w:autoSpaceDE w:val="0"/>
        <w:autoSpaceDN w:val="0"/>
        <w:adjustRightInd w:val="0"/>
        <w:spacing w:before="240" w:after="120"/>
        <w:ind w:left="1134" w:right="1134" w:firstLine="567"/>
        <w:jc w:val="both"/>
        <w:rPr>
          <w:rFonts w:eastAsia="DengXian"/>
          <w:color w:val="000000"/>
        </w:rPr>
      </w:pPr>
      <w:r w:rsidRPr="6104D06B">
        <w:rPr>
          <w:rFonts w:eastAsia="DengXian"/>
          <w:i/>
          <w:iCs/>
          <w:color w:val="000000" w:themeColor="text1"/>
        </w:rPr>
        <w:t xml:space="preserve">The </w:t>
      </w:r>
      <w:r>
        <w:rPr>
          <w:rFonts w:eastAsia="DengXian"/>
          <w:i/>
          <w:iCs/>
          <w:color w:val="000000" w:themeColor="text1"/>
        </w:rPr>
        <w:t>Conference of the Parties serving as the meeting of the Parties to the Paris Agreement</w:t>
      </w:r>
      <w:r w:rsidRPr="6104D06B">
        <w:rPr>
          <w:rFonts w:eastAsia="DengXian"/>
          <w:color w:val="000000" w:themeColor="text1"/>
        </w:rPr>
        <w:t xml:space="preserve">, </w:t>
      </w:r>
    </w:p>
    <w:p w14:paraId="77CA6F3E" w14:textId="7218DB73" w:rsidR="00912266" w:rsidRPr="00311D6B" w:rsidRDefault="00912266" w:rsidP="00912266">
      <w:pPr>
        <w:suppressAutoHyphens w:val="0"/>
        <w:autoSpaceDE w:val="0"/>
        <w:autoSpaceDN w:val="0"/>
        <w:adjustRightInd w:val="0"/>
        <w:spacing w:after="120"/>
        <w:ind w:left="1134" w:right="1133" w:firstLine="567"/>
        <w:jc w:val="both"/>
        <w:rPr>
          <w:rFonts w:eastAsia="DengXian"/>
          <w:color w:val="000000"/>
        </w:rPr>
      </w:pPr>
      <w:r w:rsidRPr="00311D6B">
        <w:rPr>
          <w:rFonts w:eastAsia="DengXian"/>
          <w:i/>
          <w:iCs/>
          <w:color w:val="000000"/>
        </w:rPr>
        <w:t xml:space="preserve">Recalling </w:t>
      </w:r>
      <w:r w:rsidRPr="00311D6B">
        <w:rPr>
          <w:rFonts w:eastAsia="DengXian"/>
          <w:color w:val="000000"/>
        </w:rPr>
        <w:t xml:space="preserve">decisions </w:t>
      </w:r>
      <w:hyperlink r:id="rId40" w:history="1">
        <w:r w:rsidRPr="00C479DE">
          <w:rPr>
            <w:rStyle w:val="Hyperlink"/>
            <w:rFonts w:eastAsia="DengXian"/>
          </w:rPr>
          <w:t>2/CP.27</w:t>
        </w:r>
      </w:hyperlink>
      <w:r>
        <w:rPr>
          <w:rFonts w:eastAsia="DengXian"/>
          <w:color w:val="000000"/>
        </w:rPr>
        <w:t xml:space="preserve"> and </w:t>
      </w:r>
      <w:hyperlink r:id="rId41" w:history="1">
        <w:r w:rsidRPr="00C479DE">
          <w:rPr>
            <w:rStyle w:val="Hyperlink"/>
            <w:rFonts w:eastAsia="DengXian"/>
          </w:rPr>
          <w:t>2/CMA.4</w:t>
        </w:r>
      </w:hyperlink>
      <w:r>
        <w:rPr>
          <w:rFonts w:eastAsia="DengXian"/>
          <w:color w:val="000000"/>
        </w:rPr>
        <w:t xml:space="preserve">; and </w:t>
      </w:r>
      <w:hyperlink r:id="rId42" w:history="1">
        <w:r w:rsidRPr="00C479DE">
          <w:rPr>
            <w:rStyle w:val="Hyperlink"/>
            <w:rFonts w:eastAsia="DengXian"/>
          </w:rPr>
          <w:t>1/CP.28</w:t>
        </w:r>
      </w:hyperlink>
      <w:r>
        <w:rPr>
          <w:rFonts w:eastAsia="DengXian"/>
          <w:color w:val="000000"/>
        </w:rPr>
        <w:t xml:space="preserve"> and </w:t>
      </w:r>
      <w:hyperlink r:id="rId43" w:history="1">
        <w:r w:rsidRPr="00C479DE">
          <w:rPr>
            <w:rStyle w:val="Hyperlink"/>
            <w:rFonts w:eastAsia="DengXian"/>
          </w:rPr>
          <w:t>5/CMA.5</w:t>
        </w:r>
      </w:hyperlink>
      <w:r>
        <w:rPr>
          <w:rFonts w:eastAsia="DengXian"/>
          <w:color w:val="000000"/>
        </w:rPr>
        <w:t>,</w:t>
      </w:r>
    </w:p>
    <w:p w14:paraId="2C1A9C9A" w14:textId="71FC00F3" w:rsidR="00912266" w:rsidRPr="00311D6B" w:rsidRDefault="004250A3" w:rsidP="004250A3">
      <w:pPr>
        <w:pStyle w:val="RegSingleTxtG"/>
        <w:numPr>
          <w:ilvl w:val="0"/>
          <w:numId w:val="0"/>
        </w:numPr>
        <w:spacing w:before="120"/>
        <w:ind w:left="1134"/>
      </w:pPr>
      <w:bookmarkStart w:id="10" w:name="_Ref152673066"/>
      <w:r w:rsidRPr="00311D6B">
        <w:t>1.</w:t>
      </w:r>
      <w:r w:rsidRPr="00311D6B">
        <w:tab/>
      </w:r>
      <w:r w:rsidR="00912266" w:rsidRPr="009666F0">
        <w:rPr>
          <w:i/>
          <w:iCs/>
        </w:rPr>
        <w:t xml:space="preserve">Welcomes </w:t>
      </w:r>
      <w:r w:rsidR="00912266" w:rsidRPr="00311D6B">
        <w:t xml:space="preserve">the report of the Board </w:t>
      </w:r>
      <w:r w:rsidR="00912266">
        <w:t xml:space="preserve">of the Fund for responding to Loss and Damage </w:t>
      </w:r>
      <w:r w:rsidR="00912266" w:rsidRPr="00311D6B">
        <w:t>for</w:t>
      </w:r>
      <w:r w:rsidR="00912266">
        <w:t> </w:t>
      </w:r>
      <w:r w:rsidR="00912266" w:rsidRPr="00311D6B">
        <w:t>202</w:t>
      </w:r>
      <w:r w:rsidR="00912266">
        <w:t>4</w:t>
      </w:r>
      <w:r w:rsidR="00912266" w:rsidRPr="00311D6B">
        <w:rPr>
          <w:rStyle w:val="FootnoteReference"/>
        </w:rPr>
        <w:footnoteReference w:id="15"/>
      </w:r>
      <w:r w:rsidR="00912266" w:rsidRPr="00311D6B">
        <w:t xml:space="preserve"> and the information therein;</w:t>
      </w:r>
      <w:bookmarkEnd w:id="10"/>
    </w:p>
    <w:p w14:paraId="13F69C2F" w14:textId="53334C1E" w:rsidR="00912266" w:rsidRPr="00311D6B" w:rsidRDefault="004250A3" w:rsidP="004250A3">
      <w:pPr>
        <w:pStyle w:val="RegSingleTxtG"/>
        <w:numPr>
          <w:ilvl w:val="0"/>
          <w:numId w:val="0"/>
        </w:numPr>
        <w:ind w:left="1134"/>
      </w:pPr>
      <w:r w:rsidRPr="00311D6B">
        <w:t>2.</w:t>
      </w:r>
      <w:r w:rsidRPr="00311D6B">
        <w:tab/>
      </w:r>
      <w:r w:rsidR="00912266" w:rsidRPr="00311D6B">
        <w:rPr>
          <w:i/>
          <w:iCs/>
        </w:rPr>
        <w:t>Note</w:t>
      </w:r>
      <w:r w:rsidR="00912266">
        <w:rPr>
          <w:i/>
          <w:iCs/>
        </w:rPr>
        <w:t>s</w:t>
      </w:r>
      <w:r w:rsidR="00912266" w:rsidRPr="00311D6B">
        <w:t xml:space="preserve"> the following information</w:t>
      </w:r>
      <w:r w:rsidR="00912266">
        <w:t xml:space="preserve"> and</w:t>
      </w:r>
      <w:r w:rsidR="00912266" w:rsidRPr="00311D6B">
        <w:t xml:space="preserve"> actions </w:t>
      </w:r>
      <w:r w:rsidR="00912266">
        <w:t>of</w:t>
      </w:r>
      <w:r w:rsidR="00912266" w:rsidRPr="00311D6B">
        <w:t xml:space="preserve"> the Board</w:t>
      </w:r>
      <w:r w:rsidR="00912266">
        <w:t xml:space="preserve"> </w:t>
      </w:r>
      <w:r w:rsidR="00912266" w:rsidRPr="00311D6B">
        <w:t>presented in the report:</w:t>
      </w:r>
    </w:p>
    <w:p w14:paraId="76D2818D" w14:textId="3F69A6DD" w:rsidR="00912266" w:rsidRDefault="004250A3" w:rsidP="004250A3">
      <w:pPr>
        <w:pStyle w:val="RegSingleTxtG2"/>
        <w:numPr>
          <w:ilvl w:val="0"/>
          <w:numId w:val="0"/>
        </w:numPr>
        <w:ind w:left="1134" w:firstLine="567"/>
      </w:pPr>
      <w:r>
        <w:rPr>
          <w:szCs w:val="28"/>
        </w:rPr>
        <w:t>(a)</w:t>
      </w:r>
      <w:r>
        <w:rPr>
          <w:szCs w:val="28"/>
        </w:rPr>
        <w:tab/>
      </w:r>
      <w:r w:rsidR="00912266">
        <w:t>The selection by the Board of the Philippines as the host country of the Board through an open,</w:t>
      </w:r>
      <w:r w:rsidR="00912266" w:rsidRPr="00015EA8">
        <w:t xml:space="preserve"> </w:t>
      </w:r>
      <w:r w:rsidR="00912266">
        <w:t>transparent and competitive process, and the conclusion of the host country agreement between the Philippines and the Board;</w:t>
      </w:r>
      <w:r w:rsidR="00912266" w:rsidRPr="00345670">
        <w:t xml:space="preserve"> </w:t>
      </w:r>
    </w:p>
    <w:p w14:paraId="04C0ED32" w14:textId="040B452E" w:rsidR="00912266" w:rsidRDefault="004250A3" w:rsidP="004250A3">
      <w:pPr>
        <w:pStyle w:val="RegSingleTxtG2"/>
        <w:numPr>
          <w:ilvl w:val="0"/>
          <w:numId w:val="0"/>
        </w:numPr>
        <w:ind w:left="1134" w:firstLine="567"/>
      </w:pPr>
      <w:r>
        <w:rPr>
          <w:szCs w:val="28"/>
        </w:rPr>
        <w:t>(b)</w:t>
      </w:r>
      <w:r>
        <w:rPr>
          <w:szCs w:val="28"/>
        </w:rPr>
        <w:tab/>
      </w:r>
      <w:r w:rsidR="00912266">
        <w:t>The a</w:t>
      </w:r>
      <w:r w:rsidR="00912266" w:rsidRPr="00345670">
        <w:t>pproval</w:t>
      </w:r>
      <w:r w:rsidR="00912266">
        <w:t xml:space="preserve"> by the Board</w:t>
      </w:r>
      <w:r w:rsidR="00912266" w:rsidRPr="002B5BAC">
        <w:t xml:space="preserve"> of the draft of the arrangements</w:t>
      </w:r>
      <w:r w:rsidR="00912266">
        <w:t>,</w:t>
      </w:r>
      <w:r w:rsidR="00912266" w:rsidRPr="002B5BAC">
        <w:t xml:space="preserve"> </w:t>
      </w:r>
      <w:r w:rsidR="00912266">
        <w:t>as developed by the Standing Committee on Finance,</w:t>
      </w:r>
      <w:r w:rsidR="00912266" w:rsidRPr="002B5BAC">
        <w:t xml:space="preserve"> to be concluded between the Conference of the Parties, the Conference of the Parties serving as the meeting of the Parties to the Paris Agreement and the Board</w:t>
      </w:r>
      <w:r w:rsidR="00912266">
        <w:t xml:space="preserve"> consistently with the Governing Instrument of the Fund;</w:t>
      </w:r>
      <w:r w:rsidR="00912266">
        <w:rPr>
          <w:rStyle w:val="FootnoteReference"/>
        </w:rPr>
        <w:footnoteReference w:id="16"/>
      </w:r>
    </w:p>
    <w:p w14:paraId="78584B16" w14:textId="0D83601F" w:rsidR="00912266" w:rsidRDefault="004250A3" w:rsidP="004250A3">
      <w:pPr>
        <w:pStyle w:val="RegSingleTxtG2"/>
        <w:numPr>
          <w:ilvl w:val="0"/>
          <w:numId w:val="0"/>
        </w:numPr>
        <w:ind w:left="1134" w:firstLine="567"/>
      </w:pPr>
      <w:r>
        <w:rPr>
          <w:szCs w:val="28"/>
        </w:rPr>
        <w:t>(c)</w:t>
      </w:r>
      <w:r>
        <w:rPr>
          <w:szCs w:val="28"/>
        </w:rPr>
        <w:tab/>
      </w:r>
      <w:r w:rsidR="00912266">
        <w:t>The prompt selection of the Executive Director of the Fund by the Board</w:t>
      </w:r>
      <w:r w:rsidR="00912266" w:rsidRPr="008C6EA9">
        <w:t xml:space="preserve"> </w:t>
      </w:r>
      <w:r w:rsidR="00912266">
        <w:t>through a merit-based, open and transparent process;</w:t>
      </w:r>
    </w:p>
    <w:p w14:paraId="6E458679" w14:textId="5C14CFBB" w:rsidR="00912266" w:rsidRDefault="004250A3" w:rsidP="004250A3">
      <w:pPr>
        <w:pStyle w:val="RegSingleTxtG2"/>
        <w:numPr>
          <w:ilvl w:val="0"/>
          <w:numId w:val="0"/>
        </w:numPr>
        <w:ind w:left="1134" w:firstLine="567"/>
      </w:pPr>
      <w:bookmarkStart w:id="11" w:name="_Ref183081229"/>
      <w:r>
        <w:rPr>
          <w:szCs w:val="28"/>
        </w:rPr>
        <w:t>(d)</w:t>
      </w:r>
      <w:r>
        <w:rPr>
          <w:szCs w:val="28"/>
        </w:rPr>
        <w:tab/>
      </w:r>
      <w:r w:rsidR="00912266">
        <w:t>The c</w:t>
      </w:r>
      <w:r w:rsidR="00912266" w:rsidRPr="006806EE">
        <w:t>onfirm</w:t>
      </w:r>
      <w:r w:rsidR="00912266">
        <w:t>ation</w:t>
      </w:r>
      <w:r w:rsidR="00912266" w:rsidRPr="006806EE">
        <w:t xml:space="preserve"> </w:t>
      </w:r>
      <w:r w:rsidR="00912266">
        <w:t xml:space="preserve">by the Board </w:t>
      </w:r>
      <w:r w:rsidR="00912266" w:rsidRPr="006806EE">
        <w:t xml:space="preserve">that the conditions set out in paragraph 20 of decisions </w:t>
      </w:r>
      <w:hyperlink r:id="rId44" w:history="1">
        <w:r w:rsidR="00912266" w:rsidRPr="00C479DE">
          <w:rPr>
            <w:rStyle w:val="Hyperlink"/>
          </w:rPr>
          <w:t>1/CP.28</w:t>
        </w:r>
      </w:hyperlink>
      <w:r w:rsidR="00912266" w:rsidRPr="006806EE">
        <w:t xml:space="preserve"> and </w:t>
      </w:r>
      <w:hyperlink r:id="rId45" w:history="1">
        <w:r w:rsidR="00912266" w:rsidRPr="00C479DE">
          <w:rPr>
            <w:rStyle w:val="Hyperlink"/>
          </w:rPr>
          <w:t>5/CMA.5</w:t>
        </w:r>
      </w:hyperlink>
      <w:r w:rsidR="00912266" w:rsidRPr="006806EE">
        <w:t xml:space="preserve"> can be met during </w:t>
      </w:r>
      <w:r w:rsidR="00912266">
        <w:t>an</w:t>
      </w:r>
      <w:r w:rsidR="00912266" w:rsidRPr="006806EE">
        <w:t xml:space="preserve"> interim period</w:t>
      </w:r>
      <w:r w:rsidR="00912266">
        <w:t xml:space="preserve"> of four years;</w:t>
      </w:r>
      <w:bookmarkEnd w:id="11"/>
    </w:p>
    <w:p w14:paraId="7C44B6FB" w14:textId="42C0088D" w:rsidR="00912266" w:rsidRPr="005B21BF" w:rsidRDefault="004250A3" w:rsidP="004250A3">
      <w:pPr>
        <w:pStyle w:val="RegSingleTxtG2"/>
        <w:numPr>
          <w:ilvl w:val="0"/>
          <w:numId w:val="0"/>
        </w:numPr>
        <w:ind w:left="1134" w:firstLine="567"/>
      </w:pPr>
      <w:r w:rsidRPr="005B21BF">
        <w:rPr>
          <w:szCs w:val="28"/>
        </w:rPr>
        <w:t>(e)</w:t>
      </w:r>
      <w:r w:rsidRPr="005B21BF">
        <w:rPr>
          <w:szCs w:val="28"/>
        </w:rPr>
        <w:tab/>
      </w:r>
      <w:r w:rsidR="00912266">
        <w:t>The d</w:t>
      </w:r>
      <w:r w:rsidR="00912266" w:rsidRPr="005B21BF">
        <w:t>eci</w:t>
      </w:r>
      <w:r w:rsidR="00912266">
        <w:t>sion of the Board</w:t>
      </w:r>
      <w:r w:rsidR="00912266" w:rsidRPr="005B21BF">
        <w:t xml:space="preserve"> to launch </w:t>
      </w:r>
      <w:r w:rsidR="00912266">
        <w:t>an</w:t>
      </w:r>
      <w:r w:rsidR="00912266" w:rsidRPr="005B21BF">
        <w:t xml:space="preserve"> independent assessment of the performance of the World Bank as host of the Fund’s secretariat</w:t>
      </w:r>
      <w:r w:rsidR="00912266">
        <w:rPr>
          <w:rStyle w:val="FootnoteReference"/>
        </w:rPr>
        <w:footnoteReference w:id="17"/>
      </w:r>
      <w:r w:rsidR="00912266" w:rsidRPr="005B21BF">
        <w:t xml:space="preserve"> no later than </w:t>
      </w:r>
      <w:r w:rsidR="00912266">
        <w:t xml:space="preserve">at </w:t>
      </w:r>
      <w:r w:rsidR="00912266" w:rsidRPr="005B21BF">
        <w:t>the first meeting of the Board in 2027 and to report</w:t>
      </w:r>
      <w:r w:rsidR="00912266">
        <w:t xml:space="preserve"> on</w:t>
      </w:r>
      <w:r w:rsidR="00912266" w:rsidRPr="005B21BF">
        <w:t xml:space="preserve"> the outcomes </w:t>
      </w:r>
      <w:r w:rsidR="00912266">
        <w:t>there</w:t>
      </w:r>
      <w:r w:rsidR="00912266" w:rsidRPr="005B21BF">
        <w:t xml:space="preserve">of to the Conference of the Parties and the Conference of the Parties serving as the meeting of the Parties to the Paris Agreement no later than at their thirty-third </w:t>
      </w:r>
      <w:r w:rsidR="00912266">
        <w:t>(</w:t>
      </w:r>
      <w:r w:rsidR="000F51FC">
        <w:t xml:space="preserve">November </w:t>
      </w:r>
      <w:r w:rsidR="00912266">
        <w:t xml:space="preserve">2028) </w:t>
      </w:r>
      <w:r w:rsidR="00912266" w:rsidRPr="005B21BF">
        <w:t xml:space="preserve">and tenth </w:t>
      </w:r>
      <w:r w:rsidR="00912266">
        <w:t>(</w:t>
      </w:r>
      <w:r w:rsidR="000F51FC">
        <w:t xml:space="preserve">November </w:t>
      </w:r>
      <w:r w:rsidR="00912266">
        <w:t>2028)</w:t>
      </w:r>
      <w:r w:rsidR="00266EB8">
        <w:t xml:space="preserve"> sessions</w:t>
      </w:r>
      <w:r w:rsidR="00912266">
        <w:t xml:space="preserve"> </w:t>
      </w:r>
      <w:r w:rsidR="00912266" w:rsidRPr="005B21BF">
        <w:t>respectively</w:t>
      </w:r>
      <w:r w:rsidR="00912266">
        <w:t>;</w:t>
      </w:r>
    </w:p>
    <w:p w14:paraId="732CB218" w14:textId="465B9716" w:rsidR="00912266" w:rsidRPr="006C5AF4" w:rsidRDefault="004250A3" w:rsidP="004250A3">
      <w:pPr>
        <w:pStyle w:val="RegSingleTxtG"/>
        <w:numPr>
          <w:ilvl w:val="0"/>
          <w:numId w:val="0"/>
        </w:numPr>
        <w:ind w:left="1134"/>
      </w:pPr>
      <w:r w:rsidRPr="006C5AF4">
        <w:t>3.</w:t>
      </w:r>
      <w:r w:rsidRPr="006C5AF4">
        <w:tab/>
      </w:r>
      <w:r w:rsidR="00912266" w:rsidRPr="006C5AF4">
        <w:rPr>
          <w:i/>
          <w:iCs/>
        </w:rPr>
        <w:t>Welcome</w:t>
      </w:r>
      <w:r w:rsidR="00912266">
        <w:rPr>
          <w:i/>
          <w:iCs/>
        </w:rPr>
        <w:t>s</w:t>
      </w:r>
      <w:r w:rsidR="00912266" w:rsidRPr="006C5AF4">
        <w:t xml:space="preserve"> the rapid progress of the Board in operationalizing the</w:t>
      </w:r>
      <w:r w:rsidR="00912266">
        <w:t xml:space="preserve"> Fund;</w:t>
      </w:r>
    </w:p>
    <w:p w14:paraId="14B926C0" w14:textId="4BD50632" w:rsidR="00912266" w:rsidRDefault="004250A3" w:rsidP="004250A3">
      <w:pPr>
        <w:pStyle w:val="RegSingleTxtG"/>
        <w:numPr>
          <w:ilvl w:val="0"/>
          <w:numId w:val="0"/>
        </w:numPr>
        <w:ind w:left="1134"/>
      </w:pPr>
      <w:r>
        <w:t>4.</w:t>
      </w:r>
      <w:r>
        <w:tab/>
      </w:r>
      <w:r w:rsidR="00912266">
        <w:rPr>
          <w:i/>
          <w:iCs/>
        </w:rPr>
        <w:t xml:space="preserve">Notes with appreciation </w:t>
      </w:r>
      <w:r w:rsidR="00912266">
        <w:t>the confirmation by the World Bank of its ability and willingness to operationalize the Fund</w:t>
      </w:r>
      <w:r w:rsidR="00912266" w:rsidRPr="00CD5DA4">
        <w:t xml:space="preserve"> </w:t>
      </w:r>
      <w:r w:rsidR="00912266">
        <w:t xml:space="preserve">as a World Bank hosted financial intermediary fund for the interim period </w:t>
      </w:r>
      <w:r w:rsidR="00912266" w:rsidRPr="00915F5D">
        <w:t xml:space="preserve">referred to in paragraph </w:t>
      </w:r>
      <w:r w:rsidR="00912266">
        <w:rPr>
          <w:cs/>
        </w:rPr>
        <w:t>‎</w:t>
      </w:r>
      <w:r w:rsidR="00912266">
        <w:t>2(d) above, as well as that the World Bank took the steps necessary to promptly operationalize the Fund</w:t>
      </w:r>
      <w:r w:rsidR="00912266" w:rsidRPr="008D384B">
        <w:t xml:space="preserve"> </w:t>
      </w:r>
      <w:r w:rsidR="00912266">
        <w:t>as a financial intermediary fund; submitted to the Board of the Fund within eight</w:t>
      </w:r>
      <w:r w:rsidR="00912266" w:rsidRPr="008D384B">
        <w:t xml:space="preserve"> </w:t>
      </w:r>
      <w:r w:rsidR="00912266">
        <w:t>months after the conclusion of the twenty</w:t>
      </w:r>
      <w:r w:rsidR="00912266">
        <w:noBreakHyphen/>
        <w:t>eighth session of the Conference of the Parties the</w:t>
      </w:r>
      <w:r w:rsidR="00912266" w:rsidRPr="008D384B">
        <w:t xml:space="preserve"> </w:t>
      </w:r>
      <w:r w:rsidR="00912266">
        <w:t>relevant financial intermediary fund documentation, approved by the World Bank Board of</w:t>
      </w:r>
      <w:r w:rsidR="00912266" w:rsidRPr="008D384B">
        <w:t xml:space="preserve"> </w:t>
      </w:r>
      <w:r w:rsidR="00912266">
        <w:t>Directors, including a hosting agreement between the Board of the Fund and the World Bank,</w:t>
      </w:r>
      <w:r w:rsidR="00912266" w:rsidRPr="008D384B">
        <w:t xml:space="preserve"> </w:t>
      </w:r>
      <w:r w:rsidR="00912266">
        <w:t>based on consultations with and guidance from the Board of the Fund;</w:t>
      </w:r>
      <w:r w:rsidR="00912266" w:rsidRPr="00246296">
        <w:t xml:space="preserve"> </w:t>
      </w:r>
      <w:r w:rsidR="00912266">
        <w:t>and established a new, dedicated and independent secretariat hosted by the World Bank</w:t>
      </w:r>
      <w:r w:rsidR="00912266" w:rsidRPr="00CD5DA4">
        <w:t xml:space="preserve"> </w:t>
      </w:r>
      <w:r w:rsidR="00912266">
        <w:t>to service the Fund;</w:t>
      </w:r>
    </w:p>
    <w:p w14:paraId="1E105A1C" w14:textId="450E2CAF" w:rsidR="00912266" w:rsidRDefault="004250A3" w:rsidP="004250A3">
      <w:pPr>
        <w:pStyle w:val="RegSingleTxtG"/>
        <w:numPr>
          <w:ilvl w:val="0"/>
          <w:numId w:val="0"/>
        </w:numPr>
        <w:ind w:left="1134"/>
      </w:pPr>
      <w:r>
        <w:t>5.</w:t>
      </w:r>
      <w:r>
        <w:tab/>
      </w:r>
      <w:r w:rsidR="00912266" w:rsidRPr="00CC1E61">
        <w:rPr>
          <w:i/>
          <w:iCs/>
        </w:rPr>
        <w:t>Welcome</w:t>
      </w:r>
      <w:r w:rsidR="00912266">
        <w:rPr>
          <w:i/>
          <w:iCs/>
        </w:rPr>
        <w:t>s</w:t>
      </w:r>
      <w:r w:rsidR="00912266">
        <w:t xml:space="preserve"> the c</w:t>
      </w:r>
      <w:r w:rsidR="00912266" w:rsidRPr="006806EE">
        <w:t>onfirm</w:t>
      </w:r>
      <w:r w:rsidR="00912266">
        <w:t>ation</w:t>
      </w:r>
      <w:r w:rsidR="00912266" w:rsidRPr="006806EE">
        <w:t xml:space="preserve"> </w:t>
      </w:r>
      <w:r w:rsidR="00912266">
        <w:t xml:space="preserve">by the Board of the Fund </w:t>
      </w:r>
      <w:r w:rsidR="00912266" w:rsidRPr="006806EE">
        <w:t xml:space="preserve">that the conditions set out in paragraph 20 of decisions </w:t>
      </w:r>
      <w:hyperlink r:id="rId46" w:history="1">
        <w:r w:rsidR="00912266" w:rsidRPr="00C479DE">
          <w:rPr>
            <w:rStyle w:val="Hyperlink"/>
          </w:rPr>
          <w:t>1/CP.28</w:t>
        </w:r>
      </w:hyperlink>
      <w:r w:rsidR="00912266" w:rsidRPr="006806EE">
        <w:t xml:space="preserve"> and </w:t>
      </w:r>
      <w:hyperlink r:id="rId47" w:history="1">
        <w:r w:rsidR="00912266" w:rsidRPr="00C479DE">
          <w:rPr>
            <w:rStyle w:val="Hyperlink"/>
          </w:rPr>
          <w:t>5/CMA.5</w:t>
        </w:r>
      </w:hyperlink>
      <w:r w:rsidR="00912266" w:rsidRPr="006806EE">
        <w:t xml:space="preserve"> can be met </w:t>
      </w:r>
      <w:r w:rsidR="00912266">
        <w:t xml:space="preserve">by the World Bank </w:t>
      </w:r>
      <w:r w:rsidR="00912266" w:rsidRPr="006806EE">
        <w:t>during the interim period</w:t>
      </w:r>
      <w:r w:rsidR="00912266">
        <w:t xml:space="preserve"> referred to in paragraph </w:t>
      </w:r>
      <w:r w:rsidR="00912266">
        <w:rPr>
          <w:cs/>
        </w:rPr>
        <w:t>‎</w:t>
      </w:r>
      <w:r w:rsidR="00912266">
        <w:t>2(d) above, and the signing of the agreements between the Board of the Fund and the World Bank to operationalize the Fund</w:t>
      </w:r>
      <w:r w:rsidR="00912266" w:rsidRPr="00CD5DA4">
        <w:t xml:space="preserve"> </w:t>
      </w:r>
      <w:r w:rsidR="00912266">
        <w:t>as a World Bank hosted financial intermediary fund;</w:t>
      </w:r>
    </w:p>
    <w:p w14:paraId="745DAD26" w14:textId="435593A6" w:rsidR="00912266" w:rsidRDefault="004250A3" w:rsidP="004250A3">
      <w:pPr>
        <w:pStyle w:val="RegSingleTxtG"/>
        <w:numPr>
          <w:ilvl w:val="0"/>
          <w:numId w:val="0"/>
        </w:numPr>
        <w:spacing w:before="120"/>
        <w:ind w:left="1134"/>
      </w:pPr>
      <w:r>
        <w:t>6.</w:t>
      </w:r>
      <w:r>
        <w:tab/>
      </w:r>
      <w:r w:rsidR="00912266">
        <w:rPr>
          <w:i/>
          <w:iCs/>
        </w:rPr>
        <w:t xml:space="preserve">Welcomes with appreciation </w:t>
      </w:r>
      <w:r w:rsidR="00912266">
        <w:t xml:space="preserve">that the Government of the Philippines promptly conferred the Board of the Fund with the legal personality and the legal capacity as necessary for discharging its roles and functions, in particular the legal </w:t>
      </w:r>
      <w:r w:rsidR="00912266" w:rsidRPr="488A1D75">
        <w:t xml:space="preserve">capacity to negotiate, conclude </w:t>
      </w:r>
      <w:r w:rsidR="00912266" w:rsidRPr="488A1D75">
        <w:lastRenderedPageBreak/>
        <w:t>and enter into a hosting arrangement with the World Bank as</w:t>
      </w:r>
      <w:r w:rsidR="00912266">
        <w:t xml:space="preserve"> </w:t>
      </w:r>
      <w:r w:rsidR="00912266" w:rsidRPr="488A1D75">
        <w:t>interim trustee and host of the Fund’s secretariat</w:t>
      </w:r>
      <w:r w:rsidR="00912266">
        <w:t>;</w:t>
      </w:r>
    </w:p>
    <w:p w14:paraId="48C887DC" w14:textId="62070B9E" w:rsidR="00912266" w:rsidRPr="00F300E2" w:rsidRDefault="004250A3" w:rsidP="004250A3">
      <w:pPr>
        <w:pStyle w:val="RegSingleTxtG"/>
        <w:numPr>
          <w:ilvl w:val="0"/>
          <w:numId w:val="0"/>
        </w:numPr>
        <w:spacing w:before="120"/>
        <w:ind w:left="1134"/>
      </w:pPr>
      <w:r w:rsidRPr="00F300E2">
        <w:t>7.</w:t>
      </w:r>
      <w:r w:rsidRPr="00F300E2">
        <w:tab/>
      </w:r>
      <w:r w:rsidR="00912266">
        <w:rPr>
          <w:i/>
          <w:iCs/>
        </w:rPr>
        <w:t>Expresses appreciation</w:t>
      </w:r>
      <w:r w:rsidR="00912266">
        <w:t xml:space="preserve"> to the Governments of Antigua and Barbuda, Armenia, the Bahamas, Barbados, Eswatini, Kenya and Togo for offering to host the Board of the Fund and to </w:t>
      </w:r>
      <w:r w:rsidR="00912266" w:rsidRPr="00BA48FC">
        <w:t>confer</w:t>
      </w:r>
      <w:r w:rsidR="00912266">
        <w:t xml:space="preserve"> it</w:t>
      </w:r>
      <w:r w:rsidR="00912266" w:rsidRPr="00BA48FC">
        <w:t xml:space="preserve"> with the </w:t>
      </w:r>
      <w:r w:rsidR="00912266">
        <w:t xml:space="preserve">necessary </w:t>
      </w:r>
      <w:r w:rsidR="00912266" w:rsidRPr="00BA48FC">
        <w:t xml:space="preserve">legal personality and </w:t>
      </w:r>
      <w:r w:rsidR="00912266">
        <w:t xml:space="preserve">legal </w:t>
      </w:r>
      <w:r w:rsidR="00912266" w:rsidRPr="00BA48FC">
        <w:t>capacity</w:t>
      </w:r>
      <w:r w:rsidR="00912266">
        <w:t>;</w:t>
      </w:r>
    </w:p>
    <w:p w14:paraId="5010E2E8" w14:textId="3E807B4D" w:rsidR="00912266" w:rsidRDefault="004250A3" w:rsidP="004250A3">
      <w:pPr>
        <w:pStyle w:val="RegSingleTxtG"/>
        <w:numPr>
          <w:ilvl w:val="0"/>
          <w:numId w:val="0"/>
        </w:numPr>
        <w:ind w:left="1134"/>
      </w:pPr>
      <w:r>
        <w:t>8.</w:t>
      </w:r>
      <w:r>
        <w:tab/>
      </w:r>
      <w:r w:rsidR="00912266">
        <w:rPr>
          <w:i/>
          <w:iCs/>
        </w:rPr>
        <w:t>Also e</w:t>
      </w:r>
      <w:r w:rsidR="00912266" w:rsidRPr="00CC1E61">
        <w:rPr>
          <w:i/>
          <w:iCs/>
        </w:rPr>
        <w:t>xpress</w:t>
      </w:r>
      <w:r w:rsidR="00912266">
        <w:rPr>
          <w:i/>
          <w:iCs/>
        </w:rPr>
        <w:t>es appreciation</w:t>
      </w:r>
      <w:r w:rsidR="00912266">
        <w:t xml:space="preserve"> to the secretariats of the UNFCCC and the Green Climate Fund and the United Nations</w:t>
      </w:r>
      <w:r w:rsidR="00912266" w:rsidRPr="00F6710B">
        <w:t xml:space="preserve"> </w:t>
      </w:r>
      <w:r w:rsidR="00912266">
        <w:t>Development Programme for jointly forming the interim secretariat</w:t>
      </w:r>
      <w:r w:rsidR="00912266" w:rsidRPr="00F6710B">
        <w:t xml:space="preserve"> </w:t>
      </w:r>
      <w:r w:rsidR="00912266">
        <w:t>for the Fund and providing support, including</w:t>
      </w:r>
      <w:r w:rsidR="00912266" w:rsidRPr="00F6710B">
        <w:t xml:space="preserve"> </w:t>
      </w:r>
      <w:r w:rsidR="00912266">
        <w:t>administrative support, to the Board of the Fund during the transitional period until the</w:t>
      </w:r>
      <w:r w:rsidR="00912266" w:rsidRPr="00F6710B">
        <w:t xml:space="preserve"> </w:t>
      </w:r>
      <w:r w:rsidR="00912266">
        <w:t xml:space="preserve">establishment of the independent secretariat and </w:t>
      </w:r>
      <w:r w:rsidR="00912266" w:rsidRPr="00834309">
        <w:rPr>
          <w:i/>
          <w:iCs/>
        </w:rPr>
        <w:t>look</w:t>
      </w:r>
      <w:r w:rsidR="00912266">
        <w:rPr>
          <w:i/>
          <w:iCs/>
        </w:rPr>
        <w:t>s</w:t>
      </w:r>
      <w:r w:rsidR="00912266" w:rsidRPr="00834309">
        <w:rPr>
          <w:i/>
          <w:iCs/>
        </w:rPr>
        <w:t xml:space="preserve"> forward</w:t>
      </w:r>
      <w:r w:rsidR="00912266">
        <w:t xml:space="preserve"> to a smooth and cost-effective transition of the interim secretariat’s functions under the new, dedicated and independent secretariat;</w:t>
      </w:r>
    </w:p>
    <w:p w14:paraId="32DDABE8" w14:textId="6D8FBE32" w:rsidR="00912266" w:rsidRPr="00D93BD7" w:rsidRDefault="004250A3" w:rsidP="004250A3">
      <w:pPr>
        <w:pStyle w:val="RegSingleTxtG"/>
        <w:numPr>
          <w:ilvl w:val="0"/>
          <w:numId w:val="0"/>
        </w:numPr>
        <w:ind w:left="1134"/>
      </w:pPr>
      <w:r w:rsidRPr="00D93BD7">
        <w:t>9.</w:t>
      </w:r>
      <w:r w:rsidRPr="00D93BD7">
        <w:tab/>
      </w:r>
      <w:r w:rsidR="00912266" w:rsidRPr="003A6017">
        <w:rPr>
          <w:i/>
          <w:iCs/>
        </w:rPr>
        <w:t>Welcome</w:t>
      </w:r>
      <w:r w:rsidR="00912266">
        <w:rPr>
          <w:i/>
          <w:iCs/>
        </w:rPr>
        <w:t>s</w:t>
      </w:r>
      <w:r w:rsidR="00912266" w:rsidRPr="003A6017">
        <w:t xml:space="preserve"> the financial pledges made to the Fund by the Governments of</w:t>
      </w:r>
      <w:r w:rsidR="00912266">
        <w:t xml:space="preserve"> Australia, Austria, Estonia, Luxembourg, the Republic of Korea, New Zealand and Sweden and the government of the Walloon </w:t>
      </w:r>
      <w:r w:rsidR="00912266" w:rsidRPr="001F69D5">
        <w:t>Region of Belgium,</w:t>
      </w:r>
      <w:r w:rsidR="00912266" w:rsidRPr="001F69D5" w:rsidDel="005C3BE6">
        <w:t xml:space="preserve"> </w:t>
      </w:r>
      <w:r w:rsidR="00912266">
        <w:t xml:space="preserve">which, together with the other pledges mentioned in table 2 of the annex to document </w:t>
      </w:r>
      <w:hyperlink r:id="rId48" w:history="1">
        <w:r w:rsidR="00912266" w:rsidRPr="00214C61">
          <w:rPr>
            <w:rStyle w:val="Hyperlink"/>
          </w:rPr>
          <w:t>FCCC/CP/2024/9–FCCC/PA/CMA/2024/13</w:t>
        </w:r>
      </w:hyperlink>
      <w:r w:rsidR="00912266">
        <w:t xml:space="preserve">, </w:t>
      </w:r>
      <w:r w:rsidR="00912266" w:rsidRPr="001F69D5">
        <w:t>amount to the equivalent of USD </w:t>
      </w:r>
      <w:r w:rsidR="00AD7417">
        <w:t>731.15</w:t>
      </w:r>
      <w:r w:rsidR="00912266" w:rsidRPr="001F69D5">
        <w:t xml:space="preserve"> million;</w:t>
      </w:r>
      <w:r w:rsidR="00912266" w:rsidRPr="008F03A4">
        <w:rPr>
          <w:i/>
          <w:iCs/>
        </w:rPr>
        <w:t xml:space="preserve"> </w:t>
      </w:r>
    </w:p>
    <w:p w14:paraId="7D18C403" w14:textId="594CACD8" w:rsidR="00912266" w:rsidRDefault="004250A3" w:rsidP="004250A3">
      <w:pPr>
        <w:pStyle w:val="RegSingleTxtG"/>
        <w:numPr>
          <w:ilvl w:val="0"/>
          <w:numId w:val="0"/>
        </w:numPr>
        <w:ind w:left="1134"/>
      </w:pPr>
      <w:r>
        <w:t>10.</w:t>
      </w:r>
      <w:r>
        <w:tab/>
      </w:r>
      <w:r w:rsidR="00912266" w:rsidRPr="00D1427C">
        <w:rPr>
          <w:i/>
          <w:iCs/>
        </w:rPr>
        <w:t>Notes</w:t>
      </w:r>
      <w:r w:rsidR="00912266">
        <w:t xml:space="preserve"> the importance of converting pledges to contributions in a timely manner, </w:t>
      </w:r>
      <w:r w:rsidR="00912266" w:rsidRPr="00712ED4">
        <w:rPr>
          <w:i/>
          <w:iCs/>
        </w:rPr>
        <w:t>urges</w:t>
      </w:r>
      <w:r w:rsidR="00912266">
        <w:t xml:space="preserve"> the conversion of pledges as soon as possible</w:t>
      </w:r>
      <w:r w:rsidR="00912266" w:rsidDel="00AD3554">
        <w:t>,</w:t>
      </w:r>
      <w:r w:rsidR="00912266">
        <w:t xml:space="preserve"> and </w:t>
      </w:r>
      <w:r w:rsidR="00912266" w:rsidRPr="00712ED4">
        <w:rPr>
          <w:i/>
          <w:iCs/>
        </w:rPr>
        <w:t>requests</w:t>
      </w:r>
      <w:r w:rsidR="00912266">
        <w:t xml:space="preserve"> the Board to engage with the relevant Parties for the timely conversion of pledges to fully executed contribution agreements or arrangements to increase </w:t>
      </w:r>
      <w:r w:rsidR="00912266" w:rsidDel="00306589">
        <w:t xml:space="preserve">the </w:t>
      </w:r>
      <w:r w:rsidR="00912266">
        <w:t>predictability of resources for the Fund</w:t>
      </w:r>
      <w:r w:rsidR="00912266" w:rsidRPr="00311D6B">
        <w:t>;</w:t>
      </w:r>
    </w:p>
    <w:p w14:paraId="3A249409" w14:textId="0D999DF0" w:rsidR="00912266" w:rsidRPr="00D1043A" w:rsidRDefault="004250A3" w:rsidP="004250A3">
      <w:pPr>
        <w:pStyle w:val="RegSingleTxtG"/>
        <w:numPr>
          <w:ilvl w:val="0"/>
          <w:numId w:val="0"/>
        </w:numPr>
        <w:ind w:left="1134"/>
      </w:pPr>
      <w:r w:rsidRPr="00D1043A">
        <w:t>11.</w:t>
      </w:r>
      <w:r w:rsidRPr="00D1043A">
        <w:tab/>
      </w:r>
      <w:r w:rsidR="00912266" w:rsidRPr="00D1043A">
        <w:rPr>
          <w:i/>
          <w:iCs/>
        </w:rPr>
        <w:t>Expresses gratitude</w:t>
      </w:r>
      <w:r w:rsidR="00912266" w:rsidRPr="00D1043A">
        <w:t xml:space="preserve"> to the Government of Japan for disbursing USD 10 million towards the operationalization of the Fund</w:t>
      </w:r>
      <w:r w:rsidR="00912266">
        <w:t>;</w:t>
      </w:r>
    </w:p>
    <w:p w14:paraId="284FFB4E" w14:textId="400B53C6" w:rsidR="00912266" w:rsidRDefault="004250A3" w:rsidP="004250A3">
      <w:pPr>
        <w:pStyle w:val="RegSingleTxtG"/>
        <w:numPr>
          <w:ilvl w:val="0"/>
          <w:numId w:val="0"/>
        </w:numPr>
        <w:ind w:left="1134"/>
      </w:pPr>
      <w:r>
        <w:t>12.</w:t>
      </w:r>
      <w:r>
        <w:tab/>
      </w:r>
      <w:r w:rsidR="00912266" w:rsidRPr="00467F2A">
        <w:rPr>
          <w:i/>
          <w:iCs/>
        </w:rPr>
        <w:t>Express</w:t>
      </w:r>
      <w:r w:rsidR="00912266">
        <w:rPr>
          <w:i/>
          <w:iCs/>
        </w:rPr>
        <w:t>es</w:t>
      </w:r>
      <w:r w:rsidR="00912266" w:rsidRPr="00467F2A">
        <w:rPr>
          <w:i/>
          <w:iCs/>
        </w:rPr>
        <w:t xml:space="preserve"> appreciation</w:t>
      </w:r>
      <w:r w:rsidR="00912266">
        <w:t xml:space="preserve"> to the Governments of the United Arab Emirates, the Republic of Korea and Azerbaijan for hosting the 1</w:t>
      </w:r>
      <w:r w:rsidR="00912266" w:rsidRPr="005A6FFA">
        <w:rPr>
          <w:vertAlign w:val="superscript"/>
        </w:rPr>
        <w:t>st</w:t>
      </w:r>
      <w:r w:rsidR="00912266">
        <w:t>, 2</w:t>
      </w:r>
      <w:r w:rsidR="00912266" w:rsidRPr="00467F2A">
        <w:rPr>
          <w:vertAlign w:val="superscript"/>
        </w:rPr>
        <w:t>nd</w:t>
      </w:r>
      <w:r w:rsidR="00912266">
        <w:t xml:space="preserve"> and 3</w:t>
      </w:r>
      <w:r w:rsidR="00912266" w:rsidRPr="005A6FFA">
        <w:rPr>
          <w:vertAlign w:val="superscript"/>
        </w:rPr>
        <w:t>rd</w:t>
      </w:r>
      <w:r w:rsidR="00912266">
        <w:t xml:space="preserve"> meetings respectively of the Board of the Fund;</w:t>
      </w:r>
    </w:p>
    <w:p w14:paraId="1F68B79B" w14:textId="054841A7" w:rsidR="00912266" w:rsidRDefault="004250A3" w:rsidP="004250A3">
      <w:pPr>
        <w:pStyle w:val="RegSingleTxtG"/>
        <w:numPr>
          <w:ilvl w:val="0"/>
          <w:numId w:val="0"/>
        </w:numPr>
        <w:ind w:left="1134"/>
      </w:pPr>
      <w:r>
        <w:t>13.</w:t>
      </w:r>
      <w:r>
        <w:tab/>
      </w:r>
      <w:r w:rsidR="00912266">
        <w:rPr>
          <w:i/>
          <w:iCs/>
        </w:rPr>
        <w:t xml:space="preserve">Welcomes </w:t>
      </w:r>
      <w:r w:rsidR="00912266" w:rsidRPr="004034E0">
        <w:t>the</w:t>
      </w:r>
      <w:r w:rsidR="00912266">
        <w:t xml:space="preserve"> prompt selection and appointment of Ibrahima Cheikh Diong as the Executive Director of the Fund through a merit-based, open and transparent process;</w:t>
      </w:r>
    </w:p>
    <w:p w14:paraId="0F5867BD" w14:textId="17E347DA" w:rsidR="00912266" w:rsidRDefault="004250A3" w:rsidP="004250A3">
      <w:pPr>
        <w:pStyle w:val="RegSingleTxtG"/>
        <w:numPr>
          <w:ilvl w:val="0"/>
          <w:numId w:val="0"/>
        </w:numPr>
        <w:ind w:left="1134"/>
      </w:pPr>
      <w:r>
        <w:t>14.</w:t>
      </w:r>
      <w:r>
        <w:tab/>
      </w:r>
      <w:r w:rsidR="00912266">
        <w:rPr>
          <w:i/>
          <w:iCs/>
        </w:rPr>
        <w:t>Also welcomes</w:t>
      </w:r>
      <w:r w:rsidR="00912266">
        <w:t xml:space="preserve"> the launch of the </w:t>
      </w:r>
      <w:r w:rsidR="00912266" w:rsidRPr="00896318">
        <w:t xml:space="preserve">annual high-level dialogue </w:t>
      </w:r>
      <w:r w:rsidR="00912266">
        <w:t>on coordination and complementarity at</w:t>
      </w:r>
      <w:r w:rsidR="00912266" w:rsidRPr="00896318">
        <w:t xml:space="preserve"> a high-level event</w:t>
      </w:r>
      <w:r w:rsidR="00912266">
        <w:t>, organized by the Presidency of the twenty-ninth session of the Conference of the Parties and the Board</w:t>
      </w:r>
      <w:r w:rsidR="00912266" w:rsidRPr="00896318">
        <w:t xml:space="preserve"> </w:t>
      </w:r>
      <w:r w:rsidR="00912266">
        <w:t xml:space="preserve">of the Fund, held </w:t>
      </w:r>
      <w:r w:rsidR="00912266" w:rsidRPr="00896318">
        <w:t>on the margins of the World Leaders Climate Action Summit</w:t>
      </w:r>
      <w:r w:rsidR="00912266">
        <w:t xml:space="preserve"> in conjunction with the twenty-ninth session of the Conference of the Parties and the sixth session of the Conference of the Parties </w:t>
      </w:r>
      <w:r w:rsidR="00912266" w:rsidRPr="00542EC1">
        <w:t>serving as the meeting of the Parties to the Paris Agreement</w:t>
      </w:r>
      <w:r w:rsidR="00912266">
        <w:t>;</w:t>
      </w:r>
    </w:p>
    <w:p w14:paraId="4D907A80" w14:textId="5939C263" w:rsidR="00912266" w:rsidRDefault="004250A3" w:rsidP="004250A3">
      <w:pPr>
        <w:pStyle w:val="RegSingleTxtG"/>
        <w:numPr>
          <w:ilvl w:val="0"/>
          <w:numId w:val="0"/>
        </w:numPr>
        <w:ind w:left="1134"/>
      </w:pPr>
      <w:r>
        <w:t>15.</w:t>
      </w:r>
      <w:r>
        <w:tab/>
      </w:r>
      <w:r w:rsidR="00912266">
        <w:rPr>
          <w:i/>
          <w:iCs/>
        </w:rPr>
        <w:t xml:space="preserve">Further welcomes </w:t>
      </w:r>
      <w:r w:rsidR="00912266">
        <w:t xml:space="preserve">the </w:t>
      </w:r>
      <w:r w:rsidR="00912266" w:rsidRPr="00C11BA2">
        <w:t>adopt</w:t>
      </w:r>
      <w:r w:rsidR="00912266">
        <w:t>ion by the Board of the Fund of</w:t>
      </w:r>
      <w:r w:rsidR="00912266" w:rsidRPr="00C11BA2">
        <w:t xml:space="preserve"> its workplan for 2024–</w:t>
      </w:r>
      <w:r w:rsidR="00912266">
        <w:t>‍</w:t>
      </w:r>
      <w:r w:rsidR="00912266" w:rsidRPr="00C11BA2">
        <w:t>2025</w:t>
      </w:r>
      <w:r w:rsidR="00912266">
        <w:t>,</w:t>
      </w:r>
      <w:r w:rsidR="00912266">
        <w:rPr>
          <w:rStyle w:val="FootnoteReference"/>
        </w:rPr>
        <w:footnoteReference w:id="18"/>
      </w:r>
      <w:r w:rsidR="00912266" w:rsidRPr="00C11BA2">
        <w:t xml:space="preserve"> </w:t>
      </w:r>
      <w:r w:rsidR="00912266">
        <w:t xml:space="preserve">which is </w:t>
      </w:r>
      <w:r w:rsidR="00912266" w:rsidRPr="00C11BA2">
        <w:t>aimed at implementing the provisions of the Governing Instrument of the Fund with a view to approving funding decisions as soon as possible, developing operational procedures and policies for delivering on the mandate of the Fund</w:t>
      </w:r>
      <w:r w:rsidR="00912266">
        <w:t>,</w:t>
      </w:r>
      <w:r w:rsidR="00912266" w:rsidRPr="00C11BA2">
        <w:t xml:space="preserve"> </w:t>
      </w:r>
      <w:r w:rsidR="00912266">
        <w:t xml:space="preserve">and </w:t>
      </w:r>
      <w:r w:rsidR="00912266" w:rsidRPr="00C11BA2">
        <w:t>ensuring appropriate safeguards</w:t>
      </w:r>
      <w:r w:rsidR="00912266">
        <w:t xml:space="preserve">, and </w:t>
      </w:r>
      <w:r w:rsidR="00912266" w:rsidRPr="00EC444C">
        <w:rPr>
          <w:i/>
          <w:iCs/>
        </w:rPr>
        <w:t>look</w:t>
      </w:r>
      <w:r w:rsidR="00912266">
        <w:rPr>
          <w:i/>
          <w:iCs/>
        </w:rPr>
        <w:t>s</w:t>
      </w:r>
      <w:r w:rsidR="00912266" w:rsidRPr="00EC444C">
        <w:rPr>
          <w:i/>
          <w:iCs/>
        </w:rPr>
        <w:t xml:space="preserve"> forward</w:t>
      </w:r>
      <w:r w:rsidR="00912266">
        <w:t xml:space="preserve"> to the timely implementation of the workplan;</w:t>
      </w:r>
    </w:p>
    <w:p w14:paraId="3AB86D39" w14:textId="1A556614" w:rsidR="00912266" w:rsidRDefault="004250A3" w:rsidP="004250A3">
      <w:pPr>
        <w:pStyle w:val="RegSingleTxtG"/>
        <w:numPr>
          <w:ilvl w:val="0"/>
          <w:numId w:val="0"/>
        </w:numPr>
        <w:ind w:left="1134"/>
      </w:pPr>
      <w:r>
        <w:t>16.</w:t>
      </w:r>
      <w:r>
        <w:tab/>
      </w:r>
      <w:r w:rsidR="00912266">
        <w:rPr>
          <w:i/>
          <w:iCs/>
        </w:rPr>
        <w:t>N</w:t>
      </w:r>
      <w:r w:rsidR="00912266" w:rsidRPr="007F4246">
        <w:rPr>
          <w:i/>
          <w:iCs/>
        </w:rPr>
        <w:t>ote</w:t>
      </w:r>
      <w:r w:rsidR="00912266">
        <w:rPr>
          <w:i/>
          <w:iCs/>
        </w:rPr>
        <w:t>s</w:t>
      </w:r>
      <w:r w:rsidR="00912266" w:rsidRPr="007F4246">
        <w:rPr>
          <w:i/>
          <w:iCs/>
        </w:rPr>
        <w:t xml:space="preserve"> with appreciation</w:t>
      </w:r>
      <w:r w:rsidR="00912266">
        <w:t xml:space="preserve"> the Board’s timeline in its workplan for preparing a long</w:t>
      </w:r>
      <w:r w:rsidR="00912266">
        <w:noBreakHyphen/>
        <w:t>term fundraising and resource mobilization strategy</w:t>
      </w:r>
      <w:r w:rsidR="00912266" w:rsidRPr="00AE5A0B">
        <w:t xml:space="preserve"> </w:t>
      </w:r>
      <w:r w:rsidR="00912266">
        <w:t xml:space="preserve">and plan for the Fund by the end of 2025, </w:t>
      </w:r>
      <w:r w:rsidR="00912266" w:rsidDel="00AE333D">
        <w:t>guided by</w:t>
      </w:r>
      <w:r w:rsidR="00912266">
        <w:t xml:space="preserve"> paragraph 12 of decisions </w:t>
      </w:r>
      <w:hyperlink r:id="rId49" w:history="1">
        <w:r w:rsidR="00912266" w:rsidRPr="00C479DE">
          <w:rPr>
            <w:rStyle w:val="Hyperlink"/>
          </w:rPr>
          <w:t>1/CP.28</w:t>
        </w:r>
      </w:hyperlink>
      <w:r w:rsidR="00912266">
        <w:t xml:space="preserve"> and </w:t>
      </w:r>
      <w:hyperlink r:id="rId50" w:history="1">
        <w:r w:rsidR="00912266" w:rsidRPr="00C479DE">
          <w:rPr>
            <w:rStyle w:val="Hyperlink"/>
          </w:rPr>
          <w:t>5/CMA.5</w:t>
        </w:r>
      </w:hyperlink>
      <w:r w:rsidR="00912266">
        <w:t xml:space="preserve"> and paragraphs 54–56 of the Governing Instrument of the Fund;</w:t>
      </w:r>
    </w:p>
    <w:p w14:paraId="5042ECB0" w14:textId="24B04BB7" w:rsidR="00912266" w:rsidRPr="009866A2" w:rsidRDefault="004250A3" w:rsidP="004250A3">
      <w:pPr>
        <w:pStyle w:val="RegSingleTxtG"/>
        <w:numPr>
          <w:ilvl w:val="0"/>
          <w:numId w:val="0"/>
        </w:numPr>
        <w:ind w:left="1134"/>
      </w:pPr>
      <w:r w:rsidRPr="009866A2">
        <w:t>17.</w:t>
      </w:r>
      <w:r w:rsidRPr="009866A2">
        <w:tab/>
      </w:r>
      <w:r w:rsidR="00912266" w:rsidRPr="00CD7E82">
        <w:rPr>
          <w:i/>
          <w:iCs/>
        </w:rPr>
        <w:t>Affirm</w:t>
      </w:r>
      <w:r w:rsidR="00912266">
        <w:rPr>
          <w:i/>
          <w:iCs/>
        </w:rPr>
        <w:t>s</w:t>
      </w:r>
      <w:r w:rsidR="00912266" w:rsidRPr="00CD7E82">
        <w:t xml:space="preserve"> the </w:t>
      </w:r>
      <w:r w:rsidR="00912266">
        <w:t xml:space="preserve">need to promote efforts that enhance </w:t>
      </w:r>
      <w:r w:rsidR="00912266" w:rsidRPr="00CD7E82">
        <w:t>coherence and complementarity</w:t>
      </w:r>
      <w:r w:rsidR="00912266">
        <w:t xml:space="preserve"> of the Fund with new and existing arrangements for responding to loss and damage </w:t>
      </w:r>
      <w:r w:rsidR="00912266" w:rsidRPr="0049141A">
        <w:t xml:space="preserve">associated with the adverse effects of climate change </w:t>
      </w:r>
      <w:r w:rsidR="00912266">
        <w:t xml:space="preserve">and </w:t>
      </w:r>
      <w:r w:rsidR="00912266" w:rsidRPr="009C5E90">
        <w:rPr>
          <w:rFonts w:eastAsia="Times New Roman"/>
          <w:i/>
          <w:iCs/>
          <w:lang w:val="en-US" w:eastAsia="en-US"/>
        </w:rPr>
        <w:t>welcome</w:t>
      </w:r>
      <w:r w:rsidR="00912266">
        <w:rPr>
          <w:rFonts w:eastAsia="Times New Roman"/>
          <w:i/>
          <w:iCs/>
          <w:lang w:val="en-US" w:eastAsia="en-US"/>
        </w:rPr>
        <w:t>s</w:t>
      </w:r>
      <w:r w:rsidR="00912266">
        <w:rPr>
          <w:rFonts w:eastAsia="Times New Roman"/>
          <w:lang w:val="en-US" w:eastAsia="en-US"/>
        </w:rPr>
        <w:t xml:space="preserve"> the inclusion of a target in the workplan of the Board to develop a complementarity and coherence framework in 2025;</w:t>
      </w:r>
    </w:p>
    <w:p w14:paraId="327EF2A1" w14:textId="3A247BDB" w:rsidR="00912266" w:rsidRDefault="004250A3" w:rsidP="004250A3">
      <w:pPr>
        <w:pStyle w:val="RegSingleTxtG"/>
        <w:numPr>
          <w:ilvl w:val="0"/>
          <w:numId w:val="0"/>
        </w:numPr>
        <w:ind w:left="1134"/>
      </w:pPr>
      <w:r>
        <w:t>18.</w:t>
      </w:r>
      <w:r>
        <w:tab/>
      </w:r>
      <w:r w:rsidR="00912266" w:rsidRPr="00210574">
        <w:rPr>
          <w:i/>
          <w:iCs/>
        </w:rPr>
        <w:t>Invites</w:t>
      </w:r>
      <w:r w:rsidR="00912266">
        <w:t xml:space="preserve"> Parties to submit</w:t>
      </w:r>
      <w:r w:rsidR="00912266" w:rsidDel="004046B8">
        <w:t xml:space="preserve"> </w:t>
      </w:r>
      <w:r w:rsidR="00912266">
        <w:t>views and recommendations on elements of guidance for the Fund for responding to Loss and Damage via the submission portal</w:t>
      </w:r>
      <w:r w:rsidR="00912266">
        <w:rPr>
          <w:rStyle w:val="FootnoteReference"/>
        </w:rPr>
        <w:footnoteReference w:id="19"/>
      </w:r>
      <w:r w:rsidR="00912266">
        <w:t xml:space="preserve"> no later than 10 weeks prior to the seventh session of the </w:t>
      </w:r>
      <w:r w:rsidR="00912266" w:rsidRPr="00542EC1">
        <w:t xml:space="preserve">Conference of the Parties serving as the meeting of the Parties to the Paris Agreement </w:t>
      </w:r>
      <w:r w:rsidR="00912266">
        <w:t>(November 2025);</w:t>
      </w:r>
    </w:p>
    <w:p w14:paraId="5B32EE31" w14:textId="62ADA1C9" w:rsidR="009666F0" w:rsidRDefault="004250A3" w:rsidP="004250A3">
      <w:pPr>
        <w:pStyle w:val="RegSingleTxtG"/>
        <w:numPr>
          <w:ilvl w:val="0"/>
          <w:numId w:val="0"/>
        </w:numPr>
        <w:ind w:left="1134"/>
      </w:pPr>
      <w:r>
        <w:lastRenderedPageBreak/>
        <w:t>19.</w:t>
      </w:r>
      <w:r>
        <w:tab/>
      </w:r>
      <w:r w:rsidR="00912266" w:rsidRPr="00210574">
        <w:rPr>
          <w:i/>
          <w:iCs/>
        </w:rPr>
        <w:t>Requests</w:t>
      </w:r>
      <w:r w:rsidR="00912266">
        <w:t xml:space="preserve"> the Standing Committee on Finance to take into consideration the submissions referred to in paragraph 18 above when preparing its draft guidance for the Fund for responding to Loss and Damage for consideration by the </w:t>
      </w:r>
      <w:r w:rsidR="00912266" w:rsidRPr="00542EC1">
        <w:t>Conference of the Parties serving as the meeting of the Parties to the Paris Agreement</w:t>
      </w:r>
      <w:r w:rsidR="00912266">
        <w:t xml:space="preserve"> at its seventh session;</w:t>
      </w:r>
    </w:p>
    <w:p w14:paraId="6C25E644" w14:textId="0124250A" w:rsidR="00DF2FF4" w:rsidRDefault="004250A3" w:rsidP="004250A3">
      <w:pPr>
        <w:pStyle w:val="RegSingleTxtG"/>
        <w:numPr>
          <w:ilvl w:val="0"/>
          <w:numId w:val="0"/>
        </w:numPr>
        <w:ind w:left="1134"/>
      </w:pPr>
      <w:r>
        <w:t>20.</w:t>
      </w:r>
      <w:r>
        <w:tab/>
      </w:r>
      <w:r w:rsidR="00912266" w:rsidRPr="009666F0">
        <w:rPr>
          <w:i/>
          <w:iCs/>
        </w:rPr>
        <w:t>Also requests</w:t>
      </w:r>
      <w:r w:rsidR="00912266">
        <w:t xml:space="preserve"> the Board of the Fund to include in its annual report to the </w:t>
      </w:r>
      <w:r w:rsidR="00912266" w:rsidRPr="00605CF5">
        <w:t>Conference of the Parties serving as the meeting of the Parties to the Paris Agreement</w:t>
      </w:r>
      <w:r w:rsidR="00912266">
        <w:t xml:space="preserve"> information on the steps it has taken to implement the guidance provided in this decision.</w:t>
      </w:r>
    </w:p>
    <w:p w14:paraId="30E6E5B9" w14:textId="4EF077EF" w:rsidR="009666F0" w:rsidRDefault="00E41E8E" w:rsidP="009666F0">
      <w:pPr>
        <w:pStyle w:val="RegSingleTxtG"/>
        <w:numPr>
          <w:ilvl w:val="0"/>
          <w:numId w:val="0"/>
        </w:numPr>
        <w:spacing w:after="0"/>
        <w:ind w:left="1134"/>
        <w:jc w:val="right"/>
        <w:rPr>
          <w:i/>
          <w:iCs/>
        </w:rPr>
      </w:pPr>
      <w:r>
        <w:rPr>
          <w:i/>
          <w:iCs/>
        </w:rPr>
        <w:t>11</w:t>
      </w:r>
      <w:r w:rsidRPr="00E41E8E">
        <w:rPr>
          <w:i/>
          <w:iCs/>
          <w:vertAlign w:val="superscript"/>
        </w:rPr>
        <w:t>th</w:t>
      </w:r>
      <w:r>
        <w:rPr>
          <w:i/>
          <w:iCs/>
        </w:rPr>
        <w:t xml:space="preserve"> </w:t>
      </w:r>
      <w:r w:rsidR="009666F0">
        <w:rPr>
          <w:i/>
          <w:iCs/>
        </w:rPr>
        <w:t>plenary meeting</w:t>
      </w:r>
    </w:p>
    <w:p w14:paraId="64AEE023" w14:textId="6F66E5F3" w:rsidR="009666F0" w:rsidRDefault="00E41E8E" w:rsidP="009666F0">
      <w:pPr>
        <w:pStyle w:val="RegSingleTxtG"/>
        <w:numPr>
          <w:ilvl w:val="0"/>
          <w:numId w:val="0"/>
        </w:numPr>
        <w:spacing w:after="0"/>
        <w:ind w:left="1134"/>
        <w:jc w:val="right"/>
      </w:pPr>
      <w:r>
        <w:rPr>
          <w:i/>
          <w:iCs/>
        </w:rPr>
        <w:t>23</w:t>
      </w:r>
      <w:r w:rsidR="009666F0">
        <w:rPr>
          <w:i/>
          <w:iCs/>
        </w:rPr>
        <w:t xml:space="preserve"> November 2024</w:t>
      </w:r>
    </w:p>
    <w:p w14:paraId="0C27E6B4" w14:textId="77777777" w:rsidR="009666F0" w:rsidRDefault="009666F0" w:rsidP="004250A3">
      <w:pPr>
        <w:pStyle w:val="RegHChG"/>
        <w:numPr>
          <w:ilvl w:val="0"/>
          <w:numId w:val="0"/>
        </w:numPr>
        <w:ind w:left="1135" w:hanging="454"/>
      </w:pPr>
    </w:p>
    <w:p w14:paraId="71CA473A" w14:textId="53EE89AA" w:rsidR="009666F0" w:rsidRDefault="004250A3" w:rsidP="004250A3">
      <w:pPr>
        <w:pStyle w:val="RegHChG"/>
        <w:numPr>
          <w:ilvl w:val="0"/>
          <w:numId w:val="0"/>
        </w:numPr>
        <w:tabs>
          <w:tab w:val="left" w:pos="1135"/>
        </w:tabs>
        <w:ind w:left="1135" w:hanging="454"/>
        <w:sectPr w:rsidR="009666F0" w:rsidSect="00F76195">
          <w:headerReference w:type="even" r:id="rId51"/>
          <w:headerReference w:type="default" r:id="rId52"/>
          <w:footerReference w:type="even" r:id="rId53"/>
          <w:footerReference w:type="default" r:id="rId54"/>
          <w:footnotePr>
            <w:numRestart w:val="eachSect"/>
          </w:footnotePr>
          <w:pgSz w:w="11906" w:h="16838" w:code="9"/>
          <w:pgMar w:top="1417" w:right="1134" w:bottom="1134" w:left="1134" w:header="850" w:footer="567" w:gutter="0"/>
          <w:cols w:space="708"/>
          <w:docGrid w:linePitch="360"/>
        </w:sectPr>
      </w:pPr>
      <w:r>
        <w:t>I.</w:t>
      </w:r>
      <w:r>
        <w:tab/>
      </w:r>
    </w:p>
    <w:p w14:paraId="6EF8F169" w14:textId="765F97DD" w:rsidR="009666F0" w:rsidRDefault="009666F0" w:rsidP="004250A3">
      <w:pPr>
        <w:pStyle w:val="RegHChG"/>
        <w:numPr>
          <w:ilvl w:val="0"/>
          <w:numId w:val="0"/>
        </w:numPr>
        <w:ind w:left="1135" w:hanging="454"/>
      </w:pPr>
      <w:bookmarkStart w:id="12" w:name="decision12"/>
      <w:r>
        <w:lastRenderedPageBreak/>
        <w:t xml:space="preserve">Decision </w:t>
      </w:r>
      <w:r w:rsidRPr="00A573BC">
        <w:t>12/CMA.6</w:t>
      </w:r>
    </w:p>
    <w:bookmarkEnd w:id="12"/>
    <w:p w14:paraId="3323E46B" w14:textId="6CF7C83A" w:rsidR="00BC6CFB" w:rsidRPr="00A96DC7" w:rsidRDefault="00BC6CFB" w:rsidP="004250A3">
      <w:pPr>
        <w:pStyle w:val="RegHChG"/>
        <w:numPr>
          <w:ilvl w:val="0"/>
          <w:numId w:val="0"/>
        </w:numPr>
        <w:ind w:left="1135" w:hanging="454"/>
      </w:pPr>
      <w:r w:rsidRPr="001A35B2">
        <w:t>Arrangements between the Conference of the Parties, the Conference of the Parties serving as the meeting of the Parties to the Paris Agreement and the Board of the Fund for responding to Loss and Damage</w:t>
      </w:r>
    </w:p>
    <w:p w14:paraId="02FEB537" w14:textId="77777777" w:rsidR="00BC6CFB" w:rsidRPr="00311D6B" w:rsidRDefault="00BC6CFB" w:rsidP="00BC6CFB">
      <w:pPr>
        <w:suppressAutoHyphens w:val="0"/>
        <w:autoSpaceDE w:val="0"/>
        <w:autoSpaceDN w:val="0"/>
        <w:adjustRightInd w:val="0"/>
        <w:spacing w:before="240" w:after="120"/>
        <w:ind w:left="1134" w:right="1134" w:firstLine="567"/>
        <w:jc w:val="both"/>
        <w:rPr>
          <w:rFonts w:eastAsia="DengXian"/>
          <w:color w:val="000000"/>
        </w:rPr>
      </w:pPr>
      <w:r w:rsidRPr="6104D06B">
        <w:rPr>
          <w:rFonts w:eastAsia="DengXian"/>
          <w:i/>
          <w:iCs/>
          <w:color w:val="000000" w:themeColor="text1"/>
        </w:rPr>
        <w:t xml:space="preserve">The </w:t>
      </w:r>
      <w:r>
        <w:rPr>
          <w:rFonts w:eastAsia="DengXian"/>
          <w:i/>
          <w:iCs/>
          <w:color w:val="000000" w:themeColor="text1"/>
        </w:rPr>
        <w:t>Conference of the Parties serving as the meeting of the Parties to the Paris Agreement</w:t>
      </w:r>
      <w:r w:rsidRPr="6104D06B">
        <w:rPr>
          <w:rFonts w:eastAsia="DengXian"/>
          <w:color w:val="000000" w:themeColor="text1"/>
        </w:rPr>
        <w:t xml:space="preserve">, </w:t>
      </w:r>
    </w:p>
    <w:p w14:paraId="007AB861" w14:textId="77777777" w:rsidR="00BC6CFB" w:rsidRPr="00BC6CFB" w:rsidRDefault="00BC6CFB" w:rsidP="00A134F7">
      <w:pPr>
        <w:pStyle w:val="RegSingleTxtG"/>
        <w:numPr>
          <w:ilvl w:val="0"/>
          <w:numId w:val="0"/>
        </w:numPr>
        <w:ind w:left="1134"/>
        <w:rPr>
          <w:i/>
          <w:iCs/>
        </w:rPr>
      </w:pPr>
      <w:r w:rsidRPr="00BC6CFB">
        <w:rPr>
          <w:i/>
          <w:iCs/>
        </w:rPr>
        <w:tab/>
        <w:t xml:space="preserve">Recalling </w:t>
      </w:r>
      <w:r w:rsidRPr="00E27F0D">
        <w:t>Article 11 of the Convention</w:t>
      </w:r>
      <w:r w:rsidRPr="00236B84">
        <w:t xml:space="preserve"> and Article 9, paragraph 8, of the Paris Agreement,</w:t>
      </w:r>
    </w:p>
    <w:p w14:paraId="7F0019F5" w14:textId="3F74A993" w:rsidR="00BC6CFB" w:rsidRDefault="00BC6CFB" w:rsidP="00A134F7">
      <w:pPr>
        <w:pStyle w:val="RegSingleTxtG"/>
        <w:numPr>
          <w:ilvl w:val="0"/>
          <w:numId w:val="0"/>
        </w:numPr>
        <w:ind w:left="1134"/>
      </w:pPr>
      <w:r>
        <w:tab/>
      </w:r>
      <w:r w:rsidRPr="00FD2FB2">
        <w:rPr>
          <w:i/>
          <w:iCs/>
        </w:rPr>
        <w:t xml:space="preserve">Also recalling </w:t>
      </w:r>
      <w:r w:rsidRPr="00FD2FB2">
        <w:t xml:space="preserve">paragraphs 2–3 of decisions </w:t>
      </w:r>
      <w:hyperlink r:id="rId55" w:history="1">
        <w:r w:rsidRPr="00C479DE">
          <w:rPr>
            <w:rStyle w:val="Hyperlink"/>
          </w:rPr>
          <w:t>2/CP.27</w:t>
        </w:r>
      </w:hyperlink>
      <w:r w:rsidRPr="00FD2FB2">
        <w:t xml:space="preserve"> and </w:t>
      </w:r>
      <w:hyperlink r:id="rId56" w:history="1">
        <w:r w:rsidRPr="00C479DE">
          <w:rPr>
            <w:rStyle w:val="Hyperlink"/>
          </w:rPr>
          <w:t>2/CMA.4</w:t>
        </w:r>
      </w:hyperlink>
      <w:r w:rsidRPr="00FD2FB2">
        <w:t xml:space="preserve">; and decisions </w:t>
      </w:r>
      <w:hyperlink r:id="rId57" w:history="1">
        <w:r w:rsidRPr="00C479DE">
          <w:rPr>
            <w:rStyle w:val="Hyperlink"/>
          </w:rPr>
          <w:t>1/CP.28</w:t>
        </w:r>
      </w:hyperlink>
      <w:r w:rsidRPr="00FD2FB2">
        <w:t xml:space="preserve"> and </w:t>
      </w:r>
      <w:hyperlink r:id="rId58" w:history="1">
        <w:r w:rsidRPr="00C479DE">
          <w:rPr>
            <w:rStyle w:val="Hyperlink"/>
          </w:rPr>
          <w:t>5/CMA.5</w:t>
        </w:r>
      </w:hyperlink>
      <w:r w:rsidRPr="00FD2FB2">
        <w:t xml:space="preserve">, as well as annex I to those decisions, which sets out the Governing Instrument of the Fund referred to in paragraph 3 of decisions </w:t>
      </w:r>
      <w:hyperlink r:id="rId59" w:history="1">
        <w:r w:rsidRPr="00C479DE">
          <w:rPr>
            <w:rStyle w:val="Hyperlink"/>
          </w:rPr>
          <w:t>2/CP.27</w:t>
        </w:r>
      </w:hyperlink>
      <w:r w:rsidRPr="00FD2FB2">
        <w:t xml:space="preserve"> and </w:t>
      </w:r>
      <w:hyperlink r:id="rId60" w:history="1">
        <w:r w:rsidRPr="00C479DE">
          <w:rPr>
            <w:rStyle w:val="Hyperlink"/>
          </w:rPr>
          <w:t>2/CMA.4</w:t>
        </w:r>
      </w:hyperlink>
      <w:r>
        <w:t>,</w:t>
      </w:r>
    </w:p>
    <w:p w14:paraId="41F0D019" w14:textId="5E85193D" w:rsidR="00BC6CFB" w:rsidRPr="004E76BD" w:rsidRDefault="00BC6CFB" w:rsidP="00A134F7">
      <w:pPr>
        <w:pStyle w:val="RegSingleTxtG"/>
        <w:numPr>
          <w:ilvl w:val="0"/>
          <w:numId w:val="0"/>
        </w:numPr>
        <w:ind w:left="1134"/>
      </w:pPr>
      <w:r>
        <w:rPr>
          <w:i/>
          <w:iCs/>
        </w:rPr>
        <w:tab/>
      </w:r>
      <w:r>
        <w:rPr>
          <w:i/>
          <w:iCs/>
        </w:rPr>
        <w:tab/>
      </w:r>
      <w:r w:rsidRPr="00FD2FB2">
        <w:rPr>
          <w:i/>
          <w:iCs/>
        </w:rPr>
        <w:t xml:space="preserve">Further </w:t>
      </w:r>
      <w:r w:rsidRPr="009D2A51">
        <w:rPr>
          <w:i/>
          <w:iCs/>
        </w:rPr>
        <w:t>recalling</w:t>
      </w:r>
      <w:r w:rsidRPr="00CB0225">
        <w:t xml:space="preserve"> decisions </w:t>
      </w:r>
      <w:hyperlink r:id="rId61" w:history="1">
        <w:r w:rsidRPr="00C479DE">
          <w:rPr>
            <w:rStyle w:val="Hyperlink"/>
          </w:rPr>
          <w:t>1/CP.28</w:t>
        </w:r>
      </w:hyperlink>
      <w:r w:rsidRPr="004E76BD">
        <w:t xml:space="preserve"> and </w:t>
      </w:r>
      <w:hyperlink r:id="rId62" w:history="1">
        <w:r w:rsidRPr="00C479DE">
          <w:rPr>
            <w:rStyle w:val="Hyperlink"/>
          </w:rPr>
          <w:t>5/CMA.5</w:t>
        </w:r>
      </w:hyperlink>
      <w:r w:rsidRPr="00CB0225">
        <w:t xml:space="preserve">, </w:t>
      </w:r>
      <w:r w:rsidR="0072468E">
        <w:t xml:space="preserve">in </w:t>
      </w:r>
      <w:r w:rsidRPr="00CB0225">
        <w:t xml:space="preserve">which, inter alia, the Fund </w:t>
      </w:r>
      <w:r w:rsidR="0072468E">
        <w:t xml:space="preserve">was designated </w:t>
      </w:r>
      <w:r w:rsidRPr="00CB0225">
        <w:t xml:space="preserve">as an operating entity of the </w:t>
      </w:r>
      <w:r>
        <w:t>F</w:t>
      </w:r>
      <w:r w:rsidRPr="00CB0225">
        <w:t xml:space="preserve">inancial </w:t>
      </w:r>
      <w:r>
        <w:t>M</w:t>
      </w:r>
      <w:r w:rsidRPr="00CB0225">
        <w:t xml:space="preserve">echanism of the Convention, </w:t>
      </w:r>
      <w:r w:rsidRPr="004E76BD">
        <w:t>also serving the Paris Agreement</w:t>
      </w:r>
      <w:r>
        <w:t>,</w:t>
      </w:r>
      <w:r w:rsidRPr="00CB0225">
        <w:t xml:space="preserve"> and the Conference of the Parties and the </w:t>
      </w:r>
      <w:r w:rsidRPr="004E76BD">
        <w:t>Conference of the Parties serving as the meeting of the Parties to the Paris Agreement</w:t>
      </w:r>
      <w:r w:rsidRPr="00CB0225">
        <w:t xml:space="preserve"> </w:t>
      </w:r>
      <w:r w:rsidR="0072468E">
        <w:t xml:space="preserve">were requested </w:t>
      </w:r>
      <w:r w:rsidRPr="00CB0225">
        <w:t xml:space="preserve">to conclude arrangements with </w:t>
      </w:r>
      <w:r>
        <w:t xml:space="preserve">the </w:t>
      </w:r>
      <w:r w:rsidRPr="00CB0225">
        <w:t xml:space="preserve">Board </w:t>
      </w:r>
      <w:r>
        <w:t>of the Fund for responding to Loss and Damage</w:t>
      </w:r>
      <w:r w:rsidRPr="00CB0225">
        <w:t xml:space="preserve"> to ensure that it is accountable to and functions under the guidance of the Conference of the Parties </w:t>
      </w:r>
      <w:r w:rsidRPr="004E76BD">
        <w:t>and the Conference of the Parties serving as the meeting of the Parties to the Paris Agreement</w:t>
      </w:r>
      <w:r>
        <w:t>,</w:t>
      </w:r>
    </w:p>
    <w:p w14:paraId="4E6C1EBB" w14:textId="26E81F08" w:rsidR="00BC6CFB" w:rsidRDefault="00BC6CFB" w:rsidP="00A134F7">
      <w:pPr>
        <w:pStyle w:val="RegSingleTxtG"/>
        <w:numPr>
          <w:ilvl w:val="0"/>
          <w:numId w:val="0"/>
        </w:numPr>
        <w:ind w:left="1134"/>
      </w:pPr>
      <w:r>
        <w:rPr>
          <w:i/>
          <w:iCs/>
        </w:rPr>
        <w:tab/>
        <w:t>R</w:t>
      </w:r>
      <w:r w:rsidRPr="00FD2FB2">
        <w:rPr>
          <w:i/>
          <w:iCs/>
        </w:rPr>
        <w:t xml:space="preserve">ecognizing </w:t>
      </w:r>
      <w:r w:rsidRPr="004E76BD">
        <w:t>that</w:t>
      </w:r>
      <w:r>
        <w:t>,</w:t>
      </w:r>
      <w:r w:rsidRPr="004E76BD">
        <w:t xml:space="preserve"> pursuant to paragraph 6 of decisions </w:t>
      </w:r>
      <w:hyperlink r:id="rId63" w:history="1">
        <w:r w:rsidRPr="00C479DE">
          <w:rPr>
            <w:rStyle w:val="Hyperlink"/>
          </w:rPr>
          <w:t>1/CP.28</w:t>
        </w:r>
      </w:hyperlink>
      <w:r w:rsidRPr="004E76BD">
        <w:t xml:space="preserve"> and </w:t>
      </w:r>
      <w:hyperlink r:id="rId64" w:history="1">
        <w:r w:rsidRPr="00C479DE">
          <w:rPr>
            <w:rStyle w:val="Hyperlink"/>
          </w:rPr>
          <w:t>5/CMA.5</w:t>
        </w:r>
      </w:hyperlink>
      <w:r w:rsidRPr="004E76BD">
        <w:t xml:space="preserve">, the arrangements between the Conference of the Parties to the UNFCCC, the Conference of the Parties serving as the meeting of the Parties to the Paris Agreement and the Board are to be consistent with decisions </w:t>
      </w:r>
      <w:hyperlink r:id="rId65" w:history="1">
        <w:r w:rsidRPr="00C479DE">
          <w:rPr>
            <w:rStyle w:val="Hyperlink"/>
          </w:rPr>
          <w:t>1/CP.28</w:t>
        </w:r>
      </w:hyperlink>
      <w:r w:rsidRPr="004E76BD">
        <w:t xml:space="preserve"> and </w:t>
      </w:r>
      <w:hyperlink r:id="rId66" w:history="1">
        <w:r w:rsidRPr="00C479DE">
          <w:rPr>
            <w:rStyle w:val="Hyperlink"/>
          </w:rPr>
          <w:t>5/CMA.5</w:t>
        </w:r>
      </w:hyperlink>
      <w:r>
        <w:t>,</w:t>
      </w:r>
      <w:r w:rsidRPr="004E76BD">
        <w:t xml:space="preserve"> and the Governing Instrument of the Fund</w:t>
      </w:r>
      <w:r>
        <w:t xml:space="preserve"> </w:t>
      </w:r>
      <w:r w:rsidRPr="00800B72">
        <w:t xml:space="preserve">contained in annex I to </w:t>
      </w:r>
      <w:r>
        <w:t xml:space="preserve">those </w:t>
      </w:r>
      <w:r w:rsidRPr="00800B72">
        <w:t>decisions</w:t>
      </w:r>
      <w:r w:rsidRPr="004E76BD">
        <w:t>,</w:t>
      </w:r>
    </w:p>
    <w:p w14:paraId="24E3C8FF" w14:textId="55828E65" w:rsidR="00BC6CFB" w:rsidRDefault="00BC6CFB" w:rsidP="00A134F7">
      <w:pPr>
        <w:pStyle w:val="RegSingleTxtG"/>
        <w:numPr>
          <w:ilvl w:val="0"/>
          <w:numId w:val="0"/>
        </w:numPr>
        <w:ind w:left="1134"/>
      </w:pPr>
      <w:r>
        <w:tab/>
      </w:r>
      <w:r>
        <w:rPr>
          <w:i/>
          <w:iCs/>
        </w:rPr>
        <w:t>R</w:t>
      </w:r>
      <w:r w:rsidRPr="00E27F0D">
        <w:rPr>
          <w:i/>
          <w:iCs/>
        </w:rPr>
        <w:t>ecalling</w:t>
      </w:r>
      <w:r w:rsidRPr="00925DCA">
        <w:t xml:space="preserve"> decision</w:t>
      </w:r>
      <w:r>
        <w:t>s</w:t>
      </w:r>
      <w:r w:rsidRPr="00925DCA">
        <w:t xml:space="preserve"> </w:t>
      </w:r>
      <w:hyperlink r:id="rId67" w:history="1">
        <w:r w:rsidRPr="00C479DE">
          <w:rPr>
            <w:rStyle w:val="Hyperlink"/>
          </w:rPr>
          <w:t>1/CP.28</w:t>
        </w:r>
      </w:hyperlink>
      <w:r w:rsidRPr="004E76BD">
        <w:t xml:space="preserve"> and </w:t>
      </w:r>
      <w:hyperlink r:id="rId68" w:history="1">
        <w:r w:rsidRPr="00C479DE">
          <w:rPr>
            <w:rStyle w:val="Hyperlink"/>
          </w:rPr>
          <w:t>5/CMA.5</w:t>
        </w:r>
      </w:hyperlink>
      <w:r w:rsidRPr="00925DCA">
        <w:t>,</w:t>
      </w:r>
      <w:r w:rsidR="00F02F1E">
        <w:t xml:space="preserve"> in</w:t>
      </w:r>
      <w:r w:rsidRPr="00925DCA">
        <w:t xml:space="preserve"> which the </w:t>
      </w:r>
      <w:r>
        <w:t>Standing Committee on Finance</w:t>
      </w:r>
      <w:r w:rsidR="00F02F1E">
        <w:t xml:space="preserve"> was requested</w:t>
      </w:r>
      <w:r>
        <w:t xml:space="preserve"> to develop the arrangements to be concluded between the Conference of the Parties, the Conference</w:t>
      </w:r>
      <w:r w:rsidRPr="00150770">
        <w:t xml:space="preserve"> </w:t>
      </w:r>
      <w:r>
        <w:t>of the Parties serving as the meeting of the Parties to the Paris Agreement and the Board, consistently with the Governing Instrument of the Fund, for consideration and</w:t>
      </w:r>
      <w:r w:rsidRPr="00150770">
        <w:t xml:space="preserve"> </w:t>
      </w:r>
      <w:r>
        <w:t>approval by the Board and subsequent consideration and approval by the Conference of the</w:t>
      </w:r>
      <w:r w:rsidRPr="00150770">
        <w:t xml:space="preserve"> </w:t>
      </w:r>
      <w:r>
        <w:t>Parties at its twenty-ninth session and the Conference of the Parties serving as the meeting</w:t>
      </w:r>
      <w:r w:rsidRPr="00150770">
        <w:t xml:space="preserve"> </w:t>
      </w:r>
      <w:r>
        <w:t>of the Parties to the Paris Agreement at its sixth session,</w:t>
      </w:r>
    </w:p>
    <w:p w14:paraId="51A2A90A" w14:textId="77777777" w:rsidR="00BC6CFB" w:rsidRPr="00925DCA" w:rsidRDefault="00BC6CFB" w:rsidP="00A134F7">
      <w:pPr>
        <w:pStyle w:val="RegSingleTxtG"/>
        <w:numPr>
          <w:ilvl w:val="0"/>
          <w:numId w:val="0"/>
        </w:numPr>
        <w:ind w:left="1134"/>
      </w:pPr>
      <w:r>
        <w:rPr>
          <w:i/>
          <w:iCs/>
        </w:rPr>
        <w:tab/>
        <w:t>Also r</w:t>
      </w:r>
      <w:r w:rsidRPr="00E27F0D">
        <w:rPr>
          <w:i/>
          <w:iCs/>
        </w:rPr>
        <w:t xml:space="preserve">ecalling </w:t>
      </w:r>
      <w:r w:rsidRPr="00E87D86">
        <w:t>paragraph 13 of</w:t>
      </w:r>
      <w:r w:rsidRPr="00925DCA">
        <w:t xml:space="preserve"> the </w:t>
      </w:r>
      <w:r>
        <w:t>G</w:t>
      </w:r>
      <w:r w:rsidRPr="00925DCA">
        <w:t xml:space="preserve">overning </w:t>
      </w:r>
      <w:r>
        <w:t>I</w:t>
      </w:r>
      <w:r w:rsidRPr="00925DCA">
        <w:t xml:space="preserve">nstrument </w:t>
      </w:r>
      <w:r>
        <w:t>of the</w:t>
      </w:r>
      <w:r w:rsidRPr="00925DCA">
        <w:t xml:space="preserve"> Fund</w:t>
      </w:r>
      <w:r>
        <w:t>,</w:t>
      </w:r>
    </w:p>
    <w:p w14:paraId="683BCCA2" w14:textId="74B80D99" w:rsidR="00BC6CFB" w:rsidRPr="00A134F7" w:rsidRDefault="004250A3" w:rsidP="004250A3">
      <w:pPr>
        <w:pStyle w:val="RegSingleTxtG"/>
        <w:numPr>
          <w:ilvl w:val="0"/>
          <w:numId w:val="0"/>
        </w:numPr>
        <w:ind w:left="1134"/>
        <w:rPr>
          <w:i/>
          <w:iCs/>
        </w:rPr>
      </w:pPr>
      <w:r w:rsidRPr="00A134F7">
        <w:t>1.</w:t>
      </w:r>
      <w:r w:rsidRPr="00A134F7">
        <w:tab/>
      </w:r>
      <w:r w:rsidR="00BC6CFB" w:rsidRPr="00A134F7">
        <w:rPr>
          <w:i/>
          <w:iCs/>
        </w:rPr>
        <w:t xml:space="preserve">Welcomes with appreciation </w:t>
      </w:r>
      <w:r w:rsidR="00BC6CFB" w:rsidRPr="00BF39CC">
        <w:t>the draft arrangements between the Conference of the Parties to the UNFCCC, the Conference of the Parties serving as the meeting of the Parties to the Paris Agreement and the Board of the Fund for responding to Loss and Damage as contained in the report of the Standing Committee on Finance</w:t>
      </w:r>
      <w:r w:rsidR="00BC6CFB">
        <w:rPr>
          <w:rStyle w:val="FootnoteReference"/>
        </w:rPr>
        <w:footnoteReference w:id="20"/>
      </w:r>
      <w:r w:rsidR="00BC6CFB" w:rsidRPr="00A134F7">
        <w:rPr>
          <w:vertAlign w:val="superscript"/>
        </w:rPr>
        <w:t xml:space="preserve"> </w:t>
      </w:r>
      <w:r w:rsidR="00BC6CFB" w:rsidRPr="00BF39CC">
        <w:t>and approved by the Board;</w:t>
      </w:r>
      <w:r w:rsidR="00BC6CFB" w:rsidRPr="00A134F7">
        <w:rPr>
          <w:i/>
          <w:iCs/>
        </w:rPr>
        <w:t xml:space="preserve"> </w:t>
      </w:r>
    </w:p>
    <w:p w14:paraId="5926412F" w14:textId="0B3B1598" w:rsidR="00BC6CFB" w:rsidRPr="00925DCA" w:rsidRDefault="004250A3" w:rsidP="004250A3">
      <w:pPr>
        <w:pStyle w:val="RegSingleTxtG"/>
        <w:numPr>
          <w:ilvl w:val="0"/>
          <w:numId w:val="0"/>
        </w:numPr>
        <w:ind w:left="1134"/>
      </w:pPr>
      <w:r w:rsidRPr="00925DCA">
        <w:t>2.</w:t>
      </w:r>
      <w:r w:rsidRPr="00925DCA">
        <w:tab/>
      </w:r>
      <w:r w:rsidR="00BC6CFB" w:rsidRPr="002F44F2">
        <w:rPr>
          <w:i/>
          <w:iCs/>
        </w:rPr>
        <w:t>Confirm</w:t>
      </w:r>
      <w:r w:rsidR="00BC6CFB">
        <w:rPr>
          <w:i/>
          <w:iCs/>
        </w:rPr>
        <w:t xml:space="preserve">s </w:t>
      </w:r>
      <w:r w:rsidR="00BC6CFB" w:rsidRPr="00925DCA">
        <w:t xml:space="preserve">that the arrangements between the </w:t>
      </w:r>
      <w:r w:rsidR="00BC6CFB" w:rsidRPr="00EB6926">
        <w:t xml:space="preserve">Conference of the Parties, the Conference of the Parties serving as the meeting of the Parties to the Paris Agreement and the Board </w:t>
      </w:r>
      <w:r w:rsidR="00BC6CFB" w:rsidRPr="00925DCA">
        <w:t xml:space="preserve">shall be </w:t>
      </w:r>
      <w:r w:rsidR="00BC6CFB">
        <w:t xml:space="preserve">consistent </w:t>
      </w:r>
      <w:r w:rsidR="00BC6CFB" w:rsidRPr="00925DCA">
        <w:t xml:space="preserve">with the </w:t>
      </w:r>
      <w:r w:rsidR="00BC6CFB">
        <w:t>G</w:t>
      </w:r>
      <w:r w:rsidR="00BC6CFB" w:rsidRPr="00925DCA">
        <w:t xml:space="preserve">overning </w:t>
      </w:r>
      <w:r w:rsidR="00BC6CFB">
        <w:t>I</w:t>
      </w:r>
      <w:r w:rsidR="00BC6CFB" w:rsidRPr="00925DCA">
        <w:t xml:space="preserve">nstrument </w:t>
      </w:r>
      <w:r w:rsidR="00BC6CFB">
        <w:t xml:space="preserve">of </w:t>
      </w:r>
      <w:r w:rsidR="00BC6CFB" w:rsidRPr="00925DCA">
        <w:t>the Fund</w:t>
      </w:r>
      <w:r w:rsidR="00BC6CFB">
        <w:t xml:space="preserve"> for responding to Loss and Damage</w:t>
      </w:r>
      <w:r w:rsidR="00BC6CFB" w:rsidRPr="00925DCA">
        <w:t xml:space="preserve">, contained in </w:t>
      </w:r>
      <w:r w:rsidR="00BC6CFB">
        <w:t xml:space="preserve">annex I to </w:t>
      </w:r>
      <w:r w:rsidR="00BC6CFB" w:rsidRPr="00925DCA">
        <w:t>decision</w:t>
      </w:r>
      <w:r w:rsidR="00BC6CFB">
        <w:t>s</w:t>
      </w:r>
      <w:r w:rsidR="00BC6CFB" w:rsidRPr="00925DCA">
        <w:t xml:space="preserve"> </w:t>
      </w:r>
      <w:hyperlink r:id="rId69" w:history="1">
        <w:r w:rsidR="00BC6CFB" w:rsidRPr="00C479DE">
          <w:rPr>
            <w:rStyle w:val="Hyperlink"/>
          </w:rPr>
          <w:t>1/CP.28</w:t>
        </w:r>
      </w:hyperlink>
      <w:r w:rsidR="00BC6CFB">
        <w:t xml:space="preserve"> and </w:t>
      </w:r>
      <w:hyperlink r:id="rId70" w:history="1">
        <w:r w:rsidR="00BC6CFB" w:rsidRPr="00C479DE">
          <w:rPr>
            <w:rStyle w:val="Hyperlink"/>
          </w:rPr>
          <w:t>5/CMA.5</w:t>
        </w:r>
      </w:hyperlink>
      <w:r w:rsidR="00BC6CFB" w:rsidRPr="00925DCA">
        <w:t>;</w:t>
      </w:r>
    </w:p>
    <w:p w14:paraId="2B9F9C37" w14:textId="0456A66B" w:rsidR="00BC6CFB" w:rsidRPr="00925DCA" w:rsidRDefault="004250A3" w:rsidP="004250A3">
      <w:pPr>
        <w:pStyle w:val="RegSingleTxtG"/>
        <w:numPr>
          <w:ilvl w:val="0"/>
          <w:numId w:val="0"/>
        </w:numPr>
        <w:ind w:left="1134"/>
      </w:pPr>
      <w:r w:rsidRPr="00925DCA">
        <w:t>3.</w:t>
      </w:r>
      <w:r w:rsidRPr="00925DCA">
        <w:tab/>
      </w:r>
      <w:r w:rsidR="00BC6CFB" w:rsidRPr="002F44F2">
        <w:rPr>
          <w:i/>
          <w:iCs/>
        </w:rPr>
        <w:t>Note</w:t>
      </w:r>
      <w:r w:rsidR="00BC6CFB">
        <w:rPr>
          <w:i/>
          <w:iCs/>
        </w:rPr>
        <w:t>s</w:t>
      </w:r>
      <w:r w:rsidR="00BC6CFB" w:rsidRPr="00925DCA">
        <w:t xml:space="preserve"> that the Board has approved the arrangements, as transmitted by the Standing Committee on Finance, contained in annex </w:t>
      </w:r>
      <w:r w:rsidR="00BC6CFB">
        <w:t>IV</w:t>
      </w:r>
      <w:r w:rsidR="00BC6CFB" w:rsidRPr="00925DCA">
        <w:t xml:space="preserve"> to the report o</w:t>
      </w:r>
      <w:r w:rsidR="00BC6CFB">
        <w:t>f the</w:t>
      </w:r>
      <w:r w:rsidR="00BC6CFB" w:rsidRPr="00925DCA">
        <w:t xml:space="preserve"> Board</w:t>
      </w:r>
      <w:r w:rsidR="00BC6CFB">
        <w:t>;</w:t>
      </w:r>
      <w:r w:rsidR="00BC6CFB">
        <w:rPr>
          <w:rStyle w:val="FootnoteReference"/>
        </w:rPr>
        <w:footnoteReference w:id="21"/>
      </w:r>
    </w:p>
    <w:p w14:paraId="76D88D52" w14:textId="02DD7177" w:rsidR="00BC6CFB" w:rsidRDefault="004250A3" w:rsidP="004250A3">
      <w:pPr>
        <w:pStyle w:val="RegSingleTxtG"/>
        <w:numPr>
          <w:ilvl w:val="0"/>
          <w:numId w:val="0"/>
        </w:numPr>
        <w:ind w:left="1134"/>
      </w:pPr>
      <w:r>
        <w:t>4.</w:t>
      </w:r>
      <w:r>
        <w:tab/>
      </w:r>
      <w:r w:rsidR="00BC6CFB" w:rsidRPr="00341C65">
        <w:rPr>
          <w:i/>
          <w:iCs/>
        </w:rPr>
        <w:t>Approve</w:t>
      </w:r>
      <w:r w:rsidR="00BC6CFB">
        <w:rPr>
          <w:i/>
          <w:iCs/>
        </w:rPr>
        <w:t>s</w:t>
      </w:r>
      <w:r w:rsidR="00BC6CFB" w:rsidRPr="00925DCA">
        <w:t xml:space="preserve"> the arrangements between the </w:t>
      </w:r>
      <w:r w:rsidR="00BC6CFB" w:rsidRPr="00EB6926">
        <w:t xml:space="preserve">Conference of the Parties, the Conference of the Parties serving as the meeting of the Parties to the Paris Agreement and the Board </w:t>
      </w:r>
      <w:r w:rsidR="00BC6CFB" w:rsidRPr="00925DCA">
        <w:t>contained in the annex, thereby bringing the arrangements into force</w:t>
      </w:r>
      <w:r w:rsidR="00BC6CFB">
        <w:t xml:space="preserve"> subject to the approval of the Conference of the Parties</w:t>
      </w:r>
      <w:r w:rsidR="00BC6CFB" w:rsidRPr="00925DCA">
        <w:t>;</w:t>
      </w:r>
    </w:p>
    <w:p w14:paraId="59D02757" w14:textId="57A8D418" w:rsidR="00707BB0" w:rsidRDefault="004250A3" w:rsidP="004250A3">
      <w:pPr>
        <w:pStyle w:val="RegSingleTxtG"/>
        <w:numPr>
          <w:ilvl w:val="0"/>
          <w:numId w:val="0"/>
        </w:numPr>
        <w:ind w:left="1134"/>
      </w:pPr>
      <w:r>
        <w:lastRenderedPageBreak/>
        <w:t>5.</w:t>
      </w:r>
      <w:r>
        <w:tab/>
      </w:r>
      <w:r w:rsidR="00BC6CFB" w:rsidRPr="00BC6CFB">
        <w:rPr>
          <w:i/>
          <w:iCs/>
        </w:rPr>
        <w:t xml:space="preserve">Requests </w:t>
      </w:r>
      <w:r w:rsidR="00BC6CFB" w:rsidRPr="0029613B">
        <w:t>the Board to report on the implementation of the arrangements referred to in paragraph 4 above in its annual reports to the Conference of the Parties</w:t>
      </w:r>
      <w:r w:rsidR="00BC6CFB">
        <w:t>,</w:t>
      </w:r>
      <w:r w:rsidR="00BC6CFB" w:rsidRPr="0029613B">
        <w:t xml:space="preserve"> starting at </w:t>
      </w:r>
      <w:r w:rsidR="00BC6CFB">
        <w:t>its</w:t>
      </w:r>
      <w:r w:rsidR="00BC6CFB" w:rsidRPr="0029613B">
        <w:t xml:space="preserve"> thirtieth </w:t>
      </w:r>
      <w:r w:rsidR="00BC6CFB">
        <w:t>session</w:t>
      </w:r>
      <w:r w:rsidR="00BC6CFB" w:rsidRPr="0029613B">
        <w:t xml:space="preserve"> </w:t>
      </w:r>
      <w:r w:rsidR="00BC6CFB">
        <w:t>(November 2025),</w:t>
      </w:r>
      <w:r w:rsidR="00BC6CFB" w:rsidRPr="0029613B">
        <w:t xml:space="preserve"> and the Conference of the Parties serving as the meeting of the Parties to the Paris Agreement, starting at </w:t>
      </w:r>
      <w:r w:rsidR="00BC6CFB">
        <w:t>its</w:t>
      </w:r>
      <w:r w:rsidR="00BC6CFB" w:rsidRPr="0029613B">
        <w:t xml:space="preserve"> seventh session </w:t>
      </w:r>
      <w:r w:rsidR="00BC6CFB">
        <w:t>(November 2025).</w:t>
      </w:r>
    </w:p>
    <w:p w14:paraId="2A4BFC14" w14:textId="77777777" w:rsidR="00DF5C5B" w:rsidRDefault="00DF5C5B" w:rsidP="00C90BDB">
      <w:pPr>
        <w:pStyle w:val="HChG"/>
        <w:spacing w:before="0"/>
        <w:sectPr w:rsidR="00DF5C5B" w:rsidSect="00F76195">
          <w:headerReference w:type="even" r:id="rId71"/>
          <w:headerReference w:type="default" r:id="rId72"/>
          <w:footerReference w:type="even" r:id="rId73"/>
          <w:footerReference w:type="default" r:id="rId74"/>
          <w:footnotePr>
            <w:numRestart w:val="eachSect"/>
          </w:footnotePr>
          <w:pgSz w:w="11906" w:h="16838" w:code="9"/>
          <w:pgMar w:top="1417" w:right="1134" w:bottom="1134" w:left="1134" w:header="850" w:footer="567" w:gutter="0"/>
          <w:cols w:space="708"/>
          <w:docGrid w:linePitch="360"/>
        </w:sectPr>
      </w:pPr>
    </w:p>
    <w:p w14:paraId="65027052" w14:textId="77777777" w:rsidR="00C90BDB" w:rsidRDefault="00C90BDB" w:rsidP="00C90BDB">
      <w:pPr>
        <w:pStyle w:val="HChG"/>
        <w:spacing w:before="0"/>
      </w:pPr>
      <w:r>
        <w:lastRenderedPageBreak/>
        <w:t>Annex</w:t>
      </w:r>
    </w:p>
    <w:p w14:paraId="299BD7D3" w14:textId="77777777" w:rsidR="00C90BDB" w:rsidRPr="006238CD" w:rsidRDefault="00C90BDB" w:rsidP="00C90BDB">
      <w:pPr>
        <w:pStyle w:val="HChG"/>
        <w:tabs>
          <w:tab w:val="clear" w:pos="851"/>
        </w:tabs>
        <w:ind w:firstLine="0"/>
      </w:pPr>
      <w:r>
        <w:t>A</w:t>
      </w:r>
      <w:r w:rsidRPr="00254015">
        <w:t>rrangements between the Conference of the Parties to the UNFCCC, the Conference of the Parties serving as the meeting of the Parties to the Paris Agreement and the Board of the Fund for responding to Loss and Damage</w:t>
      </w:r>
    </w:p>
    <w:p w14:paraId="5AB391EB" w14:textId="77777777" w:rsidR="00C90BDB" w:rsidRPr="00695197" w:rsidRDefault="00C90BDB" w:rsidP="00C90BDB">
      <w:pPr>
        <w:pStyle w:val="H4G"/>
        <w:rPr>
          <w:bCs/>
          <w:iCs/>
        </w:rPr>
      </w:pPr>
      <w:r w:rsidRPr="00695197">
        <w:tab/>
      </w:r>
      <w:r w:rsidRPr="00695197">
        <w:tab/>
      </w:r>
      <w:r w:rsidRPr="00695197">
        <w:rPr>
          <w:b/>
          <w:bCs/>
          <w:iCs/>
        </w:rPr>
        <w:t>Preamble</w:t>
      </w:r>
    </w:p>
    <w:p w14:paraId="35F1BD29" w14:textId="77777777" w:rsidR="00C90BDB" w:rsidRPr="00695197" w:rsidRDefault="00C90BDB" w:rsidP="00C90BDB">
      <w:pPr>
        <w:pStyle w:val="SingleTxtG"/>
        <w:ind w:firstLine="567"/>
      </w:pPr>
      <w:r w:rsidRPr="00695197">
        <w:rPr>
          <w:i/>
          <w:iCs/>
        </w:rPr>
        <w:tab/>
        <w:t>Recalling</w:t>
      </w:r>
      <w:r w:rsidRPr="00695197">
        <w:t xml:space="preserve"> Article 11 of the Convention and Article 9, paragraph 8, of the Paris Agreement,</w:t>
      </w:r>
    </w:p>
    <w:p w14:paraId="15F2B11A" w14:textId="0A9E3EED" w:rsidR="00C90BDB" w:rsidRPr="00695197" w:rsidRDefault="00C90BDB" w:rsidP="0001565C">
      <w:pPr>
        <w:pStyle w:val="RegSingleTxtG"/>
        <w:numPr>
          <w:ilvl w:val="0"/>
          <w:numId w:val="0"/>
        </w:numPr>
        <w:ind w:left="1134"/>
      </w:pPr>
      <w:r w:rsidRPr="00695197">
        <w:rPr>
          <w:i/>
          <w:iCs/>
        </w:rPr>
        <w:tab/>
        <w:t xml:space="preserve">Also recalling </w:t>
      </w:r>
      <w:r w:rsidRPr="00695197">
        <w:t xml:space="preserve">paragraphs 2–3 of decisions </w:t>
      </w:r>
      <w:hyperlink r:id="rId75" w:history="1">
        <w:r w:rsidRPr="00C479DE">
          <w:rPr>
            <w:rStyle w:val="Hyperlink"/>
          </w:rPr>
          <w:t>2/CP.27</w:t>
        </w:r>
      </w:hyperlink>
      <w:r w:rsidRPr="00695197">
        <w:t xml:space="preserve"> and </w:t>
      </w:r>
      <w:hyperlink r:id="rId76" w:history="1">
        <w:r w:rsidRPr="00C479DE">
          <w:rPr>
            <w:rStyle w:val="Hyperlink"/>
          </w:rPr>
          <w:t>2/CMA.4</w:t>
        </w:r>
      </w:hyperlink>
      <w:r w:rsidRPr="00695197">
        <w:t xml:space="preserve">; and decisions </w:t>
      </w:r>
      <w:hyperlink r:id="rId77" w:history="1">
        <w:r w:rsidRPr="00C479DE">
          <w:rPr>
            <w:rStyle w:val="Hyperlink"/>
          </w:rPr>
          <w:t>1/CP.28</w:t>
        </w:r>
      </w:hyperlink>
      <w:r w:rsidRPr="00695197">
        <w:t xml:space="preserve"> and </w:t>
      </w:r>
      <w:hyperlink r:id="rId78" w:history="1">
        <w:r w:rsidRPr="00C479DE">
          <w:rPr>
            <w:rStyle w:val="Hyperlink"/>
          </w:rPr>
          <w:t>5/CMA.5</w:t>
        </w:r>
      </w:hyperlink>
      <w:r w:rsidRPr="00695197">
        <w:t xml:space="preserve">, as well as annex I to those decisions, which sets out the Governing Instrument of the Fund referred to in paragraph 3 of decisions </w:t>
      </w:r>
      <w:hyperlink r:id="rId79" w:history="1">
        <w:r w:rsidRPr="00C479DE">
          <w:rPr>
            <w:rStyle w:val="Hyperlink"/>
          </w:rPr>
          <w:t>2/CP.27</w:t>
        </w:r>
      </w:hyperlink>
      <w:r w:rsidRPr="00695197">
        <w:t xml:space="preserve"> and </w:t>
      </w:r>
      <w:hyperlink r:id="rId80" w:history="1">
        <w:r w:rsidRPr="00C479DE">
          <w:rPr>
            <w:rStyle w:val="Hyperlink"/>
          </w:rPr>
          <w:t>2/CMA.4</w:t>
        </w:r>
      </w:hyperlink>
      <w:r w:rsidRPr="00695197">
        <w:t xml:space="preserve"> (hereinafter referred to as the Fund),</w:t>
      </w:r>
    </w:p>
    <w:p w14:paraId="1A80F8CE" w14:textId="72C19E02" w:rsidR="00C90BDB" w:rsidRPr="00695197" w:rsidRDefault="00C90BDB" w:rsidP="00C90BDB">
      <w:pPr>
        <w:pStyle w:val="SingleTxtG"/>
        <w:ind w:firstLine="567"/>
      </w:pPr>
      <w:r w:rsidRPr="00695197">
        <w:rPr>
          <w:i/>
          <w:iCs/>
        </w:rPr>
        <w:tab/>
        <w:t>Recognizing</w:t>
      </w:r>
      <w:r w:rsidRPr="00695197">
        <w:t xml:space="preserve"> that the Fund is designated as an entity entrusted with the operation of the Financial Mechanism of the Convention, also serving the Paris Agreement, which will be accountable to and function under the guidance of the Conference of the Parties to the UNFCCC and the Conference of the Parties serving as the meeting of the Parties to the Paris Agreement, as per paragraph 5 of decisions </w:t>
      </w:r>
      <w:hyperlink r:id="rId81" w:history="1">
        <w:r w:rsidRPr="00C479DE">
          <w:rPr>
            <w:rStyle w:val="Hyperlink"/>
          </w:rPr>
          <w:t>1/CP.28</w:t>
        </w:r>
      </w:hyperlink>
      <w:r w:rsidRPr="00695197">
        <w:t xml:space="preserve"> and </w:t>
      </w:r>
      <w:hyperlink r:id="rId82" w:history="1">
        <w:r w:rsidRPr="00C479DE">
          <w:rPr>
            <w:rStyle w:val="Hyperlink"/>
          </w:rPr>
          <w:t>5/CMA.5</w:t>
        </w:r>
      </w:hyperlink>
      <w:r w:rsidRPr="00695197">
        <w:t xml:space="preserve">, </w:t>
      </w:r>
    </w:p>
    <w:p w14:paraId="60D5BFD0" w14:textId="34972193" w:rsidR="00C90BDB" w:rsidRPr="00695197" w:rsidRDefault="00C90BDB" w:rsidP="00C90BDB">
      <w:pPr>
        <w:pStyle w:val="SingleTxtG"/>
        <w:ind w:firstLine="567"/>
      </w:pPr>
      <w:r w:rsidRPr="00695197">
        <w:rPr>
          <w:i/>
          <w:iCs/>
        </w:rPr>
        <w:t xml:space="preserve">Also recognizing </w:t>
      </w:r>
      <w:r w:rsidRPr="00695197">
        <w:t>that,</w:t>
      </w:r>
      <w:r w:rsidRPr="00695197">
        <w:rPr>
          <w:i/>
          <w:iCs/>
        </w:rPr>
        <w:t xml:space="preserve"> </w:t>
      </w:r>
      <w:r w:rsidRPr="00695197">
        <w:t xml:space="preserve">pursuant to paragraph 6 of decisions </w:t>
      </w:r>
      <w:hyperlink r:id="rId83" w:history="1">
        <w:r w:rsidRPr="00C479DE">
          <w:rPr>
            <w:rStyle w:val="Hyperlink"/>
          </w:rPr>
          <w:t>1/CP.28</w:t>
        </w:r>
      </w:hyperlink>
      <w:r w:rsidRPr="00695197">
        <w:t xml:space="preserve"> and </w:t>
      </w:r>
      <w:hyperlink r:id="rId84" w:history="1">
        <w:r w:rsidRPr="00C479DE">
          <w:rPr>
            <w:rStyle w:val="Hyperlink"/>
          </w:rPr>
          <w:t>5/CMA.5</w:t>
        </w:r>
      </w:hyperlink>
      <w:r w:rsidRPr="00695197">
        <w:t xml:space="preserve">, the arrangements between the Conference of the Parties to the UNFCCC, the Conference of the Parties serving as the meeting of the Parties to the Paris Agreement and the Board of the Fund are to be consistent with decisions </w:t>
      </w:r>
      <w:hyperlink r:id="rId85" w:history="1">
        <w:r w:rsidRPr="00C479DE">
          <w:rPr>
            <w:rStyle w:val="Hyperlink"/>
          </w:rPr>
          <w:t>1/CP.28</w:t>
        </w:r>
      </w:hyperlink>
      <w:r w:rsidRPr="00695197">
        <w:t xml:space="preserve"> and </w:t>
      </w:r>
      <w:hyperlink r:id="rId86" w:history="1">
        <w:r w:rsidRPr="00C479DE">
          <w:rPr>
            <w:rStyle w:val="Hyperlink"/>
          </w:rPr>
          <w:t>5/CMA.5</w:t>
        </w:r>
      </w:hyperlink>
      <w:r w:rsidRPr="00695197">
        <w:t xml:space="preserve"> and the Governing Instrument of the Fund</w:t>
      </w:r>
      <w:r w:rsidRPr="00CC1207">
        <w:t>,</w:t>
      </w:r>
    </w:p>
    <w:p w14:paraId="032C8B9F" w14:textId="77777777" w:rsidR="00C90BDB" w:rsidRPr="00695197" w:rsidRDefault="00C90BDB" w:rsidP="00C90BDB">
      <w:pPr>
        <w:pStyle w:val="SingleTxtG"/>
        <w:ind w:firstLine="567"/>
      </w:pPr>
      <w:r w:rsidRPr="00695197">
        <w:tab/>
        <w:t>The Conference of the Parties to the UNFCCC (COP), the Conference of the Parties serving as the meeting of the Parties to the Paris Agreement (CMA) and the Board of the Fund for responding to Loss and Damage (hereinafter referred to as the “Board” and the “Fund” respectively) hereby agree to the following arrangements:</w:t>
      </w:r>
    </w:p>
    <w:p w14:paraId="5EF50C4E" w14:textId="5029337B" w:rsidR="00C90BDB" w:rsidRPr="00695197" w:rsidRDefault="004250A3" w:rsidP="004250A3">
      <w:pPr>
        <w:pStyle w:val="RegHChG"/>
        <w:numPr>
          <w:ilvl w:val="0"/>
          <w:numId w:val="0"/>
        </w:numPr>
        <w:tabs>
          <w:tab w:val="left" w:pos="1135"/>
        </w:tabs>
        <w:ind w:left="1135" w:hanging="454"/>
      </w:pPr>
      <w:r w:rsidRPr="00695197">
        <w:t>I.</w:t>
      </w:r>
      <w:r w:rsidRPr="00695197">
        <w:tab/>
      </w:r>
      <w:r w:rsidR="00C90BDB" w:rsidRPr="00695197">
        <w:t>Purpose of these arrangements</w:t>
      </w:r>
    </w:p>
    <w:p w14:paraId="79E5F95B" w14:textId="1C825CA7" w:rsidR="00C90BDB" w:rsidRPr="00695197" w:rsidRDefault="004250A3" w:rsidP="004250A3">
      <w:pPr>
        <w:pStyle w:val="RegSingleTxtG"/>
        <w:numPr>
          <w:ilvl w:val="0"/>
          <w:numId w:val="0"/>
        </w:numPr>
        <w:ind w:left="1134"/>
      </w:pPr>
      <w:r w:rsidRPr="00695197">
        <w:t>1.</w:t>
      </w:r>
      <w:r w:rsidRPr="00695197">
        <w:tab/>
      </w:r>
      <w:r w:rsidR="00C90BDB" w:rsidRPr="00695197">
        <w:t>The purpose of these arrangements is to set out the working relationship between the COP, the CMA and the Board to ensure that the Fund is accountable to and functions under the guidance of the COP and the CMA, consistently with the Governing Instrument of the Fund,</w:t>
      </w:r>
      <w:r w:rsidR="00C90BDB" w:rsidRPr="00695197">
        <w:rPr>
          <w:rStyle w:val="FootnoteReference"/>
        </w:rPr>
        <w:footnoteReference w:id="22"/>
      </w:r>
      <w:r w:rsidR="00C90BDB" w:rsidRPr="00695197">
        <w:t xml:space="preserve"> and receives guidance from the COP and the CMA on its policies, programme priorities and eligibility criteria.</w:t>
      </w:r>
    </w:p>
    <w:p w14:paraId="069C13EB" w14:textId="5856FF06" w:rsidR="00C90BDB" w:rsidRPr="00695197" w:rsidRDefault="004250A3" w:rsidP="004250A3">
      <w:pPr>
        <w:pStyle w:val="RegHChG"/>
        <w:numPr>
          <w:ilvl w:val="0"/>
          <w:numId w:val="0"/>
        </w:numPr>
        <w:tabs>
          <w:tab w:val="left" w:pos="1135"/>
        </w:tabs>
        <w:ind w:left="1135" w:hanging="454"/>
      </w:pPr>
      <w:r w:rsidRPr="00695197">
        <w:t>II.</w:t>
      </w:r>
      <w:r w:rsidRPr="00695197">
        <w:tab/>
      </w:r>
      <w:r w:rsidR="00C90BDB" w:rsidRPr="00695197">
        <w:t>Determination and communication of guidance from the Conference of the Parties to the UNFCCC and the Conference of the Parties serving as the meeting of the Parties to the Paris Agreement</w:t>
      </w:r>
    </w:p>
    <w:p w14:paraId="2CB4DB97" w14:textId="614CBF62" w:rsidR="00C90BDB" w:rsidRPr="00695197" w:rsidRDefault="004250A3" w:rsidP="004250A3">
      <w:pPr>
        <w:pStyle w:val="RegSingleTxtG"/>
        <w:numPr>
          <w:ilvl w:val="0"/>
          <w:numId w:val="0"/>
        </w:numPr>
        <w:ind w:left="1134"/>
      </w:pPr>
      <w:r w:rsidRPr="00695197">
        <w:t>2.</w:t>
      </w:r>
      <w:r w:rsidRPr="00695197">
        <w:tab/>
      </w:r>
      <w:r w:rsidR="00C90BDB" w:rsidRPr="00695197">
        <w:t>The Board will receive guidance from the COP and the CMA on its policies, programme priorities and eligibility criteria.</w:t>
      </w:r>
      <w:r w:rsidR="00C90BDB" w:rsidRPr="00695197">
        <w:rPr>
          <w:vertAlign w:val="superscript"/>
        </w:rPr>
        <w:footnoteReference w:id="23"/>
      </w:r>
    </w:p>
    <w:p w14:paraId="3158F2B1" w14:textId="3DF7AA4A" w:rsidR="00C90BDB" w:rsidRPr="00695197" w:rsidRDefault="004250A3" w:rsidP="004250A3">
      <w:pPr>
        <w:pStyle w:val="RegSingleTxtG"/>
        <w:numPr>
          <w:ilvl w:val="0"/>
          <w:numId w:val="0"/>
        </w:numPr>
        <w:ind w:left="1134"/>
      </w:pPr>
      <w:r w:rsidRPr="00695197">
        <w:t>3.</w:t>
      </w:r>
      <w:r w:rsidRPr="00695197">
        <w:tab/>
      </w:r>
      <w:r w:rsidR="00C90BDB" w:rsidRPr="00695197">
        <w:t>The Board will submit annual reports to the COP and the CMA for their consideration.</w:t>
      </w:r>
      <w:r w:rsidR="00C90BDB" w:rsidRPr="00695197">
        <w:rPr>
          <w:vertAlign w:val="superscript"/>
        </w:rPr>
        <w:footnoteReference w:id="24"/>
      </w:r>
    </w:p>
    <w:p w14:paraId="3C634B0A" w14:textId="4E4B6893" w:rsidR="00C90BDB" w:rsidRPr="00695197" w:rsidRDefault="004250A3" w:rsidP="004250A3">
      <w:pPr>
        <w:pStyle w:val="RegSingleTxtG"/>
        <w:numPr>
          <w:ilvl w:val="0"/>
          <w:numId w:val="0"/>
        </w:numPr>
        <w:ind w:left="1134"/>
      </w:pPr>
      <w:r w:rsidRPr="00695197">
        <w:lastRenderedPageBreak/>
        <w:t>4.</w:t>
      </w:r>
      <w:r w:rsidRPr="00695197">
        <w:tab/>
      </w:r>
      <w:r w:rsidR="00C90BDB" w:rsidRPr="00695197">
        <w:t>The COP and the CMA will adopt decisions providing guidance to the Board at each of their sessions, unless otherwise decided by the COP and the CMA.</w:t>
      </w:r>
    </w:p>
    <w:p w14:paraId="48429733" w14:textId="5879A8BE" w:rsidR="00C90BDB" w:rsidRPr="00695197" w:rsidRDefault="004250A3" w:rsidP="004250A3">
      <w:pPr>
        <w:pStyle w:val="RegSingleTxtG"/>
        <w:numPr>
          <w:ilvl w:val="0"/>
          <w:numId w:val="0"/>
        </w:numPr>
        <w:ind w:left="1134"/>
      </w:pPr>
      <w:r w:rsidRPr="00695197">
        <w:t>5.</w:t>
      </w:r>
      <w:r w:rsidRPr="00695197">
        <w:tab/>
      </w:r>
      <w:r w:rsidR="00C90BDB" w:rsidRPr="00695197">
        <w:t xml:space="preserve">The COP and the CMA will provide such guidance on the basis of, inter alia, a thorough consideration of the information in the annual reports of the Board. </w:t>
      </w:r>
    </w:p>
    <w:p w14:paraId="3DAF4DD4" w14:textId="119D3EAA" w:rsidR="00C90BDB" w:rsidRPr="00695197" w:rsidRDefault="004250A3" w:rsidP="004250A3">
      <w:pPr>
        <w:pStyle w:val="RegSingleTxtG"/>
        <w:numPr>
          <w:ilvl w:val="0"/>
          <w:numId w:val="0"/>
        </w:numPr>
        <w:ind w:left="1134"/>
      </w:pPr>
      <w:r w:rsidRPr="00695197">
        <w:t>6.</w:t>
      </w:r>
      <w:r w:rsidRPr="00695197">
        <w:tab/>
      </w:r>
      <w:r w:rsidR="00C90BDB" w:rsidRPr="00695197">
        <w:t>The Board may review the periodicity of the guidance from the COP and the CMA and make a recommendation thereon for consideration by the COP and the CMA.</w:t>
      </w:r>
      <w:r w:rsidR="00C90BDB" w:rsidRPr="00695197">
        <w:rPr>
          <w:vertAlign w:val="superscript"/>
        </w:rPr>
        <w:footnoteReference w:id="25"/>
      </w:r>
    </w:p>
    <w:p w14:paraId="094990BD" w14:textId="6C8DA91A" w:rsidR="00C90BDB" w:rsidRPr="00695197" w:rsidRDefault="004250A3" w:rsidP="004250A3">
      <w:pPr>
        <w:pStyle w:val="RegHChG"/>
        <w:numPr>
          <w:ilvl w:val="0"/>
          <w:numId w:val="0"/>
        </w:numPr>
        <w:tabs>
          <w:tab w:val="left" w:pos="1135"/>
        </w:tabs>
        <w:ind w:left="1135" w:hanging="454"/>
      </w:pPr>
      <w:r w:rsidRPr="00695197">
        <w:t>III.</w:t>
      </w:r>
      <w:r w:rsidRPr="00695197">
        <w:tab/>
      </w:r>
      <w:r w:rsidR="00C90BDB" w:rsidRPr="00695197">
        <w:t>Conformity with guidance of the Conference of the Parties to the UNFCCC and the Conference of the Parties serving as the meeting of the Parties to the Paris Agreement</w:t>
      </w:r>
    </w:p>
    <w:p w14:paraId="66426A84" w14:textId="689D1078"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7.</w:t>
      </w:r>
      <w:r w:rsidRPr="00695197">
        <w:rPr>
          <w:rFonts w:asciiTheme="majorBidi" w:hAnsiTheme="majorBidi" w:cstheme="majorBidi"/>
        </w:rPr>
        <w:tab/>
      </w:r>
      <w:r w:rsidR="00C90BDB" w:rsidRPr="00695197">
        <w:rPr>
          <w:rFonts w:asciiTheme="majorBidi" w:hAnsiTheme="majorBidi" w:cstheme="majorBidi"/>
        </w:rPr>
        <w:t>The Board will take appropriate action in response to the guidance received from the COP and the CMA and will report on such action in its annual reports.</w:t>
      </w:r>
    </w:p>
    <w:p w14:paraId="1CFD2B36" w14:textId="2490F894" w:rsidR="00C90BDB" w:rsidRPr="00695197" w:rsidRDefault="004250A3" w:rsidP="004250A3">
      <w:pPr>
        <w:pStyle w:val="RegHChG"/>
        <w:numPr>
          <w:ilvl w:val="0"/>
          <w:numId w:val="0"/>
        </w:numPr>
        <w:tabs>
          <w:tab w:val="left" w:pos="1135"/>
        </w:tabs>
        <w:ind w:left="1135" w:hanging="454"/>
      </w:pPr>
      <w:r w:rsidRPr="00695197">
        <w:t>IV.</w:t>
      </w:r>
      <w:r w:rsidRPr="00695197">
        <w:tab/>
      </w:r>
      <w:r w:rsidR="00C90BDB" w:rsidRPr="00695197">
        <w:t>Reconsideration of funding decisions</w:t>
      </w:r>
    </w:p>
    <w:p w14:paraId="376F879E" w14:textId="2EDB0D10"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8.</w:t>
      </w:r>
      <w:r w:rsidRPr="00695197">
        <w:rPr>
          <w:rFonts w:asciiTheme="majorBidi" w:hAnsiTheme="majorBidi" w:cstheme="majorBidi"/>
        </w:rPr>
        <w:tab/>
      </w:r>
      <w:r w:rsidR="00C90BDB" w:rsidRPr="00695197">
        <w:rPr>
          <w:rFonts w:asciiTheme="majorBidi" w:hAnsiTheme="majorBidi" w:cstheme="majorBidi"/>
        </w:rPr>
        <w:t>These arrangements reaffirm that the Board has responsibility for setting the strategic direction of the Fund and for the Fund’s governance and operational modalities, policies, frameworks and work programme, including relevant funding decisions.</w:t>
      </w:r>
      <w:r w:rsidR="00C90BDB" w:rsidRPr="00695197">
        <w:rPr>
          <w:vertAlign w:val="superscript"/>
        </w:rPr>
        <w:footnoteReference w:id="26"/>
      </w:r>
    </w:p>
    <w:p w14:paraId="4CB27970" w14:textId="4C59DF5F"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9.</w:t>
      </w:r>
      <w:r w:rsidRPr="00695197">
        <w:rPr>
          <w:rFonts w:asciiTheme="majorBidi" w:hAnsiTheme="majorBidi" w:cstheme="majorBidi"/>
        </w:rPr>
        <w:tab/>
      </w:r>
      <w:r w:rsidR="00C90BDB" w:rsidRPr="00695197">
        <w:rPr>
          <w:rFonts w:asciiTheme="majorBidi" w:hAnsiTheme="majorBidi" w:cstheme="majorBidi"/>
        </w:rPr>
        <w:t>The COP and the CMA may provide additional guidance to the Board to clarify policies, programme priorities and eligibility criteria as they impact funding decisions.</w:t>
      </w:r>
    </w:p>
    <w:p w14:paraId="75E98AA3" w14:textId="6FD7FEE1"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10.</w:t>
      </w:r>
      <w:r w:rsidRPr="00695197">
        <w:rPr>
          <w:rFonts w:asciiTheme="majorBidi" w:hAnsiTheme="majorBidi" w:cstheme="majorBidi"/>
        </w:rPr>
        <w:tab/>
      </w:r>
      <w:r w:rsidR="00C90BDB" w:rsidRPr="00695197">
        <w:rPr>
          <w:rFonts w:asciiTheme="majorBidi" w:hAnsiTheme="majorBidi" w:cstheme="majorBidi"/>
        </w:rPr>
        <w:t>Further modalities by which a particular funding decision may be reconsidered, as per Article 11, paragraph 3(b), of the Convention, will be developed by the Board, as appropriate.</w:t>
      </w:r>
    </w:p>
    <w:p w14:paraId="1B787DF6" w14:textId="6FE99A79" w:rsidR="00C90BDB" w:rsidRPr="00695197" w:rsidRDefault="004250A3" w:rsidP="004250A3">
      <w:pPr>
        <w:pStyle w:val="RegHChG"/>
        <w:numPr>
          <w:ilvl w:val="0"/>
          <w:numId w:val="0"/>
        </w:numPr>
        <w:tabs>
          <w:tab w:val="left" w:pos="1135"/>
        </w:tabs>
        <w:ind w:left="1135" w:hanging="454"/>
      </w:pPr>
      <w:r w:rsidRPr="00695197">
        <w:t>V.</w:t>
      </w:r>
      <w:r w:rsidRPr="00695197">
        <w:tab/>
      </w:r>
      <w:r w:rsidR="00C90BDB" w:rsidRPr="00695197">
        <w:t xml:space="preserve">Financial </w:t>
      </w:r>
      <w:r w:rsidR="00C90BDB" w:rsidRPr="00695197">
        <w:rPr>
          <w:bCs/>
        </w:rPr>
        <w:t>instruments</w:t>
      </w:r>
    </w:p>
    <w:p w14:paraId="78850BD3" w14:textId="68285FA1"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11.</w:t>
      </w:r>
      <w:r w:rsidRPr="00695197">
        <w:rPr>
          <w:rFonts w:asciiTheme="majorBidi" w:hAnsiTheme="majorBidi" w:cstheme="majorBidi"/>
        </w:rPr>
        <w:tab/>
      </w:r>
      <w:r w:rsidR="00C90BDB" w:rsidRPr="00695197">
        <w:rPr>
          <w:rFonts w:asciiTheme="majorBidi" w:hAnsiTheme="majorBidi" w:cstheme="majorBidi"/>
        </w:rPr>
        <w:t>In its provision of finance, the Fund will take into account guidance from the COP and the CMA, pursuant to paragraphs 57–59</w:t>
      </w:r>
      <w:r w:rsidR="00C90BDB" w:rsidRPr="006C1246">
        <w:rPr>
          <w:rFonts w:asciiTheme="majorBidi" w:hAnsiTheme="majorBidi" w:cstheme="majorBidi"/>
        </w:rPr>
        <w:t xml:space="preserve"> </w:t>
      </w:r>
      <w:r w:rsidR="00C90BDB" w:rsidRPr="00695197">
        <w:rPr>
          <w:rFonts w:asciiTheme="majorBidi" w:hAnsiTheme="majorBidi" w:cstheme="majorBidi"/>
        </w:rPr>
        <w:t>of the Governing Instrument.</w:t>
      </w:r>
    </w:p>
    <w:p w14:paraId="2323861B" w14:textId="09F71D36" w:rsidR="00C90BDB" w:rsidRPr="00695197" w:rsidRDefault="004250A3" w:rsidP="004250A3">
      <w:pPr>
        <w:pStyle w:val="RegHChG"/>
        <w:numPr>
          <w:ilvl w:val="0"/>
          <w:numId w:val="0"/>
        </w:numPr>
        <w:tabs>
          <w:tab w:val="left" w:pos="1135"/>
        </w:tabs>
        <w:ind w:left="1135" w:hanging="454"/>
        <w:rPr>
          <w:rFonts w:asciiTheme="majorBidi" w:hAnsiTheme="majorBidi" w:cstheme="majorBidi"/>
        </w:rPr>
      </w:pPr>
      <w:r w:rsidRPr="00695197">
        <w:t>VI.</w:t>
      </w:r>
      <w:r w:rsidRPr="00695197">
        <w:tab/>
      </w:r>
      <w:r w:rsidR="00C90BDB" w:rsidRPr="00695197">
        <w:rPr>
          <w:rFonts w:asciiTheme="majorBidi" w:hAnsiTheme="majorBidi" w:cstheme="majorBidi"/>
        </w:rPr>
        <w:t xml:space="preserve">Annual reports of the Board </w:t>
      </w:r>
      <w:r w:rsidR="00C90BDB" w:rsidRPr="00695197">
        <w:t>to the Conference of the Parties and the Conference of the Parties serving as the meeting of the Parties to the Paris Agreement</w:t>
      </w:r>
    </w:p>
    <w:p w14:paraId="24DC7561" w14:textId="320F247A"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12.</w:t>
      </w:r>
      <w:r w:rsidRPr="00695197">
        <w:rPr>
          <w:rFonts w:asciiTheme="majorBidi" w:hAnsiTheme="majorBidi" w:cstheme="majorBidi"/>
        </w:rPr>
        <w:tab/>
      </w:r>
      <w:r w:rsidR="00C90BDB" w:rsidRPr="00695197">
        <w:rPr>
          <w:rFonts w:asciiTheme="majorBidi" w:hAnsiTheme="majorBidi" w:cstheme="majorBidi"/>
        </w:rPr>
        <w:t>The Board will include in its annual reports to the COP and the CMA:</w:t>
      </w:r>
    </w:p>
    <w:p w14:paraId="388FCD3A" w14:textId="2D3053E4" w:rsidR="00C90BDB" w:rsidRPr="00695197" w:rsidRDefault="004250A3" w:rsidP="004250A3">
      <w:pPr>
        <w:pStyle w:val="RegSingleTxtG2"/>
        <w:numPr>
          <w:ilvl w:val="0"/>
          <w:numId w:val="0"/>
        </w:numPr>
        <w:ind w:left="1134" w:firstLine="567"/>
      </w:pPr>
      <w:r w:rsidRPr="00695197">
        <w:rPr>
          <w:szCs w:val="28"/>
        </w:rPr>
        <w:t>(a)</w:t>
      </w:r>
      <w:r w:rsidRPr="00695197">
        <w:rPr>
          <w:szCs w:val="28"/>
        </w:rPr>
        <w:tab/>
      </w:r>
      <w:r w:rsidR="00C90BDB" w:rsidRPr="00695197">
        <w:t>Information on implementation of policies, programme priorities and eligibility criteria, including information on action taken by the Board in response to guidance provided by the COP and the CMA;</w:t>
      </w:r>
    </w:p>
    <w:p w14:paraId="7FC0EC61" w14:textId="7B8B61B5" w:rsidR="00C90BDB" w:rsidRPr="00695197" w:rsidRDefault="004250A3" w:rsidP="004250A3">
      <w:pPr>
        <w:pStyle w:val="RegSingleTxtG2"/>
        <w:numPr>
          <w:ilvl w:val="0"/>
          <w:numId w:val="0"/>
        </w:numPr>
        <w:ind w:left="1134" w:firstLine="567"/>
      </w:pPr>
      <w:r w:rsidRPr="00695197">
        <w:rPr>
          <w:szCs w:val="28"/>
        </w:rPr>
        <w:t>(b)</w:t>
      </w:r>
      <w:r w:rsidRPr="00695197">
        <w:rPr>
          <w:szCs w:val="28"/>
        </w:rPr>
        <w:tab/>
      </w:r>
      <w:r w:rsidR="00C90BDB" w:rsidRPr="00695197">
        <w:t xml:space="preserve">A synthesis </w:t>
      </w:r>
      <w:r w:rsidR="00C90BDB" w:rsidRPr="00695197">
        <w:rPr>
          <w:rFonts w:asciiTheme="majorBidi" w:hAnsiTheme="majorBidi" w:cstheme="majorBidi"/>
        </w:rPr>
        <w:t xml:space="preserve">of the different </w:t>
      </w:r>
      <w:r w:rsidR="00C90BDB" w:rsidRPr="00695197">
        <w:t>activities under implementation and a list of the activities approved, as well as a financial report;</w:t>
      </w:r>
    </w:p>
    <w:p w14:paraId="27393BED" w14:textId="266B4038" w:rsidR="00C90BDB" w:rsidRPr="00695197" w:rsidRDefault="004250A3" w:rsidP="004250A3">
      <w:pPr>
        <w:pStyle w:val="RegSingleTxtG2"/>
        <w:numPr>
          <w:ilvl w:val="0"/>
          <w:numId w:val="0"/>
        </w:numPr>
        <w:ind w:left="1134" w:firstLine="567"/>
      </w:pPr>
      <w:r w:rsidRPr="00695197">
        <w:rPr>
          <w:szCs w:val="28"/>
        </w:rPr>
        <w:t>(c)</w:t>
      </w:r>
      <w:r w:rsidRPr="00695197">
        <w:rPr>
          <w:szCs w:val="28"/>
        </w:rPr>
        <w:tab/>
      </w:r>
      <w:r w:rsidR="00C90BDB" w:rsidRPr="00695197">
        <w:t>Information on all activities financed by the Fund</w:t>
      </w:r>
      <w:r w:rsidR="00C90BDB" w:rsidRPr="00695197">
        <w:rPr>
          <w:rFonts w:asciiTheme="majorBidi" w:hAnsiTheme="majorBidi" w:cstheme="majorBidi"/>
        </w:rPr>
        <w:t>;</w:t>
      </w:r>
    </w:p>
    <w:p w14:paraId="59BCC225" w14:textId="716AB9EA" w:rsidR="00C90BDB" w:rsidRPr="00695197" w:rsidRDefault="004250A3" w:rsidP="004250A3">
      <w:pPr>
        <w:pStyle w:val="RegSingleTxtG2"/>
        <w:numPr>
          <w:ilvl w:val="0"/>
          <w:numId w:val="0"/>
        </w:numPr>
        <w:ind w:left="1134" w:firstLine="567"/>
      </w:pPr>
      <w:r w:rsidRPr="00695197">
        <w:rPr>
          <w:szCs w:val="28"/>
        </w:rPr>
        <w:t>(d)</w:t>
      </w:r>
      <w:r w:rsidRPr="00695197">
        <w:rPr>
          <w:szCs w:val="28"/>
        </w:rPr>
        <w:tab/>
      </w:r>
      <w:r w:rsidR="00C90BDB" w:rsidRPr="00695197">
        <w:t>Action taken to develop, operate and review the resource allocation system referred to in paragraphs 60–61 of the Governing Instrument;</w:t>
      </w:r>
    </w:p>
    <w:p w14:paraId="3970F77C" w14:textId="78731147" w:rsidR="00C90BDB" w:rsidRPr="00695197" w:rsidRDefault="004250A3" w:rsidP="004250A3">
      <w:pPr>
        <w:pStyle w:val="RegSingleTxtG2"/>
        <w:numPr>
          <w:ilvl w:val="0"/>
          <w:numId w:val="0"/>
        </w:numPr>
        <w:ind w:left="1134" w:firstLine="567"/>
        <w:rPr>
          <w:rFonts w:asciiTheme="majorBidi" w:hAnsiTheme="majorBidi" w:cstheme="majorBidi"/>
        </w:rPr>
      </w:pPr>
      <w:r w:rsidRPr="00695197">
        <w:rPr>
          <w:rFonts w:asciiTheme="majorBidi" w:hAnsiTheme="majorBidi" w:cstheme="majorBidi"/>
          <w:szCs w:val="28"/>
        </w:rPr>
        <w:t>(e)</w:t>
      </w:r>
      <w:r w:rsidRPr="00695197">
        <w:rPr>
          <w:rFonts w:asciiTheme="majorBidi" w:hAnsiTheme="majorBidi" w:cstheme="majorBidi"/>
          <w:szCs w:val="28"/>
        </w:rPr>
        <w:tab/>
      </w:r>
      <w:r w:rsidR="00C90BDB" w:rsidRPr="00695197">
        <w:rPr>
          <w:rFonts w:asciiTheme="majorBidi" w:hAnsiTheme="majorBidi" w:cstheme="majorBidi"/>
        </w:rPr>
        <w:t>Any reports of the independent evaluations of the performance of the Fund referred to in paragraphs 64–65 of the Governing Instrument;</w:t>
      </w:r>
    </w:p>
    <w:p w14:paraId="3DD3150E" w14:textId="28665261" w:rsidR="00C90BDB" w:rsidRPr="00695197" w:rsidRDefault="004250A3" w:rsidP="004250A3">
      <w:pPr>
        <w:pStyle w:val="RegSingleTxtG2"/>
        <w:numPr>
          <w:ilvl w:val="0"/>
          <w:numId w:val="0"/>
        </w:numPr>
        <w:ind w:left="1134" w:firstLine="567"/>
      </w:pPr>
      <w:r w:rsidRPr="00695197">
        <w:rPr>
          <w:szCs w:val="28"/>
        </w:rPr>
        <w:t>(f)</w:t>
      </w:r>
      <w:r w:rsidRPr="00695197">
        <w:rPr>
          <w:szCs w:val="28"/>
        </w:rPr>
        <w:tab/>
      </w:r>
      <w:r w:rsidR="00C90BDB" w:rsidRPr="00695197">
        <w:t>Information on how it has drawn on expert and technical advice, including from the relevant constituted bodies established under the Convention and the Paris Agreement, as appropriate;</w:t>
      </w:r>
    </w:p>
    <w:p w14:paraId="65DB9F16" w14:textId="360CE97E" w:rsidR="00C90BDB" w:rsidRPr="00695197" w:rsidRDefault="004250A3" w:rsidP="004250A3">
      <w:pPr>
        <w:pStyle w:val="RegSingleTxtG2"/>
        <w:numPr>
          <w:ilvl w:val="0"/>
          <w:numId w:val="0"/>
        </w:numPr>
        <w:ind w:left="1134" w:firstLine="567"/>
      </w:pPr>
      <w:r w:rsidRPr="00695197">
        <w:rPr>
          <w:szCs w:val="28"/>
        </w:rPr>
        <w:lastRenderedPageBreak/>
        <w:t>(g)</w:t>
      </w:r>
      <w:r w:rsidRPr="00695197">
        <w:rPr>
          <w:szCs w:val="28"/>
        </w:rPr>
        <w:tab/>
      </w:r>
      <w:r w:rsidR="00C90BDB" w:rsidRPr="00695197">
        <w:t>Information on t</w:t>
      </w:r>
      <w:r w:rsidR="00C90BDB" w:rsidRPr="00695197">
        <w:rPr>
          <w:rFonts w:asciiTheme="majorBidi" w:hAnsiTheme="majorBidi" w:cstheme="majorBidi"/>
        </w:rPr>
        <w:t xml:space="preserve">he high-level dialogue referred to in paragraph 11 of annex II to decisions </w:t>
      </w:r>
      <w:hyperlink r:id="rId87" w:history="1">
        <w:r w:rsidR="00C90BDB" w:rsidRPr="00C479DE">
          <w:rPr>
            <w:rStyle w:val="Hyperlink"/>
            <w:rFonts w:asciiTheme="majorBidi" w:hAnsiTheme="majorBidi" w:cstheme="majorBidi"/>
          </w:rPr>
          <w:t>1/CP.28</w:t>
        </w:r>
      </w:hyperlink>
      <w:r w:rsidR="00C90BDB" w:rsidRPr="00695197">
        <w:rPr>
          <w:rFonts w:asciiTheme="majorBidi" w:hAnsiTheme="majorBidi" w:cstheme="majorBidi"/>
        </w:rPr>
        <w:t xml:space="preserve"> and </w:t>
      </w:r>
      <w:hyperlink r:id="rId88" w:history="1">
        <w:r w:rsidR="00DA2AB7">
          <w:rPr>
            <w:rStyle w:val="Hyperlink"/>
            <w:rFonts w:asciiTheme="majorBidi" w:hAnsiTheme="majorBidi" w:cstheme="majorBidi"/>
          </w:rPr>
          <w:t>5</w:t>
        </w:r>
        <w:r w:rsidR="00C90BDB" w:rsidRPr="00C479DE">
          <w:rPr>
            <w:rStyle w:val="Hyperlink"/>
            <w:rFonts w:asciiTheme="majorBidi" w:hAnsiTheme="majorBidi" w:cstheme="majorBidi"/>
          </w:rPr>
          <w:t>/CMA.5</w:t>
        </w:r>
      </w:hyperlink>
      <w:r w:rsidR="00C90BDB" w:rsidRPr="00695197">
        <w:rPr>
          <w:rFonts w:asciiTheme="majorBidi" w:hAnsiTheme="majorBidi" w:cstheme="majorBidi"/>
        </w:rPr>
        <w:t>, as described in paragraph 12 of annex II to those decisions</w:t>
      </w:r>
      <w:r w:rsidR="00C90BDB">
        <w:rPr>
          <w:rFonts w:asciiTheme="majorBidi" w:hAnsiTheme="majorBidi" w:cstheme="majorBidi"/>
        </w:rPr>
        <w:t>;</w:t>
      </w:r>
    </w:p>
    <w:p w14:paraId="35730980" w14:textId="2B13EA36" w:rsidR="00C90BDB" w:rsidRPr="00695197" w:rsidRDefault="004250A3" w:rsidP="004250A3">
      <w:pPr>
        <w:pStyle w:val="RegSingleTxtG2"/>
        <w:numPr>
          <w:ilvl w:val="0"/>
          <w:numId w:val="0"/>
        </w:numPr>
        <w:ind w:left="1134" w:firstLine="567"/>
      </w:pPr>
      <w:r w:rsidRPr="00695197">
        <w:rPr>
          <w:szCs w:val="28"/>
        </w:rPr>
        <w:t>(h)</w:t>
      </w:r>
      <w:r w:rsidRPr="00695197">
        <w:rPr>
          <w:szCs w:val="28"/>
        </w:rPr>
        <w:tab/>
      </w:r>
      <w:r w:rsidR="00C90BDB" w:rsidRPr="00695197">
        <w:t>Information on action taken to enhance coordination and complementarity pursuant to paragraphs 51–53 of the Governing Instrument, as well as recommendations to the COP and the CMA pursuant to paragraph 22(s) of the Governing Instrument.</w:t>
      </w:r>
    </w:p>
    <w:p w14:paraId="19404CAB" w14:textId="54751783" w:rsidR="00C90BDB" w:rsidRPr="00695197" w:rsidRDefault="004250A3" w:rsidP="004250A3">
      <w:pPr>
        <w:pStyle w:val="RegSingleTxtG"/>
        <w:numPr>
          <w:ilvl w:val="0"/>
          <w:numId w:val="0"/>
        </w:numPr>
        <w:ind w:left="1134"/>
      </w:pPr>
      <w:r w:rsidRPr="00695197">
        <w:t>13.</w:t>
      </w:r>
      <w:r w:rsidRPr="00695197">
        <w:tab/>
      </w:r>
      <w:r w:rsidR="00C90BDB" w:rsidRPr="00695197">
        <w:t>The Board is encouraged to include information in its annual reports on how it has established consultative forums to engage and communicate with stakeholders, pursuant to paragraph 28 of the Governing Instrument, and how it has developed and managed mechanisms to promote the input and participation of stakeholders, pursuant to paragraph 29 of the Governing Instrument.</w:t>
      </w:r>
    </w:p>
    <w:p w14:paraId="52C9F571" w14:textId="22488DD0"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14.</w:t>
      </w:r>
      <w:r w:rsidRPr="00695197">
        <w:rPr>
          <w:rFonts w:asciiTheme="majorBidi" w:hAnsiTheme="majorBidi" w:cstheme="majorBidi"/>
        </w:rPr>
        <w:tab/>
      </w:r>
      <w:r w:rsidR="00C90BDB" w:rsidRPr="00695197">
        <w:rPr>
          <w:rFonts w:asciiTheme="majorBidi" w:hAnsiTheme="majorBidi" w:cstheme="majorBidi"/>
        </w:rPr>
        <w:t>The COP and the CMA may request the Board to provide additional information in its annual reports.</w:t>
      </w:r>
    </w:p>
    <w:p w14:paraId="28D9C82B" w14:textId="0E2E5391" w:rsidR="00C90BDB" w:rsidRPr="00695197" w:rsidRDefault="004250A3" w:rsidP="004250A3">
      <w:pPr>
        <w:pStyle w:val="RegHChG"/>
        <w:numPr>
          <w:ilvl w:val="0"/>
          <w:numId w:val="0"/>
        </w:numPr>
        <w:tabs>
          <w:tab w:val="left" w:pos="1135"/>
        </w:tabs>
        <w:ind w:left="1135" w:hanging="454"/>
      </w:pPr>
      <w:r w:rsidRPr="00695197">
        <w:t>VII.</w:t>
      </w:r>
      <w:r w:rsidRPr="00695197">
        <w:tab/>
      </w:r>
      <w:r w:rsidR="00C90BDB" w:rsidRPr="00695197">
        <w:t>Determination of funding necessary and available</w:t>
      </w:r>
    </w:p>
    <w:p w14:paraId="45E0E479" w14:textId="0E848D53"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15.</w:t>
      </w:r>
      <w:r w:rsidRPr="00695197">
        <w:rPr>
          <w:rFonts w:asciiTheme="majorBidi" w:hAnsiTheme="majorBidi" w:cstheme="majorBidi"/>
        </w:rPr>
        <w:tab/>
      </w:r>
      <w:r w:rsidR="00C90BDB" w:rsidRPr="00695197">
        <w:rPr>
          <w:rFonts w:asciiTheme="majorBidi" w:hAnsiTheme="majorBidi" w:cstheme="majorBidi"/>
        </w:rPr>
        <w:t>The Board will include information in its annual reports to the COP and the CMA on its long-term fundraising and resource mobilization strategy, as appropriate.</w:t>
      </w:r>
      <w:r w:rsidR="00C90BDB" w:rsidRPr="00695197">
        <w:rPr>
          <w:rStyle w:val="FootnoteReference"/>
          <w:rFonts w:cstheme="majorBidi"/>
        </w:rPr>
        <w:footnoteReference w:id="27"/>
      </w:r>
    </w:p>
    <w:p w14:paraId="5FA9E167" w14:textId="51A3A883" w:rsidR="00C90BDB" w:rsidRPr="00695197" w:rsidRDefault="004250A3" w:rsidP="004250A3">
      <w:pPr>
        <w:pStyle w:val="RegHChG"/>
        <w:numPr>
          <w:ilvl w:val="0"/>
          <w:numId w:val="0"/>
        </w:numPr>
        <w:tabs>
          <w:tab w:val="left" w:pos="1135"/>
        </w:tabs>
        <w:ind w:left="1135" w:hanging="454"/>
      </w:pPr>
      <w:r w:rsidRPr="00695197">
        <w:t>VIII.</w:t>
      </w:r>
      <w:r w:rsidRPr="00695197">
        <w:tab/>
      </w:r>
      <w:r w:rsidR="00C90BDB" w:rsidRPr="00695197">
        <w:t>Periodic review of the Fund</w:t>
      </w:r>
    </w:p>
    <w:p w14:paraId="13391865" w14:textId="72661795"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16.</w:t>
      </w:r>
      <w:r w:rsidRPr="00695197">
        <w:rPr>
          <w:rFonts w:asciiTheme="majorBidi" w:hAnsiTheme="majorBidi" w:cstheme="majorBidi"/>
        </w:rPr>
        <w:tab/>
      </w:r>
      <w:r w:rsidR="00C90BDB" w:rsidRPr="00695197">
        <w:rPr>
          <w:rFonts w:asciiTheme="majorBidi" w:hAnsiTheme="majorBidi" w:cstheme="majorBidi"/>
        </w:rPr>
        <w:t>Pursuant to paragraph 66 of the Governing Instrument, the Fund will be subject to periodic reviews conducted by the COP and the CMA, which will be informed by, inter alia, the results of the independent evaluation of the performance of the Fund referred to in paragraph 64 of the Governing Instrument and the annual reports of the Board to the COP and the CMA.</w:t>
      </w:r>
    </w:p>
    <w:p w14:paraId="1069845B" w14:textId="5F1CE410" w:rsidR="00C90BDB" w:rsidRPr="00695197" w:rsidRDefault="004250A3" w:rsidP="004250A3">
      <w:pPr>
        <w:pStyle w:val="RegHChG"/>
        <w:numPr>
          <w:ilvl w:val="0"/>
          <w:numId w:val="0"/>
        </w:numPr>
        <w:tabs>
          <w:tab w:val="left" w:pos="1135"/>
        </w:tabs>
        <w:ind w:left="1135" w:hanging="454"/>
      </w:pPr>
      <w:r w:rsidRPr="00695197">
        <w:t>IX.</w:t>
      </w:r>
      <w:r w:rsidRPr="00695197">
        <w:tab/>
      </w:r>
      <w:r w:rsidR="00C90BDB" w:rsidRPr="00695197">
        <w:t>Amendments to the Governing Instrument</w:t>
      </w:r>
    </w:p>
    <w:p w14:paraId="3B074A3C" w14:textId="223B7C51"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17.</w:t>
      </w:r>
      <w:r w:rsidRPr="00695197">
        <w:rPr>
          <w:rFonts w:asciiTheme="majorBidi" w:hAnsiTheme="majorBidi" w:cstheme="majorBidi"/>
        </w:rPr>
        <w:tab/>
      </w:r>
      <w:r w:rsidR="00C90BDB" w:rsidRPr="00695197">
        <w:rPr>
          <w:rFonts w:asciiTheme="majorBidi" w:hAnsiTheme="majorBidi" w:cstheme="majorBidi"/>
        </w:rPr>
        <w:t>The Board may recommend amendments to the Governing Instrument for consideration by the COP and the CMA.</w:t>
      </w:r>
      <w:r w:rsidR="00C90BDB" w:rsidRPr="00695197">
        <w:rPr>
          <w:rStyle w:val="FootnoteReference"/>
          <w:rFonts w:asciiTheme="majorBidi" w:hAnsiTheme="majorBidi" w:cstheme="majorBidi"/>
        </w:rPr>
        <w:footnoteReference w:id="28"/>
      </w:r>
    </w:p>
    <w:p w14:paraId="21B7BBF6" w14:textId="2D7CA7BB" w:rsidR="00C90BDB" w:rsidRPr="00695197" w:rsidRDefault="004250A3" w:rsidP="004250A3">
      <w:pPr>
        <w:pStyle w:val="RegHChG"/>
        <w:numPr>
          <w:ilvl w:val="0"/>
          <w:numId w:val="0"/>
        </w:numPr>
        <w:tabs>
          <w:tab w:val="left" w:pos="1135"/>
        </w:tabs>
        <w:ind w:left="1135" w:hanging="454"/>
      </w:pPr>
      <w:r w:rsidRPr="00695197">
        <w:t>X.</w:t>
      </w:r>
      <w:r w:rsidRPr="00695197">
        <w:tab/>
      </w:r>
      <w:r w:rsidR="00C90BDB" w:rsidRPr="00695197">
        <w:t>Termination of the Fund</w:t>
      </w:r>
    </w:p>
    <w:p w14:paraId="20B28FE1" w14:textId="015ED0CB"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18.</w:t>
      </w:r>
      <w:r w:rsidRPr="00695197">
        <w:rPr>
          <w:rFonts w:asciiTheme="majorBidi" w:hAnsiTheme="majorBidi" w:cstheme="majorBidi"/>
        </w:rPr>
        <w:tab/>
      </w:r>
      <w:r w:rsidR="00C90BDB" w:rsidRPr="00695197">
        <w:rPr>
          <w:rFonts w:asciiTheme="majorBidi" w:hAnsiTheme="majorBidi" w:cstheme="majorBidi"/>
        </w:rPr>
        <w:t>The Board may recommend the termination of the Fund for consideration by the COP and the CMA.</w:t>
      </w:r>
      <w:r w:rsidR="00C90BDB" w:rsidRPr="00695197">
        <w:rPr>
          <w:rStyle w:val="FootnoteReference"/>
          <w:rFonts w:asciiTheme="majorBidi" w:hAnsiTheme="majorBidi" w:cstheme="majorBidi"/>
        </w:rPr>
        <w:footnoteReference w:id="29"/>
      </w:r>
    </w:p>
    <w:p w14:paraId="7D467776" w14:textId="7959B417" w:rsidR="00C90BDB" w:rsidRPr="00695197" w:rsidRDefault="004250A3" w:rsidP="004250A3">
      <w:pPr>
        <w:pStyle w:val="RegHChG"/>
        <w:numPr>
          <w:ilvl w:val="0"/>
          <w:numId w:val="0"/>
        </w:numPr>
        <w:tabs>
          <w:tab w:val="left" w:pos="1135"/>
        </w:tabs>
        <w:ind w:left="1135" w:hanging="454"/>
      </w:pPr>
      <w:r w:rsidRPr="00695197">
        <w:t>XI.</w:t>
      </w:r>
      <w:r w:rsidRPr="00695197">
        <w:tab/>
      </w:r>
      <w:r w:rsidR="00C90BDB" w:rsidRPr="00695197">
        <w:t>Cooperation between the secretariat of the Fund and the UNFCCC secretariat, and representation of the Board in sessions of the Conference of the Parties and the Conference of the Parties serving as the meeting of the Parties to the Paris Agreement</w:t>
      </w:r>
    </w:p>
    <w:p w14:paraId="1361EA13" w14:textId="63561B14"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19.</w:t>
      </w:r>
      <w:r w:rsidRPr="00695197">
        <w:rPr>
          <w:rFonts w:asciiTheme="majorBidi" w:hAnsiTheme="majorBidi" w:cstheme="majorBidi"/>
        </w:rPr>
        <w:tab/>
      </w:r>
      <w:r w:rsidR="00C90BDB" w:rsidRPr="00695197">
        <w:rPr>
          <w:rFonts w:asciiTheme="majorBidi" w:hAnsiTheme="majorBidi" w:cstheme="majorBidi"/>
        </w:rPr>
        <w:t>The secretariat of the Fund may, as necessary and subject to the direction of the Board of the Fund, cooperate and exchange views with the UNFCCC secretariat on matters relevant to the operation of the Financial Mechanism of the Convention and the Paris Agreement, including implementation of these arrangements between the COP, the CMA and the Board, coordination with other international financing channels and funding arrangements, as appropriate, and participation of representatives in sessions of the COP and the CMA.</w:t>
      </w:r>
    </w:p>
    <w:p w14:paraId="2E5D864A" w14:textId="7C1C437D"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lastRenderedPageBreak/>
        <w:t>20.</w:t>
      </w:r>
      <w:r w:rsidRPr="00695197">
        <w:rPr>
          <w:rFonts w:asciiTheme="majorBidi" w:hAnsiTheme="majorBidi" w:cstheme="majorBidi"/>
        </w:rPr>
        <w:tab/>
      </w:r>
      <w:r w:rsidR="00C90BDB" w:rsidRPr="00695197">
        <w:rPr>
          <w:rFonts w:asciiTheme="majorBidi" w:hAnsiTheme="majorBidi" w:cstheme="majorBidi"/>
        </w:rPr>
        <w:t xml:space="preserve">The participation of representatives of the UNFCCC secretariat in meetings of the Board, and of the secretariat of the Fund in sessions of the COP and the CMA, is to be governed by the rules of procedure of the Board and the draft rules of procedure of the COP respectively. </w:t>
      </w:r>
    </w:p>
    <w:p w14:paraId="54F57EE0" w14:textId="311B3711" w:rsidR="00C90BDB" w:rsidRPr="00695197" w:rsidRDefault="004250A3" w:rsidP="004250A3">
      <w:pPr>
        <w:pStyle w:val="RegHChG"/>
        <w:numPr>
          <w:ilvl w:val="0"/>
          <w:numId w:val="0"/>
        </w:numPr>
        <w:tabs>
          <w:tab w:val="left" w:pos="1135"/>
        </w:tabs>
        <w:ind w:left="1135" w:hanging="454"/>
      </w:pPr>
      <w:r w:rsidRPr="00695197">
        <w:t>XII.</w:t>
      </w:r>
      <w:r w:rsidRPr="00695197">
        <w:tab/>
      </w:r>
      <w:r w:rsidR="00C90BDB" w:rsidRPr="00695197">
        <w:t>Final clauses</w:t>
      </w:r>
    </w:p>
    <w:p w14:paraId="691147D7" w14:textId="1A831076" w:rsidR="00C90BDB" w:rsidRPr="00695197" w:rsidRDefault="004250A3" w:rsidP="004250A3">
      <w:pPr>
        <w:pStyle w:val="RegSingleTxtG"/>
        <w:numPr>
          <w:ilvl w:val="0"/>
          <w:numId w:val="0"/>
        </w:numPr>
        <w:ind w:left="1134"/>
        <w:rPr>
          <w:rFonts w:asciiTheme="majorBidi" w:hAnsiTheme="majorBidi" w:cstheme="majorBidi"/>
        </w:rPr>
      </w:pPr>
      <w:r w:rsidRPr="00695197">
        <w:rPr>
          <w:rFonts w:asciiTheme="majorBidi" w:hAnsiTheme="majorBidi" w:cstheme="majorBidi"/>
        </w:rPr>
        <w:t>21.</w:t>
      </w:r>
      <w:r w:rsidRPr="00695197">
        <w:rPr>
          <w:rFonts w:asciiTheme="majorBidi" w:hAnsiTheme="majorBidi" w:cstheme="majorBidi"/>
        </w:rPr>
        <w:tab/>
      </w:r>
      <w:r w:rsidR="00C90BDB" w:rsidRPr="00695197">
        <w:rPr>
          <w:rFonts w:asciiTheme="majorBidi" w:hAnsiTheme="majorBidi" w:cstheme="majorBidi"/>
        </w:rPr>
        <w:t>These arrangements can only be modified by mutual written consent of the COP, the CMA and the Board.</w:t>
      </w:r>
    </w:p>
    <w:p w14:paraId="373418A1" w14:textId="64548BC6" w:rsidR="00DB539E" w:rsidRPr="00DB539E" w:rsidRDefault="004250A3" w:rsidP="004250A3">
      <w:pPr>
        <w:pStyle w:val="RegSingleTxtG"/>
        <w:numPr>
          <w:ilvl w:val="0"/>
          <w:numId w:val="0"/>
        </w:numPr>
        <w:ind w:left="1134"/>
        <w:rPr>
          <w:rFonts w:asciiTheme="majorBidi" w:hAnsiTheme="majorBidi" w:cstheme="majorBidi"/>
          <w:sz w:val="22"/>
          <w:szCs w:val="22"/>
        </w:rPr>
      </w:pPr>
      <w:r w:rsidRPr="00DB539E">
        <w:rPr>
          <w:rFonts w:asciiTheme="majorBidi" w:hAnsiTheme="majorBidi" w:cstheme="majorBidi"/>
          <w:szCs w:val="22"/>
        </w:rPr>
        <w:t>22.</w:t>
      </w:r>
      <w:r w:rsidRPr="00DB539E">
        <w:rPr>
          <w:rFonts w:asciiTheme="majorBidi" w:hAnsiTheme="majorBidi" w:cstheme="majorBidi"/>
          <w:szCs w:val="22"/>
        </w:rPr>
        <w:tab/>
      </w:r>
      <w:r w:rsidR="00C90BDB" w:rsidRPr="00695197">
        <w:rPr>
          <w:rFonts w:asciiTheme="majorBidi" w:hAnsiTheme="majorBidi" w:cstheme="majorBidi"/>
        </w:rPr>
        <w:t>These arrangements are effective upon approval by the Board and subsequent approval by the COP and the CMA.</w:t>
      </w:r>
    </w:p>
    <w:p w14:paraId="1A379D0C" w14:textId="4CB2041C" w:rsidR="009666F0" w:rsidRPr="00DB539E" w:rsidRDefault="004250A3" w:rsidP="004250A3">
      <w:pPr>
        <w:pStyle w:val="RegSingleTxtG"/>
        <w:numPr>
          <w:ilvl w:val="0"/>
          <w:numId w:val="0"/>
        </w:numPr>
        <w:ind w:left="1134"/>
        <w:rPr>
          <w:rFonts w:asciiTheme="majorBidi" w:hAnsiTheme="majorBidi" w:cstheme="majorBidi"/>
          <w:sz w:val="22"/>
          <w:szCs w:val="22"/>
        </w:rPr>
      </w:pPr>
      <w:r w:rsidRPr="00DB539E">
        <w:rPr>
          <w:rFonts w:asciiTheme="majorBidi" w:hAnsiTheme="majorBidi" w:cstheme="majorBidi"/>
          <w:szCs w:val="22"/>
        </w:rPr>
        <w:t>23.</w:t>
      </w:r>
      <w:r w:rsidRPr="00DB539E">
        <w:rPr>
          <w:rFonts w:asciiTheme="majorBidi" w:hAnsiTheme="majorBidi" w:cstheme="majorBidi"/>
          <w:szCs w:val="22"/>
        </w:rPr>
        <w:tab/>
      </w:r>
      <w:r w:rsidR="00C90BDB" w:rsidRPr="00695197">
        <w:t>These arrangements may only be terminated by mutual written consent of the COP, the CMA and the Board.</w:t>
      </w:r>
    </w:p>
    <w:p w14:paraId="2BB301A3" w14:textId="675FD59A" w:rsidR="00DB539E" w:rsidRPr="00DB539E" w:rsidRDefault="00E41E8E" w:rsidP="00DB539E">
      <w:pPr>
        <w:pStyle w:val="RegSingleTxtG"/>
        <w:numPr>
          <w:ilvl w:val="0"/>
          <w:numId w:val="0"/>
        </w:numPr>
        <w:spacing w:after="0"/>
        <w:ind w:left="1134"/>
        <w:jc w:val="right"/>
        <w:rPr>
          <w:i/>
          <w:iCs/>
        </w:rPr>
      </w:pPr>
      <w:r>
        <w:rPr>
          <w:i/>
          <w:iCs/>
        </w:rPr>
        <w:t>11</w:t>
      </w:r>
      <w:r w:rsidRPr="00E41E8E">
        <w:rPr>
          <w:i/>
          <w:iCs/>
          <w:vertAlign w:val="superscript"/>
        </w:rPr>
        <w:t>th</w:t>
      </w:r>
      <w:r>
        <w:rPr>
          <w:i/>
          <w:iCs/>
        </w:rPr>
        <w:t xml:space="preserve"> </w:t>
      </w:r>
      <w:r w:rsidR="00DB539E" w:rsidRPr="00DB539E">
        <w:rPr>
          <w:i/>
          <w:iCs/>
        </w:rPr>
        <w:t>plenary meeting</w:t>
      </w:r>
    </w:p>
    <w:p w14:paraId="111AFB79" w14:textId="7EC2B1A4" w:rsidR="00DB539E" w:rsidRPr="00DB539E" w:rsidRDefault="00E41E8E" w:rsidP="00DB539E">
      <w:pPr>
        <w:pStyle w:val="RegSingleTxtG"/>
        <w:numPr>
          <w:ilvl w:val="0"/>
          <w:numId w:val="0"/>
        </w:numPr>
        <w:spacing w:after="0"/>
        <w:ind w:left="1134"/>
        <w:jc w:val="right"/>
        <w:rPr>
          <w:rFonts w:asciiTheme="majorBidi" w:hAnsiTheme="majorBidi" w:cstheme="majorBidi"/>
          <w:i/>
          <w:iCs/>
          <w:sz w:val="22"/>
          <w:szCs w:val="22"/>
        </w:rPr>
      </w:pPr>
      <w:r>
        <w:rPr>
          <w:i/>
          <w:iCs/>
        </w:rPr>
        <w:t>23</w:t>
      </w:r>
      <w:r w:rsidR="00DB539E" w:rsidRPr="00DB539E">
        <w:rPr>
          <w:i/>
          <w:iCs/>
        </w:rPr>
        <w:t xml:space="preserve"> November 2024</w:t>
      </w:r>
    </w:p>
    <w:p w14:paraId="07339435" w14:textId="77777777" w:rsidR="00DB539E" w:rsidRDefault="00DB539E" w:rsidP="004250A3">
      <w:pPr>
        <w:pStyle w:val="RegHChG"/>
        <w:numPr>
          <w:ilvl w:val="0"/>
          <w:numId w:val="0"/>
        </w:numPr>
        <w:ind w:left="1135" w:hanging="454"/>
      </w:pPr>
    </w:p>
    <w:p w14:paraId="60C95AF1" w14:textId="27C85D5A" w:rsidR="00DB539E" w:rsidRDefault="004250A3" w:rsidP="004250A3">
      <w:pPr>
        <w:pStyle w:val="RegHChG"/>
        <w:numPr>
          <w:ilvl w:val="0"/>
          <w:numId w:val="0"/>
        </w:numPr>
        <w:tabs>
          <w:tab w:val="left" w:pos="1135"/>
        </w:tabs>
        <w:ind w:left="1135" w:hanging="454"/>
        <w:sectPr w:rsidR="00DB539E" w:rsidSect="00F76195">
          <w:headerReference w:type="even" r:id="rId89"/>
          <w:headerReference w:type="default" r:id="rId90"/>
          <w:footerReference w:type="even" r:id="rId91"/>
          <w:footerReference w:type="default" r:id="rId92"/>
          <w:footnotePr>
            <w:numRestart w:val="eachSect"/>
          </w:footnotePr>
          <w:pgSz w:w="11906" w:h="16838" w:code="9"/>
          <w:pgMar w:top="1417" w:right="1134" w:bottom="1134" w:left="1134" w:header="850" w:footer="567" w:gutter="0"/>
          <w:cols w:space="708"/>
          <w:docGrid w:linePitch="360"/>
        </w:sectPr>
      </w:pPr>
      <w:r>
        <w:t>I.</w:t>
      </w:r>
      <w:r>
        <w:tab/>
      </w:r>
    </w:p>
    <w:p w14:paraId="71F89EB0" w14:textId="0127935D" w:rsidR="00DB539E" w:rsidRDefault="00DB539E" w:rsidP="004250A3">
      <w:pPr>
        <w:pStyle w:val="RegHChG"/>
        <w:numPr>
          <w:ilvl w:val="0"/>
          <w:numId w:val="0"/>
        </w:numPr>
        <w:ind w:left="1135" w:hanging="454"/>
      </w:pPr>
      <w:bookmarkStart w:id="13" w:name="decision13"/>
      <w:r>
        <w:lastRenderedPageBreak/>
        <w:t xml:space="preserve">Decision </w:t>
      </w:r>
      <w:r w:rsidRPr="00A573BC">
        <w:t>13/CMA.6</w:t>
      </w:r>
    </w:p>
    <w:bookmarkEnd w:id="13"/>
    <w:p w14:paraId="0F3E652C" w14:textId="77777777" w:rsidR="00BE7C7B" w:rsidRPr="00A96DC7" w:rsidRDefault="00BE7C7B" w:rsidP="004250A3">
      <w:pPr>
        <w:pStyle w:val="RegHChG"/>
        <w:numPr>
          <w:ilvl w:val="0"/>
          <w:numId w:val="0"/>
        </w:numPr>
        <w:ind w:left="1135" w:hanging="454"/>
      </w:pPr>
      <w:r w:rsidRPr="00836D82">
        <w:t>Matters relat</w:t>
      </w:r>
      <w:r>
        <w:t>ing</w:t>
      </w:r>
      <w:r w:rsidRPr="00836D82">
        <w:t xml:space="preserve"> to the Adaptation Fund</w:t>
      </w:r>
    </w:p>
    <w:p w14:paraId="2D1D1AFB" w14:textId="12BA136E" w:rsidR="00A27BB0" w:rsidRPr="00311D6B" w:rsidRDefault="00BE7C7B" w:rsidP="00A27BB0">
      <w:pPr>
        <w:suppressAutoHyphens w:val="0"/>
        <w:autoSpaceDE w:val="0"/>
        <w:autoSpaceDN w:val="0"/>
        <w:adjustRightInd w:val="0"/>
        <w:spacing w:before="240" w:after="120"/>
        <w:ind w:left="1134" w:right="1134" w:firstLine="567"/>
        <w:jc w:val="both"/>
        <w:rPr>
          <w:rFonts w:eastAsia="DengXian"/>
          <w:color w:val="000000"/>
        </w:rPr>
      </w:pPr>
      <w:r>
        <w:rPr>
          <w:rFonts w:eastAsia="DengXian"/>
          <w:i/>
          <w:iCs/>
          <w:color w:val="000000"/>
        </w:rPr>
        <w:tab/>
      </w:r>
      <w:r w:rsidR="00A27BB0" w:rsidRPr="00311D6B">
        <w:rPr>
          <w:rFonts w:eastAsia="DengXian"/>
          <w:i/>
          <w:iCs/>
          <w:color w:val="000000"/>
        </w:rPr>
        <w:t>The Conference of the Parties serving as the meeting of the Parties to the Paris Agreement</w:t>
      </w:r>
      <w:r w:rsidR="00A27BB0" w:rsidRPr="00311D6B">
        <w:rPr>
          <w:rFonts w:eastAsia="DengXian"/>
          <w:color w:val="000000"/>
        </w:rPr>
        <w:t xml:space="preserve">, </w:t>
      </w:r>
    </w:p>
    <w:p w14:paraId="50A0E81F" w14:textId="321351F0" w:rsidR="00A27BB0" w:rsidRPr="00311D6B" w:rsidRDefault="00A27BB0" w:rsidP="00A27BB0">
      <w:pPr>
        <w:suppressAutoHyphens w:val="0"/>
        <w:autoSpaceDE w:val="0"/>
        <w:autoSpaceDN w:val="0"/>
        <w:adjustRightInd w:val="0"/>
        <w:spacing w:after="120"/>
        <w:ind w:left="1134" w:right="1133" w:firstLine="567"/>
        <w:jc w:val="both"/>
        <w:rPr>
          <w:rFonts w:eastAsia="DengXian"/>
          <w:color w:val="000000"/>
        </w:rPr>
      </w:pPr>
      <w:r w:rsidRPr="00311D6B">
        <w:rPr>
          <w:rFonts w:eastAsia="DengXian"/>
          <w:i/>
          <w:iCs/>
          <w:color w:val="000000"/>
        </w:rPr>
        <w:t xml:space="preserve">Recalling </w:t>
      </w:r>
      <w:r w:rsidRPr="00311D6B">
        <w:rPr>
          <w:rFonts w:eastAsia="DengXian"/>
          <w:color w:val="000000"/>
        </w:rPr>
        <w:t xml:space="preserve">decisions </w:t>
      </w:r>
      <w:hyperlink r:id="rId93" w:history="1">
        <w:r w:rsidRPr="00214C61">
          <w:rPr>
            <w:rStyle w:val="Hyperlink"/>
            <w:rFonts w:eastAsia="DengXian"/>
          </w:rPr>
          <w:t>1/CMP.3</w:t>
        </w:r>
      </w:hyperlink>
      <w:r w:rsidRPr="00311D6B">
        <w:rPr>
          <w:rFonts w:eastAsia="DengXian"/>
          <w:color w:val="000000"/>
        </w:rPr>
        <w:t xml:space="preserve">, </w:t>
      </w:r>
      <w:hyperlink r:id="rId94" w:history="1">
        <w:r w:rsidRPr="00214C61">
          <w:rPr>
            <w:rStyle w:val="Hyperlink"/>
            <w:rFonts w:eastAsia="DengXian"/>
          </w:rPr>
          <w:t>1/CMP.4</w:t>
        </w:r>
      </w:hyperlink>
      <w:r w:rsidRPr="00311D6B">
        <w:rPr>
          <w:rFonts w:eastAsia="DengXian"/>
          <w:color w:val="000000"/>
        </w:rPr>
        <w:t xml:space="preserve">, </w:t>
      </w:r>
      <w:hyperlink r:id="rId95" w:history="1">
        <w:r w:rsidRPr="00214C61">
          <w:rPr>
            <w:rStyle w:val="Hyperlink"/>
            <w:rFonts w:eastAsia="DengXian"/>
          </w:rPr>
          <w:t>2/CMP.10</w:t>
        </w:r>
      </w:hyperlink>
      <w:r w:rsidRPr="00311D6B">
        <w:rPr>
          <w:rFonts w:eastAsia="DengXian"/>
          <w:color w:val="000000"/>
        </w:rPr>
        <w:t xml:space="preserve">, </w:t>
      </w:r>
      <w:hyperlink r:id="rId96" w:history="1">
        <w:r w:rsidRPr="00214C61">
          <w:rPr>
            <w:rStyle w:val="Hyperlink"/>
            <w:rFonts w:eastAsia="DengXian"/>
          </w:rPr>
          <w:t>1/CMP.11</w:t>
        </w:r>
      </w:hyperlink>
      <w:r w:rsidRPr="00311D6B">
        <w:rPr>
          <w:rFonts w:eastAsia="DengXian"/>
          <w:color w:val="000000"/>
        </w:rPr>
        <w:t xml:space="preserve">, </w:t>
      </w:r>
      <w:hyperlink r:id="rId97" w:history="1">
        <w:r w:rsidRPr="00214C61">
          <w:rPr>
            <w:rStyle w:val="Hyperlink"/>
            <w:rFonts w:eastAsia="DengXian"/>
          </w:rPr>
          <w:t>2/CMP.12</w:t>
        </w:r>
      </w:hyperlink>
      <w:r w:rsidRPr="00311D6B">
        <w:rPr>
          <w:rFonts w:eastAsia="DengXian"/>
          <w:color w:val="000000"/>
        </w:rPr>
        <w:t xml:space="preserve">, </w:t>
      </w:r>
      <w:hyperlink r:id="rId98" w:history="1">
        <w:r w:rsidRPr="00214C61">
          <w:rPr>
            <w:rStyle w:val="Hyperlink"/>
            <w:rFonts w:eastAsia="DengXian"/>
          </w:rPr>
          <w:t>1/CMP.13</w:t>
        </w:r>
      </w:hyperlink>
      <w:r w:rsidRPr="00311D6B">
        <w:rPr>
          <w:rFonts w:eastAsia="DengXian"/>
          <w:color w:val="000000"/>
        </w:rPr>
        <w:t xml:space="preserve">, </w:t>
      </w:r>
      <w:hyperlink r:id="rId99" w:history="1">
        <w:r w:rsidRPr="00214C61">
          <w:rPr>
            <w:rStyle w:val="Hyperlink"/>
            <w:rFonts w:eastAsia="DengXian"/>
          </w:rPr>
          <w:t>1/CMP.14</w:t>
        </w:r>
      </w:hyperlink>
      <w:r w:rsidRPr="00311D6B">
        <w:rPr>
          <w:rFonts w:eastAsia="DengXian"/>
          <w:color w:val="000000"/>
        </w:rPr>
        <w:t xml:space="preserve">, </w:t>
      </w:r>
      <w:hyperlink r:id="rId100" w:history="1">
        <w:r w:rsidRPr="00214C61">
          <w:rPr>
            <w:rStyle w:val="Hyperlink"/>
            <w:rFonts w:eastAsia="DengXian"/>
          </w:rPr>
          <w:t>3/CMP.15</w:t>
        </w:r>
      </w:hyperlink>
      <w:r w:rsidRPr="00311D6B">
        <w:rPr>
          <w:rFonts w:eastAsia="DengXian"/>
          <w:color w:val="000000"/>
        </w:rPr>
        <w:t xml:space="preserve">, </w:t>
      </w:r>
      <w:hyperlink r:id="rId101" w:history="1">
        <w:r w:rsidRPr="00214C61">
          <w:rPr>
            <w:rStyle w:val="Hyperlink"/>
            <w:rFonts w:eastAsia="DengXian"/>
          </w:rPr>
          <w:t>3/CMP.16</w:t>
        </w:r>
      </w:hyperlink>
      <w:r>
        <w:rPr>
          <w:rFonts w:eastAsia="DengXian"/>
          <w:color w:val="000000"/>
        </w:rPr>
        <w:t>,</w:t>
      </w:r>
      <w:r w:rsidRPr="00311D6B">
        <w:rPr>
          <w:rFonts w:eastAsia="DengXian"/>
          <w:color w:val="000000"/>
        </w:rPr>
        <w:t xml:space="preserve"> </w:t>
      </w:r>
      <w:hyperlink r:id="rId102" w:history="1">
        <w:r w:rsidRPr="00214C61">
          <w:rPr>
            <w:rStyle w:val="Hyperlink"/>
            <w:rFonts w:eastAsia="DengXian"/>
          </w:rPr>
          <w:t>4/CMP.17</w:t>
        </w:r>
      </w:hyperlink>
      <w:r>
        <w:rPr>
          <w:rFonts w:eastAsia="DengXian"/>
          <w:color w:val="000000"/>
        </w:rPr>
        <w:t xml:space="preserve"> and </w:t>
      </w:r>
      <w:hyperlink r:id="rId103" w:history="1">
        <w:r w:rsidRPr="00214C61">
          <w:rPr>
            <w:rStyle w:val="Hyperlink"/>
            <w:rFonts w:eastAsia="DengXian"/>
          </w:rPr>
          <w:t>3/CMP.18</w:t>
        </w:r>
      </w:hyperlink>
      <w:r>
        <w:rPr>
          <w:rFonts w:eastAsia="DengXian"/>
          <w:color w:val="000000"/>
        </w:rPr>
        <w:t>,</w:t>
      </w:r>
    </w:p>
    <w:p w14:paraId="47F5DE67" w14:textId="4AAA8540" w:rsidR="00A27BB0" w:rsidRPr="00311D6B" w:rsidRDefault="00A27BB0" w:rsidP="00A27BB0">
      <w:pPr>
        <w:suppressAutoHyphens w:val="0"/>
        <w:autoSpaceDE w:val="0"/>
        <w:autoSpaceDN w:val="0"/>
        <w:adjustRightInd w:val="0"/>
        <w:spacing w:after="120"/>
        <w:ind w:left="1134" w:right="1133" w:firstLine="567"/>
        <w:jc w:val="both"/>
        <w:rPr>
          <w:rFonts w:eastAsia="DengXian"/>
          <w:color w:val="000000"/>
          <w:sz w:val="12"/>
          <w:szCs w:val="12"/>
        </w:rPr>
      </w:pPr>
      <w:r w:rsidRPr="00311D6B">
        <w:rPr>
          <w:rFonts w:eastAsia="DengXian"/>
          <w:i/>
          <w:iCs/>
          <w:color w:val="000000"/>
        </w:rPr>
        <w:t xml:space="preserve">Also recalling </w:t>
      </w:r>
      <w:r w:rsidRPr="00311D6B">
        <w:rPr>
          <w:rFonts w:eastAsia="DengXian"/>
          <w:color w:val="000000"/>
        </w:rPr>
        <w:t xml:space="preserve">decisions </w:t>
      </w:r>
      <w:hyperlink r:id="rId104" w:history="1">
        <w:r w:rsidRPr="00214C61">
          <w:rPr>
            <w:rStyle w:val="Hyperlink"/>
            <w:rFonts w:eastAsia="DengXian"/>
          </w:rPr>
          <w:t>13/CMA.1</w:t>
        </w:r>
      </w:hyperlink>
      <w:r>
        <w:rPr>
          <w:rFonts w:eastAsia="DengXian"/>
          <w:color w:val="000000"/>
        </w:rPr>
        <w:t>,</w:t>
      </w:r>
      <w:r w:rsidRPr="00311D6B">
        <w:rPr>
          <w:rFonts w:eastAsia="DengXian"/>
          <w:color w:val="000000"/>
        </w:rPr>
        <w:t xml:space="preserve"> </w:t>
      </w:r>
      <w:hyperlink r:id="rId105" w:history="1">
        <w:r w:rsidRPr="00214C61">
          <w:rPr>
            <w:rStyle w:val="Hyperlink"/>
            <w:rFonts w:eastAsia="DengXian"/>
          </w:rPr>
          <w:t>1/CMA.3</w:t>
        </w:r>
      </w:hyperlink>
      <w:r w:rsidRPr="00311D6B">
        <w:rPr>
          <w:rFonts w:eastAsia="DengXian"/>
          <w:color w:val="000000"/>
        </w:rPr>
        <w:t>, paragraph 18,</w:t>
      </w:r>
      <w:r>
        <w:rPr>
          <w:rFonts w:eastAsia="DengXian"/>
          <w:color w:val="000000"/>
        </w:rPr>
        <w:t xml:space="preserve"> </w:t>
      </w:r>
      <w:hyperlink r:id="rId106" w:history="1">
        <w:r w:rsidRPr="00214C61">
          <w:rPr>
            <w:rStyle w:val="Hyperlink"/>
            <w:rFonts w:eastAsia="DengXian"/>
          </w:rPr>
          <w:t>13/CMA.3</w:t>
        </w:r>
      </w:hyperlink>
      <w:r>
        <w:rPr>
          <w:rFonts w:eastAsia="DengXian"/>
          <w:color w:val="000000"/>
        </w:rPr>
        <w:t xml:space="preserve">, </w:t>
      </w:r>
      <w:hyperlink r:id="rId107" w:history="1">
        <w:r w:rsidRPr="00214C61">
          <w:rPr>
            <w:rStyle w:val="Hyperlink"/>
            <w:rFonts w:eastAsia="DengXian"/>
          </w:rPr>
          <w:t>18/CMA.4</w:t>
        </w:r>
      </w:hyperlink>
      <w:r w:rsidRPr="00184713">
        <w:rPr>
          <w:rFonts w:eastAsia="DengXian"/>
          <w:color w:val="000000"/>
        </w:rPr>
        <w:t xml:space="preserve"> </w:t>
      </w:r>
      <w:r>
        <w:rPr>
          <w:rFonts w:eastAsia="DengXian"/>
          <w:color w:val="000000"/>
        </w:rPr>
        <w:t xml:space="preserve">and </w:t>
      </w:r>
      <w:hyperlink r:id="rId108" w:history="1">
        <w:r w:rsidRPr="00214C61">
          <w:rPr>
            <w:rStyle w:val="Hyperlink"/>
            <w:rFonts w:eastAsia="DengXian"/>
          </w:rPr>
          <w:t>12/CMA.5</w:t>
        </w:r>
      </w:hyperlink>
      <w:r>
        <w:rPr>
          <w:rFonts w:eastAsia="DengXian"/>
          <w:color w:val="000000"/>
        </w:rPr>
        <w:t>,</w:t>
      </w:r>
    </w:p>
    <w:p w14:paraId="3E61F9E6" w14:textId="52051375" w:rsidR="00BE7C7B" w:rsidRPr="0008470F" w:rsidRDefault="004250A3" w:rsidP="004250A3">
      <w:pPr>
        <w:pStyle w:val="RegSingleTxtG"/>
        <w:numPr>
          <w:ilvl w:val="0"/>
          <w:numId w:val="0"/>
        </w:numPr>
        <w:ind w:left="1134"/>
      </w:pPr>
      <w:r w:rsidRPr="0008470F">
        <w:t>1.</w:t>
      </w:r>
      <w:r w:rsidRPr="0008470F">
        <w:tab/>
      </w:r>
      <w:r w:rsidR="00A27BB0" w:rsidRPr="00E417D6">
        <w:tab/>
      </w:r>
      <w:r w:rsidR="00BE7C7B" w:rsidRPr="00B02C18">
        <w:rPr>
          <w:i/>
          <w:iCs/>
        </w:rPr>
        <w:t xml:space="preserve">Welcomes </w:t>
      </w:r>
      <w:r w:rsidR="00BE7C7B" w:rsidRPr="0008470F">
        <w:t xml:space="preserve">the annual report of </w:t>
      </w:r>
      <w:r w:rsidR="00BE7C7B">
        <w:t xml:space="preserve">the Adaptation Fund Board </w:t>
      </w:r>
      <w:r w:rsidR="00BE7C7B" w:rsidRPr="0008470F">
        <w:t>for 202</w:t>
      </w:r>
      <w:r w:rsidR="00BE7C7B">
        <w:t>4</w:t>
      </w:r>
      <w:r w:rsidR="00BE7C7B" w:rsidRPr="0008470F">
        <w:t>, including its addendum, and the information therein;</w:t>
      </w:r>
      <w:r w:rsidR="00BE7C7B" w:rsidRPr="00E417D6">
        <w:rPr>
          <w:vertAlign w:val="superscript"/>
        </w:rPr>
        <w:footnoteReference w:id="30"/>
      </w:r>
    </w:p>
    <w:p w14:paraId="4FBCB649" w14:textId="68C46935" w:rsidR="00BE7C7B" w:rsidRPr="0008470F" w:rsidRDefault="004250A3" w:rsidP="004250A3">
      <w:pPr>
        <w:pStyle w:val="RegSingleTxtG"/>
        <w:numPr>
          <w:ilvl w:val="0"/>
          <w:numId w:val="0"/>
        </w:numPr>
        <w:ind w:left="1134"/>
      </w:pPr>
      <w:r w:rsidRPr="0008470F">
        <w:t>2.</w:t>
      </w:r>
      <w:r w:rsidRPr="0008470F">
        <w:tab/>
      </w:r>
      <w:r w:rsidR="00BE7C7B" w:rsidRPr="0008470F">
        <w:rPr>
          <w:i/>
          <w:iCs/>
        </w:rPr>
        <w:t>Notes</w:t>
      </w:r>
      <w:r w:rsidR="00BE7C7B" w:rsidRPr="0008470F">
        <w:t xml:space="preserve"> the following information, actions and decisions relating to </w:t>
      </w:r>
      <w:r w:rsidR="00BE7C7B">
        <w:t xml:space="preserve">the Adaptation Fund Board </w:t>
      </w:r>
      <w:r w:rsidR="00BE7C7B" w:rsidRPr="0008470F">
        <w:t xml:space="preserve">presented in the report referred to in paragraph </w:t>
      </w:r>
      <w:r w:rsidR="00BE7C7B">
        <w:t>1 above</w:t>
      </w:r>
      <w:r w:rsidR="00BE7C7B" w:rsidRPr="0008470F">
        <w:t>:</w:t>
      </w:r>
    </w:p>
    <w:p w14:paraId="15A9DE2C" w14:textId="213E2955" w:rsidR="00BE7C7B" w:rsidRPr="00E417D6" w:rsidRDefault="004250A3" w:rsidP="004250A3">
      <w:pPr>
        <w:pStyle w:val="RegSingleTxtG"/>
        <w:numPr>
          <w:ilvl w:val="0"/>
          <w:numId w:val="0"/>
        </w:numPr>
        <w:ind w:left="1134" w:firstLine="567"/>
      </w:pPr>
      <w:r w:rsidRPr="00E417D6">
        <w:rPr>
          <w:szCs w:val="28"/>
        </w:rPr>
        <w:t>(a)</w:t>
      </w:r>
      <w:r w:rsidRPr="00E417D6">
        <w:rPr>
          <w:szCs w:val="28"/>
        </w:rPr>
        <w:tab/>
      </w:r>
      <w:r w:rsidR="00BE7C7B" w:rsidRPr="00E417D6">
        <w:t xml:space="preserve">The </w:t>
      </w:r>
      <w:r w:rsidR="00BE7C7B">
        <w:t>p</w:t>
      </w:r>
      <w:r w:rsidR="00BE7C7B" w:rsidRPr="00E417D6">
        <w:t xml:space="preserve">rogress </w:t>
      </w:r>
      <w:r w:rsidR="00BE7C7B">
        <w:t xml:space="preserve">of the Adaptation Fund Board </w:t>
      </w:r>
      <w:r w:rsidR="00BE7C7B" w:rsidRPr="00E417D6">
        <w:t xml:space="preserve">in implementing the </w:t>
      </w:r>
      <w:r w:rsidR="00BE7C7B">
        <w:t>Medium</w:t>
      </w:r>
      <w:r w:rsidR="00BE7C7B">
        <w:noBreakHyphen/>
        <w:t>Term S</w:t>
      </w:r>
      <w:r w:rsidR="00BE7C7B" w:rsidRPr="00E417D6">
        <w:t xml:space="preserve">trategy </w:t>
      </w:r>
      <w:r w:rsidR="00BE7C7B">
        <w:t xml:space="preserve">of the Adaptation Fund </w:t>
      </w:r>
      <w:r w:rsidR="00BE7C7B" w:rsidRPr="00E417D6">
        <w:t>for 2023–‍2027</w:t>
      </w:r>
      <w:r w:rsidR="00BE7C7B" w:rsidRPr="00E417D6">
        <w:rPr>
          <w:vertAlign w:val="superscript"/>
        </w:rPr>
        <w:footnoteReference w:id="31"/>
      </w:r>
      <w:r w:rsidR="00BE7C7B" w:rsidRPr="00E417D6">
        <w:t xml:space="preserve"> in line with </w:t>
      </w:r>
      <w:r w:rsidR="00BE7C7B">
        <w:t>the Board’s</w:t>
      </w:r>
      <w:r w:rsidR="00BE7C7B" w:rsidRPr="00E417D6">
        <w:t xml:space="preserve"> implementation plan</w:t>
      </w:r>
      <w:r w:rsidR="00BE7C7B">
        <w:t>;</w:t>
      </w:r>
      <w:r w:rsidR="00BE7C7B" w:rsidRPr="00E417D6">
        <w:rPr>
          <w:vertAlign w:val="superscript"/>
        </w:rPr>
        <w:footnoteReference w:id="32"/>
      </w:r>
    </w:p>
    <w:p w14:paraId="30BCF4AF" w14:textId="41F2F8C3" w:rsidR="00BE7C7B" w:rsidRPr="00E417D6" w:rsidRDefault="004250A3" w:rsidP="004250A3">
      <w:pPr>
        <w:pStyle w:val="RegSingleTxtG"/>
        <w:numPr>
          <w:ilvl w:val="0"/>
          <w:numId w:val="0"/>
        </w:numPr>
        <w:ind w:left="1134" w:firstLine="567"/>
      </w:pPr>
      <w:r w:rsidRPr="00E417D6">
        <w:rPr>
          <w:szCs w:val="28"/>
        </w:rPr>
        <w:t>(b)</w:t>
      </w:r>
      <w:r w:rsidRPr="00E417D6">
        <w:rPr>
          <w:szCs w:val="28"/>
        </w:rPr>
        <w:tab/>
      </w:r>
      <w:r w:rsidR="00BE7C7B" w:rsidRPr="00E417D6">
        <w:t xml:space="preserve">The decision of </w:t>
      </w:r>
      <w:r w:rsidR="00BE7C7B">
        <w:t xml:space="preserve">the Adaptation Fund Board </w:t>
      </w:r>
      <w:r w:rsidR="00BE7C7B" w:rsidRPr="00E417D6">
        <w:t>to update the</w:t>
      </w:r>
      <w:r w:rsidR="00BE7C7B" w:rsidRPr="00E417D6">
        <w:rPr>
          <w:i/>
          <w:iCs/>
        </w:rPr>
        <w:t xml:space="preserve"> </w:t>
      </w:r>
      <w:r w:rsidR="00BE7C7B" w:rsidRPr="00E417D6">
        <w:t xml:space="preserve">environmental and social safeguard policy of </w:t>
      </w:r>
      <w:r w:rsidR="00BE7C7B">
        <w:t>the Adaptation Fund</w:t>
      </w:r>
      <w:r w:rsidR="00BE7C7B" w:rsidRPr="00E417D6">
        <w:t>;</w:t>
      </w:r>
      <w:r w:rsidR="00BE7C7B" w:rsidRPr="00E417D6">
        <w:rPr>
          <w:vertAlign w:val="superscript"/>
        </w:rPr>
        <w:footnoteReference w:id="33"/>
      </w:r>
    </w:p>
    <w:p w14:paraId="5C03A7FA" w14:textId="711807DF" w:rsidR="00BE7C7B" w:rsidRPr="00E417D6" w:rsidRDefault="004250A3" w:rsidP="004250A3">
      <w:pPr>
        <w:pStyle w:val="RegSingleTxtG"/>
        <w:numPr>
          <w:ilvl w:val="0"/>
          <w:numId w:val="0"/>
        </w:numPr>
        <w:ind w:left="1134" w:firstLine="567"/>
      </w:pPr>
      <w:r w:rsidRPr="00E417D6">
        <w:rPr>
          <w:szCs w:val="28"/>
        </w:rPr>
        <w:t>(c)</w:t>
      </w:r>
      <w:r w:rsidRPr="00E417D6">
        <w:rPr>
          <w:szCs w:val="28"/>
        </w:rPr>
        <w:tab/>
      </w:r>
      <w:r w:rsidR="00BE7C7B" w:rsidRPr="00E417D6">
        <w:t>The adoption of a resource mobilization target for 2024 of USD 300 million, to come from a greater number of contributors than in 2023;</w:t>
      </w:r>
    </w:p>
    <w:p w14:paraId="135009D3" w14:textId="0F44A6ED" w:rsidR="00BE7C7B" w:rsidRPr="00E417D6" w:rsidRDefault="004250A3" w:rsidP="004250A3">
      <w:pPr>
        <w:pStyle w:val="RegSingleTxtG"/>
        <w:numPr>
          <w:ilvl w:val="0"/>
          <w:numId w:val="0"/>
        </w:numPr>
        <w:ind w:left="1134" w:firstLine="567"/>
      </w:pPr>
      <w:bookmarkStart w:id="14" w:name="_Hlk182501058"/>
      <w:r w:rsidRPr="00E417D6">
        <w:rPr>
          <w:szCs w:val="28"/>
        </w:rPr>
        <w:t>(d)</w:t>
      </w:r>
      <w:r w:rsidRPr="00E417D6">
        <w:rPr>
          <w:szCs w:val="28"/>
        </w:rPr>
        <w:tab/>
      </w:r>
      <w:r w:rsidR="00BE7C7B" w:rsidRPr="00E417D6">
        <w:t>Cumulative receipts of USD 1,827.14 million</w:t>
      </w:r>
      <w:r w:rsidR="00BE7C7B">
        <w:t>, as at 30 June 2024,</w:t>
      </w:r>
      <w:r w:rsidR="00BE7C7B" w:rsidRPr="00E417D6">
        <w:t xml:space="preserve"> into the Adaptation Fund Trust Fund, comprising USD 215.83 million from the monetization of </w:t>
      </w:r>
      <w:r w:rsidR="00BE7C7B">
        <w:t>certified emission reductions</w:t>
      </w:r>
      <w:r w:rsidR="00BE7C7B" w:rsidRPr="00E417D6">
        <w:t>, USD 1,489.88 million from voluntary contributions and USD 121.43 million from investment income earned on the Trust Fund balance;</w:t>
      </w:r>
    </w:p>
    <w:p w14:paraId="00959BA1" w14:textId="079C3908" w:rsidR="00BE7C7B" w:rsidRPr="00E417D6" w:rsidRDefault="004250A3" w:rsidP="004250A3">
      <w:pPr>
        <w:pStyle w:val="RegSingleTxtG"/>
        <w:numPr>
          <w:ilvl w:val="0"/>
          <w:numId w:val="0"/>
        </w:numPr>
        <w:ind w:left="1134" w:firstLine="567"/>
      </w:pPr>
      <w:r w:rsidRPr="00E417D6">
        <w:rPr>
          <w:szCs w:val="28"/>
        </w:rPr>
        <w:t>(e)</w:t>
      </w:r>
      <w:r w:rsidRPr="00E417D6">
        <w:rPr>
          <w:szCs w:val="28"/>
        </w:rPr>
        <w:tab/>
      </w:r>
      <w:r w:rsidR="00BE7C7B" w:rsidRPr="00E417D6">
        <w:t xml:space="preserve">Cash receipts amounting to USD 309.94 million, comprising USD 0.91 million from the monetization of </w:t>
      </w:r>
      <w:r w:rsidR="00BE7C7B" w:rsidRPr="00115076">
        <w:rPr>
          <w:color w:val="000000"/>
        </w:rPr>
        <w:t>certified emission reduction</w:t>
      </w:r>
      <w:r w:rsidR="00BE7C7B">
        <w:rPr>
          <w:color w:val="000000"/>
        </w:rPr>
        <w:t>s</w:t>
      </w:r>
      <w:r w:rsidR="00BE7C7B" w:rsidRPr="00E417D6">
        <w:t>, USD 256.92 million from voluntary contributions and USD</w:t>
      </w:r>
      <w:r w:rsidR="00A27BB0">
        <w:t> </w:t>
      </w:r>
      <w:r w:rsidR="00BE7C7B" w:rsidRPr="00E417D6">
        <w:t>52.11 million from investment income</w:t>
      </w:r>
      <w:r w:rsidR="00BE7C7B">
        <w:t xml:space="preserve"> earned on the Adaptation Fund Trust Fund balance</w:t>
      </w:r>
      <w:r w:rsidR="00BE7C7B" w:rsidRPr="00E417D6">
        <w:t>, received between 1 July 2023 and 30 June 2024;</w:t>
      </w:r>
    </w:p>
    <w:p w14:paraId="068016E8" w14:textId="03A90E74" w:rsidR="00BE7C7B" w:rsidRPr="00E417D6" w:rsidRDefault="004250A3" w:rsidP="004250A3">
      <w:pPr>
        <w:pStyle w:val="RegSingleTxtG"/>
        <w:numPr>
          <w:ilvl w:val="0"/>
          <w:numId w:val="0"/>
        </w:numPr>
        <w:ind w:left="1134" w:firstLine="567"/>
      </w:pPr>
      <w:r w:rsidRPr="00E417D6">
        <w:rPr>
          <w:szCs w:val="28"/>
        </w:rPr>
        <w:t>(f)</w:t>
      </w:r>
      <w:r w:rsidRPr="00E417D6">
        <w:rPr>
          <w:szCs w:val="28"/>
        </w:rPr>
        <w:tab/>
      </w:r>
      <w:r w:rsidR="00BE7C7B" w:rsidRPr="00E417D6">
        <w:t>Outstanding pledged contributions from previous years of USD 122.57 million, of which USD 72.67 million under signed agreements, as at 20 November 2024;</w:t>
      </w:r>
    </w:p>
    <w:bookmarkEnd w:id="14"/>
    <w:p w14:paraId="7AFB6439" w14:textId="57341226" w:rsidR="00BE7C7B" w:rsidRPr="00E417D6" w:rsidRDefault="004250A3" w:rsidP="004250A3">
      <w:pPr>
        <w:pStyle w:val="RegSingleTxtG"/>
        <w:numPr>
          <w:ilvl w:val="0"/>
          <w:numId w:val="0"/>
        </w:numPr>
        <w:ind w:left="1134"/>
      </w:pPr>
      <w:r w:rsidRPr="00E417D6">
        <w:t>3.</w:t>
      </w:r>
      <w:r w:rsidRPr="00E417D6">
        <w:tab/>
      </w:r>
      <w:r w:rsidR="00BE7C7B" w:rsidRPr="002A3C68">
        <w:rPr>
          <w:i/>
          <w:iCs/>
        </w:rPr>
        <w:t>Welcomes</w:t>
      </w:r>
      <w:r w:rsidR="00BE7C7B" w:rsidRPr="00E417D6">
        <w:t xml:space="preserve"> the financial pledges made towards </w:t>
      </w:r>
      <w:r w:rsidR="00BE7C7B">
        <w:t xml:space="preserve">the Adaptation Fund </w:t>
      </w:r>
      <w:r w:rsidR="00BE7C7B" w:rsidRPr="00E417D6">
        <w:t>resource mobilization target for 2024 of USD 300 million, to come from</w:t>
      </w:r>
      <w:r w:rsidR="00BE7C7B" w:rsidRPr="00E417D6" w:rsidDel="00CA3194">
        <w:t xml:space="preserve"> more than </w:t>
      </w:r>
      <w:r w:rsidR="00BE7C7B" w:rsidRPr="00E417D6">
        <w:t xml:space="preserve">the 14 </w:t>
      </w:r>
      <w:r w:rsidR="00BE7C7B" w:rsidRPr="00E417D6" w:rsidDel="00CA3194">
        <w:t xml:space="preserve">contributors </w:t>
      </w:r>
      <w:r w:rsidR="00BE7C7B" w:rsidRPr="00E417D6">
        <w:t xml:space="preserve">in 2023, by the Governments of Denmark, Germany, Iceland, Ireland, Norway, </w:t>
      </w:r>
      <w:r w:rsidR="00BE7C7B">
        <w:t xml:space="preserve">the </w:t>
      </w:r>
      <w:r w:rsidR="00BE7C7B" w:rsidRPr="00E417D6">
        <w:t>Republic of Korea, Spain, Sweden</w:t>
      </w:r>
      <w:r w:rsidR="00BE7C7B">
        <w:t xml:space="preserve"> and</w:t>
      </w:r>
      <w:r w:rsidR="00BE7C7B" w:rsidRPr="00E417D6">
        <w:t xml:space="preserve"> Switzerland, a</w:t>
      </w:r>
      <w:r w:rsidR="00BE7C7B">
        <w:t>s well as</w:t>
      </w:r>
      <w:r w:rsidR="00BE7C7B" w:rsidRPr="00E417D6">
        <w:t xml:space="preserve"> the </w:t>
      </w:r>
      <w:r w:rsidR="00BE7C7B">
        <w:t>governments of the Brussels-</w:t>
      </w:r>
      <w:r w:rsidR="00BE7C7B" w:rsidRPr="00E417D6">
        <w:t xml:space="preserve">Capital </w:t>
      </w:r>
      <w:r w:rsidR="00BE7C7B">
        <w:t xml:space="preserve">and </w:t>
      </w:r>
      <w:r w:rsidR="00BE7C7B" w:rsidRPr="00E417D6">
        <w:t>Walloon Region</w:t>
      </w:r>
      <w:r w:rsidR="00BE7C7B">
        <w:t>s</w:t>
      </w:r>
      <w:r w:rsidR="00BE7C7B" w:rsidRPr="00E417D6">
        <w:t xml:space="preserve"> of Belgium, equivalent to USD 132.85 million;</w:t>
      </w:r>
    </w:p>
    <w:p w14:paraId="1940CEE9" w14:textId="50B552BE" w:rsidR="00BE7C7B" w:rsidRPr="0008470F" w:rsidRDefault="004250A3" w:rsidP="004250A3">
      <w:pPr>
        <w:pStyle w:val="RegSingleTxtG"/>
        <w:numPr>
          <w:ilvl w:val="0"/>
          <w:numId w:val="0"/>
        </w:numPr>
        <w:ind w:left="1134"/>
      </w:pPr>
      <w:r w:rsidRPr="0008470F">
        <w:t>4.</w:t>
      </w:r>
      <w:r w:rsidRPr="0008470F">
        <w:tab/>
      </w:r>
      <w:r w:rsidR="00BE7C7B" w:rsidRPr="0008470F">
        <w:rPr>
          <w:i/>
          <w:iCs/>
        </w:rPr>
        <w:t>Notes</w:t>
      </w:r>
      <w:r w:rsidR="00BE7C7B" w:rsidRPr="0008470F">
        <w:t xml:space="preserve"> </w:t>
      </w:r>
      <w:r w:rsidR="00BE7C7B" w:rsidRPr="0008470F">
        <w:rPr>
          <w:i/>
          <w:iCs/>
        </w:rPr>
        <w:t>with concern</w:t>
      </w:r>
      <w:r w:rsidR="00BE7C7B" w:rsidRPr="0008470F">
        <w:t xml:space="preserve"> the outstanding pledged contributions to </w:t>
      </w:r>
      <w:r w:rsidR="00BE7C7B">
        <w:t xml:space="preserve">the Adaptation Fund </w:t>
      </w:r>
      <w:r w:rsidR="00BE7C7B" w:rsidRPr="0008470F">
        <w:t xml:space="preserve">and </w:t>
      </w:r>
      <w:r w:rsidR="00BE7C7B" w:rsidRPr="0008470F">
        <w:rPr>
          <w:i/>
          <w:iCs/>
        </w:rPr>
        <w:t>urges</w:t>
      </w:r>
      <w:r w:rsidR="00BE7C7B" w:rsidRPr="0008470F">
        <w:t xml:space="preserve"> Parties to fulfil their pledges as soon as possible;</w:t>
      </w:r>
    </w:p>
    <w:p w14:paraId="664E7FF5" w14:textId="47102056" w:rsidR="00BE7C7B" w:rsidRPr="0008470F" w:rsidRDefault="004250A3" w:rsidP="004250A3">
      <w:pPr>
        <w:pStyle w:val="RegSingleTxtG"/>
        <w:numPr>
          <w:ilvl w:val="0"/>
          <w:numId w:val="0"/>
        </w:numPr>
        <w:ind w:left="1134"/>
      </w:pPr>
      <w:r w:rsidRPr="0008470F">
        <w:t>5.</w:t>
      </w:r>
      <w:r w:rsidRPr="0008470F">
        <w:tab/>
      </w:r>
      <w:r w:rsidR="00BE7C7B" w:rsidRPr="00311D6B">
        <w:rPr>
          <w:i/>
          <w:iCs/>
        </w:rPr>
        <w:t>Encourages</w:t>
      </w:r>
      <w:r w:rsidR="00BE7C7B" w:rsidRPr="00311D6B">
        <w:t xml:space="preserve"> continued and increased voluntary contributions of financial resources to </w:t>
      </w:r>
      <w:r w:rsidR="00BE7C7B">
        <w:t xml:space="preserve">the Adaptation Fund </w:t>
      </w:r>
      <w:r w:rsidR="00BE7C7B" w:rsidRPr="00311D6B">
        <w:t>in line with its resource mobilization strategy for 2022–2025</w:t>
      </w:r>
      <w:r w:rsidR="358849F5" w:rsidRPr="00311D6B">
        <w:t>;</w:t>
      </w:r>
      <w:r w:rsidR="00DF43B2">
        <w:rPr>
          <w:rStyle w:val="FootnoteReference"/>
        </w:rPr>
        <w:footnoteReference w:id="34"/>
      </w:r>
    </w:p>
    <w:p w14:paraId="6C8FC67F" w14:textId="19DCCF79" w:rsidR="00BE7C7B" w:rsidRPr="00A04A09" w:rsidRDefault="004250A3" w:rsidP="004250A3">
      <w:pPr>
        <w:pStyle w:val="RegSingleTxtG"/>
        <w:numPr>
          <w:ilvl w:val="0"/>
          <w:numId w:val="0"/>
        </w:numPr>
        <w:ind w:left="1134"/>
        <w:rPr>
          <w:lang w:val="en-US"/>
        </w:rPr>
      </w:pPr>
      <w:r w:rsidRPr="00A04A09">
        <w:rPr>
          <w:lang w:val="en-US"/>
        </w:rPr>
        <w:t>6.</w:t>
      </w:r>
      <w:r w:rsidRPr="00A04A09">
        <w:rPr>
          <w:lang w:val="en-US"/>
        </w:rPr>
        <w:tab/>
      </w:r>
      <w:r w:rsidR="00BE7C7B" w:rsidRPr="00A04A09">
        <w:rPr>
          <w:i/>
          <w:iCs/>
          <w:lang w:val="en-US"/>
        </w:rPr>
        <w:t>Underscores</w:t>
      </w:r>
      <w:r w:rsidR="00BE7C7B" w:rsidRPr="00A04A09">
        <w:rPr>
          <w:lang w:val="en-US"/>
        </w:rPr>
        <w:t xml:space="preserve"> the urgency of scaling up financial resources, including the provision of voluntary support, that are additional to the share of proceeds levied on certified emission reductions in order to support the resource mobilization efforts of </w:t>
      </w:r>
      <w:r w:rsidR="00BE7C7B">
        <w:rPr>
          <w:lang w:val="en-US"/>
        </w:rPr>
        <w:t xml:space="preserve">the Adaptation Fund Board </w:t>
      </w:r>
      <w:r w:rsidR="00BE7C7B" w:rsidRPr="00A04A09">
        <w:rPr>
          <w:lang w:val="en-US"/>
        </w:rPr>
        <w:t xml:space="preserve">with a view to strengthening </w:t>
      </w:r>
      <w:r w:rsidR="00BE7C7B">
        <w:rPr>
          <w:lang w:val="en-US"/>
        </w:rPr>
        <w:t>the Adaptation Fund</w:t>
      </w:r>
      <w:r w:rsidR="00BE7C7B" w:rsidRPr="00397E37">
        <w:rPr>
          <w:lang w:val="en-US"/>
        </w:rPr>
        <w:t>;</w:t>
      </w:r>
    </w:p>
    <w:p w14:paraId="62BEF6F0" w14:textId="43B1DFA0" w:rsidR="00BE7C7B" w:rsidRPr="0008470F" w:rsidRDefault="004250A3" w:rsidP="004250A3">
      <w:pPr>
        <w:pStyle w:val="RegSingleTxtG"/>
        <w:numPr>
          <w:ilvl w:val="0"/>
          <w:numId w:val="0"/>
        </w:numPr>
        <w:ind w:left="1134"/>
      </w:pPr>
      <w:r w:rsidRPr="0008470F">
        <w:lastRenderedPageBreak/>
        <w:t>7.</w:t>
      </w:r>
      <w:r w:rsidRPr="0008470F">
        <w:tab/>
      </w:r>
      <w:r w:rsidR="00BE7C7B" w:rsidRPr="00231801">
        <w:rPr>
          <w:i/>
          <w:iCs/>
        </w:rPr>
        <w:t>Emphasizes</w:t>
      </w:r>
      <w:r w:rsidR="00BE7C7B" w:rsidRPr="000D1C13">
        <w:t xml:space="preserve"> </w:t>
      </w:r>
      <w:r w:rsidR="00BE7C7B" w:rsidRPr="0008470F">
        <w:t>the importance of continuing to take action to promote the adequacy and predictability of adaptation finance</w:t>
      </w:r>
      <w:r w:rsidR="00BE7C7B">
        <w:t>,</w:t>
      </w:r>
      <w:r w:rsidR="00BE7C7B" w:rsidRPr="0008470F">
        <w:t xml:space="preserve"> including through multi-year contributions, taking into account the role of </w:t>
      </w:r>
      <w:r w:rsidR="00BE7C7B">
        <w:t xml:space="preserve">the Adaptation Fund </w:t>
      </w:r>
      <w:r w:rsidR="00BE7C7B" w:rsidRPr="0008470F">
        <w:t>in delivering dedicated support for adaptation;</w:t>
      </w:r>
    </w:p>
    <w:p w14:paraId="53143851" w14:textId="590F86C4" w:rsidR="00BE7C7B" w:rsidRPr="000D1C13" w:rsidRDefault="004250A3" w:rsidP="004250A3">
      <w:pPr>
        <w:pStyle w:val="RegSingleTxtG"/>
        <w:numPr>
          <w:ilvl w:val="0"/>
          <w:numId w:val="0"/>
        </w:numPr>
        <w:ind w:left="1134"/>
      </w:pPr>
      <w:r w:rsidRPr="000D1C13">
        <w:t>8.</w:t>
      </w:r>
      <w:r w:rsidRPr="000D1C13">
        <w:tab/>
      </w:r>
      <w:r w:rsidR="00A27BB0">
        <w:rPr>
          <w:i/>
          <w:iCs/>
        </w:rPr>
        <w:t>Stresses</w:t>
      </w:r>
      <w:r w:rsidR="00BE7C7B" w:rsidRPr="000D1C13">
        <w:t xml:space="preserve"> the importance of financial contributions to </w:t>
      </w:r>
      <w:r w:rsidR="00BE7C7B">
        <w:t>the Adaptation Fund</w:t>
      </w:r>
      <w:r w:rsidR="00BE7C7B" w:rsidRPr="000D1C13">
        <w:t>, including in the context of urging developed country Parties to at least double their collective provision of climate finance for adaptation to developing countries from 2019 levels by 2025, in the context of achieving a balance between mitigation and adaptation in the provision of scaled</w:t>
      </w:r>
      <w:r w:rsidR="00BE7C7B" w:rsidRPr="00B42417">
        <w:noBreakHyphen/>
        <w:t xml:space="preserve">up financial resources, recalling Article 9, paragraph 4, of the Paris Agreement, as per </w:t>
      </w:r>
      <w:r w:rsidR="00BE7C7B">
        <w:t xml:space="preserve">paragraph 18 of </w:t>
      </w:r>
      <w:r w:rsidR="00BE7C7B" w:rsidRPr="00B42417">
        <w:t xml:space="preserve">decision </w:t>
      </w:r>
      <w:hyperlink r:id="rId109" w:history="1">
        <w:r w:rsidR="00A27BB0" w:rsidRPr="00214C61">
          <w:rPr>
            <w:rStyle w:val="Hyperlink"/>
          </w:rPr>
          <w:t>1/CMA.3</w:t>
        </w:r>
      </w:hyperlink>
      <w:r w:rsidR="00A27BB0" w:rsidRPr="002F728D">
        <w:t>;</w:t>
      </w:r>
      <w:r w:rsidR="00BE7C7B" w:rsidRPr="000D1C13">
        <w:t xml:space="preserve"> </w:t>
      </w:r>
    </w:p>
    <w:p w14:paraId="49C1612E" w14:textId="5AC88126" w:rsidR="00BE7C7B" w:rsidRPr="00E417D6" w:rsidRDefault="004250A3" w:rsidP="004250A3">
      <w:pPr>
        <w:pStyle w:val="RegSingleTxtG"/>
        <w:numPr>
          <w:ilvl w:val="0"/>
          <w:numId w:val="0"/>
        </w:numPr>
        <w:ind w:left="1134"/>
      </w:pPr>
      <w:r w:rsidRPr="00E417D6">
        <w:t>9.</w:t>
      </w:r>
      <w:r w:rsidRPr="00E417D6">
        <w:tab/>
      </w:r>
      <w:r w:rsidR="00BE7C7B" w:rsidRPr="00E417D6">
        <w:rPr>
          <w:i/>
          <w:iCs/>
        </w:rPr>
        <w:t>Encourages</w:t>
      </w:r>
      <w:r w:rsidR="00BE7C7B" w:rsidRPr="00E417D6">
        <w:t xml:space="preserve"> the achievement of the goals set out in the </w:t>
      </w:r>
      <w:r w:rsidR="00BE7C7B">
        <w:t>Medium-Term S</w:t>
      </w:r>
      <w:r w:rsidR="00BE7C7B" w:rsidRPr="00E417D6">
        <w:t>trategy</w:t>
      </w:r>
      <w:r w:rsidR="00BE7C7B">
        <w:t xml:space="preserve"> of the Adaptation Fund</w:t>
      </w:r>
      <w:r w:rsidR="00BE7C7B" w:rsidRPr="00E417D6">
        <w:t xml:space="preserve"> for 2023–‍2027</w:t>
      </w:r>
      <w:r w:rsidR="00BE7C7B">
        <w:t xml:space="preserve"> </w:t>
      </w:r>
      <w:r w:rsidR="00BE7C7B" w:rsidRPr="00E417D6">
        <w:t>with the expectation that its implementation will generate significant outcomes in terms of promoting locally led adaptation, scaling up projects and replicating their results, and strengthening linkages and synergies between the Strategy’s strategic pillars of action, innovation, and learning and sharing;</w:t>
      </w:r>
    </w:p>
    <w:p w14:paraId="1AB9EED1" w14:textId="582D3EA1" w:rsidR="00BE7C7B" w:rsidRPr="00E417D6" w:rsidRDefault="004250A3" w:rsidP="004250A3">
      <w:pPr>
        <w:pStyle w:val="RegSingleTxtG"/>
        <w:numPr>
          <w:ilvl w:val="0"/>
          <w:numId w:val="0"/>
        </w:numPr>
        <w:ind w:left="1134"/>
      </w:pPr>
      <w:r w:rsidRPr="00E417D6">
        <w:t>10.</w:t>
      </w:r>
      <w:r w:rsidRPr="00E417D6">
        <w:tab/>
      </w:r>
      <w:r w:rsidR="00BE7C7B" w:rsidRPr="00E417D6">
        <w:rPr>
          <w:i/>
          <w:iCs/>
        </w:rPr>
        <w:t>Welcomes</w:t>
      </w:r>
      <w:r w:rsidR="00BE7C7B" w:rsidRPr="00E417D6">
        <w:t xml:space="preserve"> the establishment </w:t>
      </w:r>
      <w:r w:rsidR="00BE7C7B">
        <w:t xml:space="preserve">by the Adaptation Fund Board </w:t>
      </w:r>
      <w:r w:rsidR="00BE7C7B" w:rsidRPr="00E417D6">
        <w:t xml:space="preserve">of a new global aggregator programme for channelling small grants for locally led adaptation projects and programmes to non-accredited entities, and </w:t>
      </w:r>
      <w:r w:rsidR="00BE7C7B">
        <w:t xml:space="preserve">of </w:t>
      </w:r>
      <w:r w:rsidR="00BE7C7B" w:rsidRPr="00E417D6">
        <w:t xml:space="preserve">a new funding window for regional projects and programmes on locally led adaptation, </w:t>
      </w:r>
      <w:r w:rsidR="00BE7C7B">
        <w:t>as well as</w:t>
      </w:r>
      <w:r w:rsidR="00BE7C7B" w:rsidRPr="00E417D6">
        <w:t xml:space="preserve"> the approval of 13 single-country proposals and </w:t>
      </w:r>
      <w:r w:rsidR="00BE7C7B">
        <w:t>1</w:t>
      </w:r>
      <w:r w:rsidR="00BE7C7B" w:rsidRPr="00E417D6">
        <w:t xml:space="preserve"> regional proposal</w:t>
      </w:r>
      <w:r w:rsidR="00BE7C7B">
        <w:t>,</w:t>
      </w:r>
      <w:r w:rsidR="00BE7C7B" w:rsidRPr="00E417D6">
        <w:t xml:space="preserve"> and </w:t>
      </w:r>
      <w:r w:rsidR="00BE7C7B" w:rsidRPr="00E417D6">
        <w:rPr>
          <w:i/>
          <w:iCs/>
        </w:rPr>
        <w:t>notes with appreciation</w:t>
      </w:r>
      <w:r w:rsidR="00BE7C7B" w:rsidRPr="00E417D6">
        <w:t xml:space="preserve"> the </w:t>
      </w:r>
      <w:r w:rsidR="00BE7C7B">
        <w:t>efforts</w:t>
      </w:r>
      <w:r w:rsidR="00BE7C7B" w:rsidRPr="00E417D6">
        <w:t xml:space="preserve"> of developing country Parties </w:t>
      </w:r>
      <w:r w:rsidR="00BE7C7B">
        <w:t>to</w:t>
      </w:r>
      <w:r w:rsidR="00BE7C7B" w:rsidRPr="00E417D6">
        <w:t xml:space="preserve"> access </w:t>
      </w:r>
      <w:r w:rsidR="00BE7C7B">
        <w:t xml:space="preserve">funding under </w:t>
      </w:r>
      <w:r w:rsidR="00BE7C7B" w:rsidRPr="00E417D6">
        <w:t xml:space="preserve">the </w:t>
      </w:r>
      <w:r w:rsidR="00BE7C7B">
        <w:t xml:space="preserve">Adaptation </w:t>
      </w:r>
      <w:r w:rsidR="00BE7C7B" w:rsidRPr="00E417D6">
        <w:t>Fund for implementing concrete adaptation activities;</w:t>
      </w:r>
    </w:p>
    <w:p w14:paraId="6A0B77E1" w14:textId="0635C758" w:rsidR="00BE7C7B" w:rsidRPr="00E417D6" w:rsidRDefault="004250A3" w:rsidP="004250A3">
      <w:pPr>
        <w:pStyle w:val="RegSingleTxtG"/>
        <w:numPr>
          <w:ilvl w:val="0"/>
          <w:numId w:val="0"/>
        </w:numPr>
        <w:ind w:left="1134"/>
      </w:pPr>
      <w:r w:rsidRPr="00E417D6">
        <w:t>11.</w:t>
      </w:r>
      <w:r w:rsidRPr="00E417D6">
        <w:tab/>
      </w:r>
      <w:r w:rsidR="00BE7C7B">
        <w:rPr>
          <w:i/>
          <w:iCs/>
        </w:rPr>
        <w:t>W</w:t>
      </w:r>
      <w:r w:rsidR="00BE7C7B" w:rsidRPr="00E417D6">
        <w:rPr>
          <w:i/>
          <w:iCs/>
        </w:rPr>
        <w:t>elcomes</w:t>
      </w:r>
      <w:r w:rsidR="00BE7C7B" w:rsidRPr="00E417D6">
        <w:t xml:space="preserve"> the approval of additional financing and delivery partners for the global aggregator programme under </w:t>
      </w:r>
      <w:r w:rsidR="00BE7C7B">
        <w:t xml:space="preserve">the Adaptation Fund </w:t>
      </w:r>
      <w:r w:rsidR="00BE7C7B" w:rsidRPr="00E417D6">
        <w:t xml:space="preserve">innovation facility and </w:t>
      </w:r>
      <w:r w:rsidR="00BE7C7B" w:rsidRPr="00E417D6">
        <w:rPr>
          <w:i/>
          <w:iCs/>
        </w:rPr>
        <w:t>requests</w:t>
      </w:r>
      <w:r w:rsidR="00BE7C7B" w:rsidRPr="00E417D6">
        <w:t xml:space="preserve"> </w:t>
      </w:r>
      <w:r w:rsidR="00BE7C7B">
        <w:t xml:space="preserve">the Adaptation Fund Board </w:t>
      </w:r>
      <w:r w:rsidR="00BE7C7B" w:rsidRPr="00E417D6">
        <w:t>to accelerate efforts to implement the programme;</w:t>
      </w:r>
    </w:p>
    <w:p w14:paraId="5502D62B" w14:textId="44F1AAE4" w:rsidR="00BE7C7B" w:rsidRPr="00E417D6" w:rsidRDefault="004250A3" w:rsidP="004250A3">
      <w:pPr>
        <w:pStyle w:val="RegSingleTxtG"/>
        <w:numPr>
          <w:ilvl w:val="0"/>
          <w:numId w:val="0"/>
        </w:numPr>
        <w:ind w:left="1134"/>
      </w:pPr>
      <w:r w:rsidRPr="00E417D6">
        <w:t>12.</w:t>
      </w:r>
      <w:r w:rsidRPr="00E417D6">
        <w:tab/>
      </w:r>
      <w:r w:rsidR="00BE7C7B" w:rsidRPr="00E417D6">
        <w:rPr>
          <w:i/>
          <w:iCs/>
        </w:rPr>
        <w:t>Underscores</w:t>
      </w:r>
      <w:r w:rsidR="00BE7C7B" w:rsidRPr="00E417D6">
        <w:t xml:space="preserve"> the need to tailor projects to local contexts, including through initial assessment</w:t>
      </w:r>
      <w:r w:rsidR="00BE7C7B">
        <w:t>s</w:t>
      </w:r>
      <w:r w:rsidR="00BE7C7B" w:rsidRPr="00E417D6">
        <w:t xml:space="preserve"> and consultation</w:t>
      </w:r>
      <w:r w:rsidR="00BE7C7B">
        <w:t>s</w:t>
      </w:r>
      <w:r w:rsidR="00BE7C7B" w:rsidRPr="00E417D6">
        <w:t xml:space="preserve"> </w:t>
      </w:r>
      <w:r w:rsidR="00BE7C7B">
        <w:t>with</w:t>
      </w:r>
      <w:r w:rsidR="00BE7C7B" w:rsidRPr="00E417D6">
        <w:t xml:space="preserve"> diverse groups in line with the Adaptation Fund guidelines and policies;</w:t>
      </w:r>
    </w:p>
    <w:p w14:paraId="68DF0AE2" w14:textId="62ED4EB7" w:rsidR="00BE7C7B" w:rsidRPr="00E417D6" w:rsidRDefault="004250A3" w:rsidP="004250A3">
      <w:pPr>
        <w:pStyle w:val="RegSingleTxtG"/>
        <w:numPr>
          <w:ilvl w:val="0"/>
          <w:numId w:val="0"/>
        </w:numPr>
        <w:ind w:left="1134"/>
      </w:pPr>
      <w:r w:rsidRPr="00E417D6">
        <w:t>13.</w:t>
      </w:r>
      <w:r w:rsidRPr="00E417D6">
        <w:tab/>
      </w:r>
      <w:r w:rsidR="00BE7C7B" w:rsidRPr="00E417D6">
        <w:rPr>
          <w:i/>
          <w:iCs/>
        </w:rPr>
        <w:t>Notes</w:t>
      </w:r>
      <w:r w:rsidR="00BE7C7B" w:rsidRPr="00E417D6">
        <w:t xml:space="preserve"> the increased support for readiness and capacity-building </w:t>
      </w:r>
      <w:r w:rsidR="00BE7C7B">
        <w:t xml:space="preserve">as a result of </w:t>
      </w:r>
      <w:r w:rsidR="00BE7C7B" w:rsidRPr="00E417D6">
        <w:t>increasing project formulation grants for all projects and programmes, with additional support for locally led adaptation projects</w:t>
      </w:r>
      <w:r w:rsidR="00BE7C7B">
        <w:t>,</w:t>
      </w:r>
      <w:r w:rsidR="00BE7C7B" w:rsidRPr="00E417D6">
        <w:t xml:space="preserve"> and </w:t>
      </w:r>
      <w:r w:rsidR="00BE7C7B" w:rsidRPr="00E417D6">
        <w:rPr>
          <w:i/>
          <w:iCs/>
        </w:rPr>
        <w:t>stresses</w:t>
      </w:r>
      <w:r w:rsidR="00BE7C7B" w:rsidRPr="00E417D6">
        <w:t xml:space="preserve"> the importance of the continuation of this work;</w:t>
      </w:r>
    </w:p>
    <w:p w14:paraId="4FB16315" w14:textId="02286668" w:rsidR="00BE7C7B" w:rsidRPr="00E417D6" w:rsidRDefault="004250A3" w:rsidP="004250A3">
      <w:pPr>
        <w:pStyle w:val="RegSingleTxtG"/>
        <w:numPr>
          <w:ilvl w:val="0"/>
          <w:numId w:val="0"/>
        </w:numPr>
        <w:ind w:left="1134"/>
      </w:pPr>
      <w:r w:rsidRPr="00E417D6">
        <w:t>14.</w:t>
      </w:r>
      <w:r w:rsidRPr="00E417D6">
        <w:tab/>
      </w:r>
      <w:r w:rsidR="00BE7C7B" w:rsidRPr="00E417D6">
        <w:rPr>
          <w:i/>
          <w:iCs/>
        </w:rPr>
        <w:t xml:space="preserve">Takes note </w:t>
      </w:r>
      <w:r w:rsidR="00BE7C7B" w:rsidRPr="00E417D6">
        <w:t>of the information in the report referred to in para</w:t>
      </w:r>
      <w:r w:rsidR="00BE7C7B">
        <w:t>graph</w:t>
      </w:r>
      <w:r w:rsidR="00BE7C7B" w:rsidRPr="00E417D6">
        <w:t xml:space="preserve"> 1 </w:t>
      </w:r>
      <w:r w:rsidR="00BE7C7B">
        <w:t>above,</w:t>
      </w:r>
      <w:r w:rsidR="00BE7C7B" w:rsidRPr="00E417D6">
        <w:rPr>
          <w:i/>
          <w:iCs/>
        </w:rPr>
        <w:t xml:space="preserve"> welcomes </w:t>
      </w:r>
      <w:r w:rsidR="00BE7C7B" w:rsidRPr="00E417D6">
        <w:t xml:space="preserve">the </w:t>
      </w:r>
      <w:r w:rsidR="00BE7C7B">
        <w:t xml:space="preserve">consideration by the Adaptation Fund Board </w:t>
      </w:r>
      <w:r w:rsidR="00BE7C7B" w:rsidRPr="00E417D6">
        <w:t>of the funding caps</w:t>
      </w:r>
      <w:r w:rsidR="00BE7C7B">
        <w:t>,</w:t>
      </w:r>
      <w:r w:rsidR="00BE7C7B" w:rsidRPr="00E417D6">
        <w:t xml:space="preserve"> noting that the Board had requested the secretariat to prepare an analysis for consideration at its 43</w:t>
      </w:r>
      <w:r w:rsidR="00BE7C7B" w:rsidRPr="00E417D6">
        <w:rPr>
          <w:vertAlign w:val="superscript"/>
        </w:rPr>
        <w:t>rd</w:t>
      </w:r>
      <w:r w:rsidR="00BE7C7B" w:rsidRPr="00E417D6">
        <w:t xml:space="preserve"> meeting</w:t>
      </w:r>
      <w:r w:rsidR="00BE7C7B">
        <w:t>,</w:t>
      </w:r>
      <w:r w:rsidR="00BE7C7B" w:rsidRPr="00E417D6">
        <w:t xml:space="preserve"> and </w:t>
      </w:r>
      <w:r w:rsidR="00BE7C7B" w:rsidRPr="00E417D6">
        <w:rPr>
          <w:i/>
          <w:iCs/>
        </w:rPr>
        <w:t>request</w:t>
      </w:r>
      <w:r w:rsidR="00BE7C7B">
        <w:rPr>
          <w:i/>
          <w:iCs/>
        </w:rPr>
        <w:t>s</w:t>
      </w:r>
      <w:r w:rsidR="00BE7C7B" w:rsidRPr="00E417D6">
        <w:t xml:space="preserve"> the Board to complete its consideration in a timely manner;</w:t>
      </w:r>
    </w:p>
    <w:p w14:paraId="6332F471" w14:textId="00742126" w:rsidR="00BE7C7B" w:rsidRPr="00E417D6" w:rsidRDefault="004250A3" w:rsidP="004250A3">
      <w:pPr>
        <w:pStyle w:val="RegSingleTxtG"/>
        <w:numPr>
          <w:ilvl w:val="0"/>
          <w:numId w:val="0"/>
        </w:numPr>
        <w:ind w:left="1134"/>
      </w:pPr>
      <w:r w:rsidRPr="00E417D6">
        <w:t>15.</w:t>
      </w:r>
      <w:r w:rsidRPr="00E417D6">
        <w:tab/>
      </w:r>
      <w:r w:rsidR="00BE7C7B" w:rsidRPr="00E417D6">
        <w:rPr>
          <w:i/>
          <w:iCs/>
        </w:rPr>
        <w:t xml:space="preserve">Welcomes </w:t>
      </w:r>
      <w:r w:rsidR="00BE7C7B" w:rsidRPr="00E417D6">
        <w:t xml:space="preserve">the decision of </w:t>
      </w:r>
      <w:r w:rsidR="00BE7C7B">
        <w:t xml:space="preserve">the Adaptation Fund Board </w:t>
      </w:r>
      <w:r w:rsidR="00BE7C7B" w:rsidRPr="00E417D6">
        <w:t xml:space="preserve">to outline an enhanced readiness programme and </w:t>
      </w:r>
      <w:r w:rsidR="00BE7C7B" w:rsidRPr="006D6D21">
        <w:rPr>
          <w:i/>
          <w:iCs/>
        </w:rPr>
        <w:t>looks forward</w:t>
      </w:r>
      <w:r w:rsidR="00BE7C7B" w:rsidRPr="00E417D6">
        <w:t xml:space="preserve"> to receiving an update on progress in this regard;</w:t>
      </w:r>
    </w:p>
    <w:p w14:paraId="34D88EC2" w14:textId="30D1ECBF" w:rsidR="00BE7C7B" w:rsidRPr="00E417D6" w:rsidRDefault="004250A3" w:rsidP="004250A3">
      <w:pPr>
        <w:pStyle w:val="RegSingleTxtG"/>
        <w:numPr>
          <w:ilvl w:val="0"/>
          <w:numId w:val="0"/>
        </w:numPr>
        <w:ind w:left="1134"/>
      </w:pPr>
      <w:r w:rsidRPr="00E417D6">
        <w:t>16.</w:t>
      </w:r>
      <w:r w:rsidRPr="00E417D6">
        <w:tab/>
      </w:r>
      <w:r w:rsidR="00BE7C7B">
        <w:rPr>
          <w:i/>
          <w:iCs/>
        </w:rPr>
        <w:t>W</w:t>
      </w:r>
      <w:r w:rsidR="00BE7C7B" w:rsidRPr="00E417D6">
        <w:rPr>
          <w:i/>
          <w:iCs/>
        </w:rPr>
        <w:t>elcomes</w:t>
      </w:r>
      <w:r w:rsidR="00BE7C7B" w:rsidRPr="00E417D6">
        <w:t xml:space="preserve"> the progress of </w:t>
      </w:r>
      <w:r w:rsidR="00BE7C7B">
        <w:t xml:space="preserve">the Adaptation Fund Board in </w:t>
      </w:r>
      <w:r w:rsidR="00BE7C7B" w:rsidRPr="00E417D6">
        <w:t>implement</w:t>
      </w:r>
      <w:r w:rsidR="00BE7C7B">
        <w:t>ing</w:t>
      </w:r>
      <w:r w:rsidR="00BE7C7B" w:rsidRPr="00E417D6">
        <w:t xml:space="preserve"> the updated gender policy and action plan of </w:t>
      </w:r>
      <w:r w:rsidR="00BE7C7B">
        <w:t>the Adaptation Fund</w:t>
      </w:r>
      <w:r w:rsidR="00BE7C7B" w:rsidRPr="00E417D6">
        <w:rPr>
          <w:vertAlign w:val="superscript"/>
        </w:rPr>
        <w:footnoteReference w:id="35"/>
      </w:r>
      <w:r w:rsidR="00BE7C7B" w:rsidRPr="00E417D6">
        <w:t xml:space="preserve"> and the </w:t>
      </w:r>
      <w:r w:rsidR="00BE7C7B">
        <w:t>g</w:t>
      </w:r>
      <w:r w:rsidR="00BE7C7B" w:rsidRPr="00E417D6">
        <w:t xml:space="preserve">ender </w:t>
      </w:r>
      <w:r w:rsidR="00BE7C7B">
        <w:t>s</w:t>
      </w:r>
      <w:r w:rsidR="00BE7C7B" w:rsidRPr="00E417D6">
        <w:t xml:space="preserve">corecard, including by developing the </w:t>
      </w:r>
      <w:r w:rsidR="00BE7C7B">
        <w:t xml:space="preserve">first Adaptation Fund </w:t>
      </w:r>
      <w:r w:rsidR="00BE7C7B" w:rsidRPr="00E417D6">
        <w:t>e-learning course on gender mainstreaming</w:t>
      </w:r>
      <w:r w:rsidR="00BE7C7B" w:rsidRPr="00E417D6">
        <w:rPr>
          <w:vertAlign w:val="superscript"/>
        </w:rPr>
        <w:footnoteReference w:id="36"/>
      </w:r>
      <w:r w:rsidR="00BE7C7B" w:rsidRPr="00E417D6">
        <w:t xml:space="preserve"> to help strengthen the capacity of implementing entities to develop gender-responsive adaptation projects</w:t>
      </w:r>
      <w:r w:rsidR="00BE7C7B">
        <w:t>,</w:t>
      </w:r>
      <w:r w:rsidR="00BE7C7B" w:rsidRPr="00E417D6">
        <w:t xml:space="preserve"> and </w:t>
      </w:r>
      <w:r w:rsidR="00BE7C7B" w:rsidRPr="00E417D6">
        <w:rPr>
          <w:i/>
          <w:iCs/>
        </w:rPr>
        <w:t>requests</w:t>
      </w:r>
      <w:r w:rsidR="00BE7C7B" w:rsidRPr="00E417D6">
        <w:t xml:space="preserve"> </w:t>
      </w:r>
      <w:r w:rsidR="00BE7C7B">
        <w:t xml:space="preserve">the Adaptation Fund Board </w:t>
      </w:r>
      <w:r w:rsidR="00BE7C7B" w:rsidRPr="00E417D6">
        <w:t xml:space="preserve">to further increase the gender-responsiveness of the resources </w:t>
      </w:r>
      <w:r w:rsidR="00BE7C7B">
        <w:t>of</w:t>
      </w:r>
      <w:r w:rsidR="00BE7C7B" w:rsidRPr="00E417D6">
        <w:t xml:space="preserve"> </w:t>
      </w:r>
      <w:r w:rsidR="00BE7C7B">
        <w:t>the Adaptation Fund</w:t>
      </w:r>
      <w:r w:rsidR="00BE7C7B" w:rsidRPr="00E417D6">
        <w:t xml:space="preserve">; </w:t>
      </w:r>
    </w:p>
    <w:p w14:paraId="72E97E0B" w14:textId="75C8BB9A" w:rsidR="00BE7C7B" w:rsidRPr="00E417D6" w:rsidRDefault="004250A3" w:rsidP="004250A3">
      <w:pPr>
        <w:pStyle w:val="RegSingleTxtG"/>
        <w:numPr>
          <w:ilvl w:val="0"/>
          <w:numId w:val="0"/>
        </w:numPr>
        <w:ind w:left="1134"/>
      </w:pPr>
      <w:r w:rsidRPr="00E417D6">
        <w:t>17.</w:t>
      </w:r>
      <w:r w:rsidRPr="00E417D6">
        <w:tab/>
      </w:r>
      <w:r w:rsidR="00BE7C7B" w:rsidRPr="00E417D6">
        <w:rPr>
          <w:i/>
          <w:iCs/>
        </w:rPr>
        <w:t xml:space="preserve">Invites </w:t>
      </w:r>
      <w:r w:rsidR="00BE7C7B">
        <w:t xml:space="preserve">the Adaptation Fund Board </w:t>
      </w:r>
      <w:r w:rsidR="00BE7C7B" w:rsidRPr="00E417D6">
        <w:t xml:space="preserve">to consider areas </w:t>
      </w:r>
      <w:r w:rsidR="00BE7C7B">
        <w:t>f</w:t>
      </w:r>
      <w:r w:rsidR="00BE7C7B" w:rsidRPr="00E417D6">
        <w:t>o</w:t>
      </w:r>
      <w:r w:rsidR="00BE7C7B">
        <w:t>r</w:t>
      </w:r>
      <w:r w:rsidR="00BE7C7B" w:rsidRPr="00E417D6">
        <w:t xml:space="preserve"> improvement in the context of </w:t>
      </w:r>
      <w:r w:rsidR="00BE7C7B">
        <w:t xml:space="preserve">the </w:t>
      </w:r>
      <w:r w:rsidR="00BE7C7B" w:rsidRPr="00E417D6">
        <w:t>gender</w:t>
      </w:r>
      <w:r w:rsidR="00BE7C7B">
        <w:t>-</w:t>
      </w:r>
      <w:r w:rsidR="00BE7C7B" w:rsidRPr="00E417D6">
        <w:t xml:space="preserve">responsiveness of the </w:t>
      </w:r>
      <w:r w:rsidR="00BE7C7B">
        <w:t xml:space="preserve">work of the Adaptation </w:t>
      </w:r>
      <w:r w:rsidR="00BE7C7B" w:rsidRPr="00E417D6">
        <w:t xml:space="preserve">Fund, taking into account relevant insights, including </w:t>
      </w:r>
      <w:r w:rsidR="00BE7C7B">
        <w:t xml:space="preserve">from </w:t>
      </w:r>
      <w:r w:rsidR="00BE7C7B" w:rsidRPr="00E417D6">
        <w:t xml:space="preserve">the </w:t>
      </w:r>
      <w:r w:rsidR="00BE7C7B">
        <w:t xml:space="preserve">summary </w:t>
      </w:r>
      <w:r w:rsidR="00BE7C7B" w:rsidRPr="00E417D6">
        <w:t>report o</w:t>
      </w:r>
      <w:r w:rsidR="00BE7C7B">
        <w:t>n</w:t>
      </w:r>
      <w:r w:rsidR="00BE7C7B" w:rsidRPr="00E417D6">
        <w:t xml:space="preserve"> the </w:t>
      </w:r>
      <w:r w:rsidR="00BE7C7B">
        <w:t>2024 Standing Committee on Finance F</w:t>
      </w:r>
      <w:r w:rsidR="00BE7C7B" w:rsidRPr="00E417D6">
        <w:t xml:space="preserve">orum on </w:t>
      </w:r>
      <w:r w:rsidR="00BE7C7B">
        <w:t xml:space="preserve">accelerating climate action and resilience through </w:t>
      </w:r>
      <w:r w:rsidR="00BE7C7B" w:rsidRPr="00E417D6">
        <w:t>gender</w:t>
      </w:r>
      <w:r w:rsidR="00BE7C7B">
        <w:t>-</w:t>
      </w:r>
      <w:r w:rsidR="00BE7C7B" w:rsidRPr="00E417D6">
        <w:t>responsive finance;</w:t>
      </w:r>
      <w:r w:rsidR="00BE7C7B" w:rsidRPr="00E417D6">
        <w:rPr>
          <w:vertAlign w:val="superscript"/>
        </w:rPr>
        <w:footnoteReference w:id="37"/>
      </w:r>
      <w:r w:rsidR="00BE7C7B" w:rsidRPr="00E417D6">
        <w:rPr>
          <w:vertAlign w:val="superscript"/>
        </w:rPr>
        <w:t xml:space="preserve"> </w:t>
      </w:r>
    </w:p>
    <w:p w14:paraId="02955679" w14:textId="67D87336" w:rsidR="00BE7C7B" w:rsidRPr="00B42417" w:rsidRDefault="004250A3" w:rsidP="004250A3">
      <w:pPr>
        <w:pStyle w:val="RegSingleTxtG"/>
        <w:numPr>
          <w:ilvl w:val="0"/>
          <w:numId w:val="0"/>
        </w:numPr>
        <w:ind w:left="1134"/>
      </w:pPr>
      <w:r w:rsidRPr="00B42417">
        <w:lastRenderedPageBreak/>
        <w:t>18.</w:t>
      </w:r>
      <w:r w:rsidRPr="00B42417">
        <w:tab/>
      </w:r>
      <w:r w:rsidR="00BE7C7B" w:rsidRPr="00E417D6">
        <w:rPr>
          <w:i/>
          <w:iCs/>
        </w:rPr>
        <w:t>Welcomes</w:t>
      </w:r>
      <w:r w:rsidR="00BE7C7B" w:rsidRPr="00E417D6">
        <w:t xml:space="preserve"> the decision of </w:t>
      </w:r>
      <w:r w:rsidR="00BE7C7B">
        <w:t xml:space="preserve">the Adaptation Fund Board </w:t>
      </w:r>
      <w:r w:rsidR="00BE7C7B" w:rsidRPr="00E417D6">
        <w:t>to develop and adopt a stand-</w:t>
      </w:r>
      <w:r w:rsidR="00BE7C7B">
        <w:t xml:space="preserve">alone Adaptation Fund </w:t>
      </w:r>
      <w:r w:rsidR="00BE7C7B" w:rsidRPr="00E417D6">
        <w:t>policy on sexual exploitation and abuse and sexual harassment</w:t>
      </w:r>
      <w:r w:rsidR="00BE7C7B" w:rsidRPr="00E417D6">
        <w:rPr>
          <w:vertAlign w:val="superscript"/>
        </w:rPr>
        <w:footnoteReference w:id="38"/>
      </w:r>
      <w:r w:rsidR="00BE7C7B" w:rsidRPr="00E417D6">
        <w:t xml:space="preserve"> and </w:t>
      </w:r>
      <w:r w:rsidR="00BE7C7B" w:rsidRPr="00E417D6">
        <w:rPr>
          <w:i/>
          <w:iCs/>
        </w:rPr>
        <w:t>reiterates</w:t>
      </w:r>
      <w:r w:rsidR="00BE7C7B" w:rsidRPr="00E417D6">
        <w:t xml:space="preserve"> the importance of </w:t>
      </w:r>
      <w:r w:rsidR="00BE7C7B">
        <w:t xml:space="preserve">the Adaptation Fund Board </w:t>
      </w:r>
      <w:r w:rsidR="00BE7C7B" w:rsidRPr="00E417D6">
        <w:t xml:space="preserve">completing </w:t>
      </w:r>
      <w:r w:rsidR="00BE7C7B">
        <w:t>its</w:t>
      </w:r>
      <w:r w:rsidR="00BE7C7B" w:rsidRPr="00E417D6">
        <w:t xml:space="preserve"> work</w:t>
      </w:r>
      <w:r w:rsidR="00BE7C7B">
        <w:t xml:space="preserve"> in this regard</w:t>
      </w:r>
      <w:r w:rsidR="00BE7C7B" w:rsidRPr="00E417D6">
        <w:t>;</w:t>
      </w:r>
    </w:p>
    <w:p w14:paraId="362317C8" w14:textId="197CE7E1" w:rsidR="00A27BB0" w:rsidRPr="00D82C4E" w:rsidRDefault="004250A3" w:rsidP="004250A3">
      <w:pPr>
        <w:pStyle w:val="RegSingleTxtG"/>
        <w:numPr>
          <w:ilvl w:val="0"/>
          <w:numId w:val="0"/>
        </w:numPr>
        <w:ind w:left="1134"/>
      </w:pPr>
      <w:r w:rsidRPr="00D82C4E">
        <w:t>19.</w:t>
      </w:r>
      <w:r w:rsidRPr="00D82C4E">
        <w:tab/>
      </w:r>
      <w:r w:rsidR="00A27BB0">
        <w:rPr>
          <w:i/>
          <w:iCs/>
        </w:rPr>
        <w:t>W</w:t>
      </w:r>
      <w:r w:rsidR="00A27BB0" w:rsidRPr="00D82C4E">
        <w:rPr>
          <w:i/>
          <w:iCs/>
        </w:rPr>
        <w:t>elcomes</w:t>
      </w:r>
      <w:r w:rsidR="00A27BB0" w:rsidRPr="00D82C4E">
        <w:t xml:space="preserve"> the decision of </w:t>
      </w:r>
      <w:r w:rsidR="00A27BB0">
        <w:t xml:space="preserve">the Adaptation Fund Board </w:t>
      </w:r>
      <w:r w:rsidR="00A27BB0" w:rsidRPr="00D82C4E">
        <w:t xml:space="preserve">to update and strengthen </w:t>
      </w:r>
      <w:r w:rsidR="00A27BB0">
        <w:t xml:space="preserve">the Adaptation Fund </w:t>
      </w:r>
      <w:r w:rsidR="00A27BB0" w:rsidRPr="00D82C4E">
        <w:t xml:space="preserve">strategic results framework in alignment with the </w:t>
      </w:r>
      <w:r w:rsidR="00A27BB0">
        <w:t>Medium-Term S</w:t>
      </w:r>
      <w:r w:rsidR="00A27BB0" w:rsidRPr="00E417D6">
        <w:t xml:space="preserve">trategy </w:t>
      </w:r>
      <w:r w:rsidR="00A27BB0">
        <w:t xml:space="preserve">of the Adaptation Fund </w:t>
      </w:r>
      <w:r w:rsidR="00A27BB0" w:rsidRPr="00E417D6">
        <w:t>for 2023–‍2027</w:t>
      </w:r>
      <w:r w:rsidR="00A27BB0" w:rsidRPr="00D82C4E">
        <w:t xml:space="preserve"> and to enable reporting on the results </w:t>
      </w:r>
      <w:r w:rsidR="00A27BB0">
        <w:t xml:space="preserve">of Adaptation Fund </w:t>
      </w:r>
      <w:r w:rsidR="00A27BB0" w:rsidRPr="00D82C4E">
        <w:t>funded projects, in line with the global goal on adaptation;</w:t>
      </w:r>
      <w:r w:rsidR="00A27BB0" w:rsidRPr="00D82C4E" w:rsidDel="00000015">
        <w:t xml:space="preserve"> </w:t>
      </w:r>
    </w:p>
    <w:p w14:paraId="7B54137F" w14:textId="4055A624" w:rsidR="00BE7C7B" w:rsidRPr="00E417D6" w:rsidRDefault="004250A3" w:rsidP="004250A3">
      <w:pPr>
        <w:pStyle w:val="RegSingleTxtG"/>
        <w:numPr>
          <w:ilvl w:val="0"/>
          <w:numId w:val="0"/>
        </w:numPr>
        <w:ind w:left="1134"/>
      </w:pPr>
      <w:bookmarkStart w:id="15" w:name="_Hlk183004359"/>
      <w:r w:rsidRPr="00E417D6">
        <w:t>20.</w:t>
      </w:r>
      <w:r w:rsidRPr="00E417D6">
        <w:tab/>
      </w:r>
      <w:r w:rsidR="00A27BB0">
        <w:rPr>
          <w:i/>
          <w:iCs/>
        </w:rPr>
        <w:t>Also</w:t>
      </w:r>
      <w:r w:rsidR="00A27BB0" w:rsidRPr="00E417D6">
        <w:rPr>
          <w:i/>
          <w:iCs/>
        </w:rPr>
        <w:t xml:space="preserve"> welcomes</w:t>
      </w:r>
      <w:r w:rsidR="00BE7C7B" w:rsidRPr="00E417D6">
        <w:t xml:space="preserve"> the work of the Adaptation Fund Board on complementarity and coherence with other multilateral climate funds</w:t>
      </w:r>
      <w:r w:rsidR="00BE7C7B" w:rsidRPr="00E417D6">
        <w:rPr>
          <w:rStyle w:val="FootnoteReference"/>
        </w:rPr>
        <w:footnoteReference w:id="39"/>
      </w:r>
      <w:r w:rsidR="00BE7C7B" w:rsidRPr="00E417D6">
        <w:t xml:space="preserve"> </w:t>
      </w:r>
      <w:bookmarkEnd w:id="15"/>
      <w:r w:rsidR="00BE7C7B" w:rsidRPr="00E417D6">
        <w:t xml:space="preserve">and </w:t>
      </w:r>
      <w:r w:rsidR="00BE7C7B" w:rsidRPr="00E417D6">
        <w:rPr>
          <w:i/>
          <w:iCs/>
        </w:rPr>
        <w:t>encourages</w:t>
      </w:r>
      <w:r w:rsidR="00BE7C7B" w:rsidRPr="00E417D6">
        <w:t xml:space="preserve"> the Board to continue this work with a view to simplifying its access modalities, as appropriate, and maximizing its impact;</w:t>
      </w:r>
    </w:p>
    <w:p w14:paraId="637CD6B0" w14:textId="1055A2DD" w:rsidR="00BE7C7B" w:rsidRPr="00B42417" w:rsidRDefault="004250A3" w:rsidP="004250A3">
      <w:pPr>
        <w:pStyle w:val="RegSingleTxtG"/>
        <w:numPr>
          <w:ilvl w:val="0"/>
          <w:numId w:val="0"/>
        </w:numPr>
        <w:ind w:left="1134"/>
      </w:pPr>
      <w:r w:rsidRPr="00B42417">
        <w:t>21.</w:t>
      </w:r>
      <w:r w:rsidRPr="00B42417">
        <w:tab/>
      </w:r>
      <w:r w:rsidR="00BE7C7B" w:rsidRPr="00E417D6">
        <w:rPr>
          <w:i/>
          <w:iCs/>
        </w:rPr>
        <w:t>Welcomes</w:t>
      </w:r>
      <w:r w:rsidR="00BE7C7B" w:rsidRPr="00E417D6">
        <w:t xml:space="preserve"> the continued collaboration between </w:t>
      </w:r>
      <w:r w:rsidR="00BE7C7B">
        <w:t xml:space="preserve">the Adaptation Fund </w:t>
      </w:r>
      <w:r w:rsidR="00BE7C7B" w:rsidRPr="00E417D6">
        <w:t xml:space="preserve">and the Technology Executive Committee and the Climate Technology Centre and Network, including through </w:t>
      </w:r>
      <w:r w:rsidR="00BE7C7B">
        <w:t xml:space="preserve">the Adaptation Fund </w:t>
      </w:r>
      <w:r w:rsidR="00BE7C7B" w:rsidRPr="00E417D6">
        <w:t xml:space="preserve">Climate Innovation Accelerator, and </w:t>
      </w:r>
      <w:r w:rsidR="00BE7C7B" w:rsidRPr="00E417D6">
        <w:rPr>
          <w:i/>
          <w:iCs/>
        </w:rPr>
        <w:t>encourages</w:t>
      </w:r>
      <w:r w:rsidR="00BE7C7B" w:rsidRPr="00E417D6">
        <w:t xml:space="preserve"> continued collaboration in this regard</w:t>
      </w:r>
      <w:r w:rsidR="00BE7C7B" w:rsidRPr="00B42417">
        <w:t>;</w:t>
      </w:r>
    </w:p>
    <w:p w14:paraId="4744F8FA" w14:textId="4334E284" w:rsidR="00A27BB0" w:rsidRPr="00E417D6" w:rsidRDefault="004250A3" w:rsidP="004250A3">
      <w:pPr>
        <w:pStyle w:val="RegSingleTxtG"/>
        <w:numPr>
          <w:ilvl w:val="0"/>
          <w:numId w:val="0"/>
        </w:numPr>
        <w:ind w:left="1134"/>
        <w:rPr>
          <w:lang w:val="en-US"/>
        </w:rPr>
      </w:pPr>
      <w:bookmarkStart w:id="16" w:name="_Ref182833755"/>
      <w:r w:rsidRPr="00E417D6">
        <w:rPr>
          <w:lang w:val="en-US"/>
        </w:rPr>
        <w:t>22.</w:t>
      </w:r>
      <w:r w:rsidRPr="00E417D6">
        <w:rPr>
          <w:lang w:val="en-US"/>
        </w:rPr>
        <w:tab/>
      </w:r>
      <w:r w:rsidR="00A27BB0" w:rsidRPr="00E417D6">
        <w:rPr>
          <w:i/>
          <w:iCs/>
          <w:lang w:val="en-US"/>
        </w:rPr>
        <w:t>Recognizes</w:t>
      </w:r>
      <w:r w:rsidR="00A27BB0" w:rsidRPr="00E417D6">
        <w:rPr>
          <w:lang w:val="en-US"/>
        </w:rPr>
        <w:t xml:space="preserve"> the potential for the share of proceeds from the mechanism established by Article 6, paragraph 4</w:t>
      </w:r>
      <w:r w:rsidR="00A27BB0">
        <w:rPr>
          <w:lang w:val="en-US"/>
        </w:rPr>
        <w:t>,</w:t>
      </w:r>
      <w:r w:rsidR="00A27BB0" w:rsidRPr="00E417D6">
        <w:rPr>
          <w:lang w:val="en-US"/>
        </w:rPr>
        <w:t xml:space="preserve"> of the Paris Agreement to increase the capitalization of the </w:t>
      </w:r>
      <w:r w:rsidR="00A27BB0">
        <w:rPr>
          <w:lang w:val="en-US"/>
        </w:rPr>
        <w:t xml:space="preserve">Adaptation </w:t>
      </w:r>
      <w:r w:rsidR="00A27BB0" w:rsidRPr="00E417D6">
        <w:rPr>
          <w:lang w:val="en-US"/>
        </w:rPr>
        <w:t>Fund;</w:t>
      </w:r>
    </w:p>
    <w:p w14:paraId="3C105CE5" w14:textId="1B8B1F1A" w:rsidR="00BE7C7B" w:rsidRPr="00E417D6" w:rsidRDefault="004250A3" w:rsidP="004250A3">
      <w:pPr>
        <w:pStyle w:val="RegSingleTxtG"/>
        <w:numPr>
          <w:ilvl w:val="0"/>
          <w:numId w:val="0"/>
        </w:numPr>
        <w:ind w:left="1134"/>
      </w:pPr>
      <w:r w:rsidRPr="00E417D6">
        <w:t>23.</w:t>
      </w:r>
      <w:r w:rsidRPr="00E417D6">
        <w:tab/>
      </w:r>
      <w:r w:rsidR="00A27BB0">
        <w:rPr>
          <w:i/>
          <w:iCs/>
        </w:rPr>
        <w:t>E</w:t>
      </w:r>
      <w:r w:rsidR="00A27BB0" w:rsidRPr="00010E07">
        <w:rPr>
          <w:i/>
          <w:iCs/>
        </w:rPr>
        <w:t>ncourages</w:t>
      </w:r>
      <w:r w:rsidR="00BE7C7B" w:rsidRPr="00E417D6">
        <w:t xml:space="preserve"> </w:t>
      </w:r>
      <w:r w:rsidR="00BE7C7B">
        <w:t>the Adaptation Fund Board</w:t>
      </w:r>
      <w:r w:rsidR="00BE7C7B" w:rsidRPr="00E417D6" w:rsidDel="009D5621">
        <w:t xml:space="preserve"> </w:t>
      </w:r>
      <w:r w:rsidR="00BE7C7B" w:rsidRPr="00E417D6">
        <w:t xml:space="preserve">to complete, as a matter of priority, its work related to implementing its mandates in decisions </w:t>
      </w:r>
      <w:hyperlink r:id="rId110" w:history="1">
        <w:r w:rsidR="00A27BB0" w:rsidRPr="00214C61">
          <w:rPr>
            <w:rStyle w:val="Hyperlink"/>
          </w:rPr>
          <w:t>1/CMP.14</w:t>
        </w:r>
      </w:hyperlink>
      <w:r w:rsidR="00A27BB0" w:rsidRPr="0008470F">
        <w:t xml:space="preserve"> and </w:t>
      </w:r>
      <w:hyperlink r:id="rId111" w:history="1">
        <w:r w:rsidR="00A27BB0" w:rsidRPr="00214C61">
          <w:rPr>
            <w:rStyle w:val="Hyperlink"/>
          </w:rPr>
          <w:t>13/CMA.1</w:t>
        </w:r>
      </w:hyperlink>
      <w:r w:rsidR="00BE7C7B" w:rsidRPr="00E417D6">
        <w:t xml:space="preserve"> </w:t>
      </w:r>
      <w:r w:rsidR="00BE7C7B">
        <w:t xml:space="preserve">and to report thereon </w:t>
      </w:r>
      <w:r w:rsidR="00BE7C7B" w:rsidRPr="00E417D6">
        <w:t xml:space="preserve">in its annual report to the Conference of the Parties serving as the meeting of the Parties to the Kyoto Protocol at its twentieth session </w:t>
      </w:r>
      <w:r w:rsidR="00BE7C7B">
        <w:t>(</w:t>
      </w:r>
      <w:r w:rsidR="00BE7C7B" w:rsidRPr="002366E7">
        <w:rPr>
          <w:lang w:val="en-US"/>
        </w:rPr>
        <w:t>November 2025)</w:t>
      </w:r>
      <w:r w:rsidR="00BE7C7B">
        <w:rPr>
          <w:i/>
          <w:iCs/>
          <w:lang w:val="en-US"/>
        </w:rPr>
        <w:t xml:space="preserve"> </w:t>
      </w:r>
      <w:r w:rsidR="00BE7C7B" w:rsidRPr="00E417D6">
        <w:t>and the Conference of the Parties serving as the meeting of the Parties to the Paris Agreement at its seventh session</w:t>
      </w:r>
      <w:r w:rsidR="00BE7C7B">
        <w:t xml:space="preserve"> (November 2025)</w:t>
      </w:r>
      <w:r w:rsidR="00BE7C7B" w:rsidRPr="00E417D6">
        <w:t>;</w:t>
      </w:r>
      <w:bookmarkEnd w:id="16"/>
    </w:p>
    <w:p w14:paraId="5AC8A15F" w14:textId="4EEAAA11" w:rsidR="00BE7C7B" w:rsidRDefault="004250A3" w:rsidP="004250A3">
      <w:pPr>
        <w:pStyle w:val="RegSingleTxtG"/>
        <w:numPr>
          <w:ilvl w:val="0"/>
          <w:numId w:val="0"/>
        </w:numPr>
        <w:ind w:left="1134"/>
      </w:pPr>
      <w:r>
        <w:t>24.</w:t>
      </w:r>
      <w:r>
        <w:tab/>
      </w:r>
      <w:r w:rsidR="00BE7C7B">
        <w:rPr>
          <w:i/>
          <w:iCs/>
        </w:rPr>
        <w:t>E</w:t>
      </w:r>
      <w:r w:rsidR="00BE7C7B" w:rsidRPr="00E417D6">
        <w:rPr>
          <w:i/>
          <w:iCs/>
        </w:rPr>
        <w:t>mphasizes</w:t>
      </w:r>
      <w:r w:rsidR="00BE7C7B" w:rsidRPr="00E417D6">
        <w:t xml:space="preserve"> the need for maintaining continuity in implementing the activities of the </w:t>
      </w:r>
      <w:r w:rsidR="00BE7C7B">
        <w:t xml:space="preserve">Adaptation Fund </w:t>
      </w:r>
      <w:r w:rsidR="00BE7C7B" w:rsidRPr="00E417D6">
        <w:t xml:space="preserve">Board during the transition of </w:t>
      </w:r>
      <w:r w:rsidR="00BE7C7B">
        <w:t xml:space="preserve">the Adaptation Fund </w:t>
      </w:r>
      <w:r w:rsidR="00BE7C7B" w:rsidRPr="00E417D6">
        <w:t xml:space="preserve">from the Kyoto Protocol to the Paris Agreement, including continued access </w:t>
      </w:r>
      <w:r w:rsidR="00BE7C7B">
        <w:t xml:space="preserve">of developing countries </w:t>
      </w:r>
      <w:r w:rsidR="00BE7C7B" w:rsidRPr="00E417D6">
        <w:t>to support for adaptation</w:t>
      </w:r>
      <w:r w:rsidR="00BE7C7B" w:rsidRPr="00B42417">
        <w:t>;</w:t>
      </w:r>
    </w:p>
    <w:p w14:paraId="5DE38DBB" w14:textId="1160F02D" w:rsidR="00A27BB0" w:rsidRPr="00E417D6" w:rsidRDefault="004250A3" w:rsidP="004250A3">
      <w:pPr>
        <w:pStyle w:val="RegSingleTxtG"/>
        <w:numPr>
          <w:ilvl w:val="0"/>
          <w:numId w:val="0"/>
        </w:numPr>
        <w:ind w:left="1134"/>
      </w:pPr>
      <w:r w:rsidRPr="00E417D6">
        <w:t>25.</w:t>
      </w:r>
      <w:r w:rsidRPr="00E417D6">
        <w:tab/>
      </w:r>
      <w:r w:rsidR="00BE7C7B" w:rsidRPr="00BE7C7B">
        <w:rPr>
          <w:i/>
          <w:iCs/>
        </w:rPr>
        <w:t xml:space="preserve">Requests </w:t>
      </w:r>
      <w:r w:rsidR="00BE7C7B" w:rsidRPr="005A2C0B">
        <w:t>the Subsidiary Body for Implementation</w:t>
      </w:r>
      <w:r w:rsidR="00BE7C7B" w:rsidRPr="00BE7C7B">
        <w:rPr>
          <w:i/>
          <w:iCs/>
        </w:rPr>
        <w:t xml:space="preserve"> </w:t>
      </w:r>
      <w:r w:rsidR="00BE7C7B" w:rsidRPr="00B42417">
        <w:t>to consider</w:t>
      </w:r>
      <w:r w:rsidR="00BE7C7B">
        <w:t>, at its sixty-second session (June 2025),</w:t>
      </w:r>
      <w:r w:rsidR="00BE7C7B" w:rsidRPr="00B42417">
        <w:t xml:space="preserve"> the matter of the arrangements for the Adaptation Fund to exclusively serve the Paris Agreement and to make recommendations </w:t>
      </w:r>
      <w:r w:rsidR="00BE7C7B">
        <w:t xml:space="preserve">on this matter </w:t>
      </w:r>
      <w:r w:rsidR="00BE7C7B" w:rsidRPr="00B42417">
        <w:t xml:space="preserve">for consideration by </w:t>
      </w:r>
      <w:r w:rsidR="00BE7C7B">
        <w:t xml:space="preserve">the Conference of the Parties serving as the meeting of the Parties to the </w:t>
      </w:r>
      <w:r w:rsidR="00A27BB0">
        <w:t>Paris Agreement</w:t>
      </w:r>
      <w:r w:rsidR="00BE7C7B">
        <w:t xml:space="preserve"> </w:t>
      </w:r>
      <w:r w:rsidR="00BE7C7B" w:rsidRPr="00B42417">
        <w:t xml:space="preserve">at its </w:t>
      </w:r>
      <w:r w:rsidR="00A27BB0">
        <w:t>seventh</w:t>
      </w:r>
      <w:r w:rsidR="00BE7C7B" w:rsidRPr="00B42417">
        <w:t xml:space="preserve"> session</w:t>
      </w:r>
      <w:r w:rsidR="00A27BB0" w:rsidRPr="00E417D6">
        <w:t>;</w:t>
      </w:r>
    </w:p>
    <w:p w14:paraId="3E66F7D4" w14:textId="772CEBDA" w:rsidR="00BE7C7B" w:rsidRDefault="004250A3" w:rsidP="004250A3">
      <w:pPr>
        <w:pStyle w:val="RegSingleTxtG"/>
        <w:numPr>
          <w:ilvl w:val="0"/>
          <w:numId w:val="0"/>
        </w:numPr>
        <w:ind w:left="1134"/>
      </w:pPr>
      <w:r>
        <w:t>26.</w:t>
      </w:r>
      <w:r>
        <w:tab/>
      </w:r>
      <w:r w:rsidR="00A27BB0">
        <w:rPr>
          <w:i/>
          <w:iCs/>
        </w:rPr>
        <w:t>Also r</w:t>
      </w:r>
      <w:r w:rsidR="00A27BB0" w:rsidRPr="00E417D6">
        <w:rPr>
          <w:i/>
          <w:iCs/>
        </w:rPr>
        <w:t>equests</w:t>
      </w:r>
      <w:r w:rsidR="00A27BB0" w:rsidRPr="00E417D6">
        <w:t xml:space="preserve"> </w:t>
      </w:r>
      <w:r w:rsidR="00A27BB0">
        <w:t xml:space="preserve">the Adaptation Fund </w:t>
      </w:r>
      <w:r w:rsidR="00A27BB0" w:rsidRPr="00E417D6">
        <w:t>to provide updates on its activities and scope of support in relation to assisting developing country Parties in their efforts towards the implementation of the U</w:t>
      </w:r>
      <w:r w:rsidR="00A27BB0">
        <w:t xml:space="preserve">nited </w:t>
      </w:r>
      <w:r w:rsidR="00A27BB0" w:rsidRPr="00E417D6">
        <w:t>A</w:t>
      </w:r>
      <w:r w:rsidR="00A27BB0">
        <w:t xml:space="preserve">rab </w:t>
      </w:r>
      <w:r w:rsidR="00A27BB0" w:rsidRPr="00E417D6">
        <w:t>E</w:t>
      </w:r>
      <w:r w:rsidR="00A27BB0">
        <w:t>mirates</w:t>
      </w:r>
      <w:r w:rsidR="00A27BB0" w:rsidRPr="00E417D6">
        <w:t xml:space="preserve"> Framework for Global Climate Resilience, including towards achieving the targets referred to in paragraphs 9–10 of decision </w:t>
      </w:r>
      <w:hyperlink r:id="rId112" w:history="1">
        <w:r w:rsidR="00A27BB0" w:rsidRPr="00214C61">
          <w:rPr>
            <w:rStyle w:val="Hyperlink"/>
          </w:rPr>
          <w:t>2/CMA.5</w:t>
        </w:r>
      </w:hyperlink>
      <w:r w:rsidR="00BE7C7B">
        <w:t>.</w:t>
      </w:r>
    </w:p>
    <w:p w14:paraId="54FFB11E" w14:textId="376215EF" w:rsidR="00B02C18" w:rsidRDefault="00DA513C" w:rsidP="00B02C18">
      <w:pPr>
        <w:pStyle w:val="RegSingleTxtG"/>
        <w:numPr>
          <w:ilvl w:val="0"/>
          <w:numId w:val="0"/>
        </w:numPr>
        <w:spacing w:after="0"/>
        <w:ind w:left="1134"/>
        <w:jc w:val="right"/>
        <w:rPr>
          <w:i/>
          <w:iCs/>
        </w:rPr>
      </w:pPr>
      <w:r>
        <w:rPr>
          <w:i/>
          <w:iCs/>
        </w:rPr>
        <w:t>11</w:t>
      </w:r>
      <w:r w:rsidRPr="00DA513C">
        <w:rPr>
          <w:i/>
          <w:iCs/>
          <w:vertAlign w:val="superscript"/>
        </w:rPr>
        <w:t>th</w:t>
      </w:r>
      <w:r w:rsidR="00B02C18">
        <w:rPr>
          <w:i/>
          <w:iCs/>
        </w:rPr>
        <w:t xml:space="preserve"> plenary meeting</w:t>
      </w:r>
    </w:p>
    <w:p w14:paraId="1D62A84A" w14:textId="312C88A4" w:rsidR="00B02C18" w:rsidRDefault="00DA513C" w:rsidP="00B02C18">
      <w:pPr>
        <w:pStyle w:val="RegSingleTxtG"/>
        <w:numPr>
          <w:ilvl w:val="0"/>
          <w:numId w:val="0"/>
        </w:numPr>
        <w:spacing w:after="0"/>
        <w:ind w:left="1134"/>
        <w:jc w:val="right"/>
      </w:pPr>
      <w:r>
        <w:rPr>
          <w:i/>
          <w:iCs/>
        </w:rPr>
        <w:t>23</w:t>
      </w:r>
      <w:r w:rsidR="00B02C18">
        <w:rPr>
          <w:i/>
          <w:iCs/>
        </w:rPr>
        <w:t xml:space="preserve"> November 2024</w:t>
      </w:r>
    </w:p>
    <w:p w14:paraId="23BD648E" w14:textId="77777777" w:rsidR="00B02C18" w:rsidRDefault="00B02C18" w:rsidP="004250A3">
      <w:pPr>
        <w:pStyle w:val="RegHChG"/>
        <w:numPr>
          <w:ilvl w:val="0"/>
          <w:numId w:val="0"/>
        </w:numPr>
        <w:ind w:left="1135" w:hanging="454"/>
      </w:pPr>
    </w:p>
    <w:p w14:paraId="233FB3CC" w14:textId="6146E0DA" w:rsidR="00457974" w:rsidRDefault="004250A3" w:rsidP="004250A3">
      <w:pPr>
        <w:pStyle w:val="RegHChG"/>
        <w:numPr>
          <w:ilvl w:val="0"/>
          <w:numId w:val="0"/>
        </w:numPr>
        <w:tabs>
          <w:tab w:val="left" w:pos="1135"/>
        </w:tabs>
        <w:ind w:left="1135" w:hanging="454"/>
        <w:sectPr w:rsidR="00457974" w:rsidSect="00F76195">
          <w:headerReference w:type="even" r:id="rId113"/>
          <w:headerReference w:type="default" r:id="rId114"/>
          <w:footerReference w:type="even" r:id="rId115"/>
          <w:footerReference w:type="default" r:id="rId116"/>
          <w:footnotePr>
            <w:numRestart w:val="eachSect"/>
          </w:footnotePr>
          <w:pgSz w:w="11906" w:h="16838" w:code="9"/>
          <w:pgMar w:top="1417" w:right="1134" w:bottom="1134" w:left="1134" w:header="850" w:footer="567" w:gutter="0"/>
          <w:cols w:space="708"/>
          <w:docGrid w:linePitch="360"/>
        </w:sectPr>
      </w:pPr>
      <w:r>
        <w:t>I.</w:t>
      </w:r>
      <w:r>
        <w:tab/>
      </w:r>
    </w:p>
    <w:p w14:paraId="3FA178AF" w14:textId="348C9E25" w:rsidR="00457974" w:rsidRDefault="00457974" w:rsidP="004250A3">
      <w:pPr>
        <w:pStyle w:val="RegHChG"/>
        <w:numPr>
          <w:ilvl w:val="0"/>
          <w:numId w:val="0"/>
        </w:numPr>
        <w:ind w:left="1135" w:hanging="454"/>
      </w:pPr>
      <w:bookmarkStart w:id="17" w:name="decision14"/>
      <w:r>
        <w:lastRenderedPageBreak/>
        <w:t xml:space="preserve">Decision </w:t>
      </w:r>
      <w:r w:rsidRPr="00A573BC">
        <w:t>14/CMA.6</w:t>
      </w:r>
    </w:p>
    <w:bookmarkEnd w:id="17"/>
    <w:p w14:paraId="62C70B7C" w14:textId="4499342B" w:rsidR="00A137C7" w:rsidRPr="00A96DC7" w:rsidRDefault="00A137C7" w:rsidP="004250A3">
      <w:pPr>
        <w:pStyle w:val="RegHChG"/>
        <w:numPr>
          <w:ilvl w:val="0"/>
          <w:numId w:val="0"/>
        </w:numPr>
        <w:ind w:left="1135" w:hanging="454"/>
      </w:pPr>
      <w:r>
        <w:t>Sharm el-Sheikh dialogue on the scope of Article 2, paragraph 1(c), of the Paris Agreement and its complementarity with Article 9 of the Paris Agreement</w:t>
      </w:r>
    </w:p>
    <w:p w14:paraId="09108724" w14:textId="77777777" w:rsidR="00A137C7" w:rsidRDefault="00A137C7" w:rsidP="00A137C7">
      <w:pPr>
        <w:pStyle w:val="RegSingleTxtG"/>
        <w:numPr>
          <w:ilvl w:val="0"/>
          <w:numId w:val="0"/>
        </w:numPr>
        <w:spacing w:before="120"/>
        <w:ind w:left="1134"/>
        <w:rPr>
          <w:i/>
          <w:iCs/>
        </w:rPr>
      </w:pPr>
      <w:r>
        <w:rPr>
          <w:i/>
          <w:iCs/>
        </w:rPr>
        <w:tab/>
      </w:r>
      <w:r w:rsidRPr="00A078C3">
        <w:rPr>
          <w:i/>
          <w:iCs/>
        </w:rPr>
        <w:t>The Conference of the Parties serving as the meeting of the Parties to the Paris Agreement</w:t>
      </w:r>
      <w:r w:rsidRPr="000D0EE3">
        <w:t>,</w:t>
      </w:r>
    </w:p>
    <w:p w14:paraId="5A1D238D" w14:textId="3ED6C8A8" w:rsidR="00A137C7" w:rsidRPr="000D0EE3" w:rsidRDefault="0047658D" w:rsidP="0047658D">
      <w:pPr>
        <w:pStyle w:val="RegSingleTxtG"/>
        <w:numPr>
          <w:ilvl w:val="0"/>
          <w:numId w:val="0"/>
        </w:numPr>
        <w:ind w:left="1134"/>
      </w:pPr>
      <w:r>
        <w:rPr>
          <w:i/>
          <w:iCs/>
        </w:rPr>
        <w:tab/>
      </w:r>
      <w:r w:rsidR="00A137C7">
        <w:rPr>
          <w:i/>
          <w:iCs/>
        </w:rPr>
        <w:t>R</w:t>
      </w:r>
      <w:r w:rsidR="00A137C7" w:rsidRPr="0022361E">
        <w:rPr>
          <w:i/>
          <w:iCs/>
        </w:rPr>
        <w:t xml:space="preserve">ecalling </w:t>
      </w:r>
      <w:r w:rsidR="00A137C7" w:rsidRPr="00DE74B4">
        <w:t>decision</w:t>
      </w:r>
      <w:r w:rsidR="00A137C7">
        <w:t>s</w:t>
      </w:r>
      <w:r w:rsidR="00A137C7" w:rsidRPr="0022361E">
        <w:rPr>
          <w:i/>
          <w:iCs/>
        </w:rPr>
        <w:t xml:space="preserve"> </w:t>
      </w:r>
      <w:hyperlink r:id="rId117" w:history="1">
        <w:r w:rsidR="00A137C7" w:rsidRPr="00C479DE">
          <w:rPr>
            <w:rStyle w:val="Hyperlink"/>
          </w:rPr>
          <w:t>1/CMA.4</w:t>
        </w:r>
      </w:hyperlink>
      <w:r w:rsidR="00A137C7" w:rsidRPr="00317C13">
        <w:t>, paragraph 68</w:t>
      </w:r>
      <w:r w:rsidR="00A137C7">
        <w:t>,</w:t>
      </w:r>
      <w:r w:rsidR="00A137C7" w:rsidRPr="00317C13">
        <w:t xml:space="preserve"> and </w:t>
      </w:r>
      <w:hyperlink r:id="rId118" w:history="1">
        <w:r w:rsidR="00A137C7" w:rsidRPr="00C479DE">
          <w:rPr>
            <w:rStyle w:val="Hyperlink"/>
          </w:rPr>
          <w:t>9/CMA.5</w:t>
        </w:r>
      </w:hyperlink>
      <w:r w:rsidR="00A137C7" w:rsidRPr="00317C13">
        <w:t>, paragraphs 8–14,</w:t>
      </w:r>
      <w:r w:rsidR="00A137C7" w:rsidRPr="000D0EE3">
        <w:t xml:space="preserve"> </w:t>
      </w:r>
    </w:p>
    <w:p w14:paraId="2AE9D042" w14:textId="68FD8792" w:rsidR="00A137C7" w:rsidRPr="00A137C7" w:rsidRDefault="004250A3" w:rsidP="004250A3">
      <w:pPr>
        <w:pStyle w:val="RegSingleTxtG"/>
        <w:numPr>
          <w:ilvl w:val="0"/>
          <w:numId w:val="0"/>
        </w:numPr>
        <w:ind w:left="1134"/>
        <w:rPr>
          <w:lang w:val="en-US"/>
        </w:rPr>
      </w:pPr>
      <w:r w:rsidRPr="00A137C7">
        <w:rPr>
          <w:lang w:val="en-US"/>
        </w:rPr>
        <w:t>1.</w:t>
      </w:r>
      <w:r w:rsidRPr="00A137C7">
        <w:rPr>
          <w:lang w:val="en-US"/>
        </w:rPr>
        <w:tab/>
      </w:r>
      <w:r w:rsidR="00A137C7" w:rsidRPr="00A137C7">
        <w:rPr>
          <w:i/>
          <w:iCs/>
          <w:lang w:val="en-US"/>
        </w:rPr>
        <w:t>Welcomes with appreciation</w:t>
      </w:r>
      <w:r w:rsidR="00A137C7" w:rsidRPr="00A137C7">
        <w:rPr>
          <w:lang w:val="en-US"/>
        </w:rPr>
        <w:t xml:space="preserve"> the efforts of the co-chairs of the Sharm el-Sheikh dialogue on the scope of Article 2, paragraph 1(c), of the Paris Agreement and its complementarity with Article 9 of the Paris Agreement, including to facilitate constructive and open discussions and exchange of views and information among Parties, relevant organizations and other stakeholders at the workshops held under the dialogue in 2024;</w:t>
      </w:r>
    </w:p>
    <w:p w14:paraId="66E74D5D" w14:textId="785827D8" w:rsidR="00A137C7" w:rsidRDefault="004250A3" w:rsidP="004250A3">
      <w:pPr>
        <w:pStyle w:val="RegSingleTxtG"/>
        <w:numPr>
          <w:ilvl w:val="0"/>
          <w:numId w:val="0"/>
        </w:numPr>
        <w:ind w:left="1134"/>
      </w:pPr>
      <w:r>
        <w:t>2.</w:t>
      </w:r>
      <w:r>
        <w:tab/>
      </w:r>
      <w:r w:rsidR="00A137C7">
        <w:rPr>
          <w:i/>
          <w:iCs/>
        </w:rPr>
        <w:t>E</w:t>
      </w:r>
      <w:r w:rsidR="00A137C7" w:rsidRPr="008D5CF2">
        <w:rPr>
          <w:i/>
          <w:iCs/>
        </w:rPr>
        <w:t>xpresses appreciation</w:t>
      </w:r>
      <w:r w:rsidR="00A137C7" w:rsidRPr="0013600D">
        <w:t xml:space="preserve"> to the Government of Egypt for hosting the second workshop under the dialogue in 2024</w:t>
      </w:r>
      <w:r w:rsidR="00A137C7">
        <w:t>;</w:t>
      </w:r>
    </w:p>
    <w:p w14:paraId="528FDD5F" w14:textId="21709D88" w:rsidR="00A137C7" w:rsidRPr="005507C4" w:rsidRDefault="004250A3" w:rsidP="004250A3">
      <w:pPr>
        <w:pStyle w:val="RegSingleTxtG"/>
        <w:numPr>
          <w:ilvl w:val="0"/>
          <w:numId w:val="0"/>
        </w:numPr>
        <w:ind w:left="1134"/>
        <w:rPr>
          <w:lang w:val="en-US"/>
        </w:rPr>
      </w:pPr>
      <w:r w:rsidRPr="005507C4">
        <w:rPr>
          <w:lang w:val="en-US"/>
        </w:rPr>
        <w:t>3.</w:t>
      </w:r>
      <w:r w:rsidRPr="005507C4">
        <w:rPr>
          <w:lang w:val="en-US"/>
        </w:rPr>
        <w:tab/>
      </w:r>
      <w:r w:rsidR="00A137C7" w:rsidRPr="008D5CF2">
        <w:rPr>
          <w:i/>
          <w:iCs/>
          <w:lang w:val="en-US"/>
        </w:rPr>
        <w:t>Notes with appreciation</w:t>
      </w:r>
      <w:r w:rsidR="00A137C7">
        <w:rPr>
          <w:i/>
          <w:iCs/>
          <w:lang w:val="en-US"/>
        </w:rPr>
        <w:t xml:space="preserve"> </w:t>
      </w:r>
      <w:r w:rsidR="00A137C7" w:rsidRPr="005B3E3C">
        <w:rPr>
          <w:lang w:val="en-US"/>
        </w:rPr>
        <w:t xml:space="preserve">the </w:t>
      </w:r>
      <w:r w:rsidR="00A137C7">
        <w:rPr>
          <w:lang w:val="en-US"/>
        </w:rPr>
        <w:t xml:space="preserve">2024 </w:t>
      </w:r>
      <w:r w:rsidR="00A137C7" w:rsidRPr="005B3E3C">
        <w:rPr>
          <w:lang w:val="en-US"/>
        </w:rPr>
        <w:t>report by the co-chairs on the Sharm el-Sheikh dialogue</w:t>
      </w:r>
      <w:r w:rsidR="00A137C7">
        <w:rPr>
          <w:lang w:val="en-US"/>
        </w:rPr>
        <w:t>;</w:t>
      </w:r>
      <w:r w:rsidR="00A137C7">
        <w:rPr>
          <w:rStyle w:val="FootnoteReference"/>
        </w:rPr>
        <w:footnoteReference w:id="40"/>
      </w:r>
      <w:r w:rsidR="00A137C7">
        <w:t xml:space="preserve"> </w:t>
      </w:r>
    </w:p>
    <w:p w14:paraId="742C77A0" w14:textId="08BEF95A" w:rsidR="00A137C7" w:rsidRDefault="004250A3" w:rsidP="004250A3">
      <w:pPr>
        <w:pStyle w:val="RegSingleTxtG"/>
        <w:numPr>
          <w:ilvl w:val="0"/>
          <w:numId w:val="0"/>
        </w:numPr>
        <w:ind w:left="1134"/>
        <w:rPr>
          <w:lang w:val="en-US"/>
        </w:rPr>
      </w:pPr>
      <w:r>
        <w:rPr>
          <w:lang w:val="en-US"/>
        </w:rPr>
        <w:t>4.</w:t>
      </w:r>
      <w:r>
        <w:rPr>
          <w:lang w:val="en-US"/>
        </w:rPr>
        <w:tab/>
      </w:r>
      <w:r w:rsidR="00A137C7">
        <w:rPr>
          <w:rFonts w:eastAsia="Times New Roman"/>
          <w:i/>
          <w:iCs/>
          <w:color w:val="000000" w:themeColor="text1"/>
        </w:rPr>
        <w:t>E</w:t>
      </w:r>
      <w:r w:rsidR="00A137C7" w:rsidRPr="008D5CF2">
        <w:rPr>
          <w:rFonts w:eastAsia="Times New Roman"/>
          <w:i/>
          <w:iCs/>
          <w:color w:val="000000" w:themeColor="text1"/>
        </w:rPr>
        <w:t>ncourages</w:t>
      </w:r>
      <w:r w:rsidR="00A137C7">
        <w:rPr>
          <w:rFonts w:eastAsia="Times New Roman"/>
          <w:color w:val="000000" w:themeColor="text1"/>
        </w:rPr>
        <w:t xml:space="preserve"> the co-chairs to continue enhancing their efforts to organize and conduct the workshops to be held under the dialogue in 2025 in an inclusive, open and transparent manner</w:t>
      </w:r>
      <w:r w:rsidR="00A137C7" w:rsidRPr="42AFAF8C">
        <w:rPr>
          <w:rFonts w:eastAsia="Times New Roman"/>
          <w:color w:val="000000" w:themeColor="text1"/>
        </w:rPr>
        <w:t>,</w:t>
      </w:r>
      <w:r w:rsidR="00A137C7">
        <w:rPr>
          <w:rFonts w:eastAsia="Times New Roman"/>
          <w:color w:val="000000" w:themeColor="text1"/>
        </w:rPr>
        <w:t xml:space="preserve"> including with regard to ensuring participatory representativeness, facilitating the engagement of Parties and non-Party stakeholders and aiming to have content relevant to all Parties; </w:t>
      </w:r>
    </w:p>
    <w:p w14:paraId="19DF1910" w14:textId="0E12F7F4" w:rsidR="006D49CA" w:rsidRDefault="004250A3" w:rsidP="004250A3">
      <w:pPr>
        <w:pStyle w:val="RegSingleTxtG"/>
        <w:numPr>
          <w:ilvl w:val="0"/>
          <w:numId w:val="0"/>
        </w:numPr>
        <w:ind w:left="1134"/>
        <w:rPr>
          <w:lang w:val="en-US"/>
        </w:rPr>
      </w:pPr>
      <w:r>
        <w:rPr>
          <w:lang w:val="en-US"/>
        </w:rPr>
        <w:t>5.</w:t>
      </w:r>
      <w:r>
        <w:rPr>
          <w:lang w:val="en-US"/>
        </w:rPr>
        <w:tab/>
      </w:r>
      <w:r w:rsidR="00A137C7" w:rsidRPr="2A616230">
        <w:rPr>
          <w:i/>
          <w:iCs/>
          <w:lang w:val="en-US"/>
        </w:rPr>
        <w:t xml:space="preserve">Invites </w:t>
      </w:r>
      <w:r w:rsidR="00A137C7" w:rsidRPr="00A26379">
        <w:rPr>
          <w:lang w:val="en-US"/>
        </w:rPr>
        <w:t xml:space="preserve">Parties, </w:t>
      </w:r>
      <w:r w:rsidR="00A137C7">
        <w:rPr>
          <w:lang w:val="en-US"/>
        </w:rPr>
        <w:t xml:space="preserve">the </w:t>
      </w:r>
      <w:r w:rsidR="00951654">
        <w:rPr>
          <w:lang w:val="en-US"/>
        </w:rPr>
        <w:t xml:space="preserve">UNFCCC </w:t>
      </w:r>
      <w:r w:rsidR="00A137C7" w:rsidRPr="00A26379">
        <w:rPr>
          <w:lang w:val="en-US"/>
        </w:rPr>
        <w:t>constituted bodies, the operating entities of the Financial Mechanism, climate finance institutions, observers</w:t>
      </w:r>
      <w:r w:rsidR="00A137C7">
        <w:rPr>
          <w:lang w:val="en-US"/>
        </w:rPr>
        <w:t xml:space="preserve"> and observer organizations,</w:t>
      </w:r>
      <w:r w:rsidR="00A137C7" w:rsidRPr="00A26379">
        <w:rPr>
          <w:lang w:val="en-US"/>
        </w:rPr>
        <w:t xml:space="preserve"> and other stakeholders, particularly from the private sector</w:t>
      </w:r>
      <w:r w:rsidR="00A137C7">
        <w:rPr>
          <w:lang w:val="en-US"/>
        </w:rPr>
        <w:t>,</w:t>
      </w:r>
      <w:r w:rsidR="00A137C7" w:rsidRPr="00A26379">
        <w:rPr>
          <w:lang w:val="en-US"/>
        </w:rPr>
        <w:t xml:space="preserve"> to submit</w:t>
      </w:r>
      <w:r w:rsidR="00A137C7">
        <w:rPr>
          <w:lang w:val="en-US"/>
        </w:rPr>
        <w:t xml:space="preserve"> via the submission portal</w:t>
      </w:r>
      <w:r w:rsidR="00A137C7">
        <w:rPr>
          <w:rStyle w:val="FootnoteReference"/>
          <w:lang w:val="en-US"/>
        </w:rPr>
        <w:footnoteReference w:id="41"/>
      </w:r>
      <w:r w:rsidR="00A137C7">
        <w:rPr>
          <w:lang w:val="en-US"/>
        </w:rPr>
        <w:t xml:space="preserve"> by 1 March 2025 </w:t>
      </w:r>
      <w:r w:rsidR="00A137C7" w:rsidRPr="00A26379">
        <w:rPr>
          <w:lang w:val="en-US"/>
        </w:rPr>
        <w:t>views on the issues to be addressed during the workshops</w:t>
      </w:r>
      <w:r w:rsidR="00A137C7">
        <w:rPr>
          <w:lang w:val="en-US"/>
        </w:rPr>
        <w:t xml:space="preserve"> to be held</w:t>
      </w:r>
      <w:r w:rsidR="00A137C7" w:rsidRPr="00A26379">
        <w:rPr>
          <w:lang w:val="en-US"/>
        </w:rPr>
        <w:t xml:space="preserve"> in 2025</w:t>
      </w:r>
      <w:r w:rsidR="00A137C7">
        <w:rPr>
          <w:lang w:val="en-US"/>
        </w:rPr>
        <w:t>;</w:t>
      </w:r>
    </w:p>
    <w:p w14:paraId="2A8186F8" w14:textId="42BF1DDB" w:rsidR="00A137C7" w:rsidRDefault="004250A3" w:rsidP="004250A3">
      <w:pPr>
        <w:pStyle w:val="RegSingleTxtG"/>
        <w:numPr>
          <w:ilvl w:val="0"/>
          <w:numId w:val="0"/>
        </w:numPr>
        <w:ind w:left="1134"/>
        <w:rPr>
          <w:lang w:val="en-US"/>
        </w:rPr>
      </w:pPr>
      <w:r>
        <w:rPr>
          <w:lang w:val="en-US"/>
        </w:rPr>
        <w:t>6.</w:t>
      </w:r>
      <w:r>
        <w:rPr>
          <w:lang w:val="en-US"/>
        </w:rPr>
        <w:tab/>
      </w:r>
      <w:r w:rsidR="00A137C7" w:rsidRPr="006D49CA">
        <w:rPr>
          <w:i/>
          <w:iCs/>
          <w:lang w:val="en-US"/>
        </w:rPr>
        <w:t>Expresses gratitude</w:t>
      </w:r>
      <w:r w:rsidR="00A137C7" w:rsidRPr="006D49CA">
        <w:rPr>
          <w:lang w:val="en-US"/>
        </w:rPr>
        <w:t xml:space="preserve"> to the Governments of Germany and Switzerland for their financial support for conducting activities under the dialogue in 2024.</w:t>
      </w:r>
    </w:p>
    <w:p w14:paraId="5DEBD062" w14:textId="1569571E" w:rsidR="006D49CA" w:rsidRDefault="00E41E8E" w:rsidP="006D49CA">
      <w:pPr>
        <w:pStyle w:val="RegSingleTxtG"/>
        <w:numPr>
          <w:ilvl w:val="0"/>
          <w:numId w:val="0"/>
        </w:numPr>
        <w:spacing w:after="0"/>
        <w:ind w:left="1134"/>
        <w:jc w:val="right"/>
        <w:rPr>
          <w:i/>
          <w:iCs/>
          <w:lang w:val="en-US"/>
        </w:rPr>
      </w:pPr>
      <w:r>
        <w:rPr>
          <w:i/>
          <w:iCs/>
          <w:lang w:val="en-US"/>
        </w:rPr>
        <w:t>11</w:t>
      </w:r>
      <w:r w:rsidRPr="00E41E8E">
        <w:rPr>
          <w:i/>
          <w:iCs/>
          <w:vertAlign w:val="superscript"/>
          <w:lang w:val="en-US"/>
        </w:rPr>
        <w:t>th</w:t>
      </w:r>
      <w:r>
        <w:rPr>
          <w:i/>
          <w:iCs/>
          <w:lang w:val="en-US"/>
        </w:rPr>
        <w:t xml:space="preserve"> </w:t>
      </w:r>
      <w:r w:rsidR="006D49CA">
        <w:rPr>
          <w:i/>
          <w:iCs/>
          <w:lang w:val="en-US"/>
        </w:rPr>
        <w:t>plenary meeting</w:t>
      </w:r>
    </w:p>
    <w:p w14:paraId="1DEC544A" w14:textId="25A4367B" w:rsidR="006D49CA" w:rsidRPr="006D49CA" w:rsidRDefault="00E41E8E" w:rsidP="006D49CA">
      <w:pPr>
        <w:pStyle w:val="RegSingleTxtG"/>
        <w:numPr>
          <w:ilvl w:val="0"/>
          <w:numId w:val="0"/>
        </w:numPr>
        <w:spacing w:after="0"/>
        <w:ind w:left="1134"/>
        <w:jc w:val="right"/>
        <w:rPr>
          <w:lang w:val="en-US"/>
        </w:rPr>
      </w:pPr>
      <w:r>
        <w:rPr>
          <w:i/>
          <w:iCs/>
          <w:lang w:val="en-US"/>
        </w:rPr>
        <w:t>23</w:t>
      </w:r>
      <w:r w:rsidR="006D49CA">
        <w:rPr>
          <w:i/>
          <w:iCs/>
          <w:lang w:val="en-US"/>
        </w:rPr>
        <w:t xml:space="preserve"> November 2024</w:t>
      </w:r>
    </w:p>
    <w:p w14:paraId="404D4058" w14:textId="77777777" w:rsidR="006D49CA" w:rsidRDefault="006D49CA" w:rsidP="004250A3">
      <w:pPr>
        <w:pStyle w:val="RegHChG"/>
        <w:numPr>
          <w:ilvl w:val="0"/>
          <w:numId w:val="0"/>
        </w:numPr>
        <w:ind w:left="1135" w:hanging="454"/>
      </w:pPr>
    </w:p>
    <w:p w14:paraId="0B539C52" w14:textId="716820CC" w:rsidR="00EE5646" w:rsidRDefault="004250A3" w:rsidP="004250A3">
      <w:pPr>
        <w:pStyle w:val="RegHChG"/>
        <w:numPr>
          <w:ilvl w:val="0"/>
          <w:numId w:val="0"/>
        </w:numPr>
        <w:tabs>
          <w:tab w:val="left" w:pos="1135"/>
        </w:tabs>
        <w:ind w:left="1135" w:hanging="454"/>
        <w:sectPr w:rsidR="00EE5646" w:rsidSect="00F76195">
          <w:headerReference w:type="default" r:id="rId119"/>
          <w:footerReference w:type="default" r:id="rId120"/>
          <w:footnotePr>
            <w:numRestart w:val="eachSect"/>
          </w:footnotePr>
          <w:pgSz w:w="11906" w:h="16838" w:code="9"/>
          <w:pgMar w:top="1417" w:right="1134" w:bottom="1134" w:left="1134" w:header="850" w:footer="567" w:gutter="0"/>
          <w:cols w:space="708"/>
          <w:docGrid w:linePitch="360"/>
        </w:sectPr>
      </w:pPr>
      <w:r>
        <w:t>I.</w:t>
      </w:r>
      <w:r>
        <w:tab/>
      </w:r>
    </w:p>
    <w:p w14:paraId="2BDAE3C1" w14:textId="1D5742EC" w:rsidR="00EE5646" w:rsidRDefault="00EE5646" w:rsidP="004250A3">
      <w:pPr>
        <w:pStyle w:val="RegHChG"/>
        <w:numPr>
          <w:ilvl w:val="0"/>
          <w:numId w:val="0"/>
        </w:numPr>
        <w:ind w:left="1135" w:hanging="454"/>
      </w:pPr>
      <w:bookmarkStart w:id="18" w:name="decision15"/>
      <w:r>
        <w:lastRenderedPageBreak/>
        <w:t xml:space="preserve">Decision </w:t>
      </w:r>
      <w:r w:rsidRPr="00A573BC">
        <w:t>15/CMA.6</w:t>
      </w:r>
    </w:p>
    <w:bookmarkEnd w:id="18"/>
    <w:p w14:paraId="464620F9" w14:textId="505FA86C" w:rsidR="001240A5" w:rsidRPr="00A96DC7" w:rsidRDefault="001240A5" w:rsidP="004250A3">
      <w:pPr>
        <w:pStyle w:val="RegHChG"/>
        <w:numPr>
          <w:ilvl w:val="0"/>
          <w:numId w:val="0"/>
        </w:numPr>
        <w:ind w:left="1135" w:hanging="454"/>
      </w:pPr>
      <w:r w:rsidRPr="004126F6">
        <w:t>Report of developed country Parties on doubling the collective provision of climate finance for adaptation to developing country Parties from 2019 levels by 2025</w:t>
      </w:r>
    </w:p>
    <w:p w14:paraId="0B6BC85A" w14:textId="77777777" w:rsidR="001240A5" w:rsidRPr="0092463F" w:rsidRDefault="001240A5" w:rsidP="001240A5">
      <w:pPr>
        <w:pStyle w:val="RegSingleTxtG"/>
        <w:numPr>
          <w:ilvl w:val="0"/>
          <w:numId w:val="0"/>
        </w:numPr>
        <w:ind w:left="1134"/>
      </w:pPr>
      <w:r>
        <w:tab/>
      </w:r>
      <w:r w:rsidRPr="00ED01CE">
        <w:rPr>
          <w:i/>
          <w:iCs/>
        </w:rPr>
        <w:t>The Conference of the Parties serving as the meeting of the Parties to the Paris Agreement</w:t>
      </w:r>
      <w:r w:rsidRPr="009D0BE4">
        <w:t>,</w:t>
      </w:r>
    </w:p>
    <w:p w14:paraId="40F1DAA5" w14:textId="77777777" w:rsidR="001240A5" w:rsidRDefault="001240A5" w:rsidP="00ED01CE">
      <w:pPr>
        <w:pStyle w:val="RegSingleTxtG"/>
        <w:numPr>
          <w:ilvl w:val="0"/>
          <w:numId w:val="0"/>
        </w:numPr>
        <w:ind w:left="1701"/>
      </w:pPr>
      <w:r w:rsidRPr="0092463F">
        <w:rPr>
          <w:i/>
          <w:iCs/>
        </w:rPr>
        <w:t>Recalling</w:t>
      </w:r>
      <w:r>
        <w:t xml:space="preserve"> Article 9, paragraph 4, of the Paris Agreement,</w:t>
      </w:r>
    </w:p>
    <w:p w14:paraId="2391E824" w14:textId="045A2F33" w:rsidR="00ED01CE" w:rsidRDefault="001240A5" w:rsidP="00ED01CE">
      <w:pPr>
        <w:pStyle w:val="RegSingleTxtG"/>
        <w:numPr>
          <w:ilvl w:val="0"/>
          <w:numId w:val="0"/>
        </w:numPr>
        <w:ind w:left="1701"/>
      </w:pPr>
      <w:r w:rsidRPr="0092463F">
        <w:rPr>
          <w:i/>
          <w:iCs/>
        </w:rPr>
        <w:t>Also recalling</w:t>
      </w:r>
      <w:r>
        <w:t xml:space="preserve"> decisions </w:t>
      </w:r>
      <w:hyperlink r:id="rId121" w:history="1">
        <w:r w:rsidRPr="00C479DE">
          <w:rPr>
            <w:rStyle w:val="Hyperlink"/>
          </w:rPr>
          <w:t>1/CMA.3</w:t>
        </w:r>
      </w:hyperlink>
      <w:r>
        <w:t xml:space="preserve">, paragraph 18, and </w:t>
      </w:r>
      <w:hyperlink r:id="rId122" w:history="1">
        <w:r w:rsidRPr="00C479DE">
          <w:rPr>
            <w:rStyle w:val="Hyperlink"/>
          </w:rPr>
          <w:t>1/CMA.5</w:t>
        </w:r>
      </w:hyperlink>
      <w:r>
        <w:t>, paragraph 100,</w:t>
      </w:r>
    </w:p>
    <w:p w14:paraId="1DEA5466" w14:textId="70F12767" w:rsidR="001240A5" w:rsidRDefault="001240A5" w:rsidP="005005F8">
      <w:pPr>
        <w:pStyle w:val="RegSingleTxtG"/>
        <w:numPr>
          <w:ilvl w:val="0"/>
          <w:numId w:val="0"/>
        </w:numPr>
        <w:tabs>
          <w:tab w:val="clear" w:pos="1701"/>
          <w:tab w:val="left" w:pos="1843"/>
        </w:tabs>
        <w:ind w:left="1134" w:firstLine="567"/>
        <w:rPr>
          <w:i/>
          <w:iCs/>
        </w:rPr>
      </w:pPr>
      <w:r w:rsidRPr="00FD1BC5">
        <w:rPr>
          <w:i/>
          <w:iCs/>
          <w:lang w:val="en-US"/>
        </w:rPr>
        <w:t xml:space="preserve">Takes note </w:t>
      </w:r>
      <w:r w:rsidRPr="00FD1BC5">
        <w:rPr>
          <w:lang w:val="en-US"/>
        </w:rPr>
        <w:t>of the effort</w:t>
      </w:r>
      <w:r>
        <w:rPr>
          <w:lang w:val="en-US"/>
        </w:rPr>
        <w:t>s</w:t>
      </w:r>
      <w:r w:rsidRPr="00FD1BC5">
        <w:rPr>
          <w:lang w:val="en-US"/>
        </w:rPr>
        <w:t xml:space="preserve"> undertaken in response to paragraph 100 of decision</w:t>
      </w:r>
      <w:r>
        <w:rPr>
          <w:lang w:val="en-US"/>
        </w:rPr>
        <w:t> </w:t>
      </w:r>
      <w:hyperlink r:id="rId123" w:history="1">
        <w:r w:rsidRPr="00C479DE">
          <w:rPr>
            <w:rStyle w:val="Hyperlink"/>
            <w:lang w:val="en-US"/>
          </w:rPr>
          <w:t>1/CMA.5</w:t>
        </w:r>
      </w:hyperlink>
      <w:r w:rsidRPr="00FD1BC5">
        <w:rPr>
          <w:i/>
          <w:iCs/>
        </w:rPr>
        <w:t>.</w:t>
      </w:r>
    </w:p>
    <w:p w14:paraId="306AD301" w14:textId="3F78C94C" w:rsidR="00B224EB" w:rsidRDefault="00E41E8E" w:rsidP="00B224EB">
      <w:pPr>
        <w:pStyle w:val="RegSingleTxtG"/>
        <w:numPr>
          <w:ilvl w:val="0"/>
          <w:numId w:val="0"/>
        </w:numPr>
        <w:spacing w:after="0"/>
        <w:ind w:left="1701"/>
        <w:jc w:val="right"/>
        <w:rPr>
          <w:i/>
          <w:iCs/>
        </w:rPr>
      </w:pPr>
      <w:r>
        <w:rPr>
          <w:i/>
          <w:iCs/>
        </w:rPr>
        <w:t>11</w:t>
      </w:r>
      <w:r w:rsidRPr="00E41E8E">
        <w:rPr>
          <w:i/>
          <w:iCs/>
          <w:vertAlign w:val="superscript"/>
        </w:rPr>
        <w:t>th</w:t>
      </w:r>
      <w:r>
        <w:rPr>
          <w:i/>
          <w:iCs/>
        </w:rPr>
        <w:t xml:space="preserve"> </w:t>
      </w:r>
      <w:r w:rsidR="00B224EB">
        <w:rPr>
          <w:i/>
          <w:iCs/>
        </w:rPr>
        <w:t>plenary meeting</w:t>
      </w:r>
    </w:p>
    <w:p w14:paraId="04761FA2" w14:textId="3B17910E" w:rsidR="00B224EB" w:rsidRDefault="00E41E8E" w:rsidP="00B224EB">
      <w:pPr>
        <w:pStyle w:val="RegSingleTxtG"/>
        <w:numPr>
          <w:ilvl w:val="0"/>
          <w:numId w:val="0"/>
        </w:numPr>
        <w:spacing w:after="0"/>
        <w:ind w:left="1701"/>
        <w:jc w:val="right"/>
        <w:rPr>
          <w:i/>
          <w:iCs/>
        </w:rPr>
      </w:pPr>
      <w:r>
        <w:rPr>
          <w:i/>
          <w:iCs/>
        </w:rPr>
        <w:t>23</w:t>
      </w:r>
      <w:r w:rsidR="00B224EB">
        <w:rPr>
          <w:i/>
          <w:iCs/>
        </w:rPr>
        <w:t xml:space="preserve"> November 2024</w:t>
      </w:r>
    </w:p>
    <w:p w14:paraId="4A9B9EBA" w14:textId="5AF20125" w:rsidR="00F76195" w:rsidRDefault="00B224EB" w:rsidP="00B224EB">
      <w:pPr>
        <w:spacing w:before="240"/>
        <w:ind w:left="1134" w:right="1134"/>
        <w:jc w:val="center"/>
        <w:rPr>
          <w:u w:val="single"/>
        </w:rPr>
      </w:pPr>
      <w:r>
        <w:rPr>
          <w:u w:val="single"/>
        </w:rPr>
        <w:tab/>
      </w:r>
      <w:r>
        <w:rPr>
          <w:u w:val="single"/>
        </w:rPr>
        <w:tab/>
      </w:r>
      <w:r>
        <w:rPr>
          <w:u w:val="single"/>
        </w:rPr>
        <w:tab/>
      </w:r>
      <w:r>
        <w:rPr>
          <w:u w:val="single"/>
        </w:rPr>
        <w:tab/>
      </w:r>
    </w:p>
    <w:p w14:paraId="3D2CA96B" w14:textId="15720194" w:rsidR="00B224EB" w:rsidRPr="00F76195" w:rsidRDefault="00B224EB" w:rsidP="00F76195">
      <w:pPr>
        <w:suppressAutoHyphens w:val="0"/>
        <w:spacing w:line="240" w:lineRule="auto"/>
        <w:rPr>
          <w:u w:val="single"/>
        </w:rPr>
      </w:pPr>
    </w:p>
    <w:sectPr w:rsidR="00B224EB" w:rsidRPr="00F76195" w:rsidSect="00F76195">
      <w:headerReference w:type="even" r:id="rId124"/>
      <w:headerReference w:type="default" r:id="rId125"/>
      <w:footerReference w:type="even" r:id="rId126"/>
      <w:footerReference w:type="default" r:id="rId127"/>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0969" w14:textId="77777777" w:rsidR="000347AF" w:rsidRPr="008362C4" w:rsidRDefault="000347AF" w:rsidP="008362C4">
      <w:pPr>
        <w:spacing w:line="14" w:lineRule="exact"/>
        <w:rPr>
          <w:color w:val="FFFFFF" w:themeColor="background1"/>
        </w:rPr>
      </w:pPr>
      <w:r w:rsidRPr="008362C4">
        <w:rPr>
          <w:color w:val="FFFFFF" w:themeColor="background1"/>
        </w:rPr>
        <w:separator/>
      </w:r>
    </w:p>
    <w:p w14:paraId="72F4EED6" w14:textId="77777777" w:rsidR="000347AF" w:rsidRPr="008362C4" w:rsidRDefault="000347AF" w:rsidP="00C45173">
      <w:pPr>
        <w:spacing w:line="14" w:lineRule="atLeast"/>
        <w:rPr>
          <w:color w:val="FFFFFF" w:themeColor="background1"/>
          <w:sz w:val="2"/>
          <w:szCs w:val="2"/>
        </w:rPr>
      </w:pPr>
    </w:p>
  </w:endnote>
  <w:endnote w:type="continuationSeparator" w:id="0">
    <w:p w14:paraId="52A825D5" w14:textId="77777777" w:rsidR="000347AF" w:rsidRDefault="000347AF">
      <w:r>
        <w:continuationSeparator/>
      </w:r>
    </w:p>
    <w:p w14:paraId="17C04821" w14:textId="77777777" w:rsidR="000347AF" w:rsidRDefault="000347AF"/>
  </w:endnote>
  <w:endnote w:type="continuationNotice" w:id="1">
    <w:p w14:paraId="634B52B6" w14:textId="77777777" w:rsidR="000347AF" w:rsidRDefault="000347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881E" w14:textId="3E1570B8" w:rsidR="0031149B" w:rsidRPr="00F76195" w:rsidRDefault="00F76195" w:rsidP="00F76195">
    <w:pPr>
      <w:pStyle w:val="Footer"/>
      <w:tabs>
        <w:tab w:val="right" w:pos="9638"/>
      </w:tabs>
    </w:pP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3</w:t>
    </w:r>
    <w:r w:rsidRPr="00F76195">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8E6C" w14:textId="1A73FCE9" w:rsidR="00F76195" w:rsidRPr="00F76195" w:rsidRDefault="00F76195" w:rsidP="00F76195">
    <w:pPr>
      <w:pStyle w:val="Footer"/>
      <w:tabs>
        <w:tab w:val="right" w:pos="9638"/>
      </w:tabs>
    </w:pP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16</w:t>
    </w:r>
    <w:r w:rsidRPr="00F76195">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09206" w14:textId="63E68E5E" w:rsidR="00F76195" w:rsidRPr="00F76195" w:rsidRDefault="00F76195" w:rsidP="00F76195">
    <w:pPr>
      <w:pStyle w:val="Footer"/>
      <w:tabs>
        <w:tab w:val="right" w:pos="9638"/>
      </w:tabs>
      <w:rPr>
        <w:b/>
        <w:sz w:val="18"/>
      </w:rPr>
    </w:pPr>
    <w:r>
      <w:tab/>
    </w: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18</w:t>
    </w:r>
    <w:r w:rsidRPr="00F76195">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FC8F" w14:textId="66F76CBF" w:rsidR="00F76195" w:rsidRPr="00F76195" w:rsidRDefault="00F76195" w:rsidP="00F76195">
    <w:pPr>
      <w:pStyle w:val="Footer"/>
      <w:tabs>
        <w:tab w:val="right" w:pos="9638"/>
      </w:tabs>
      <w:rPr>
        <w:b/>
        <w:sz w:val="18"/>
      </w:rPr>
    </w:pPr>
    <w:r>
      <w:tab/>
    </w: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20</w:t>
    </w:r>
    <w:r w:rsidRPr="00F76195">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8504" w14:textId="6F197449" w:rsidR="00F76195" w:rsidRPr="00F76195" w:rsidRDefault="00F76195" w:rsidP="00F76195">
    <w:pPr>
      <w:pStyle w:val="Footer"/>
      <w:tabs>
        <w:tab w:val="right" w:pos="9638"/>
      </w:tabs>
    </w:pP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22</w:t>
    </w:r>
    <w:r w:rsidRPr="00F76195">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4ECF" w14:textId="77777777" w:rsidR="00F76195" w:rsidRPr="00F76195" w:rsidRDefault="00F76195" w:rsidP="00F76195">
    <w:pPr>
      <w:pStyle w:val="Footer"/>
      <w:tabs>
        <w:tab w:val="right" w:pos="9638"/>
      </w:tabs>
      <w:rPr>
        <w:b/>
        <w:sz w:val="18"/>
      </w:rPr>
    </w:pPr>
    <w:r>
      <w:tab/>
    </w: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16</w:t>
    </w:r>
    <w:r w:rsidRPr="00F76195">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BBB8" w14:textId="188B1B08" w:rsidR="003F6A01" w:rsidRPr="00F76195" w:rsidRDefault="00F76195" w:rsidP="00F76195">
    <w:pPr>
      <w:pStyle w:val="Footer"/>
      <w:tabs>
        <w:tab w:val="right" w:pos="9638"/>
      </w:tabs>
      <w:rPr>
        <w:b/>
        <w:sz w:val="18"/>
      </w:rPr>
    </w:pPr>
    <w:r>
      <w:tab/>
    </w: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4</w:t>
    </w:r>
    <w:r w:rsidRPr="00F76195">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6B7A" w14:textId="4EC4D802" w:rsidR="00F76195" w:rsidRPr="00F76195" w:rsidRDefault="00F76195" w:rsidP="00F76195">
    <w:pPr>
      <w:pStyle w:val="Footer"/>
      <w:tabs>
        <w:tab w:val="right" w:pos="9638"/>
      </w:tabs>
    </w:pP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7</w:t>
    </w:r>
    <w:r w:rsidRPr="00F76195">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32AB" w14:textId="08811212" w:rsidR="00F76195" w:rsidRPr="00F76195" w:rsidRDefault="00F76195" w:rsidP="00F76195">
    <w:pPr>
      <w:pStyle w:val="Footer"/>
      <w:tabs>
        <w:tab w:val="right" w:pos="9638"/>
      </w:tabs>
    </w:pP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9</w:t>
    </w:r>
    <w:r w:rsidRPr="00F76195">
      <w:rPr>
        <w:b/>
        <w:sz w:val="18"/>
      </w:rPr>
      <w:fldChar w:fldCharType="end"/>
    </w: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D122" w14:textId="538F9DC0" w:rsidR="00F76195" w:rsidRPr="00F76195" w:rsidRDefault="00F76195" w:rsidP="00F76195">
    <w:pPr>
      <w:pStyle w:val="Footer"/>
      <w:tabs>
        <w:tab w:val="right" w:pos="9638"/>
      </w:tabs>
      <w:rPr>
        <w:b/>
        <w:sz w:val="18"/>
      </w:rPr>
    </w:pPr>
    <w:r>
      <w:tab/>
    </w: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8</w:t>
    </w:r>
    <w:r w:rsidRPr="00F76195">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5107" w14:textId="7E79FE31" w:rsidR="00F76195" w:rsidRPr="00F76195" w:rsidRDefault="00F76195" w:rsidP="00F76195">
    <w:pPr>
      <w:pStyle w:val="Footer"/>
      <w:tabs>
        <w:tab w:val="right" w:pos="9638"/>
      </w:tabs>
    </w:pP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11</w:t>
    </w:r>
    <w:r w:rsidRPr="00F76195">
      <w:rPr>
        <w:b/>
        <w:sz w:val="18"/>
      </w:rPr>
      <w:fldChar w:fldCharType="end"/>
    </w: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A04F" w14:textId="5D3EC4F7" w:rsidR="00F76195" w:rsidRPr="00F76195" w:rsidRDefault="00F76195" w:rsidP="00F76195">
    <w:pPr>
      <w:pStyle w:val="Footer"/>
      <w:tabs>
        <w:tab w:val="right" w:pos="9638"/>
      </w:tabs>
      <w:rPr>
        <w:b/>
        <w:sz w:val="18"/>
      </w:rPr>
    </w:pPr>
    <w:r>
      <w:tab/>
    </w: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12</w:t>
    </w:r>
    <w:r w:rsidRPr="00F76195">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4D10" w14:textId="6207390C" w:rsidR="00F76195" w:rsidRPr="00F76195" w:rsidRDefault="00F76195" w:rsidP="00F76195">
    <w:pPr>
      <w:pStyle w:val="Footer"/>
      <w:tabs>
        <w:tab w:val="right" w:pos="9638"/>
      </w:tabs>
    </w:pP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12</w:t>
    </w:r>
    <w:r w:rsidRPr="00F76195">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D776" w14:textId="560A9584" w:rsidR="00F76195" w:rsidRPr="00F76195" w:rsidRDefault="00F76195" w:rsidP="00F76195">
    <w:pPr>
      <w:pStyle w:val="Footer"/>
      <w:tabs>
        <w:tab w:val="right" w:pos="9638"/>
      </w:tabs>
      <w:rPr>
        <w:b/>
        <w:sz w:val="18"/>
      </w:rPr>
    </w:pPr>
    <w:r>
      <w:tab/>
    </w:r>
    <w:r w:rsidRPr="00F76195">
      <w:rPr>
        <w:b/>
        <w:sz w:val="18"/>
      </w:rPr>
      <w:fldChar w:fldCharType="begin"/>
    </w:r>
    <w:r w:rsidRPr="00F76195">
      <w:rPr>
        <w:b/>
        <w:sz w:val="18"/>
      </w:rPr>
      <w:instrText xml:space="preserve"> PAGE  \* MERGEFORMAT </w:instrText>
    </w:r>
    <w:r w:rsidRPr="00F76195">
      <w:rPr>
        <w:b/>
        <w:sz w:val="18"/>
      </w:rPr>
      <w:fldChar w:fldCharType="separate"/>
    </w:r>
    <w:r w:rsidRPr="00F76195">
      <w:rPr>
        <w:b/>
        <w:noProof/>
        <w:sz w:val="18"/>
      </w:rPr>
      <w:t>14</w:t>
    </w:r>
    <w:r w:rsidRPr="00F76195">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ABB26" w14:textId="77777777" w:rsidR="000347AF" w:rsidRDefault="000347AF">
      <w:r>
        <w:separator/>
      </w:r>
    </w:p>
  </w:footnote>
  <w:footnote w:type="continuationSeparator" w:id="0">
    <w:p w14:paraId="6AA3B63D" w14:textId="77777777" w:rsidR="000347AF" w:rsidRDefault="000347AF">
      <w:r>
        <w:continuationSeparator/>
      </w:r>
    </w:p>
    <w:p w14:paraId="25933D32" w14:textId="77777777" w:rsidR="000347AF" w:rsidRDefault="000347AF"/>
  </w:footnote>
  <w:footnote w:type="continuationNotice" w:id="1">
    <w:p w14:paraId="2D4D3EBC" w14:textId="77777777" w:rsidR="000347AF" w:rsidRDefault="000347AF">
      <w:pPr>
        <w:spacing w:line="240" w:lineRule="auto"/>
      </w:pPr>
    </w:p>
  </w:footnote>
  <w:footnote w:id="2">
    <w:p w14:paraId="1D0778C5" w14:textId="77777777" w:rsidR="001B7A11" w:rsidRPr="00C52822" w:rsidRDefault="001B7A11" w:rsidP="001B7A11">
      <w:pPr>
        <w:pStyle w:val="FootnoteText"/>
        <w:widowControl w:val="0"/>
        <w:tabs>
          <w:tab w:val="clear" w:pos="1021"/>
          <w:tab w:val="right" w:pos="1020"/>
        </w:tabs>
      </w:pPr>
      <w:r w:rsidRPr="00C52822">
        <w:tab/>
      </w:r>
      <w:r w:rsidRPr="00C52822">
        <w:rPr>
          <w:rStyle w:val="FootnoteReference"/>
        </w:rPr>
        <w:footnoteRef/>
      </w:r>
      <w:r w:rsidRPr="00C52822">
        <w:tab/>
        <w:t xml:space="preserve">Standing Committee on Finance. 2024. </w:t>
      </w:r>
      <w:r w:rsidRPr="00C52822">
        <w:rPr>
          <w:i/>
          <w:iCs/>
        </w:rPr>
        <w:t>Sixth Biennial Assessment and Overview of Climate Finance Flows</w:t>
      </w:r>
      <w:r w:rsidRPr="00C52822">
        <w:t xml:space="preserve">. Bonn: UNFCCC. Available at </w:t>
      </w:r>
      <w:hyperlink r:id="rId1" w:history="1">
        <w:r w:rsidRPr="00C52822">
          <w:rPr>
            <w:rStyle w:val="Hyperlink"/>
          </w:rPr>
          <w:t>https://unfccc.int/topics/climate-finance/resources/biennial-assessment-and-overview-of-climate-finance-flows</w:t>
        </w:r>
      </w:hyperlink>
      <w:r w:rsidRPr="00C52822">
        <w:t xml:space="preserve">. </w:t>
      </w:r>
    </w:p>
  </w:footnote>
  <w:footnote w:id="3">
    <w:p w14:paraId="42B0ED84" w14:textId="118A035E" w:rsidR="001B7A11" w:rsidRPr="002A315F" w:rsidRDefault="001B7A11" w:rsidP="001B7A11">
      <w:pPr>
        <w:pStyle w:val="FootnoteText"/>
        <w:widowControl w:val="0"/>
        <w:tabs>
          <w:tab w:val="clear" w:pos="1021"/>
          <w:tab w:val="right" w:pos="1020"/>
        </w:tabs>
      </w:pPr>
      <w:r w:rsidRPr="00C52822">
        <w:tab/>
      </w:r>
      <w:r w:rsidRPr="00C52822">
        <w:rPr>
          <w:rStyle w:val="FootnoteReference"/>
        </w:rPr>
        <w:footnoteRef/>
      </w:r>
      <w:r w:rsidRPr="00C52822">
        <w:tab/>
        <w:t xml:space="preserve">In accordance with decision </w:t>
      </w:r>
      <w:hyperlink r:id="rId2" w:history="1">
        <w:r w:rsidRPr="00C479DE">
          <w:rPr>
            <w:rStyle w:val="Hyperlink"/>
          </w:rPr>
          <w:t>9/CMA.5</w:t>
        </w:r>
      </w:hyperlink>
      <w:r w:rsidRPr="00C52822">
        <w:t xml:space="preserve">, para. </w:t>
      </w:r>
      <w:r w:rsidRPr="002A315F">
        <w:t xml:space="preserve">8. </w:t>
      </w:r>
    </w:p>
  </w:footnote>
  <w:footnote w:id="4">
    <w:p w14:paraId="1894B387" w14:textId="5ACEB94E" w:rsidR="001B7A11" w:rsidRPr="002A315F" w:rsidRDefault="001B7A11" w:rsidP="001B7A11">
      <w:pPr>
        <w:pStyle w:val="FootnoteText"/>
        <w:widowControl w:val="0"/>
      </w:pPr>
      <w:r w:rsidRPr="002A315F">
        <w:tab/>
      </w:r>
      <w:r w:rsidRPr="00C52822">
        <w:rPr>
          <w:rStyle w:val="FootnoteReference"/>
        </w:rPr>
        <w:footnoteRef/>
      </w:r>
      <w:r w:rsidRPr="002A315F">
        <w:tab/>
        <w:t xml:space="preserve">Decision </w:t>
      </w:r>
      <w:hyperlink r:id="rId3" w:history="1">
        <w:r w:rsidRPr="002A315F">
          <w:rPr>
            <w:rStyle w:val="Hyperlink"/>
          </w:rPr>
          <w:t>9/CMA.5</w:t>
        </w:r>
      </w:hyperlink>
      <w:r w:rsidRPr="002A315F">
        <w:t xml:space="preserve">, para. 3. </w:t>
      </w:r>
    </w:p>
  </w:footnote>
  <w:footnote w:id="5">
    <w:p w14:paraId="1BB7FBF7" w14:textId="173ED8FE" w:rsidR="001B7A11" w:rsidRPr="002A315F" w:rsidRDefault="001B7A11" w:rsidP="001B7A11">
      <w:pPr>
        <w:pStyle w:val="FootnoteText"/>
        <w:widowControl w:val="0"/>
      </w:pPr>
      <w:r w:rsidRPr="002A315F">
        <w:tab/>
      </w:r>
      <w:r w:rsidRPr="00C52822">
        <w:rPr>
          <w:rStyle w:val="FootnoteReference"/>
        </w:rPr>
        <w:footnoteRef/>
      </w:r>
      <w:r w:rsidRPr="002A315F">
        <w:tab/>
        <w:t xml:space="preserve">Decision </w:t>
      </w:r>
      <w:hyperlink r:id="rId4" w:history="1">
        <w:r w:rsidRPr="002A315F">
          <w:rPr>
            <w:rStyle w:val="Hyperlink"/>
          </w:rPr>
          <w:t>9/CMA.5</w:t>
        </w:r>
      </w:hyperlink>
      <w:r w:rsidRPr="002A315F">
        <w:t xml:space="preserve">, para. 18. </w:t>
      </w:r>
    </w:p>
  </w:footnote>
  <w:footnote w:id="6">
    <w:p w14:paraId="7C49F5DD" w14:textId="0AA1A785" w:rsidR="001B7A11" w:rsidRPr="002A315F" w:rsidRDefault="001B7A11" w:rsidP="001B7A11">
      <w:pPr>
        <w:pStyle w:val="FootnoteText"/>
        <w:widowControl w:val="0"/>
      </w:pPr>
      <w:r w:rsidRPr="002A315F">
        <w:tab/>
      </w:r>
      <w:r w:rsidRPr="00C52822">
        <w:rPr>
          <w:rStyle w:val="FootnoteReference"/>
        </w:rPr>
        <w:footnoteRef/>
      </w:r>
      <w:r w:rsidRPr="002A315F">
        <w:tab/>
      </w:r>
      <w:hyperlink r:id="rId5" w:history="1">
        <w:r w:rsidRPr="002A315F">
          <w:rPr>
            <w:rStyle w:val="Hyperlink"/>
          </w:rPr>
          <w:t>FCCC/CP/2024/6–FCCC/PA/CMA/2024/8</w:t>
        </w:r>
      </w:hyperlink>
      <w:r w:rsidRPr="002A315F">
        <w:t>, annex II.</w:t>
      </w:r>
    </w:p>
  </w:footnote>
  <w:footnote w:id="7">
    <w:p w14:paraId="2127FDBD" w14:textId="3CD92A49" w:rsidR="00BF3499" w:rsidRPr="00E349C5" w:rsidRDefault="00BF3499" w:rsidP="00BF3499">
      <w:pPr>
        <w:pStyle w:val="FootnoteText"/>
        <w:rPr>
          <w:rFonts w:asciiTheme="majorBidi" w:hAnsiTheme="majorBidi" w:cstheme="majorBidi"/>
          <w:sz w:val="16"/>
          <w:szCs w:val="16"/>
        </w:rPr>
      </w:pPr>
      <w:r w:rsidRPr="002A315F">
        <w:rPr>
          <w:rFonts w:asciiTheme="majorBidi" w:hAnsiTheme="majorBidi" w:cstheme="majorBidi"/>
          <w:sz w:val="16"/>
          <w:szCs w:val="16"/>
        </w:rPr>
        <w:tab/>
      </w:r>
      <w:r w:rsidRPr="006347C5">
        <w:rPr>
          <w:rStyle w:val="FootnoteReference"/>
          <w:rFonts w:asciiTheme="majorBidi" w:hAnsiTheme="majorBidi" w:cstheme="majorBidi"/>
          <w:szCs w:val="18"/>
        </w:rPr>
        <w:footnoteRef/>
      </w:r>
      <w:r>
        <w:tab/>
      </w:r>
      <w:r w:rsidRPr="00BD5221">
        <w:rPr>
          <w:rFonts w:asciiTheme="majorBidi" w:hAnsiTheme="majorBidi" w:cstheme="majorBidi"/>
          <w:szCs w:val="18"/>
        </w:rPr>
        <w:t xml:space="preserve">In accordance with decision </w:t>
      </w:r>
      <w:hyperlink r:id="rId6" w:history="1">
        <w:r w:rsidRPr="00C479DE">
          <w:rPr>
            <w:rStyle w:val="Hyperlink"/>
            <w:rFonts w:asciiTheme="majorBidi" w:hAnsiTheme="majorBidi" w:cstheme="majorBidi"/>
            <w:szCs w:val="18"/>
          </w:rPr>
          <w:t>1/CP.21</w:t>
        </w:r>
      </w:hyperlink>
      <w:r w:rsidRPr="00BD5221">
        <w:rPr>
          <w:rFonts w:asciiTheme="majorBidi" w:hAnsiTheme="majorBidi" w:cstheme="majorBidi"/>
          <w:szCs w:val="18"/>
        </w:rPr>
        <w:t>, para. 61.</w:t>
      </w:r>
    </w:p>
  </w:footnote>
  <w:footnote w:id="8">
    <w:p w14:paraId="163E0445" w14:textId="014B2626" w:rsidR="00BF3499" w:rsidRPr="00310C20" w:rsidRDefault="00BF3499" w:rsidP="00BF3499">
      <w:pPr>
        <w:pStyle w:val="FootnoteText"/>
        <w:rPr>
          <w:rFonts w:asciiTheme="majorBidi" w:hAnsiTheme="majorBidi" w:cstheme="majorBidi"/>
          <w:sz w:val="16"/>
          <w:szCs w:val="16"/>
        </w:rPr>
      </w:pPr>
      <w:r>
        <w:tab/>
      </w:r>
      <w:r w:rsidRPr="006347C5">
        <w:rPr>
          <w:rStyle w:val="FootnoteReference"/>
          <w:rFonts w:asciiTheme="majorBidi" w:hAnsiTheme="majorBidi" w:cstheme="majorBidi"/>
          <w:szCs w:val="18"/>
        </w:rPr>
        <w:footnoteRef/>
      </w:r>
      <w:r>
        <w:tab/>
      </w:r>
      <w:hyperlink r:id="rId7" w:history="1">
        <w:r w:rsidRPr="00C479DE">
          <w:rPr>
            <w:rStyle w:val="Hyperlink"/>
            <w:rFonts w:asciiTheme="majorBidi" w:hAnsiTheme="majorBidi" w:cstheme="majorBidi"/>
            <w:szCs w:val="18"/>
          </w:rPr>
          <w:t>FCCC/CP/2024/3</w:t>
        </w:r>
      </w:hyperlink>
      <w:r w:rsidRPr="00BD5221">
        <w:rPr>
          <w:rFonts w:asciiTheme="majorBidi" w:hAnsiTheme="majorBidi" w:cstheme="majorBidi"/>
          <w:szCs w:val="18"/>
        </w:rPr>
        <w:t xml:space="preserve"> and </w:t>
      </w:r>
      <w:hyperlink r:id="rId8" w:history="1">
        <w:r w:rsidRPr="00A24F15">
          <w:rPr>
            <w:rStyle w:val="Hyperlink"/>
            <w:rFonts w:asciiTheme="majorBidi" w:hAnsiTheme="majorBidi" w:cstheme="majorBidi"/>
            <w:szCs w:val="18"/>
          </w:rPr>
          <w:t>Add.1</w:t>
        </w:r>
      </w:hyperlink>
      <w:r w:rsidRPr="00BD5221">
        <w:rPr>
          <w:rFonts w:asciiTheme="majorBidi" w:hAnsiTheme="majorBidi" w:cstheme="majorBidi"/>
          <w:szCs w:val="18"/>
        </w:rPr>
        <w:t>.</w:t>
      </w:r>
    </w:p>
  </w:footnote>
  <w:footnote w:id="9">
    <w:p w14:paraId="64367EEA" w14:textId="77777777" w:rsidR="00BF3499" w:rsidRPr="002A315F" w:rsidRDefault="00BF3499" w:rsidP="00BF3499">
      <w:pPr>
        <w:pStyle w:val="FootnoteText"/>
      </w:pPr>
      <w:r>
        <w:tab/>
      </w:r>
      <w:r>
        <w:rPr>
          <w:rStyle w:val="FootnoteReference"/>
        </w:rPr>
        <w:footnoteRef/>
      </w:r>
      <w:r>
        <w:tab/>
      </w:r>
      <w:r>
        <w:tab/>
      </w:r>
      <w:r w:rsidRPr="00A558AC">
        <w:t>See Green Climate Fund Board document GCF/B.</w:t>
      </w:r>
      <w:r>
        <w:t>40</w:t>
      </w:r>
      <w:r w:rsidRPr="00A558AC">
        <w:t>/</w:t>
      </w:r>
      <w:r>
        <w:t>11.</w:t>
      </w:r>
    </w:p>
  </w:footnote>
  <w:footnote w:id="10">
    <w:p w14:paraId="19AFCB86" w14:textId="77777777" w:rsidR="00BF3499" w:rsidRPr="002A315F" w:rsidRDefault="00BF3499" w:rsidP="00BF3499">
      <w:pPr>
        <w:pStyle w:val="FootnoteText"/>
      </w:pPr>
      <w:r>
        <w:rPr>
          <w:rFonts w:asciiTheme="majorBidi" w:hAnsiTheme="majorBidi" w:cstheme="majorBidi"/>
          <w:sz w:val="16"/>
          <w:szCs w:val="16"/>
        </w:rPr>
        <w:tab/>
      </w:r>
      <w:r>
        <w:rPr>
          <w:rStyle w:val="FootnoteReference"/>
        </w:rPr>
        <w:footnoteRef/>
      </w:r>
      <w:r>
        <w:tab/>
        <w:t xml:space="preserve">See </w:t>
      </w:r>
      <w:r w:rsidRPr="004930CB">
        <w:t>Green Climate Fund Board</w:t>
      </w:r>
      <w:r>
        <w:t xml:space="preserve"> decision B.40/17.</w:t>
      </w:r>
    </w:p>
  </w:footnote>
  <w:footnote w:id="11">
    <w:p w14:paraId="081F9878" w14:textId="77777777" w:rsidR="00BF3499" w:rsidRPr="002A315F" w:rsidRDefault="00BF3499" w:rsidP="00BF3499">
      <w:pPr>
        <w:pStyle w:val="FootnoteText"/>
      </w:pPr>
      <w:r>
        <w:tab/>
      </w:r>
      <w:r>
        <w:rPr>
          <w:rStyle w:val="FootnoteReference"/>
        </w:rPr>
        <w:footnoteRef/>
      </w:r>
      <w:r>
        <w:tab/>
      </w:r>
      <w:r w:rsidRPr="00777C2F">
        <w:t>Contained in annex III to Green Climate Fund document GCF/B.36/21.</w:t>
      </w:r>
    </w:p>
  </w:footnote>
  <w:footnote w:id="12">
    <w:p w14:paraId="60367E38" w14:textId="3DF73BDD" w:rsidR="00BF3499" w:rsidRPr="002A315F" w:rsidRDefault="00BF3499" w:rsidP="00BF3499">
      <w:pPr>
        <w:pStyle w:val="FootnoteText"/>
      </w:pPr>
      <w:r>
        <w:tab/>
      </w:r>
      <w:r>
        <w:rPr>
          <w:rStyle w:val="FootnoteReference"/>
        </w:rPr>
        <w:footnoteRef/>
      </w:r>
      <w:r>
        <w:tab/>
      </w:r>
      <w:hyperlink r:id="rId9" w:history="1">
        <w:r w:rsidRPr="00C479DE">
          <w:rPr>
            <w:rStyle w:val="Hyperlink"/>
          </w:rPr>
          <w:t>FCCC/CP/1996/2</w:t>
        </w:r>
      </w:hyperlink>
      <w:r>
        <w:t>.</w:t>
      </w:r>
    </w:p>
  </w:footnote>
  <w:footnote w:id="13">
    <w:p w14:paraId="5BEE5F92" w14:textId="46F16E3E" w:rsidR="00E54854" w:rsidRPr="007E3837" w:rsidRDefault="00E54854" w:rsidP="00E54854">
      <w:pPr>
        <w:pStyle w:val="FootnoteText"/>
        <w:rPr>
          <w:rFonts w:eastAsia="Malgun Gothic"/>
          <w:lang w:eastAsia="ko-KR"/>
        </w:rPr>
      </w:pPr>
      <w:r>
        <w:tab/>
      </w:r>
      <w:r>
        <w:rPr>
          <w:rStyle w:val="FootnoteReference"/>
        </w:rPr>
        <w:footnoteRef/>
      </w:r>
      <w:r>
        <w:tab/>
      </w:r>
      <w:r w:rsidRPr="00814941">
        <w:t xml:space="preserve">In accordance with decision </w:t>
      </w:r>
      <w:hyperlink r:id="rId10" w:history="1">
        <w:r w:rsidRPr="00C479DE">
          <w:rPr>
            <w:rStyle w:val="Hyperlink"/>
          </w:rPr>
          <w:t>1/CP.21</w:t>
        </w:r>
      </w:hyperlink>
      <w:r w:rsidRPr="00814941">
        <w:t>, para. 61.</w:t>
      </w:r>
    </w:p>
  </w:footnote>
  <w:footnote w:id="14">
    <w:p w14:paraId="26CAC9FE" w14:textId="371F114C" w:rsidR="00E54854" w:rsidRPr="00FE22E9" w:rsidRDefault="00E54854" w:rsidP="00E54854">
      <w:pPr>
        <w:pStyle w:val="FootnoteText"/>
        <w:rPr>
          <w:rFonts w:eastAsia="Malgun Gothic"/>
          <w:lang w:eastAsia="ko-KR"/>
        </w:rPr>
      </w:pPr>
      <w:r w:rsidRPr="00BC6847">
        <w:rPr>
          <w:rFonts w:eastAsia="Malgun Gothic"/>
          <w:lang w:eastAsia="ko-KR"/>
        </w:rPr>
        <w:tab/>
      </w:r>
      <w:r w:rsidRPr="00BC6847">
        <w:rPr>
          <w:rStyle w:val="FootnoteReference"/>
        </w:rPr>
        <w:footnoteRef/>
      </w:r>
      <w:r w:rsidRPr="00BC6847">
        <w:rPr>
          <w:rFonts w:eastAsia="Malgun Gothic"/>
          <w:lang w:eastAsia="ko-KR"/>
        </w:rPr>
        <w:tab/>
      </w:r>
      <w:hyperlink r:id="rId11" w:history="1">
        <w:r w:rsidRPr="00C479DE">
          <w:rPr>
            <w:rStyle w:val="Hyperlink"/>
            <w:rFonts w:eastAsia="Malgun Gothic"/>
            <w:lang w:eastAsia="ko-KR"/>
          </w:rPr>
          <w:t>FCCC/CP/1996/2</w:t>
        </w:r>
      </w:hyperlink>
      <w:r w:rsidRPr="00BC6847">
        <w:rPr>
          <w:rFonts w:eastAsia="Malgun Gothic" w:hint="eastAsia"/>
          <w:lang w:eastAsia="ko-KR"/>
        </w:rPr>
        <w:t>.</w:t>
      </w:r>
    </w:p>
  </w:footnote>
  <w:footnote w:id="15">
    <w:p w14:paraId="5F2B57F8" w14:textId="36C6C58D" w:rsidR="00912266" w:rsidRPr="0044604F" w:rsidRDefault="00912266" w:rsidP="00912266">
      <w:pPr>
        <w:pStyle w:val="FootnoteText"/>
        <w:ind w:left="0" w:firstLine="0"/>
      </w:pPr>
      <w:r>
        <w:tab/>
      </w:r>
      <w:r>
        <w:rPr>
          <w:rStyle w:val="FootnoteReference"/>
        </w:rPr>
        <w:footnoteRef/>
      </w:r>
      <w:r>
        <w:tab/>
      </w:r>
      <w:hyperlink r:id="rId12" w:history="1">
        <w:r w:rsidRPr="00214C61">
          <w:rPr>
            <w:rStyle w:val="Hyperlink"/>
          </w:rPr>
          <w:t>FCCC/CP/2024/9–FCCC/PA/CMA/2024/13</w:t>
        </w:r>
      </w:hyperlink>
      <w:r>
        <w:t xml:space="preserve"> and </w:t>
      </w:r>
      <w:hyperlink r:id="rId13" w:history="1">
        <w:r w:rsidRPr="00EC177B">
          <w:rPr>
            <w:rStyle w:val="Hyperlink"/>
          </w:rPr>
          <w:t>Add.1</w:t>
        </w:r>
      </w:hyperlink>
      <w:r>
        <w:t xml:space="preserve">. </w:t>
      </w:r>
    </w:p>
  </w:footnote>
  <w:footnote w:id="16">
    <w:p w14:paraId="1CDAB1AB" w14:textId="0258EE14" w:rsidR="00912266" w:rsidRPr="002A315F" w:rsidRDefault="00912266" w:rsidP="00912266">
      <w:pPr>
        <w:pStyle w:val="FootnoteText"/>
        <w:widowControl w:val="0"/>
        <w:tabs>
          <w:tab w:val="clear" w:pos="1021"/>
          <w:tab w:val="right" w:pos="1020"/>
        </w:tabs>
      </w:pPr>
      <w:r>
        <w:tab/>
      </w:r>
      <w:r>
        <w:rPr>
          <w:rStyle w:val="FootnoteReference"/>
        </w:rPr>
        <w:footnoteRef/>
      </w:r>
      <w:r>
        <w:tab/>
        <w:t xml:space="preserve">Annex I to decisions </w:t>
      </w:r>
      <w:hyperlink r:id="rId14" w:history="1">
        <w:r w:rsidRPr="00C479DE">
          <w:rPr>
            <w:rStyle w:val="Hyperlink"/>
          </w:rPr>
          <w:t>1/CP.28</w:t>
        </w:r>
      </w:hyperlink>
      <w:r>
        <w:t xml:space="preserve"> and </w:t>
      </w:r>
      <w:hyperlink r:id="rId15" w:history="1">
        <w:r w:rsidRPr="00C479DE">
          <w:rPr>
            <w:rStyle w:val="Hyperlink"/>
          </w:rPr>
          <w:t>5/CMA.5</w:t>
        </w:r>
      </w:hyperlink>
      <w:r>
        <w:t xml:space="preserve">. </w:t>
      </w:r>
    </w:p>
  </w:footnote>
  <w:footnote w:id="17">
    <w:p w14:paraId="0CDEA82B" w14:textId="3301496D" w:rsidR="00912266" w:rsidRPr="002A315F" w:rsidRDefault="00912266" w:rsidP="00912266">
      <w:pPr>
        <w:pStyle w:val="FootnoteText"/>
        <w:widowControl w:val="0"/>
        <w:tabs>
          <w:tab w:val="clear" w:pos="1021"/>
          <w:tab w:val="right" w:pos="1020"/>
        </w:tabs>
      </w:pPr>
      <w:r>
        <w:tab/>
      </w:r>
      <w:r>
        <w:rPr>
          <w:rStyle w:val="FootnoteReference"/>
        </w:rPr>
        <w:footnoteRef/>
      </w:r>
      <w:r>
        <w:tab/>
        <w:t xml:space="preserve">Pursuant to paras. 23–24 of decisions </w:t>
      </w:r>
      <w:hyperlink r:id="rId16" w:history="1">
        <w:r w:rsidRPr="00C479DE">
          <w:rPr>
            <w:rStyle w:val="Hyperlink"/>
          </w:rPr>
          <w:t>1/CP.28</w:t>
        </w:r>
      </w:hyperlink>
      <w:r>
        <w:t xml:space="preserve"> and </w:t>
      </w:r>
      <w:hyperlink r:id="rId17" w:history="1">
        <w:r w:rsidRPr="00C479DE">
          <w:rPr>
            <w:rStyle w:val="Hyperlink"/>
          </w:rPr>
          <w:t>5/CMA.5</w:t>
        </w:r>
      </w:hyperlink>
      <w:r>
        <w:t xml:space="preserve">. </w:t>
      </w:r>
    </w:p>
  </w:footnote>
  <w:footnote w:id="18">
    <w:p w14:paraId="54E63231" w14:textId="77777777" w:rsidR="00912266" w:rsidRPr="002A315F" w:rsidRDefault="00912266" w:rsidP="00912266">
      <w:pPr>
        <w:pStyle w:val="FootnoteText"/>
        <w:widowControl w:val="0"/>
        <w:tabs>
          <w:tab w:val="clear" w:pos="1021"/>
          <w:tab w:val="right" w:pos="1020"/>
        </w:tabs>
      </w:pPr>
      <w:r>
        <w:tab/>
      </w:r>
      <w:r>
        <w:rPr>
          <w:rStyle w:val="FootnoteReference"/>
        </w:rPr>
        <w:footnoteRef/>
      </w:r>
      <w:r>
        <w:tab/>
        <w:t xml:space="preserve">Board decision B.2/D.10; the workplan is contained in annex VII to Board document FLD/B.2/17. </w:t>
      </w:r>
    </w:p>
  </w:footnote>
  <w:footnote w:id="19">
    <w:p w14:paraId="1E2060F6" w14:textId="77777777" w:rsidR="00912266" w:rsidRPr="002A315F" w:rsidRDefault="00912266" w:rsidP="00912266">
      <w:pPr>
        <w:pStyle w:val="FootnoteText"/>
        <w:widowControl w:val="0"/>
        <w:tabs>
          <w:tab w:val="clear" w:pos="1021"/>
          <w:tab w:val="right" w:pos="1020"/>
        </w:tabs>
      </w:pPr>
      <w:r>
        <w:tab/>
      </w:r>
      <w:r>
        <w:rPr>
          <w:rStyle w:val="FootnoteReference"/>
        </w:rPr>
        <w:footnoteRef/>
      </w:r>
      <w:r>
        <w:tab/>
      </w:r>
      <w:hyperlink r:id="rId18" w:history="1">
        <w:r w:rsidRPr="008472EA">
          <w:rPr>
            <w:rStyle w:val="Hyperlink"/>
          </w:rPr>
          <w:t>https://www4.unfccc.int/sites/submissionsstaging/Pages/Home.aspx</w:t>
        </w:r>
      </w:hyperlink>
      <w:r>
        <w:t xml:space="preserve">. </w:t>
      </w:r>
    </w:p>
  </w:footnote>
  <w:footnote w:id="20">
    <w:p w14:paraId="5F498C57" w14:textId="04194028" w:rsidR="00BC6CFB" w:rsidRPr="002A315F" w:rsidRDefault="00BC6CFB" w:rsidP="00BC6CFB">
      <w:pPr>
        <w:pStyle w:val="FootnoteText"/>
        <w:widowControl w:val="0"/>
        <w:tabs>
          <w:tab w:val="clear" w:pos="1021"/>
          <w:tab w:val="right" w:pos="1020"/>
        </w:tabs>
      </w:pPr>
      <w:r>
        <w:tab/>
      </w:r>
      <w:r>
        <w:rPr>
          <w:rStyle w:val="FootnoteReference"/>
        </w:rPr>
        <w:footnoteRef/>
      </w:r>
      <w:r>
        <w:tab/>
      </w:r>
      <w:hyperlink r:id="rId19" w:history="1">
        <w:r w:rsidRPr="00214C61">
          <w:rPr>
            <w:rStyle w:val="Hyperlink"/>
          </w:rPr>
          <w:t>FCCC/CP/2024/6/Add.8</w:t>
        </w:r>
        <w:r w:rsidR="00776BC5" w:rsidRPr="00214C61">
          <w:rPr>
            <w:rStyle w:val="Hyperlink"/>
          </w:rPr>
          <w:t>–</w:t>
        </w:r>
        <w:r w:rsidRPr="00214C61">
          <w:rPr>
            <w:rStyle w:val="Hyperlink"/>
          </w:rPr>
          <w:t>FCCC/PA/CMA/2024/8/Add.8</w:t>
        </w:r>
      </w:hyperlink>
      <w:r w:rsidR="0000363C" w:rsidRPr="0000363C">
        <w:t>.</w:t>
      </w:r>
    </w:p>
  </w:footnote>
  <w:footnote w:id="21">
    <w:p w14:paraId="2399CF42" w14:textId="74C0FEC3" w:rsidR="00BC6CFB" w:rsidRPr="002A315F" w:rsidRDefault="00BC6CFB" w:rsidP="00BC6CFB">
      <w:pPr>
        <w:pStyle w:val="FootnoteText"/>
        <w:widowControl w:val="0"/>
        <w:tabs>
          <w:tab w:val="clear" w:pos="1021"/>
          <w:tab w:val="right" w:pos="1020"/>
        </w:tabs>
      </w:pPr>
      <w:r>
        <w:tab/>
      </w:r>
      <w:r>
        <w:rPr>
          <w:rStyle w:val="FootnoteReference"/>
        </w:rPr>
        <w:footnoteRef/>
      </w:r>
      <w:r>
        <w:tab/>
      </w:r>
      <w:hyperlink r:id="rId20" w:history="1">
        <w:r w:rsidRPr="00214C61">
          <w:rPr>
            <w:rStyle w:val="Hyperlink"/>
          </w:rPr>
          <w:t>FCCC/CP/2024/9</w:t>
        </w:r>
        <w:r w:rsidR="00513C2D" w:rsidRPr="00214C61">
          <w:rPr>
            <w:rStyle w:val="Hyperlink"/>
          </w:rPr>
          <w:t>–</w:t>
        </w:r>
        <w:r w:rsidRPr="00214C61">
          <w:rPr>
            <w:rStyle w:val="Hyperlink"/>
          </w:rPr>
          <w:t>FCCC/PA/CMA/2024/13</w:t>
        </w:r>
      </w:hyperlink>
      <w:r w:rsidRPr="0000363C">
        <w:rPr>
          <w:rStyle w:val="Hyperlink"/>
          <w:color w:val="000000" w:themeColor="text1"/>
          <w:u w:val="none"/>
        </w:rPr>
        <w:t>.</w:t>
      </w:r>
    </w:p>
  </w:footnote>
  <w:footnote w:id="22">
    <w:p w14:paraId="5A51C6E9" w14:textId="5A9F4EB0" w:rsidR="00C90BDB" w:rsidRPr="002A315F" w:rsidRDefault="00C90BDB" w:rsidP="00C90BDB">
      <w:pPr>
        <w:pStyle w:val="FootnoteText"/>
        <w:widowControl w:val="0"/>
      </w:pPr>
      <w:r>
        <w:tab/>
      </w:r>
      <w:r w:rsidRPr="00565294">
        <w:rPr>
          <w:rStyle w:val="FootnoteReference"/>
        </w:rPr>
        <w:footnoteRef/>
      </w:r>
      <w:r w:rsidRPr="00565294">
        <w:tab/>
        <w:t xml:space="preserve">Decision </w:t>
      </w:r>
      <w:hyperlink r:id="rId21" w:history="1">
        <w:r w:rsidRPr="00C479DE">
          <w:rPr>
            <w:rStyle w:val="Hyperlink"/>
          </w:rPr>
          <w:t>1/CP.28</w:t>
        </w:r>
      </w:hyperlink>
      <w:r w:rsidRPr="00565294">
        <w:t>, annex I.</w:t>
      </w:r>
    </w:p>
  </w:footnote>
  <w:footnote w:id="23">
    <w:p w14:paraId="0E48AF0A" w14:textId="77777777" w:rsidR="00C90BDB" w:rsidRPr="002A315F" w:rsidRDefault="00C90BDB" w:rsidP="00C90BDB">
      <w:pPr>
        <w:pStyle w:val="FootnoteText"/>
        <w:widowControl w:val="0"/>
        <w:tabs>
          <w:tab w:val="clear" w:pos="1021"/>
          <w:tab w:val="right" w:pos="1020"/>
        </w:tabs>
      </w:pPr>
      <w:r>
        <w:tab/>
      </w:r>
      <w:r>
        <w:rPr>
          <w:rStyle w:val="FootnoteReference"/>
        </w:rPr>
        <w:footnoteRef/>
      </w:r>
      <w:r>
        <w:tab/>
        <w:t>Pursuant to para. 13(a) of the Governing Instrument.</w:t>
      </w:r>
    </w:p>
  </w:footnote>
  <w:footnote w:id="24">
    <w:p w14:paraId="156FD6AC" w14:textId="77777777" w:rsidR="00C90BDB" w:rsidRPr="002A315F" w:rsidRDefault="00C90BDB" w:rsidP="00C90BDB">
      <w:pPr>
        <w:pStyle w:val="FootnoteText"/>
        <w:widowControl w:val="0"/>
        <w:tabs>
          <w:tab w:val="clear" w:pos="1021"/>
          <w:tab w:val="right" w:pos="1020"/>
        </w:tabs>
      </w:pPr>
      <w:r>
        <w:tab/>
      </w:r>
      <w:r>
        <w:rPr>
          <w:rStyle w:val="FootnoteReference"/>
        </w:rPr>
        <w:footnoteRef/>
      </w:r>
      <w:r>
        <w:tab/>
        <w:t>Pursuant to para. 13(c) of the Governing Instrument.</w:t>
      </w:r>
    </w:p>
  </w:footnote>
  <w:footnote w:id="25">
    <w:p w14:paraId="7E8B3542" w14:textId="77777777" w:rsidR="00C90BDB" w:rsidRPr="002A315F" w:rsidRDefault="00C90BDB" w:rsidP="00C90BDB">
      <w:pPr>
        <w:pStyle w:val="FootnoteText"/>
        <w:widowControl w:val="0"/>
        <w:tabs>
          <w:tab w:val="clear" w:pos="1021"/>
          <w:tab w:val="right" w:pos="1020"/>
        </w:tabs>
      </w:pPr>
      <w:r>
        <w:tab/>
      </w:r>
      <w:r>
        <w:rPr>
          <w:rStyle w:val="FootnoteReference"/>
        </w:rPr>
        <w:footnoteRef/>
      </w:r>
      <w:r>
        <w:tab/>
        <w:t xml:space="preserve">Pursuant to para. 14 of the Governing Instrument. </w:t>
      </w:r>
    </w:p>
  </w:footnote>
  <w:footnote w:id="26">
    <w:p w14:paraId="3D872EB2" w14:textId="77777777" w:rsidR="00C90BDB" w:rsidRPr="002A315F" w:rsidRDefault="00C90BDB" w:rsidP="00C90BDB">
      <w:pPr>
        <w:pStyle w:val="FootnoteText"/>
        <w:widowControl w:val="0"/>
        <w:tabs>
          <w:tab w:val="clear" w:pos="1021"/>
          <w:tab w:val="right" w:pos="1020"/>
        </w:tabs>
      </w:pPr>
      <w:r>
        <w:tab/>
      </w:r>
      <w:r>
        <w:rPr>
          <w:rStyle w:val="FootnoteReference"/>
        </w:rPr>
        <w:footnoteRef/>
      </w:r>
      <w:r>
        <w:tab/>
        <w:t>Pursuant to para. 15 of the Governing Instrument.</w:t>
      </w:r>
    </w:p>
  </w:footnote>
  <w:footnote w:id="27">
    <w:p w14:paraId="0617371D" w14:textId="77777777" w:rsidR="00C90BDB" w:rsidRPr="002A315F" w:rsidRDefault="00C90BDB" w:rsidP="00C90BDB">
      <w:pPr>
        <w:pStyle w:val="FootnoteText"/>
        <w:widowControl w:val="0"/>
        <w:tabs>
          <w:tab w:val="clear" w:pos="1021"/>
          <w:tab w:val="right" w:pos="1020"/>
        </w:tabs>
      </w:pPr>
      <w:r>
        <w:tab/>
      </w:r>
      <w:r>
        <w:rPr>
          <w:rStyle w:val="FootnoteReference"/>
        </w:rPr>
        <w:footnoteRef/>
      </w:r>
      <w:r>
        <w:tab/>
        <w:t xml:space="preserve">Pursuant to para. 56 of the Governing Instrument. </w:t>
      </w:r>
    </w:p>
  </w:footnote>
  <w:footnote w:id="28">
    <w:p w14:paraId="43A9FBD9" w14:textId="77777777" w:rsidR="00C90BDB" w:rsidRPr="002A315F" w:rsidRDefault="00C90BDB" w:rsidP="00C90BDB">
      <w:pPr>
        <w:pStyle w:val="FootnoteText"/>
        <w:widowControl w:val="0"/>
        <w:tabs>
          <w:tab w:val="clear" w:pos="1021"/>
          <w:tab w:val="right" w:pos="1020"/>
        </w:tabs>
      </w:pPr>
      <w:r>
        <w:tab/>
      </w:r>
      <w:r>
        <w:rPr>
          <w:rStyle w:val="FootnoteReference"/>
        </w:rPr>
        <w:footnoteRef/>
      </w:r>
      <w:r>
        <w:tab/>
        <w:t xml:space="preserve">Pursuant to para. 72 of the Governing Instrument. </w:t>
      </w:r>
    </w:p>
  </w:footnote>
  <w:footnote w:id="29">
    <w:p w14:paraId="6B2F8307" w14:textId="77777777" w:rsidR="00C90BDB" w:rsidRDefault="00C90BDB" w:rsidP="00C90BDB">
      <w:pPr>
        <w:pStyle w:val="FootnoteText"/>
        <w:widowControl w:val="0"/>
        <w:tabs>
          <w:tab w:val="clear" w:pos="1021"/>
          <w:tab w:val="right" w:pos="1020"/>
        </w:tabs>
      </w:pPr>
      <w:r>
        <w:tab/>
      </w:r>
      <w:r>
        <w:rPr>
          <w:rStyle w:val="FootnoteReference"/>
        </w:rPr>
        <w:footnoteRef/>
      </w:r>
      <w:r>
        <w:tab/>
        <w:t>Pursuant to para. 73 of the Governing Instrument.</w:t>
      </w:r>
    </w:p>
  </w:footnote>
  <w:footnote w:id="30">
    <w:p w14:paraId="74D1AABC" w14:textId="00CDB857" w:rsidR="00BE7C7B" w:rsidRPr="002A315F" w:rsidRDefault="00A27BB0" w:rsidP="00A27BB0">
      <w:pPr>
        <w:pStyle w:val="FootnoteText"/>
        <w:widowControl w:val="0"/>
      </w:pPr>
      <w:r>
        <w:tab/>
      </w:r>
      <w:r>
        <w:rPr>
          <w:rStyle w:val="FootnoteReference"/>
        </w:rPr>
        <w:footnoteRef/>
      </w:r>
      <w:r>
        <w:tab/>
      </w:r>
      <w:hyperlink r:id="rId22" w:history="1">
        <w:r w:rsidR="00670DF2" w:rsidRPr="00214C61">
          <w:rPr>
            <w:rStyle w:val="Hyperlink"/>
          </w:rPr>
          <w:t>FCCC/KP/CMP/2024/4–FCCC/PA/CMA/2024/6</w:t>
        </w:r>
      </w:hyperlink>
      <w:r w:rsidR="00670DF2" w:rsidRPr="00DD318B">
        <w:rPr>
          <w:rStyle w:val="Hyperlink"/>
          <w:u w:val="none"/>
        </w:rPr>
        <w:t xml:space="preserve"> </w:t>
      </w:r>
      <w:r w:rsidR="00670DF2" w:rsidRPr="00DD318B">
        <w:rPr>
          <w:rStyle w:val="Hyperlink"/>
          <w:color w:val="auto"/>
          <w:u w:val="none"/>
        </w:rPr>
        <w:t xml:space="preserve">and </w:t>
      </w:r>
      <w:hyperlink r:id="rId23" w:history="1">
        <w:r w:rsidR="00670DF2" w:rsidRPr="00B53C1D">
          <w:rPr>
            <w:rStyle w:val="Hyperlink"/>
          </w:rPr>
          <w:t>Add.1</w:t>
        </w:r>
      </w:hyperlink>
      <w:r>
        <w:t>.</w:t>
      </w:r>
    </w:p>
  </w:footnote>
  <w:footnote w:id="31">
    <w:p w14:paraId="2A8FED4D" w14:textId="3A9051FA" w:rsidR="00BE7C7B" w:rsidRPr="002A315F" w:rsidRDefault="00A27BB0" w:rsidP="00BE7C7B">
      <w:pPr>
        <w:pStyle w:val="FootnoteText"/>
        <w:widowControl w:val="0"/>
        <w:tabs>
          <w:tab w:val="clear" w:pos="1021"/>
          <w:tab w:val="right" w:pos="1020"/>
        </w:tabs>
      </w:pPr>
      <w:r>
        <w:tab/>
      </w:r>
      <w:r>
        <w:rPr>
          <w:rStyle w:val="FootnoteReference"/>
        </w:rPr>
        <w:footnoteRef/>
      </w:r>
      <w:r>
        <w:tab/>
      </w:r>
      <w:r w:rsidRPr="00313AEC">
        <w:t xml:space="preserve">Available at </w:t>
      </w:r>
      <w:hyperlink r:id="rId24" w:history="1">
        <w:r w:rsidRPr="00423BF6">
          <w:rPr>
            <w:rStyle w:val="Hyperlink"/>
          </w:rPr>
          <w:t>https://www.adaptation-fund.org/document/medium-term-strategy-2023-2027</w:t>
        </w:r>
      </w:hyperlink>
      <w:r w:rsidRPr="00313AEC">
        <w:t>/.</w:t>
      </w:r>
      <w:r>
        <w:t xml:space="preserve"> </w:t>
      </w:r>
    </w:p>
  </w:footnote>
  <w:footnote w:id="32">
    <w:p w14:paraId="6E8F7850" w14:textId="77777777" w:rsidR="00BE7C7B" w:rsidRPr="002A315F" w:rsidRDefault="00BE7C7B" w:rsidP="00BE7C7B">
      <w:pPr>
        <w:pStyle w:val="FootnoteText"/>
        <w:widowControl w:val="0"/>
        <w:tabs>
          <w:tab w:val="clear" w:pos="1021"/>
          <w:tab w:val="right" w:pos="1020"/>
        </w:tabs>
      </w:pPr>
      <w:r>
        <w:tab/>
      </w:r>
      <w:r>
        <w:rPr>
          <w:rStyle w:val="FootnoteReference"/>
        </w:rPr>
        <w:footnoteRef/>
      </w:r>
      <w:r w:rsidRPr="002A315F">
        <w:tab/>
        <w:t xml:space="preserve">See Adaptation Fund Board document AFB/B.40/5/Rev.1. </w:t>
      </w:r>
    </w:p>
  </w:footnote>
  <w:footnote w:id="33">
    <w:p w14:paraId="110790FF" w14:textId="3F2C1C3B" w:rsidR="00BE7C7B" w:rsidRPr="002A315F" w:rsidRDefault="00A27BB0" w:rsidP="00BE7C7B">
      <w:pPr>
        <w:pStyle w:val="FootnoteText"/>
        <w:widowControl w:val="0"/>
        <w:tabs>
          <w:tab w:val="clear" w:pos="1021"/>
          <w:tab w:val="right" w:pos="1020"/>
        </w:tabs>
      </w:pPr>
      <w:r w:rsidRPr="002A315F">
        <w:tab/>
      </w:r>
      <w:r>
        <w:rPr>
          <w:rStyle w:val="FootnoteReference"/>
        </w:rPr>
        <w:footnoteRef/>
      </w:r>
      <w:r>
        <w:tab/>
      </w:r>
      <w:r w:rsidRPr="002A315F">
        <w:t xml:space="preserve">In line with decision </w:t>
      </w:r>
      <w:hyperlink r:id="rId25" w:history="1">
        <w:r w:rsidR="0009038D" w:rsidRPr="002A315F">
          <w:rPr>
            <w:rStyle w:val="Hyperlink"/>
          </w:rPr>
          <w:t>5/CMP.17</w:t>
        </w:r>
      </w:hyperlink>
      <w:r w:rsidRPr="002A315F">
        <w:t xml:space="preserve">, para. 15. </w:t>
      </w:r>
    </w:p>
  </w:footnote>
  <w:footnote w:id="34">
    <w:p w14:paraId="6CEEC7FB" w14:textId="4721BE6E" w:rsidR="00DF43B2" w:rsidRPr="002A315F" w:rsidRDefault="00DF43B2" w:rsidP="00DF43B2">
      <w:pPr>
        <w:pStyle w:val="FootnoteText"/>
        <w:widowControl w:val="0"/>
        <w:rPr>
          <w:rFonts w:asciiTheme="majorBidi" w:hAnsiTheme="majorBidi" w:cstheme="majorBidi"/>
        </w:rPr>
      </w:pPr>
      <w:r>
        <w:tab/>
      </w:r>
      <w:r w:rsidRPr="00834F06">
        <w:rPr>
          <w:rStyle w:val="FootnoteReference"/>
          <w:rFonts w:asciiTheme="majorBidi" w:hAnsiTheme="majorBidi" w:cstheme="majorBidi"/>
        </w:rPr>
        <w:footnoteRef/>
      </w:r>
      <w:r w:rsidRPr="00834F06">
        <w:rPr>
          <w:rFonts w:asciiTheme="majorBidi" w:hAnsiTheme="majorBidi" w:cstheme="majorBidi"/>
        </w:rPr>
        <w:tab/>
      </w:r>
      <w:r w:rsidR="00AD3195">
        <w:rPr>
          <w:rFonts w:asciiTheme="majorBidi" w:hAnsiTheme="majorBidi" w:cstheme="majorBidi"/>
        </w:rPr>
        <w:t xml:space="preserve">Available at </w:t>
      </w:r>
      <w:hyperlink r:id="rId26" w:history="1">
        <w:r w:rsidR="00AB0419" w:rsidRPr="00E71421">
          <w:rPr>
            <w:rStyle w:val="Hyperlink"/>
            <w:rFonts w:asciiTheme="majorBidi" w:hAnsiTheme="majorBidi" w:cstheme="majorBidi"/>
            <w:szCs w:val="18"/>
            <w:shd w:val="clear" w:color="auto" w:fill="FFFFFF"/>
          </w:rPr>
          <w:t>https://www.adaptation-fund.org/document/resource-mobilization-strategy-2022-2025/</w:t>
        </w:r>
      </w:hyperlink>
      <w:r w:rsidRPr="00834F06">
        <w:rPr>
          <w:rFonts w:asciiTheme="majorBidi" w:hAnsiTheme="majorBidi" w:cstheme="majorBidi"/>
          <w:color w:val="333333"/>
          <w:szCs w:val="18"/>
          <w:shd w:val="clear" w:color="auto" w:fill="FFFFFF"/>
        </w:rPr>
        <w:t>.</w:t>
      </w:r>
    </w:p>
  </w:footnote>
  <w:footnote w:id="35">
    <w:p w14:paraId="6A524AE5" w14:textId="21DA2CEB" w:rsidR="00BE7C7B" w:rsidRPr="002A315F" w:rsidRDefault="00A27BB0" w:rsidP="00BE7C7B">
      <w:pPr>
        <w:pStyle w:val="FootnoteText"/>
        <w:tabs>
          <w:tab w:val="clear" w:pos="1021"/>
          <w:tab w:val="right" w:pos="1020"/>
        </w:tabs>
      </w:pPr>
      <w:r>
        <w:tab/>
      </w:r>
      <w:r>
        <w:rPr>
          <w:rStyle w:val="FootnoteReference"/>
        </w:rPr>
        <w:footnoteRef/>
      </w:r>
      <w:r>
        <w:tab/>
      </w:r>
      <w:r w:rsidR="0042216E" w:rsidRPr="002A315F">
        <w:t xml:space="preserve">Available at </w:t>
      </w:r>
      <w:hyperlink r:id="rId27" w:history="1">
        <w:r w:rsidR="0042216E" w:rsidRPr="002A315F">
          <w:rPr>
            <w:rStyle w:val="Hyperlink"/>
          </w:rPr>
          <w:t>https://www.adaptation-fund.org/document/opg-annex4-gender-policy</w:t>
        </w:r>
      </w:hyperlink>
      <w:r w:rsidR="0042216E" w:rsidRPr="002A315F">
        <w:t>/</w:t>
      </w:r>
      <w:r w:rsidR="0042216E" w:rsidRPr="000464A8">
        <w:t xml:space="preserve"> in English, French and Spanish</w:t>
      </w:r>
      <w:r>
        <w:t>.</w:t>
      </w:r>
    </w:p>
  </w:footnote>
  <w:footnote w:id="36">
    <w:p w14:paraId="72101F3C" w14:textId="08729AB5" w:rsidR="00BE7C7B" w:rsidRPr="002A315F" w:rsidRDefault="00A27BB0" w:rsidP="00BE7C7B">
      <w:pPr>
        <w:pStyle w:val="FootnoteText"/>
        <w:widowControl w:val="0"/>
        <w:tabs>
          <w:tab w:val="clear" w:pos="1021"/>
          <w:tab w:val="right" w:pos="1020"/>
        </w:tabs>
      </w:pPr>
      <w:r>
        <w:tab/>
      </w:r>
      <w:r>
        <w:rPr>
          <w:rStyle w:val="FootnoteReference"/>
        </w:rPr>
        <w:footnoteRef/>
      </w:r>
      <w:r>
        <w:tab/>
      </w:r>
      <w:r w:rsidRPr="00E1618B">
        <w:t xml:space="preserve">Available at </w:t>
      </w:r>
      <w:hyperlink r:id="rId28" w:history="1">
        <w:r w:rsidRPr="00423BF6">
          <w:rPr>
            <w:rStyle w:val="Hyperlink"/>
          </w:rPr>
          <w:t>https://www.adaptation-fund.org/document/gender-mainstreaming-e-course</w:t>
        </w:r>
      </w:hyperlink>
      <w:r w:rsidRPr="00E1618B">
        <w:t>/.</w:t>
      </w:r>
      <w:r>
        <w:t xml:space="preserve"> </w:t>
      </w:r>
    </w:p>
  </w:footnote>
  <w:footnote w:id="37">
    <w:p w14:paraId="6F8B3E26" w14:textId="4C42959B" w:rsidR="00BE7C7B" w:rsidRPr="002A315F" w:rsidRDefault="00A27BB0" w:rsidP="00BE7C7B">
      <w:pPr>
        <w:pStyle w:val="FootnoteText"/>
        <w:widowControl w:val="0"/>
        <w:tabs>
          <w:tab w:val="clear" w:pos="1021"/>
          <w:tab w:val="right" w:pos="1020"/>
        </w:tabs>
      </w:pPr>
      <w:r>
        <w:tab/>
      </w:r>
      <w:r>
        <w:rPr>
          <w:rStyle w:val="FootnoteReference"/>
        </w:rPr>
        <w:footnoteRef/>
      </w:r>
      <w:r>
        <w:tab/>
      </w:r>
      <w:hyperlink r:id="rId29" w:history="1">
        <w:r w:rsidR="001E3461" w:rsidRPr="00214C61">
          <w:rPr>
            <w:rStyle w:val="Hyperlink"/>
          </w:rPr>
          <w:t>FCCC/CP/2024/6/Add.5–FCCC/PA/CMA/2024/8/Add.5</w:t>
        </w:r>
      </w:hyperlink>
      <w:r>
        <w:t xml:space="preserve">. </w:t>
      </w:r>
    </w:p>
  </w:footnote>
  <w:footnote w:id="38">
    <w:p w14:paraId="4BDC33A9" w14:textId="76194A63" w:rsidR="00BE7C7B" w:rsidRPr="007D2F42" w:rsidRDefault="00A27BB0" w:rsidP="00BE7C7B">
      <w:pPr>
        <w:pStyle w:val="FootnoteText"/>
        <w:tabs>
          <w:tab w:val="clear" w:pos="1021"/>
          <w:tab w:val="right" w:pos="1020"/>
        </w:tabs>
      </w:pPr>
      <w:r>
        <w:tab/>
      </w:r>
      <w:r>
        <w:rPr>
          <w:rStyle w:val="FootnoteReference"/>
        </w:rPr>
        <w:footnoteRef/>
      </w:r>
      <w:r>
        <w:tab/>
      </w:r>
      <w:r w:rsidRPr="00D6678B">
        <w:t xml:space="preserve">In </w:t>
      </w:r>
      <w:r>
        <w:t>response to</w:t>
      </w:r>
      <w:r w:rsidRPr="00D6678B">
        <w:t xml:space="preserve"> decision</w:t>
      </w:r>
      <w:r>
        <w:t>s</w:t>
      </w:r>
      <w:r w:rsidRPr="00D6678B">
        <w:t xml:space="preserve"> </w:t>
      </w:r>
      <w:hyperlink r:id="rId30" w:history="1">
        <w:r w:rsidR="00DF790E" w:rsidRPr="00C479DE">
          <w:rPr>
            <w:rStyle w:val="Hyperlink"/>
          </w:rPr>
          <w:t>4/CMP.17</w:t>
        </w:r>
      </w:hyperlink>
      <w:r w:rsidRPr="00D6678B">
        <w:t>, para. 13</w:t>
      </w:r>
      <w:r>
        <w:t xml:space="preserve">, and </w:t>
      </w:r>
      <w:hyperlink r:id="rId31" w:history="1">
        <w:r w:rsidR="00E374CE" w:rsidRPr="00C479DE">
          <w:rPr>
            <w:rStyle w:val="Hyperlink"/>
          </w:rPr>
          <w:t>18/CMA.4</w:t>
        </w:r>
      </w:hyperlink>
      <w:r>
        <w:t>, para. 21</w:t>
      </w:r>
      <w:r w:rsidRPr="00D6678B">
        <w:t>.</w:t>
      </w:r>
      <w:r>
        <w:t xml:space="preserve"> </w:t>
      </w:r>
    </w:p>
  </w:footnote>
  <w:footnote w:id="39">
    <w:p w14:paraId="59B6BDF9" w14:textId="572B3F40" w:rsidR="00BE7C7B" w:rsidRPr="002A315F" w:rsidRDefault="00A27BB0" w:rsidP="00BE7C7B">
      <w:pPr>
        <w:pStyle w:val="FootnoteText"/>
        <w:widowControl w:val="0"/>
        <w:tabs>
          <w:tab w:val="clear" w:pos="1021"/>
          <w:tab w:val="right" w:pos="1020"/>
        </w:tabs>
      </w:pPr>
      <w:r>
        <w:tab/>
      </w:r>
      <w:r>
        <w:rPr>
          <w:rStyle w:val="FootnoteReference"/>
        </w:rPr>
        <w:footnoteRef/>
      </w:r>
      <w:r>
        <w:tab/>
      </w:r>
      <w:r w:rsidRPr="00E458CF">
        <w:t xml:space="preserve">Including the declaration by the Adaptation Fund, the Climate Investment Funds, the Global Environment Facility and the Green Climate Fund on enhancing access to climate finance and increasing the effectiveness of multilateral climate funds (see </w:t>
      </w:r>
      <w:hyperlink r:id="rId32" w:history="1">
        <w:r w:rsidRPr="00E458CF">
          <w:rPr>
            <w:rStyle w:val="Hyperlink"/>
          </w:rPr>
          <w:t>https://www.adaptation-fund.org/enhancing-access-and-increasing-impact-the-role-of-the-multilateral-climate-funds/</w:t>
        </w:r>
      </w:hyperlink>
      <w:r w:rsidRPr="00E458CF">
        <w:t>).</w:t>
      </w:r>
    </w:p>
  </w:footnote>
  <w:footnote w:id="40">
    <w:p w14:paraId="4152A9CC" w14:textId="3D777463" w:rsidR="00A137C7" w:rsidRPr="002A315F" w:rsidRDefault="00A137C7" w:rsidP="00A137C7">
      <w:pPr>
        <w:pStyle w:val="FootnoteText"/>
        <w:widowControl w:val="0"/>
        <w:tabs>
          <w:tab w:val="clear" w:pos="1021"/>
          <w:tab w:val="right" w:pos="1020"/>
        </w:tabs>
      </w:pPr>
      <w:r>
        <w:tab/>
      </w:r>
      <w:r>
        <w:rPr>
          <w:rStyle w:val="FootnoteReference"/>
        </w:rPr>
        <w:footnoteRef/>
      </w:r>
      <w:r>
        <w:tab/>
      </w:r>
      <w:hyperlink r:id="rId33" w:history="1">
        <w:r w:rsidRPr="00D41226">
          <w:rPr>
            <w:rStyle w:val="Hyperlink"/>
          </w:rPr>
          <w:t>FCCC/PA/CMA/2024/11</w:t>
        </w:r>
      </w:hyperlink>
      <w:r>
        <w:t>.</w:t>
      </w:r>
    </w:p>
  </w:footnote>
  <w:footnote w:id="41">
    <w:p w14:paraId="1B48C483" w14:textId="77777777" w:rsidR="00A137C7" w:rsidRPr="002A315F" w:rsidRDefault="00A137C7" w:rsidP="00A137C7">
      <w:pPr>
        <w:pStyle w:val="FootnoteText"/>
        <w:widowControl w:val="0"/>
        <w:tabs>
          <w:tab w:val="clear" w:pos="1021"/>
          <w:tab w:val="right" w:pos="1020"/>
        </w:tabs>
      </w:pPr>
      <w:r>
        <w:tab/>
      </w:r>
      <w:r>
        <w:rPr>
          <w:rStyle w:val="FootnoteReference"/>
        </w:rPr>
        <w:footnoteRef/>
      </w:r>
      <w:r>
        <w:tab/>
      </w:r>
      <w:hyperlink r:id="rId34" w:history="1">
        <w:r w:rsidRPr="00325754">
          <w:rPr>
            <w:rStyle w:val="Hyperlink"/>
          </w:rPr>
          <w:t>https://www4.unfccc.int/sites/submissionsstaging/Pages/Home.aspx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B48A" w14:textId="64BBFE27" w:rsidR="003F6A01" w:rsidRPr="00F76195" w:rsidRDefault="00F76195" w:rsidP="00F76195">
    <w:pPr>
      <w:pStyle w:val="Header"/>
    </w:pPr>
    <w:r w:rsidRPr="00A614D7">
      <w:t>FCCC/PA/CMA/2024/17</w:t>
    </w:r>
    <w:r>
      <w:t>/Add.2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A3D1" w14:textId="0E64CE1B" w:rsidR="00F76195" w:rsidRPr="00F76195" w:rsidRDefault="00F76195" w:rsidP="00F76195">
    <w:pPr>
      <w:pStyle w:val="Header"/>
      <w:jc w:val="right"/>
    </w:pPr>
    <w:r>
      <w:t>FCCC/PA/CMA/2024/17/Add.2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B15E" w14:textId="1B882554" w:rsidR="00F76195" w:rsidRPr="00F76195" w:rsidRDefault="00F76195" w:rsidP="00F76195">
    <w:pPr>
      <w:pStyle w:val="Header"/>
    </w:pPr>
    <w:r>
      <w:t>FCCC/PA/CMA/2024/17/Add.2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1EA5" w14:textId="45EE2A9B" w:rsidR="00F76195" w:rsidRPr="00F76195" w:rsidRDefault="00F76195" w:rsidP="00F76195">
    <w:pPr>
      <w:pStyle w:val="Header"/>
      <w:jc w:val="right"/>
    </w:pPr>
    <w:r>
      <w:t>FCCC/PA/CMA/2024/17/Add.2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A3FD" w14:textId="650CDD7E" w:rsidR="00F76195" w:rsidRPr="00F76195" w:rsidRDefault="00F76195" w:rsidP="00F76195">
    <w:pPr>
      <w:pStyle w:val="Header"/>
      <w:jc w:val="right"/>
    </w:pPr>
    <w:r>
      <w:t>FCCC/PA/CMA/2024/17/Add.2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8634" w14:textId="1234217D" w:rsidR="00F76195" w:rsidRPr="00F76195" w:rsidRDefault="00F76195" w:rsidP="00F76195">
    <w:pPr>
      <w:pStyle w:val="Header"/>
    </w:pPr>
    <w:r>
      <w:t>FCCC/PA/CMA/2024/17/Add.2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F2CD" w14:textId="633DE9E1" w:rsidR="00F76195" w:rsidRPr="00F76195" w:rsidRDefault="00F76195" w:rsidP="00F76195">
    <w:pPr>
      <w:pStyle w:val="Header"/>
      <w:jc w:val="right"/>
    </w:pPr>
    <w:r>
      <w:t>FCCC/PA/CMA/2024/17/Add.2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9A77" w14:textId="0E0ED546" w:rsidR="003F6A01" w:rsidRPr="00F76195" w:rsidRDefault="00F76195" w:rsidP="00F76195">
    <w:pPr>
      <w:pStyle w:val="Header"/>
      <w:jc w:val="right"/>
    </w:pPr>
    <w:r w:rsidRPr="00A614D7">
      <w:t>FCCC/PA/CMA/2024/17</w:t>
    </w:r>
    <w:r>
      <w:t>/Add.2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0611" w14:textId="77777777" w:rsidR="000F0FD8" w:rsidRDefault="000F0FD8" w:rsidP="000F0FD8">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3AC5" w14:textId="1DE45F1C" w:rsidR="00F76195" w:rsidRPr="00F76195" w:rsidRDefault="00F76195" w:rsidP="00F76195">
    <w:pPr>
      <w:pStyle w:val="Header"/>
    </w:pPr>
    <w:r>
      <w:t>FCCC/PA/CMA/2024/17/Add.2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22E2" w14:textId="08735794" w:rsidR="00F76195" w:rsidRPr="00F76195" w:rsidRDefault="00F76195" w:rsidP="00F76195">
    <w:pPr>
      <w:pStyle w:val="Header"/>
    </w:pPr>
    <w:r>
      <w:t>FCCC/PA/CMA/2024/17/Add.2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42C4" w14:textId="2A6BB91B" w:rsidR="00F76195" w:rsidRPr="00F76195" w:rsidRDefault="00F76195" w:rsidP="00F76195">
    <w:pPr>
      <w:pStyle w:val="Header"/>
      <w:jc w:val="right"/>
    </w:pPr>
    <w:r>
      <w:t>FCCC/PA/CMA/2024/17/Add.2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9F1C" w14:textId="1A855B4D" w:rsidR="00F76195" w:rsidRPr="00F76195" w:rsidRDefault="00F76195" w:rsidP="00F76195">
    <w:pPr>
      <w:pStyle w:val="Header"/>
    </w:pPr>
    <w:r>
      <w:t>FCCC/PA/CMA/2024/17/Add.2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CDCA" w14:textId="1273D710" w:rsidR="00F76195" w:rsidRPr="00F76195" w:rsidRDefault="00F76195" w:rsidP="00F76195">
    <w:pPr>
      <w:pStyle w:val="Header"/>
      <w:jc w:val="right"/>
    </w:pPr>
    <w:r>
      <w:t>FCCC/PA/CMA/2024/17/Add.2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9E7D" w14:textId="77E24C32" w:rsidR="00F76195" w:rsidRPr="00F76195" w:rsidRDefault="00F76195" w:rsidP="00F76195">
    <w:pPr>
      <w:pStyle w:val="Header"/>
    </w:pPr>
    <w:r>
      <w:t>FCCC/PA/CMA/2024/17/Add.2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1AA0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9A7D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F8B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BC5F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E8A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42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89E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1214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D40B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A86B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F87E9FF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i w:val="0"/>
        <w:iCs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4"/>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4"/>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5"/>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935532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287670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95693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746027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7857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262509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99021327">
    <w:abstractNumId w:val="23"/>
  </w:num>
  <w:num w:numId="41" w16cid:durableId="10107638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666765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470046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34302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652123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01"/>
    <w:rsid w:val="00002558"/>
    <w:rsid w:val="00002934"/>
    <w:rsid w:val="00002A1A"/>
    <w:rsid w:val="0000363C"/>
    <w:rsid w:val="00004A30"/>
    <w:rsid w:val="00007089"/>
    <w:rsid w:val="0001565C"/>
    <w:rsid w:val="00021BB6"/>
    <w:rsid w:val="0002382B"/>
    <w:rsid w:val="00027F7F"/>
    <w:rsid w:val="00032DDE"/>
    <w:rsid w:val="000336B9"/>
    <w:rsid w:val="000347AF"/>
    <w:rsid w:val="00037650"/>
    <w:rsid w:val="0003776D"/>
    <w:rsid w:val="000423A6"/>
    <w:rsid w:val="0005242D"/>
    <w:rsid w:val="00052463"/>
    <w:rsid w:val="00052A7B"/>
    <w:rsid w:val="00054CCE"/>
    <w:rsid w:val="000555B3"/>
    <w:rsid w:val="000561BD"/>
    <w:rsid w:val="000610B7"/>
    <w:rsid w:val="000619EA"/>
    <w:rsid w:val="00061D35"/>
    <w:rsid w:val="00062505"/>
    <w:rsid w:val="000645B3"/>
    <w:rsid w:val="0006606C"/>
    <w:rsid w:val="000709C7"/>
    <w:rsid w:val="00074855"/>
    <w:rsid w:val="00074EC5"/>
    <w:rsid w:val="00074FC8"/>
    <w:rsid w:val="00076113"/>
    <w:rsid w:val="000773C8"/>
    <w:rsid w:val="00081C44"/>
    <w:rsid w:val="00083647"/>
    <w:rsid w:val="00085CF4"/>
    <w:rsid w:val="0008756E"/>
    <w:rsid w:val="00087BE9"/>
    <w:rsid w:val="00090016"/>
    <w:rsid w:val="0009038D"/>
    <w:rsid w:val="00090A78"/>
    <w:rsid w:val="000913E6"/>
    <w:rsid w:val="00092E29"/>
    <w:rsid w:val="00093044"/>
    <w:rsid w:val="00097AAC"/>
    <w:rsid w:val="000A316A"/>
    <w:rsid w:val="000A399F"/>
    <w:rsid w:val="000A4C99"/>
    <w:rsid w:val="000A566F"/>
    <w:rsid w:val="000A5CE8"/>
    <w:rsid w:val="000A63B3"/>
    <w:rsid w:val="000A7A56"/>
    <w:rsid w:val="000A7C2B"/>
    <w:rsid w:val="000A7E71"/>
    <w:rsid w:val="000B1FD0"/>
    <w:rsid w:val="000B42FA"/>
    <w:rsid w:val="000C0E05"/>
    <w:rsid w:val="000C24E3"/>
    <w:rsid w:val="000C5173"/>
    <w:rsid w:val="000C6FE0"/>
    <w:rsid w:val="000C7FAF"/>
    <w:rsid w:val="000D088D"/>
    <w:rsid w:val="000D3CA2"/>
    <w:rsid w:val="000D4A13"/>
    <w:rsid w:val="000D5DED"/>
    <w:rsid w:val="000D6922"/>
    <w:rsid w:val="000D6D4A"/>
    <w:rsid w:val="000E10D2"/>
    <w:rsid w:val="000E3254"/>
    <w:rsid w:val="000E343D"/>
    <w:rsid w:val="000E3BD5"/>
    <w:rsid w:val="000E5A58"/>
    <w:rsid w:val="000E6E68"/>
    <w:rsid w:val="000F0FD8"/>
    <w:rsid w:val="000F13AC"/>
    <w:rsid w:val="000F379C"/>
    <w:rsid w:val="000F4528"/>
    <w:rsid w:val="000F4DE3"/>
    <w:rsid w:val="000F5020"/>
    <w:rsid w:val="000F51FC"/>
    <w:rsid w:val="001007C9"/>
    <w:rsid w:val="00103310"/>
    <w:rsid w:val="00105365"/>
    <w:rsid w:val="00106384"/>
    <w:rsid w:val="00107536"/>
    <w:rsid w:val="00107B0E"/>
    <w:rsid w:val="0011157B"/>
    <w:rsid w:val="0011157F"/>
    <w:rsid w:val="00115CE4"/>
    <w:rsid w:val="001161E5"/>
    <w:rsid w:val="0011781E"/>
    <w:rsid w:val="00120826"/>
    <w:rsid w:val="00120901"/>
    <w:rsid w:val="001209A8"/>
    <w:rsid w:val="00120E84"/>
    <w:rsid w:val="00122DC1"/>
    <w:rsid w:val="00123C52"/>
    <w:rsid w:val="001240A5"/>
    <w:rsid w:val="00124496"/>
    <w:rsid w:val="00127311"/>
    <w:rsid w:val="001328F9"/>
    <w:rsid w:val="001349EC"/>
    <w:rsid w:val="00134F15"/>
    <w:rsid w:val="001366AD"/>
    <w:rsid w:val="00136D61"/>
    <w:rsid w:val="001404D7"/>
    <w:rsid w:val="00140E6D"/>
    <w:rsid w:val="00141710"/>
    <w:rsid w:val="00142A35"/>
    <w:rsid w:val="00152668"/>
    <w:rsid w:val="00152A6E"/>
    <w:rsid w:val="001600D9"/>
    <w:rsid w:val="001602D3"/>
    <w:rsid w:val="0016187F"/>
    <w:rsid w:val="00171B2B"/>
    <w:rsid w:val="00172CF0"/>
    <w:rsid w:val="001738F1"/>
    <w:rsid w:val="00174A05"/>
    <w:rsid w:val="00174D1F"/>
    <w:rsid w:val="00175E0F"/>
    <w:rsid w:val="00176D28"/>
    <w:rsid w:val="00177074"/>
    <w:rsid w:val="00180C88"/>
    <w:rsid w:val="00180DE6"/>
    <w:rsid w:val="001824A4"/>
    <w:rsid w:val="00184C03"/>
    <w:rsid w:val="00186A4F"/>
    <w:rsid w:val="001906D0"/>
    <w:rsid w:val="001915EF"/>
    <w:rsid w:val="001930E1"/>
    <w:rsid w:val="0019430F"/>
    <w:rsid w:val="001945C7"/>
    <w:rsid w:val="00194BFA"/>
    <w:rsid w:val="00194E11"/>
    <w:rsid w:val="00195018"/>
    <w:rsid w:val="00195ABB"/>
    <w:rsid w:val="00195FF4"/>
    <w:rsid w:val="00196E77"/>
    <w:rsid w:val="001A0A3A"/>
    <w:rsid w:val="001A1FC1"/>
    <w:rsid w:val="001A3E9A"/>
    <w:rsid w:val="001A594B"/>
    <w:rsid w:val="001A5FE8"/>
    <w:rsid w:val="001A6305"/>
    <w:rsid w:val="001A70E2"/>
    <w:rsid w:val="001A75C7"/>
    <w:rsid w:val="001B085A"/>
    <w:rsid w:val="001B1483"/>
    <w:rsid w:val="001B262B"/>
    <w:rsid w:val="001B7A11"/>
    <w:rsid w:val="001C3DE7"/>
    <w:rsid w:val="001C3F2F"/>
    <w:rsid w:val="001C40F0"/>
    <w:rsid w:val="001C44CF"/>
    <w:rsid w:val="001C4688"/>
    <w:rsid w:val="001C7B87"/>
    <w:rsid w:val="001D012A"/>
    <w:rsid w:val="001D0F0F"/>
    <w:rsid w:val="001D2FD8"/>
    <w:rsid w:val="001D514C"/>
    <w:rsid w:val="001D5191"/>
    <w:rsid w:val="001D5A9A"/>
    <w:rsid w:val="001D6001"/>
    <w:rsid w:val="001D7AB1"/>
    <w:rsid w:val="001E1D93"/>
    <w:rsid w:val="001E1EFC"/>
    <w:rsid w:val="001E3461"/>
    <w:rsid w:val="001E38E4"/>
    <w:rsid w:val="001E5100"/>
    <w:rsid w:val="001E5337"/>
    <w:rsid w:val="001E7D13"/>
    <w:rsid w:val="001F0C87"/>
    <w:rsid w:val="001F2BBF"/>
    <w:rsid w:val="002008AA"/>
    <w:rsid w:val="00201B92"/>
    <w:rsid w:val="002025E1"/>
    <w:rsid w:val="00202C1D"/>
    <w:rsid w:val="002031E4"/>
    <w:rsid w:val="002051C6"/>
    <w:rsid w:val="00205862"/>
    <w:rsid w:val="00207070"/>
    <w:rsid w:val="00207452"/>
    <w:rsid w:val="0021238D"/>
    <w:rsid w:val="0021446A"/>
    <w:rsid w:val="00214C61"/>
    <w:rsid w:val="00216589"/>
    <w:rsid w:val="00223453"/>
    <w:rsid w:val="00224111"/>
    <w:rsid w:val="00225F85"/>
    <w:rsid w:val="00230D0F"/>
    <w:rsid w:val="00231FB5"/>
    <w:rsid w:val="0023202B"/>
    <w:rsid w:val="00232479"/>
    <w:rsid w:val="00232E2B"/>
    <w:rsid w:val="00232EAA"/>
    <w:rsid w:val="002371DF"/>
    <w:rsid w:val="00237CB4"/>
    <w:rsid w:val="00241BA2"/>
    <w:rsid w:val="0024447B"/>
    <w:rsid w:val="00246888"/>
    <w:rsid w:val="0024698E"/>
    <w:rsid w:val="00247BF6"/>
    <w:rsid w:val="00250037"/>
    <w:rsid w:val="00251FF9"/>
    <w:rsid w:val="00253D17"/>
    <w:rsid w:val="00256CFB"/>
    <w:rsid w:val="00257AA3"/>
    <w:rsid w:val="00260BFA"/>
    <w:rsid w:val="002615FC"/>
    <w:rsid w:val="00264F17"/>
    <w:rsid w:val="00265F58"/>
    <w:rsid w:val="00266D68"/>
    <w:rsid w:val="00266EB8"/>
    <w:rsid w:val="00267B98"/>
    <w:rsid w:val="00273E8E"/>
    <w:rsid w:val="0027419E"/>
    <w:rsid w:val="00276A17"/>
    <w:rsid w:val="002776B4"/>
    <w:rsid w:val="002779EB"/>
    <w:rsid w:val="002800E2"/>
    <w:rsid w:val="002823A1"/>
    <w:rsid w:val="0028255E"/>
    <w:rsid w:val="00283275"/>
    <w:rsid w:val="00284976"/>
    <w:rsid w:val="002859C9"/>
    <w:rsid w:val="002876B8"/>
    <w:rsid w:val="0028773B"/>
    <w:rsid w:val="00287FCB"/>
    <w:rsid w:val="0029007C"/>
    <w:rsid w:val="00290409"/>
    <w:rsid w:val="00292DC3"/>
    <w:rsid w:val="00293179"/>
    <w:rsid w:val="002933A4"/>
    <w:rsid w:val="00295140"/>
    <w:rsid w:val="002954CD"/>
    <w:rsid w:val="00295866"/>
    <w:rsid w:val="0029733B"/>
    <w:rsid w:val="00297C1E"/>
    <w:rsid w:val="002A315F"/>
    <w:rsid w:val="002A3C68"/>
    <w:rsid w:val="002A598F"/>
    <w:rsid w:val="002A7B52"/>
    <w:rsid w:val="002B00DA"/>
    <w:rsid w:val="002B0283"/>
    <w:rsid w:val="002B1B4B"/>
    <w:rsid w:val="002B3984"/>
    <w:rsid w:val="002B446B"/>
    <w:rsid w:val="002B4A33"/>
    <w:rsid w:val="002B626F"/>
    <w:rsid w:val="002B685D"/>
    <w:rsid w:val="002B71EA"/>
    <w:rsid w:val="002B72CE"/>
    <w:rsid w:val="002B7532"/>
    <w:rsid w:val="002C051E"/>
    <w:rsid w:val="002C0D55"/>
    <w:rsid w:val="002C11F7"/>
    <w:rsid w:val="002C3336"/>
    <w:rsid w:val="002C52A6"/>
    <w:rsid w:val="002C5632"/>
    <w:rsid w:val="002D12AD"/>
    <w:rsid w:val="002D154A"/>
    <w:rsid w:val="002D1F6E"/>
    <w:rsid w:val="002D591E"/>
    <w:rsid w:val="002D66A2"/>
    <w:rsid w:val="002D67BD"/>
    <w:rsid w:val="002D737B"/>
    <w:rsid w:val="002E1B96"/>
    <w:rsid w:val="002E1F5B"/>
    <w:rsid w:val="002E3ED8"/>
    <w:rsid w:val="002E4885"/>
    <w:rsid w:val="002E6964"/>
    <w:rsid w:val="002E6A2A"/>
    <w:rsid w:val="002F304A"/>
    <w:rsid w:val="002F60E8"/>
    <w:rsid w:val="002F7B01"/>
    <w:rsid w:val="003006B1"/>
    <w:rsid w:val="003012AF"/>
    <w:rsid w:val="00301EEF"/>
    <w:rsid w:val="00304BA1"/>
    <w:rsid w:val="00304FAD"/>
    <w:rsid w:val="00306423"/>
    <w:rsid w:val="003072DE"/>
    <w:rsid w:val="00307430"/>
    <w:rsid w:val="0031149B"/>
    <w:rsid w:val="003132EC"/>
    <w:rsid w:val="003147E4"/>
    <w:rsid w:val="00317B8C"/>
    <w:rsid w:val="00321A14"/>
    <w:rsid w:val="003234D7"/>
    <w:rsid w:val="00324760"/>
    <w:rsid w:val="003250E7"/>
    <w:rsid w:val="00327575"/>
    <w:rsid w:val="00327B89"/>
    <w:rsid w:val="00332592"/>
    <w:rsid w:val="003354A0"/>
    <w:rsid w:val="00336DC3"/>
    <w:rsid w:val="0034005C"/>
    <w:rsid w:val="00340554"/>
    <w:rsid w:val="00340EA4"/>
    <w:rsid w:val="00341289"/>
    <w:rsid w:val="003415A2"/>
    <w:rsid w:val="00342290"/>
    <w:rsid w:val="00342402"/>
    <w:rsid w:val="00344AD3"/>
    <w:rsid w:val="00350710"/>
    <w:rsid w:val="00353C1C"/>
    <w:rsid w:val="00355B23"/>
    <w:rsid w:val="00357684"/>
    <w:rsid w:val="00357808"/>
    <w:rsid w:val="00360B55"/>
    <w:rsid w:val="00361821"/>
    <w:rsid w:val="00361A9D"/>
    <w:rsid w:val="0036252A"/>
    <w:rsid w:val="003643C9"/>
    <w:rsid w:val="00364B85"/>
    <w:rsid w:val="0036580C"/>
    <w:rsid w:val="00367230"/>
    <w:rsid w:val="00375F53"/>
    <w:rsid w:val="003762C2"/>
    <w:rsid w:val="00381632"/>
    <w:rsid w:val="00383494"/>
    <w:rsid w:val="00383E35"/>
    <w:rsid w:val="003847B9"/>
    <w:rsid w:val="00385E56"/>
    <w:rsid w:val="003918C0"/>
    <w:rsid w:val="003A04B4"/>
    <w:rsid w:val="003A27DF"/>
    <w:rsid w:val="003A4329"/>
    <w:rsid w:val="003A4936"/>
    <w:rsid w:val="003B1229"/>
    <w:rsid w:val="003B27E5"/>
    <w:rsid w:val="003B2C11"/>
    <w:rsid w:val="003B3C25"/>
    <w:rsid w:val="003B4C6A"/>
    <w:rsid w:val="003B4D23"/>
    <w:rsid w:val="003B714F"/>
    <w:rsid w:val="003C041A"/>
    <w:rsid w:val="003C1AF0"/>
    <w:rsid w:val="003C243F"/>
    <w:rsid w:val="003C24F7"/>
    <w:rsid w:val="003C3854"/>
    <w:rsid w:val="003C6C90"/>
    <w:rsid w:val="003C75B9"/>
    <w:rsid w:val="003D1A53"/>
    <w:rsid w:val="003D2BC2"/>
    <w:rsid w:val="003D36AD"/>
    <w:rsid w:val="003D3B00"/>
    <w:rsid w:val="003D41A4"/>
    <w:rsid w:val="003D5FAA"/>
    <w:rsid w:val="003D6B47"/>
    <w:rsid w:val="003E05CD"/>
    <w:rsid w:val="003E1566"/>
    <w:rsid w:val="003E3A52"/>
    <w:rsid w:val="003E43C3"/>
    <w:rsid w:val="003E7CA8"/>
    <w:rsid w:val="003F0BC6"/>
    <w:rsid w:val="003F1BB3"/>
    <w:rsid w:val="003F1C9E"/>
    <w:rsid w:val="003F1E27"/>
    <w:rsid w:val="003F20C4"/>
    <w:rsid w:val="003F27ED"/>
    <w:rsid w:val="003F2960"/>
    <w:rsid w:val="003F3102"/>
    <w:rsid w:val="003F3389"/>
    <w:rsid w:val="003F5FEE"/>
    <w:rsid w:val="003F6A01"/>
    <w:rsid w:val="003F7210"/>
    <w:rsid w:val="003F7301"/>
    <w:rsid w:val="00400B35"/>
    <w:rsid w:val="00403E2E"/>
    <w:rsid w:val="004042A4"/>
    <w:rsid w:val="00405060"/>
    <w:rsid w:val="004061BF"/>
    <w:rsid w:val="00410508"/>
    <w:rsid w:val="00415222"/>
    <w:rsid w:val="004152BB"/>
    <w:rsid w:val="00415EFB"/>
    <w:rsid w:val="00417292"/>
    <w:rsid w:val="00420C14"/>
    <w:rsid w:val="004215DD"/>
    <w:rsid w:val="0042216E"/>
    <w:rsid w:val="00422A48"/>
    <w:rsid w:val="00422A55"/>
    <w:rsid w:val="004250A3"/>
    <w:rsid w:val="00425FB6"/>
    <w:rsid w:val="0042666C"/>
    <w:rsid w:val="0042681B"/>
    <w:rsid w:val="00427DA2"/>
    <w:rsid w:val="0043729E"/>
    <w:rsid w:val="00437435"/>
    <w:rsid w:val="00440231"/>
    <w:rsid w:val="00442AFD"/>
    <w:rsid w:val="0044375E"/>
    <w:rsid w:val="00444C5E"/>
    <w:rsid w:val="00445627"/>
    <w:rsid w:val="004456F5"/>
    <w:rsid w:val="00451C4D"/>
    <w:rsid w:val="00455747"/>
    <w:rsid w:val="00456080"/>
    <w:rsid w:val="004578AD"/>
    <w:rsid w:val="00457974"/>
    <w:rsid w:val="00462898"/>
    <w:rsid w:val="00464BE9"/>
    <w:rsid w:val="00471C21"/>
    <w:rsid w:val="004732FC"/>
    <w:rsid w:val="00476052"/>
    <w:rsid w:val="0047658D"/>
    <w:rsid w:val="00477328"/>
    <w:rsid w:val="00477802"/>
    <w:rsid w:val="004812E6"/>
    <w:rsid w:val="0048196D"/>
    <w:rsid w:val="00484B74"/>
    <w:rsid w:val="0048523B"/>
    <w:rsid w:val="00485971"/>
    <w:rsid w:val="00487DED"/>
    <w:rsid w:val="004903C5"/>
    <w:rsid w:val="00490900"/>
    <w:rsid w:val="00494C20"/>
    <w:rsid w:val="004977C3"/>
    <w:rsid w:val="004A1B2B"/>
    <w:rsid w:val="004A36EC"/>
    <w:rsid w:val="004A3B95"/>
    <w:rsid w:val="004A67DD"/>
    <w:rsid w:val="004B02E4"/>
    <w:rsid w:val="004B2317"/>
    <w:rsid w:val="004B2869"/>
    <w:rsid w:val="004B501A"/>
    <w:rsid w:val="004B6DE3"/>
    <w:rsid w:val="004C022A"/>
    <w:rsid w:val="004C1052"/>
    <w:rsid w:val="004D06FC"/>
    <w:rsid w:val="004D14BA"/>
    <w:rsid w:val="004D1BD9"/>
    <w:rsid w:val="004D205A"/>
    <w:rsid w:val="004D26DD"/>
    <w:rsid w:val="004D72AF"/>
    <w:rsid w:val="004E02F4"/>
    <w:rsid w:val="004E2287"/>
    <w:rsid w:val="004E3961"/>
    <w:rsid w:val="004E4B8F"/>
    <w:rsid w:val="004E53DE"/>
    <w:rsid w:val="004E5A04"/>
    <w:rsid w:val="004E7437"/>
    <w:rsid w:val="004F0D45"/>
    <w:rsid w:val="004F615A"/>
    <w:rsid w:val="005005F8"/>
    <w:rsid w:val="005030B1"/>
    <w:rsid w:val="00503373"/>
    <w:rsid w:val="005120CF"/>
    <w:rsid w:val="00513C2D"/>
    <w:rsid w:val="0051452E"/>
    <w:rsid w:val="00521929"/>
    <w:rsid w:val="005255F0"/>
    <w:rsid w:val="00527573"/>
    <w:rsid w:val="005279BE"/>
    <w:rsid w:val="005324FA"/>
    <w:rsid w:val="005339FF"/>
    <w:rsid w:val="00533AB8"/>
    <w:rsid w:val="00533E91"/>
    <w:rsid w:val="005410A8"/>
    <w:rsid w:val="0054154F"/>
    <w:rsid w:val="005416D2"/>
    <w:rsid w:val="00545616"/>
    <w:rsid w:val="005464AA"/>
    <w:rsid w:val="00546735"/>
    <w:rsid w:val="005474C8"/>
    <w:rsid w:val="005549B8"/>
    <w:rsid w:val="00556333"/>
    <w:rsid w:val="0055700C"/>
    <w:rsid w:val="0056212D"/>
    <w:rsid w:val="0056250B"/>
    <w:rsid w:val="005627AB"/>
    <w:rsid w:val="005653A9"/>
    <w:rsid w:val="005658BA"/>
    <w:rsid w:val="00565AF2"/>
    <w:rsid w:val="00565F0B"/>
    <w:rsid w:val="0056758F"/>
    <w:rsid w:val="0057038E"/>
    <w:rsid w:val="00570F55"/>
    <w:rsid w:val="005716E6"/>
    <w:rsid w:val="00572605"/>
    <w:rsid w:val="00572AD5"/>
    <w:rsid w:val="00573130"/>
    <w:rsid w:val="00576132"/>
    <w:rsid w:val="00576F19"/>
    <w:rsid w:val="00577949"/>
    <w:rsid w:val="0058341F"/>
    <w:rsid w:val="0058400C"/>
    <w:rsid w:val="005857A1"/>
    <w:rsid w:val="005907A8"/>
    <w:rsid w:val="0059193B"/>
    <w:rsid w:val="00591BED"/>
    <w:rsid w:val="00592405"/>
    <w:rsid w:val="005A0171"/>
    <w:rsid w:val="005A1844"/>
    <w:rsid w:val="005A30EA"/>
    <w:rsid w:val="005A3292"/>
    <w:rsid w:val="005A6EFF"/>
    <w:rsid w:val="005A723F"/>
    <w:rsid w:val="005A7341"/>
    <w:rsid w:val="005B1D36"/>
    <w:rsid w:val="005B47F8"/>
    <w:rsid w:val="005C0745"/>
    <w:rsid w:val="005C08EC"/>
    <w:rsid w:val="005C683F"/>
    <w:rsid w:val="005C6895"/>
    <w:rsid w:val="005D4072"/>
    <w:rsid w:val="005D5842"/>
    <w:rsid w:val="005D6C7A"/>
    <w:rsid w:val="005E432D"/>
    <w:rsid w:val="005F069C"/>
    <w:rsid w:val="005F16C2"/>
    <w:rsid w:val="005F23EB"/>
    <w:rsid w:val="005F7584"/>
    <w:rsid w:val="006002E5"/>
    <w:rsid w:val="00601526"/>
    <w:rsid w:val="00603D73"/>
    <w:rsid w:val="0060436D"/>
    <w:rsid w:val="0061173F"/>
    <w:rsid w:val="00611E89"/>
    <w:rsid w:val="00612A0D"/>
    <w:rsid w:val="00617B57"/>
    <w:rsid w:val="0062102A"/>
    <w:rsid w:val="00622643"/>
    <w:rsid w:val="00622B9F"/>
    <w:rsid w:val="00624D03"/>
    <w:rsid w:val="00627545"/>
    <w:rsid w:val="00631EE2"/>
    <w:rsid w:val="00633BF3"/>
    <w:rsid w:val="00634DBB"/>
    <w:rsid w:val="0063652F"/>
    <w:rsid w:val="0063667C"/>
    <w:rsid w:val="006379C7"/>
    <w:rsid w:val="00641A50"/>
    <w:rsid w:val="00641F29"/>
    <w:rsid w:val="0064579B"/>
    <w:rsid w:val="006470FD"/>
    <w:rsid w:val="00651BDB"/>
    <w:rsid w:val="00655F79"/>
    <w:rsid w:val="00656011"/>
    <w:rsid w:val="006604B7"/>
    <w:rsid w:val="0066159F"/>
    <w:rsid w:val="00664ABD"/>
    <w:rsid w:val="00664E65"/>
    <w:rsid w:val="0066779B"/>
    <w:rsid w:val="00670DF2"/>
    <w:rsid w:val="0067141A"/>
    <w:rsid w:val="00671981"/>
    <w:rsid w:val="00674F73"/>
    <w:rsid w:val="006771A4"/>
    <w:rsid w:val="006810D8"/>
    <w:rsid w:val="0068552D"/>
    <w:rsid w:val="00687740"/>
    <w:rsid w:val="00693901"/>
    <w:rsid w:val="006973FA"/>
    <w:rsid w:val="006A3385"/>
    <w:rsid w:val="006A56FD"/>
    <w:rsid w:val="006A63F7"/>
    <w:rsid w:val="006B06DB"/>
    <w:rsid w:val="006B13CC"/>
    <w:rsid w:val="006B178A"/>
    <w:rsid w:val="006B1C64"/>
    <w:rsid w:val="006B2FFC"/>
    <w:rsid w:val="006B5CA6"/>
    <w:rsid w:val="006B62F2"/>
    <w:rsid w:val="006B6D3A"/>
    <w:rsid w:val="006C590B"/>
    <w:rsid w:val="006C6896"/>
    <w:rsid w:val="006D0603"/>
    <w:rsid w:val="006D09CE"/>
    <w:rsid w:val="006D0BDC"/>
    <w:rsid w:val="006D4298"/>
    <w:rsid w:val="006D49CA"/>
    <w:rsid w:val="006D59B8"/>
    <w:rsid w:val="006E2336"/>
    <w:rsid w:val="006E62D7"/>
    <w:rsid w:val="006E6852"/>
    <w:rsid w:val="006E7F83"/>
    <w:rsid w:val="006F1BFA"/>
    <w:rsid w:val="006F2373"/>
    <w:rsid w:val="006F2A90"/>
    <w:rsid w:val="006F4A87"/>
    <w:rsid w:val="00700EEF"/>
    <w:rsid w:val="00701B7F"/>
    <w:rsid w:val="00702858"/>
    <w:rsid w:val="00704619"/>
    <w:rsid w:val="00706ACC"/>
    <w:rsid w:val="0070704D"/>
    <w:rsid w:val="00707BB0"/>
    <w:rsid w:val="00710E60"/>
    <w:rsid w:val="007112BE"/>
    <w:rsid w:val="0071428F"/>
    <w:rsid w:val="00717BC5"/>
    <w:rsid w:val="00721FF8"/>
    <w:rsid w:val="00722823"/>
    <w:rsid w:val="00722C98"/>
    <w:rsid w:val="0072468E"/>
    <w:rsid w:val="00726562"/>
    <w:rsid w:val="00726892"/>
    <w:rsid w:val="00726AD4"/>
    <w:rsid w:val="00731509"/>
    <w:rsid w:val="007334B2"/>
    <w:rsid w:val="007334C8"/>
    <w:rsid w:val="00733560"/>
    <w:rsid w:val="0073470C"/>
    <w:rsid w:val="007366D3"/>
    <w:rsid w:val="007367AC"/>
    <w:rsid w:val="00740984"/>
    <w:rsid w:val="00740F38"/>
    <w:rsid w:val="00741FEC"/>
    <w:rsid w:val="007421D4"/>
    <w:rsid w:val="00742F78"/>
    <w:rsid w:val="0074373F"/>
    <w:rsid w:val="00744D22"/>
    <w:rsid w:val="00744FD0"/>
    <w:rsid w:val="00746018"/>
    <w:rsid w:val="0074693E"/>
    <w:rsid w:val="00750AE3"/>
    <w:rsid w:val="00750CCE"/>
    <w:rsid w:val="00752275"/>
    <w:rsid w:val="0075259E"/>
    <w:rsid w:val="007526EF"/>
    <w:rsid w:val="00752FEF"/>
    <w:rsid w:val="00754145"/>
    <w:rsid w:val="00756BC7"/>
    <w:rsid w:val="00756CAC"/>
    <w:rsid w:val="00757BDE"/>
    <w:rsid w:val="007626E6"/>
    <w:rsid w:val="007643B7"/>
    <w:rsid w:val="007658FD"/>
    <w:rsid w:val="007662FB"/>
    <w:rsid w:val="007712B0"/>
    <w:rsid w:val="007719B7"/>
    <w:rsid w:val="0077218B"/>
    <w:rsid w:val="00774120"/>
    <w:rsid w:val="00774D1B"/>
    <w:rsid w:val="007760E2"/>
    <w:rsid w:val="00776BC5"/>
    <w:rsid w:val="00780AEB"/>
    <w:rsid w:val="007823E2"/>
    <w:rsid w:val="00782B64"/>
    <w:rsid w:val="00783616"/>
    <w:rsid w:val="0078549A"/>
    <w:rsid w:val="00790161"/>
    <w:rsid w:val="0079209C"/>
    <w:rsid w:val="007965C4"/>
    <w:rsid w:val="007A3EE2"/>
    <w:rsid w:val="007A6268"/>
    <w:rsid w:val="007A6E1A"/>
    <w:rsid w:val="007B07E9"/>
    <w:rsid w:val="007B0DFC"/>
    <w:rsid w:val="007B282F"/>
    <w:rsid w:val="007B2CE5"/>
    <w:rsid w:val="007C169C"/>
    <w:rsid w:val="007C186F"/>
    <w:rsid w:val="007C23B8"/>
    <w:rsid w:val="007C3366"/>
    <w:rsid w:val="007C4046"/>
    <w:rsid w:val="007C4282"/>
    <w:rsid w:val="007C43B0"/>
    <w:rsid w:val="007C60C6"/>
    <w:rsid w:val="007D0DEF"/>
    <w:rsid w:val="007D1A65"/>
    <w:rsid w:val="007D3A77"/>
    <w:rsid w:val="007D46D9"/>
    <w:rsid w:val="007E2A04"/>
    <w:rsid w:val="007E4210"/>
    <w:rsid w:val="007E5A0D"/>
    <w:rsid w:val="007E5C76"/>
    <w:rsid w:val="007F0C6B"/>
    <w:rsid w:val="007F11A7"/>
    <w:rsid w:val="007F3CFE"/>
    <w:rsid w:val="007F5855"/>
    <w:rsid w:val="007F6C8A"/>
    <w:rsid w:val="00802646"/>
    <w:rsid w:val="00802E6D"/>
    <w:rsid w:val="00805529"/>
    <w:rsid w:val="00806DDE"/>
    <w:rsid w:val="008071D5"/>
    <w:rsid w:val="00807381"/>
    <w:rsid w:val="00810719"/>
    <w:rsid w:val="00810726"/>
    <w:rsid w:val="00813629"/>
    <w:rsid w:val="0081433E"/>
    <w:rsid w:val="008159A6"/>
    <w:rsid w:val="0081743A"/>
    <w:rsid w:val="00820954"/>
    <w:rsid w:val="00820EB5"/>
    <w:rsid w:val="00821927"/>
    <w:rsid w:val="00822406"/>
    <w:rsid w:val="00822B11"/>
    <w:rsid w:val="00823F58"/>
    <w:rsid w:val="00824785"/>
    <w:rsid w:val="00824D92"/>
    <w:rsid w:val="008263F2"/>
    <w:rsid w:val="00826893"/>
    <w:rsid w:val="00827816"/>
    <w:rsid w:val="0083172F"/>
    <w:rsid w:val="00833CF0"/>
    <w:rsid w:val="008344EB"/>
    <w:rsid w:val="00834E6B"/>
    <w:rsid w:val="008355D2"/>
    <w:rsid w:val="008362C4"/>
    <w:rsid w:val="008370E0"/>
    <w:rsid w:val="0084026C"/>
    <w:rsid w:val="00840611"/>
    <w:rsid w:val="00840B77"/>
    <w:rsid w:val="00841082"/>
    <w:rsid w:val="008419FD"/>
    <w:rsid w:val="00841F6A"/>
    <w:rsid w:val="008421F3"/>
    <w:rsid w:val="00842245"/>
    <w:rsid w:val="0084341D"/>
    <w:rsid w:val="00843742"/>
    <w:rsid w:val="00845317"/>
    <w:rsid w:val="00847A56"/>
    <w:rsid w:val="00850BA0"/>
    <w:rsid w:val="00854822"/>
    <w:rsid w:val="00854F81"/>
    <w:rsid w:val="0085562A"/>
    <w:rsid w:val="00855F0F"/>
    <w:rsid w:val="00857A55"/>
    <w:rsid w:val="0086015C"/>
    <w:rsid w:val="008636D6"/>
    <w:rsid w:val="00863B98"/>
    <w:rsid w:val="00871E36"/>
    <w:rsid w:val="00873FF2"/>
    <w:rsid w:val="00874A3A"/>
    <w:rsid w:val="00876FDD"/>
    <w:rsid w:val="00877791"/>
    <w:rsid w:val="0088373E"/>
    <w:rsid w:val="00884B08"/>
    <w:rsid w:val="00885EE0"/>
    <w:rsid w:val="00886C88"/>
    <w:rsid w:val="00892684"/>
    <w:rsid w:val="008947F8"/>
    <w:rsid w:val="00894A51"/>
    <w:rsid w:val="008A6F8B"/>
    <w:rsid w:val="008A7864"/>
    <w:rsid w:val="008B0BDE"/>
    <w:rsid w:val="008B12F5"/>
    <w:rsid w:val="008B17FB"/>
    <w:rsid w:val="008B2230"/>
    <w:rsid w:val="008B4372"/>
    <w:rsid w:val="008B64B6"/>
    <w:rsid w:val="008B7641"/>
    <w:rsid w:val="008B7A01"/>
    <w:rsid w:val="008C05BD"/>
    <w:rsid w:val="008C3312"/>
    <w:rsid w:val="008C42B4"/>
    <w:rsid w:val="008C485C"/>
    <w:rsid w:val="008C7664"/>
    <w:rsid w:val="008C7959"/>
    <w:rsid w:val="008D03C9"/>
    <w:rsid w:val="008D18DF"/>
    <w:rsid w:val="008D1D78"/>
    <w:rsid w:val="008D2969"/>
    <w:rsid w:val="008D3EE8"/>
    <w:rsid w:val="008D4009"/>
    <w:rsid w:val="008D49EA"/>
    <w:rsid w:val="008D7CC1"/>
    <w:rsid w:val="008E0631"/>
    <w:rsid w:val="008E078E"/>
    <w:rsid w:val="008E2B17"/>
    <w:rsid w:val="008E3FC7"/>
    <w:rsid w:val="008E4889"/>
    <w:rsid w:val="008E4AAA"/>
    <w:rsid w:val="008E64F0"/>
    <w:rsid w:val="008E7F92"/>
    <w:rsid w:val="008F0DA9"/>
    <w:rsid w:val="008F1E61"/>
    <w:rsid w:val="008F2081"/>
    <w:rsid w:val="008F288F"/>
    <w:rsid w:val="008F39D0"/>
    <w:rsid w:val="008F42A7"/>
    <w:rsid w:val="008F4C57"/>
    <w:rsid w:val="008F6651"/>
    <w:rsid w:val="008F7B36"/>
    <w:rsid w:val="00901BFD"/>
    <w:rsid w:val="009034BB"/>
    <w:rsid w:val="00906948"/>
    <w:rsid w:val="0091113E"/>
    <w:rsid w:val="0091119B"/>
    <w:rsid w:val="00912266"/>
    <w:rsid w:val="009137D2"/>
    <w:rsid w:val="00913D41"/>
    <w:rsid w:val="00917177"/>
    <w:rsid w:val="00917213"/>
    <w:rsid w:val="009175EA"/>
    <w:rsid w:val="009176A4"/>
    <w:rsid w:val="009179D6"/>
    <w:rsid w:val="00921BFC"/>
    <w:rsid w:val="00921CFD"/>
    <w:rsid w:val="00921DB5"/>
    <w:rsid w:val="0092263E"/>
    <w:rsid w:val="009230A8"/>
    <w:rsid w:val="00925084"/>
    <w:rsid w:val="009252FD"/>
    <w:rsid w:val="009255B0"/>
    <w:rsid w:val="0092703D"/>
    <w:rsid w:val="00933228"/>
    <w:rsid w:val="00934BE9"/>
    <w:rsid w:val="0094334C"/>
    <w:rsid w:val="0094674B"/>
    <w:rsid w:val="00946D44"/>
    <w:rsid w:val="009476D3"/>
    <w:rsid w:val="00951654"/>
    <w:rsid w:val="00951A38"/>
    <w:rsid w:val="00957314"/>
    <w:rsid w:val="00957A10"/>
    <w:rsid w:val="00960298"/>
    <w:rsid w:val="009617EB"/>
    <w:rsid w:val="0096262A"/>
    <w:rsid w:val="00963690"/>
    <w:rsid w:val="009647CF"/>
    <w:rsid w:val="00965737"/>
    <w:rsid w:val="00965856"/>
    <w:rsid w:val="009666F0"/>
    <w:rsid w:val="00967036"/>
    <w:rsid w:val="00967C40"/>
    <w:rsid w:val="00970BD6"/>
    <w:rsid w:val="00970F53"/>
    <w:rsid w:val="00971B44"/>
    <w:rsid w:val="00971B55"/>
    <w:rsid w:val="00973807"/>
    <w:rsid w:val="009745BA"/>
    <w:rsid w:val="009753B2"/>
    <w:rsid w:val="00980742"/>
    <w:rsid w:val="00980E44"/>
    <w:rsid w:val="0098778D"/>
    <w:rsid w:val="009879A5"/>
    <w:rsid w:val="00990895"/>
    <w:rsid w:val="009923C0"/>
    <w:rsid w:val="009929D4"/>
    <w:rsid w:val="00996312"/>
    <w:rsid w:val="009979A7"/>
    <w:rsid w:val="009A180C"/>
    <w:rsid w:val="009A1EFD"/>
    <w:rsid w:val="009A2813"/>
    <w:rsid w:val="009A38FD"/>
    <w:rsid w:val="009A43E7"/>
    <w:rsid w:val="009A71AA"/>
    <w:rsid w:val="009B064C"/>
    <w:rsid w:val="009B1CB9"/>
    <w:rsid w:val="009B2B55"/>
    <w:rsid w:val="009B6667"/>
    <w:rsid w:val="009C001C"/>
    <w:rsid w:val="009C1269"/>
    <w:rsid w:val="009C15C9"/>
    <w:rsid w:val="009C5809"/>
    <w:rsid w:val="009C61F8"/>
    <w:rsid w:val="009C6D6E"/>
    <w:rsid w:val="009D186B"/>
    <w:rsid w:val="009D7644"/>
    <w:rsid w:val="009D7985"/>
    <w:rsid w:val="009E28EF"/>
    <w:rsid w:val="009E3F82"/>
    <w:rsid w:val="009F29D4"/>
    <w:rsid w:val="009F3514"/>
    <w:rsid w:val="009F3A00"/>
    <w:rsid w:val="009F4969"/>
    <w:rsid w:val="009F65C0"/>
    <w:rsid w:val="009F7619"/>
    <w:rsid w:val="009F7990"/>
    <w:rsid w:val="009F7A41"/>
    <w:rsid w:val="00A01141"/>
    <w:rsid w:val="00A01182"/>
    <w:rsid w:val="00A01644"/>
    <w:rsid w:val="00A029EC"/>
    <w:rsid w:val="00A02E12"/>
    <w:rsid w:val="00A04983"/>
    <w:rsid w:val="00A05C5E"/>
    <w:rsid w:val="00A05FBC"/>
    <w:rsid w:val="00A060B4"/>
    <w:rsid w:val="00A0753F"/>
    <w:rsid w:val="00A078E1"/>
    <w:rsid w:val="00A10D80"/>
    <w:rsid w:val="00A10FFD"/>
    <w:rsid w:val="00A11347"/>
    <w:rsid w:val="00A11818"/>
    <w:rsid w:val="00A134F7"/>
    <w:rsid w:val="00A137C7"/>
    <w:rsid w:val="00A13B58"/>
    <w:rsid w:val="00A15A61"/>
    <w:rsid w:val="00A17115"/>
    <w:rsid w:val="00A20D58"/>
    <w:rsid w:val="00A22CD1"/>
    <w:rsid w:val="00A2450A"/>
    <w:rsid w:val="00A24F15"/>
    <w:rsid w:val="00A27BB0"/>
    <w:rsid w:val="00A30DE3"/>
    <w:rsid w:val="00A31D6D"/>
    <w:rsid w:val="00A31DAA"/>
    <w:rsid w:val="00A32408"/>
    <w:rsid w:val="00A32D49"/>
    <w:rsid w:val="00A35DA3"/>
    <w:rsid w:val="00A36552"/>
    <w:rsid w:val="00A4017F"/>
    <w:rsid w:val="00A41DA6"/>
    <w:rsid w:val="00A41DEF"/>
    <w:rsid w:val="00A46476"/>
    <w:rsid w:val="00A47AB3"/>
    <w:rsid w:val="00A47DA0"/>
    <w:rsid w:val="00A51559"/>
    <w:rsid w:val="00A54EF4"/>
    <w:rsid w:val="00A555E4"/>
    <w:rsid w:val="00A55AAA"/>
    <w:rsid w:val="00A573BC"/>
    <w:rsid w:val="00A60427"/>
    <w:rsid w:val="00A614D7"/>
    <w:rsid w:val="00A6152C"/>
    <w:rsid w:val="00A62DF5"/>
    <w:rsid w:val="00A63C00"/>
    <w:rsid w:val="00A6472E"/>
    <w:rsid w:val="00A6486B"/>
    <w:rsid w:val="00A64947"/>
    <w:rsid w:val="00A66451"/>
    <w:rsid w:val="00A706F1"/>
    <w:rsid w:val="00A71963"/>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87D91"/>
    <w:rsid w:val="00A9001C"/>
    <w:rsid w:val="00A91D88"/>
    <w:rsid w:val="00A9402E"/>
    <w:rsid w:val="00A947BB"/>
    <w:rsid w:val="00A94F52"/>
    <w:rsid w:val="00AA01B5"/>
    <w:rsid w:val="00AA1D78"/>
    <w:rsid w:val="00AA3CAD"/>
    <w:rsid w:val="00AA79D8"/>
    <w:rsid w:val="00AB0419"/>
    <w:rsid w:val="00AB05ED"/>
    <w:rsid w:val="00AB075E"/>
    <w:rsid w:val="00AB1658"/>
    <w:rsid w:val="00AB2E3D"/>
    <w:rsid w:val="00AB3DCB"/>
    <w:rsid w:val="00AC06E5"/>
    <w:rsid w:val="00AC14A6"/>
    <w:rsid w:val="00AC1F08"/>
    <w:rsid w:val="00AC314B"/>
    <w:rsid w:val="00AD3195"/>
    <w:rsid w:val="00AD3554"/>
    <w:rsid w:val="00AD40C4"/>
    <w:rsid w:val="00AD4D69"/>
    <w:rsid w:val="00AD6A5A"/>
    <w:rsid w:val="00AD7417"/>
    <w:rsid w:val="00AE03E0"/>
    <w:rsid w:val="00AE152B"/>
    <w:rsid w:val="00AE2044"/>
    <w:rsid w:val="00AE3B92"/>
    <w:rsid w:val="00AE550C"/>
    <w:rsid w:val="00AE566A"/>
    <w:rsid w:val="00AE73B8"/>
    <w:rsid w:val="00AF262B"/>
    <w:rsid w:val="00AF379E"/>
    <w:rsid w:val="00AF45B0"/>
    <w:rsid w:val="00AF63DC"/>
    <w:rsid w:val="00B02639"/>
    <w:rsid w:val="00B02C18"/>
    <w:rsid w:val="00B03244"/>
    <w:rsid w:val="00B06180"/>
    <w:rsid w:val="00B10EAB"/>
    <w:rsid w:val="00B12E0C"/>
    <w:rsid w:val="00B13218"/>
    <w:rsid w:val="00B151E0"/>
    <w:rsid w:val="00B15E8C"/>
    <w:rsid w:val="00B210F0"/>
    <w:rsid w:val="00B217B4"/>
    <w:rsid w:val="00B224EB"/>
    <w:rsid w:val="00B24666"/>
    <w:rsid w:val="00B2560F"/>
    <w:rsid w:val="00B2790B"/>
    <w:rsid w:val="00B27F33"/>
    <w:rsid w:val="00B30815"/>
    <w:rsid w:val="00B314CC"/>
    <w:rsid w:val="00B31C12"/>
    <w:rsid w:val="00B32A57"/>
    <w:rsid w:val="00B33C59"/>
    <w:rsid w:val="00B33E91"/>
    <w:rsid w:val="00B3411F"/>
    <w:rsid w:val="00B34BE4"/>
    <w:rsid w:val="00B36198"/>
    <w:rsid w:val="00B37C98"/>
    <w:rsid w:val="00B40093"/>
    <w:rsid w:val="00B41392"/>
    <w:rsid w:val="00B43CCA"/>
    <w:rsid w:val="00B44597"/>
    <w:rsid w:val="00B465AB"/>
    <w:rsid w:val="00B4776A"/>
    <w:rsid w:val="00B52E86"/>
    <w:rsid w:val="00B54E8C"/>
    <w:rsid w:val="00B62A21"/>
    <w:rsid w:val="00B64660"/>
    <w:rsid w:val="00B64691"/>
    <w:rsid w:val="00B647CA"/>
    <w:rsid w:val="00B64FBF"/>
    <w:rsid w:val="00B67031"/>
    <w:rsid w:val="00B7185B"/>
    <w:rsid w:val="00B727FF"/>
    <w:rsid w:val="00B73ACE"/>
    <w:rsid w:val="00B75F56"/>
    <w:rsid w:val="00B771ED"/>
    <w:rsid w:val="00B81D48"/>
    <w:rsid w:val="00B82BB6"/>
    <w:rsid w:val="00B82F22"/>
    <w:rsid w:val="00B83C76"/>
    <w:rsid w:val="00B842D8"/>
    <w:rsid w:val="00B84F3D"/>
    <w:rsid w:val="00B90BC9"/>
    <w:rsid w:val="00B91CC2"/>
    <w:rsid w:val="00B944FB"/>
    <w:rsid w:val="00B946F3"/>
    <w:rsid w:val="00B94DC4"/>
    <w:rsid w:val="00B94FA7"/>
    <w:rsid w:val="00B955EC"/>
    <w:rsid w:val="00B961E8"/>
    <w:rsid w:val="00B97D58"/>
    <w:rsid w:val="00BA0582"/>
    <w:rsid w:val="00BA0BF9"/>
    <w:rsid w:val="00BA151F"/>
    <w:rsid w:val="00BA1E63"/>
    <w:rsid w:val="00BA4A46"/>
    <w:rsid w:val="00BA5F8A"/>
    <w:rsid w:val="00BA707B"/>
    <w:rsid w:val="00BA7377"/>
    <w:rsid w:val="00BB0700"/>
    <w:rsid w:val="00BB4988"/>
    <w:rsid w:val="00BB71D3"/>
    <w:rsid w:val="00BB7CEE"/>
    <w:rsid w:val="00BC0D0E"/>
    <w:rsid w:val="00BC1129"/>
    <w:rsid w:val="00BC36B3"/>
    <w:rsid w:val="00BC43C0"/>
    <w:rsid w:val="00BC5A44"/>
    <w:rsid w:val="00BC6CFB"/>
    <w:rsid w:val="00BD0C7D"/>
    <w:rsid w:val="00BD0E54"/>
    <w:rsid w:val="00BD1C38"/>
    <w:rsid w:val="00BD34DB"/>
    <w:rsid w:val="00BD4436"/>
    <w:rsid w:val="00BD7715"/>
    <w:rsid w:val="00BE0EAC"/>
    <w:rsid w:val="00BE1CAD"/>
    <w:rsid w:val="00BE2DE5"/>
    <w:rsid w:val="00BE6757"/>
    <w:rsid w:val="00BE7C7B"/>
    <w:rsid w:val="00BF0EE6"/>
    <w:rsid w:val="00BF3499"/>
    <w:rsid w:val="00BF6C57"/>
    <w:rsid w:val="00BF7CD5"/>
    <w:rsid w:val="00BF7E68"/>
    <w:rsid w:val="00C0105B"/>
    <w:rsid w:val="00C073F7"/>
    <w:rsid w:val="00C120C7"/>
    <w:rsid w:val="00C12D57"/>
    <w:rsid w:val="00C148E1"/>
    <w:rsid w:val="00C15432"/>
    <w:rsid w:val="00C16295"/>
    <w:rsid w:val="00C16CAF"/>
    <w:rsid w:val="00C200A6"/>
    <w:rsid w:val="00C20DA0"/>
    <w:rsid w:val="00C238D6"/>
    <w:rsid w:val="00C24173"/>
    <w:rsid w:val="00C24427"/>
    <w:rsid w:val="00C24567"/>
    <w:rsid w:val="00C248D8"/>
    <w:rsid w:val="00C251F3"/>
    <w:rsid w:val="00C26A58"/>
    <w:rsid w:val="00C27B1F"/>
    <w:rsid w:val="00C3075C"/>
    <w:rsid w:val="00C30A05"/>
    <w:rsid w:val="00C325B6"/>
    <w:rsid w:val="00C33E96"/>
    <w:rsid w:val="00C34623"/>
    <w:rsid w:val="00C34D9C"/>
    <w:rsid w:val="00C352E2"/>
    <w:rsid w:val="00C3697F"/>
    <w:rsid w:val="00C400BC"/>
    <w:rsid w:val="00C42DFD"/>
    <w:rsid w:val="00C45173"/>
    <w:rsid w:val="00C479DE"/>
    <w:rsid w:val="00C530B3"/>
    <w:rsid w:val="00C53A08"/>
    <w:rsid w:val="00C54200"/>
    <w:rsid w:val="00C601EB"/>
    <w:rsid w:val="00C61EA0"/>
    <w:rsid w:val="00C631AC"/>
    <w:rsid w:val="00C6567C"/>
    <w:rsid w:val="00C67050"/>
    <w:rsid w:val="00C67223"/>
    <w:rsid w:val="00C71D12"/>
    <w:rsid w:val="00C72C22"/>
    <w:rsid w:val="00C72FF4"/>
    <w:rsid w:val="00C737CA"/>
    <w:rsid w:val="00C73E22"/>
    <w:rsid w:val="00C75584"/>
    <w:rsid w:val="00C767DA"/>
    <w:rsid w:val="00C778BD"/>
    <w:rsid w:val="00C77A2E"/>
    <w:rsid w:val="00C8036E"/>
    <w:rsid w:val="00C80E9D"/>
    <w:rsid w:val="00C83DFC"/>
    <w:rsid w:val="00C87683"/>
    <w:rsid w:val="00C90692"/>
    <w:rsid w:val="00C90BDB"/>
    <w:rsid w:val="00C92592"/>
    <w:rsid w:val="00C94646"/>
    <w:rsid w:val="00C96419"/>
    <w:rsid w:val="00C970D7"/>
    <w:rsid w:val="00CA22E2"/>
    <w:rsid w:val="00CA64BF"/>
    <w:rsid w:val="00CA7918"/>
    <w:rsid w:val="00CA7E68"/>
    <w:rsid w:val="00CA7E96"/>
    <w:rsid w:val="00CB0F75"/>
    <w:rsid w:val="00CB15DD"/>
    <w:rsid w:val="00CB3307"/>
    <w:rsid w:val="00CB3C75"/>
    <w:rsid w:val="00CB3FFE"/>
    <w:rsid w:val="00CB50A8"/>
    <w:rsid w:val="00CB5ECE"/>
    <w:rsid w:val="00CB6A6E"/>
    <w:rsid w:val="00CB7ED6"/>
    <w:rsid w:val="00CC237C"/>
    <w:rsid w:val="00CC7923"/>
    <w:rsid w:val="00CD2376"/>
    <w:rsid w:val="00CD310E"/>
    <w:rsid w:val="00CD41F3"/>
    <w:rsid w:val="00CD5538"/>
    <w:rsid w:val="00CD7578"/>
    <w:rsid w:val="00CE39B2"/>
    <w:rsid w:val="00CE3AA0"/>
    <w:rsid w:val="00CE3E5B"/>
    <w:rsid w:val="00CE535A"/>
    <w:rsid w:val="00CE66DF"/>
    <w:rsid w:val="00CE6A95"/>
    <w:rsid w:val="00CF07DD"/>
    <w:rsid w:val="00CF0A1D"/>
    <w:rsid w:val="00CF170E"/>
    <w:rsid w:val="00CF2AEF"/>
    <w:rsid w:val="00CF31BB"/>
    <w:rsid w:val="00CF3297"/>
    <w:rsid w:val="00CF3733"/>
    <w:rsid w:val="00CF3BF4"/>
    <w:rsid w:val="00CF5E23"/>
    <w:rsid w:val="00D01EC6"/>
    <w:rsid w:val="00D02E98"/>
    <w:rsid w:val="00D03F7D"/>
    <w:rsid w:val="00D07E3E"/>
    <w:rsid w:val="00D10569"/>
    <w:rsid w:val="00D112BF"/>
    <w:rsid w:val="00D11D6B"/>
    <w:rsid w:val="00D11FDC"/>
    <w:rsid w:val="00D136DA"/>
    <w:rsid w:val="00D1446B"/>
    <w:rsid w:val="00D14C72"/>
    <w:rsid w:val="00D21910"/>
    <w:rsid w:val="00D31944"/>
    <w:rsid w:val="00D33395"/>
    <w:rsid w:val="00D3426A"/>
    <w:rsid w:val="00D351E8"/>
    <w:rsid w:val="00D35384"/>
    <w:rsid w:val="00D3556B"/>
    <w:rsid w:val="00D41226"/>
    <w:rsid w:val="00D41489"/>
    <w:rsid w:val="00D41A5E"/>
    <w:rsid w:val="00D44A37"/>
    <w:rsid w:val="00D463CF"/>
    <w:rsid w:val="00D50E2F"/>
    <w:rsid w:val="00D54D60"/>
    <w:rsid w:val="00D55313"/>
    <w:rsid w:val="00D56153"/>
    <w:rsid w:val="00D56918"/>
    <w:rsid w:val="00D574F2"/>
    <w:rsid w:val="00D61765"/>
    <w:rsid w:val="00D6462F"/>
    <w:rsid w:val="00D64B72"/>
    <w:rsid w:val="00D70BD6"/>
    <w:rsid w:val="00D74206"/>
    <w:rsid w:val="00D756F9"/>
    <w:rsid w:val="00D7598E"/>
    <w:rsid w:val="00D77550"/>
    <w:rsid w:val="00D77C0D"/>
    <w:rsid w:val="00D832A3"/>
    <w:rsid w:val="00D83C7D"/>
    <w:rsid w:val="00D85EA8"/>
    <w:rsid w:val="00D87844"/>
    <w:rsid w:val="00D87C8B"/>
    <w:rsid w:val="00D94CD8"/>
    <w:rsid w:val="00D94FDF"/>
    <w:rsid w:val="00D96472"/>
    <w:rsid w:val="00D97990"/>
    <w:rsid w:val="00D97FBC"/>
    <w:rsid w:val="00DA0633"/>
    <w:rsid w:val="00DA11F7"/>
    <w:rsid w:val="00DA2AB7"/>
    <w:rsid w:val="00DA31E9"/>
    <w:rsid w:val="00DA513C"/>
    <w:rsid w:val="00DA5A75"/>
    <w:rsid w:val="00DA6A25"/>
    <w:rsid w:val="00DB2054"/>
    <w:rsid w:val="00DB3143"/>
    <w:rsid w:val="00DB41D1"/>
    <w:rsid w:val="00DB539E"/>
    <w:rsid w:val="00DB53A4"/>
    <w:rsid w:val="00DB7EA6"/>
    <w:rsid w:val="00DC2424"/>
    <w:rsid w:val="00DC31D7"/>
    <w:rsid w:val="00DC6599"/>
    <w:rsid w:val="00DD75FC"/>
    <w:rsid w:val="00DD7605"/>
    <w:rsid w:val="00DE0F91"/>
    <w:rsid w:val="00DE1189"/>
    <w:rsid w:val="00DE2BF4"/>
    <w:rsid w:val="00DE3AF5"/>
    <w:rsid w:val="00DE3E39"/>
    <w:rsid w:val="00DE44CC"/>
    <w:rsid w:val="00DE6400"/>
    <w:rsid w:val="00DE7C95"/>
    <w:rsid w:val="00DF2A5C"/>
    <w:rsid w:val="00DF2FF4"/>
    <w:rsid w:val="00DF3762"/>
    <w:rsid w:val="00DF43B2"/>
    <w:rsid w:val="00DF5C5B"/>
    <w:rsid w:val="00DF790E"/>
    <w:rsid w:val="00E0196A"/>
    <w:rsid w:val="00E03424"/>
    <w:rsid w:val="00E0380D"/>
    <w:rsid w:val="00E03ED0"/>
    <w:rsid w:val="00E07C06"/>
    <w:rsid w:val="00E10A1A"/>
    <w:rsid w:val="00E17389"/>
    <w:rsid w:val="00E17BB7"/>
    <w:rsid w:val="00E21A8F"/>
    <w:rsid w:val="00E21DBF"/>
    <w:rsid w:val="00E24839"/>
    <w:rsid w:val="00E26BE6"/>
    <w:rsid w:val="00E3181D"/>
    <w:rsid w:val="00E33BDC"/>
    <w:rsid w:val="00E34EE4"/>
    <w:rsid w:val="00E374CE"/>
    <w:rsid w:val="00E37CB8"/>
    <w:rsid w:val="00E4082B"/>
    <w:rsid w:val="00E41E8E"/>
    <w:rsid w:val="00E42000"/>
    <w:rsid w:val="00E420A9"/>
    <w:rsid w:val="00E42EA9"/>
    <w:rsid w:val="00E43076"/>
    <w:rsid w:val="00E4406B"/>
    <w:rsid w:val="00E45702"/>
    <w:rsid w:val="00E466BB"/>
    <w:rsid w:val="00E47F96"/>
    <w:rsid w:val="00E50AEE"/>
    <w:rsid w:val="00E54854"/>
    <w:rsid w:val="00E54E82"/>
    <w:rsid w:val="00E55701"/>
    <w:rsid w:val="00E55C48"/>
    <w:rsid w:val="00E55CC5"/>
    <w:rsid w:val="00E560EE"/>
    <w:rsid w:val="00E569BC"/>
    <w:rsid w:val="00E57B62"/>
    <w:rsid w:val="00E6006D"/>
    <w:rsid w:val="00E60453"/>
    <w:rsid w:val="00E6392A"/>
    <w:rsid w:val="00E6745D"/>
    <w:rsid w:val="00E7000B"/>
    <w:rsid w:val="00E702C1"/>
    <w:rsid w:val="00E72878"/>
    <w:rsid w:val="00E731A7"/>
    <w:rsid w:val="00E73A7D"/>
    <w:rsid w:val="00E75D67"/>
    <w:rsid w:val="00E81B43"/>
    <w:rsid w:val="00E838E6"/>
    <w:rsid w:val="00E83BD5"/>
    <w:rsid w:val="00E8410C"/>
    <w:rsid w:val="00E847EA"/>
    <w:rsid w:val="00E85D4E"/>
    <w:rsid w:val="00E86C47"/>
    <w:rsid w:val="00E87FC3"/>
    <w:rsid w:val="00E91D48"/>
    <w:rsid w:val="00E967CB"/>
    <w:rsid w:val="00EA1029"/>
    <w:rsid w:val="00EA2634"/>
    <w:rsid w:val="00EA3CE3"/>
    <w:rsid w:val="00EA3D09"/>
    <w:rsid w:val="00EA3D42"/>
    <w:rsid w:val="00EA5647"/>
    <w:rsid w:val="00EA5F63"/>
    <w:rsid w:val="00EB0442"/>
    <w:rsid w:val="00EB1254"/>
    <w:rsid w:val="00EB5BB3"/>
    <w:rsid w:val="00EC0C6E"/>
    <w:rsid w:val="00EC13C8"/>
    <w:rsid w:val="00EC172D"/>
    <w:rsid w:val="00EC177B"/>
    <w:rsid w:val="00EC1E2B"/>
    <w:rsid w:val="00EC3A3D"/>
    <w:rsid w:val="00EC3BBD"/>
    <w:rsid w:val="00EC49CB"/>
    <w:rsid w:val="00ED01CE"/>
    <w:rsid w:val="00ED2F8E"/>
    <w:rsid w:val="00ED3D8F"/>
    <w:rsid w:val="00ED7287"/>
    <w:rsid w:val="00ED7E8B"/>
    <w:rsid w:val="00EE25C4"/>
    <w:rsid w:val="00EE2DC5"/>
    <w:rsid w:val="00EE3790"/>
    <w:rsid w:val="00EE379D"/>
    <w:rsid w:val="00EE46A2"/>
    <w:rsid w:val="00EE4C98"/>
    <w:rsid w:val="00EE5646"/>
    <w:rsid w:val="00EE5B73"/>
    <w:rsid w:val="00EE6D6A"/>
    <w:rsid w:val="00EE7958"/>
    <w:rsid w:val="00EF0C23"/>
    <w:rsid w:val="00EF17D8"/>
    <w:rsid w:val="00EF28C1"/>
    <w:rsid w:val="00EF3D5F"/>
    <w:rsid w:val="00EF4682"/>
    <w:rsid w:val="00EF6F93"/>
    <w:rsid w:val="00F008AD"/>
    <w:rsid w:val="00F02F1E"/>
    <w:rsid w:val="00F03595"/>
    <w:rsid w:val="00F11667"/>
    <w:rsid w:val="00F11985"/>
    <w:rsid w:val="00F12D8F"/>
    <w:rsid w:val="00F1380E"/>
    <w:rsid w:val="00F1390B"/>
    <w:rsid w:val="00F204B3"/>
    <w:rsid w:val="00F24327"/>
    <w:rsid w:val="00F25294"/>
    <w:rsid w:val="00F27404"/>
    <w:rsid w:val="00F3124B"/>
    <w:rsid w:val="00F3393A"/>
    <w:rsid w:val="00F36846"/>
    <w:rsid w:val="00F3724B"/>
    <w:rsid w:val="00F40D8D"/>
    <w:rsid w:val="00F41B1A"/>
    <w:rsid w:val="00F43434"/>
    <w:rsid w:val="00F44C6A"/>
    <w:rsid w:val="00F516A8"/>
    <w:rsid w:val="00F51990"/>
    <w:rsid w:val="00F530B7"/>
    <w:rsid w:val="00F54973"/>
    <w:rsid w:val="00F5595C"/>
    <w:rsid w:val="00F55B6D"/>
    <w:rsid w:val="00F55BA0"/>
    <w:rsid w:val="00F576A9"/>
    <w:rsid w:val="00F62419"/>
    <w:rsid w:val="00F650DD"/>
    <w:rsid w:val="00F6546F"/>
    <w:rsid w:val="00F71266"/>
    <w:rsid w:val="00F71D7E"/>
    <w:rsid w:val="00F71FB8"/>
    <w:rsid w:val="00F72201"/>
    <w:rsid w:val="00F73B1E"/>
    <w:rsid w:val="00F74E04"/>
    <w:rsid w:val="00F76195"/>
    <w:rsid w:val="00F8027B"/>
    <w:rsid w:val="00F805CB"/>
    <w:rsid w:val="00F819FA"/>
    <w:rsid w:val="00F82445"/>
    <w:rsid w:val="00F83F7F"/>
    <w:rsid w:val="00F85C37"/>
    <w:rsid w:val="00F87228"/>
    <w:rsid w:val="00F87541"/>
    <w:rsid w:val="00F87B82"/>
    <w:rsid w:val="00F91153"/>
    <w:rsid w:val="00F917D5"/>
    <w:rsid w:val="00F92CC1"/>
    <w:rsid w:val="00F93A2F"/>
    <w:rsid w:val="00F93E30"/>
    <w:rsid w:val="00F954FE"/>
    <w:rsid w:val="00F9629C"/>
    <w:rsid w:val="00F96F12"/>
    <w:rsid w:val="00F971B0"/>
    <w:rsid w:val="00FA1372"/>
    <w:rsid w:val="00FA1882"/>
    <w:rsid w:val="00FA1A46"/>
    <w:rsid w:val="00FA3C44"/>
    <w:rsid w:val="00FA3CE0"/>
    <w:rsid w:val="00FA4306"/>
    <w:rsid w:val="00FB3781"/>
    <w:rsid w:val="00FB3FA3"/>
    <w:rsid w:val="00FB64EF"/>
    <w:rsid w:val="00FB670F"/>
    <w:rsid w:val="00FC024D"/>
    <w:rsid w:val="00FC1050"/>
    <w:rsid w:val="00FC1618"/>
    <w:rsid w:val="00FC386E"/>
    <w:rsid w:val="00FC3E05"/>
    <w:rsid w:val="00FC5DA9"/>
    <w:rsid w:val="00FC7B0B"/>
    <w:rsid w:val="00FD1D7B"/>
    <w:rsid w:val="00FD3B5A"/>
    <w:rsid w:val="00FD4BA4"/>
    <w:rsid w:val="00FD7E05"/>
    <w:rsid w:val="00FE11D1"/>
    <w:rsid w:val="00FE23C3"/>
    <w:rsid w:val="00FE447E"/>
    <w:rsid w:val="00FE59A0"/>
    <w:rsid w:val="00FE622D"/>
    <w:rsid w:val="00FE7456"/>
    <w:rsid w:val="00FE746E"/>
    <w:rsid w:val="00FF194A"/>
    <w:rsid w:val="00FF1AF6"/>
    <w:rsid w:val="00FF21B8"/>
    <w:rsid w:val="00FF270F"/>
    <w:rsid w:val="00FF2D2B"/>
    <w:rsid w:val="00FF55B6"/>
    <w:rsid w:val="00FF5CF1"/>
    <w:rsid w:val="00FF5D33"/>
    <w:rsid w:val="00FF60DB"/>
    <w:rsid w:val="00FF706C"/>
    <w:rsid w:val="00FF74E6"/>
    <w:rsid w:val="06E0F92D"/>
    <w:rsid w:val="358849F5"/>
    <w:rsid w:val="73D74EE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3766"/>
  <w15:docId w15:val="{B83DB80E-DDA0-45E7-A232-FBA4E0D0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16 Point,Superscript 6 Point,Ref,de nota al pie,ftref,Car Car Char Car Char Car Car Char Car Char Char,Car Car Car Car Car Car Car Car Char Car Car Char Car Car Car Char Car Char Char Char,Char Char Char Char Car Char,fr,Footnote"/>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Geneva 9,Font: Geneva 9,Boston 10,f,fn,Footnotes,Footnote ak,Char,footnote text,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qFormat/>
    <w:rsid w:val="00FA1A46"/>
    <w:pPr>
      <w:keepNext/>
      <w:keepLines/>
      <w:numPr>
        <w:ilvl w:val="1"/>
        <w:numId w:val="21"/>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A94F52"/>
    <w:pPr>
      <w:tabs>
        <w:tab w:val="right" w:pos="851"/>
        <w:tab w:val="left" w:pos="1134"/>
        <w:tab w:val="left" w:pos="1559"/>
        <w:tab w:val="left" w:pos="1985"/>
        <w:tab w:val="right" w:leader="dot" w:pos="8930"/>
        <w:tab w:val="right" w:pos="9356"/>
      </w:tabs>
      <w:spacing w:after="120"/>
      <w:ind w:left="2268" w:right="707" w:hanging="2268"/>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F6A01"/>
    <w:rPr>
      <w:sz w:val="16"/>
      <w:szCs w:val="16"/>
    </w:rPr>
  </w:style>
  <w:style w:type="paragraph" w:styleId="CommentText">
    <w:name w:val="annotation text"/>
    <w:basedOn w:val="Normal"/>
    <w:link w:val="CommentTextChar"/>
    <w:unhideWhenUsed/>
    <w:rsid w:val="003F6A01"/>
    <w:pPr>
      <w:spacing w:line="240" w:lineRule="auto"/>
    </w:pPr>
  </w:style>
  <w:style w:type="character" w:customStyle="1" w:styleId="CommentTextChar">
    <w:name w:val="Comment Text Char"/>
    <w:basedOn w:val="DefaultParagraphFont"/>
    <w:link w:val="CommentText"/>
    <w:rsid w:val="003F6A01"/>
    <w:rPr>
      <w:rFonts w:eastAsia="SimSun"/>
      <w:lang w:val="en-GB" w:eastAsia="zh-CN"/>
    </w:rPr>
  </w:style>
  <w:style w:type="character" w:styleId="Hyperlink">
    <w:name w:val="Hyperlink"/>
    <w:basedOn w:val="DefaultParagraphFont"/>
    <w:unhideWhenUsed/>
    <w:rsid w:val="001B7A11"/>
    <w:rPr>
      <w:color w:val="0000FF"/>
      <w:u w:val="single"/>
    </w:rPr>
  </w:style>
  <w:style w:type="character" w:customStyle="1" w:styleId="FootnoteTextChar">
    <w:name w:val="Footnote Text Char"/>
    <w:aliases w:val="5_G Char,Geneva 9 Char,Font: Geneva 9 Char,Boston 10 Char,f Char,fn Char,Footnotes Char,Footnote ak Char,Char Char,footnote text Char,Char Char Char Char Char,Default Paragraph Font Char Char Char,Footno Char,single space Char"/>
    <w:link w:val="FootnoteText"/>
    <w:locked/>
    <w:rsid w:val="001B7A11"/>
    <w:rPr>
      <w:rFonts w:eastAsia="SimSun"/>
      <w:sz w:val="18"/>
      <w:lang w:val="en-GB" w:eastAsia="zh-CN"/>
    </w:rPr>
  </w:style>
  <w:style w:type="character" w:customStyle="1" w:styleId="HChGChar">
    <w:name w:val="_ H _Ch_G Char"/>
    <w:link w:val="HChG"/>
    <w:rsid w:val="001B7A11"/>
    <w:rPr>
      <w:rFonts w:eastAsia="SimSun"/>
      <w:b/>
      <w:sz w:val="2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1B7A11"/>
    <w:pPr>
      <w:suppressAutoHyphens w:val="0"/>
      <w:spacing w:after="160" w:line="240" w:lineRule="exact"/>
    </w:pPr>
    <w:rPr>
      <w:rFonts w:eastAsia="Times New Roman"/>
      <w:sz w:val="18"/>
      <w:vertAlign w:val="superscript"/>
      <w:lang w:val="en-US" w:eastAsia="en-US"/>
    </w:rPr>
  </w:style>
  <w:style w:type="character" w:customStyle="1" w:styleId="RegSingleTxtGChar">
    <w:name w:val="Reg_Single Txt_G Char"/>
    <w:basedOn w:val="DefaultParagraphFont"/>
    <w:link w:val="RegSingleTxtG"/>
    <w:rsid w:val="001B7A11"/>
    <w:rPr>
      <w:rFonts w:eastAsia="SimSun"/>
      <w:lang w:val="en-GB" w:eastAsia="zh-CN"/>
    </w:rPr>
  </w:style>
  <w:style w:type="character" w:customStyle="1" w:styleId="eop">
    <w:name w:val="eop"/>
    <w:basedOn w:val="DefaultParagraphFont"/>
    <w:rsid w:val="00E54854"/>
  </w:style>
  <w:style w:type="character" w:styleId="UnresolvedMention">
    <w:name w:val="Unresolved Mention"/>
    <w:basedOn w:val="DefaultParagraphFont"/>
    <w:uiPriority w:val="99"/>
    <w:unhideWhenUsed/>
    <w:rsid w:val="00C479DE"/>
    <w:rPr>
      <w:color w:val="605E5C"/>
      <w:shd w:val="clear" w:color="auto" w:fill="E1DFDD"/>
    </w:rPr>
  </w:style>
  <w:style w:type="character" w:styleId="FollowedHyperlink">
    <w:name w:val="FollowedHyperlink"/>
    <w:basedOn w:val="DefaultParagraphFont"/>
    <w:semiHidden/>
    <w:unhideWhenUsed/>
    <w:rsid w:val="00462898"/>
    <w:rPr>
      <w:color w:val="800080" w:themeColor="followedHyperlink"/>
      <w:u w:val="single"/>
    </w:rPr>
  </w:style>
  <w:style w:type="paragraph" w:styleId="Revision">
    <w:name w:val="Revision"/>
    <w:hidden/>
    <w:uiPriority w:val="99"/>
    <w:semiHidden/>
    <w:rsid w:val="00304FAD"/>
    <w:rPr>
      <w:rFonts w:eastAsia="SimSun"/>
      <w:lang w:val="en-GB" w:eastAsia="zh-CN"/>
    </w:rPr>
  </w:style>
  <w:style w:type="paragraph" w:styleId="CommentSubject">
    <w:name w:val="annotation subject"/>
    <w:basedOn w:val="CommentText"/>
    <w:next w:val="CommentText"/>
    <w:link w:val="CommentSubjectChar"/>
    <w:semiHidden/>
    <w:unhideWhenUsed/>
    <w:rsid w:val="00444C5E"/>
    <w:rPr>
      <w:b/>
      <w:bCs/>
    </w:rPr>
  </w:style>
  <w:style w:type="character" w:customStyle="1" w:styleId="CommentSubjectChar">
    <w:name w:val="Comment Subject Char"/>
    <w:basedOn w:val="CommentTextChar"/>
    <w:link w:val="CommentSubject"/>
    <w:semiHidden/>
    <w:rsid w:val="00444C5E"/>
    <w:rPr>
      <w:rFonts w:eastAsia="SimSun"/>
      <w:b/>
      <w:bCs/>
      <w:lang w:val="en-GB" w:eastAsia="zh-CN"/>
    </w:rPr>
  </w:style>
  <w:style w:type="character" w:styleId="Mention">
    <w:name w:val="Mention"/>
    <w:basedOn w:val="DefaultParagraphFont"/>
    <w:uiPriority w:val="99"/>
    <w:unhideWhenUsed/>
    <w:rsid w:val="00A62DF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fccc.int/documents/626569" TargetMode="External"/><Relationship Id="rId21" Type="http://schemas.openxmlformats.org/officeDocument/2006/relationships/hyperlink" Target="https://unfccc.int/documents/626571" TargetMode="External"/><Relationship Id="rId42" Type="http://schemas.openxmlformats.org/officeDocument/2006/relationships/hyperlink" Target="https://unfccc.int/documents/637067" TargetMode="External"/><Relationship Id="rId47" Type="http://schemas.openxmlformats.org/officeDocument/2006/relationships/hyperlink" Target="https://unfccc.int/documents/637073" TargetMode="External"/><Relationship Id="rId63" Type="http://schemas.openxmlformats.org/officeDocument/2006/relationships/hyperlink" Target="https://unfccc.int/documents/637067" TargetMode="External"/><Relationship Id="rId68" Type="http://schemas.openxmlformats.org/officeDocument/2006/relationships/hyperlink" Target="https://unfccc.int/documents/637073" TargetMode="External"/><Relationship Id="rId84" Type="http://schemas.openxmlformats.org/officeDocument/2006/relationships/hyperlink" Target="https://unfccc.int/documents/637073" TargetMode="External"/><Relationship Id="rId89" Type="http://schemas.openxmlformats.org/officeDocument/2006/relationships/header" Target="header9.xml"/><Relationship Id="rId112" Type="http://schemas.openxmlformats.org/officeDocument/2006/relationships/hyperlink" Target="https://unfccc.int/documents/637073" TargetMode="External"/><Relationship Id="rId16" Type="http://schemas.openxmlformats.org/officeDocument/2006/relationships/hyperlink" Target="https://unfccc.int/documents/210476" TargetMode="External"/><Relationship Id="rId107" Type="http://schemas.openxmlformats.org/officeDocument/2006/relationships/hyperlink" Target="https://unfccc.int/documents/626571" TargetMode="External"/><Relationship Id="rId11" Type="http://schemas.openxmlformats.org/officeDocument/2006/relationships/footnotes" Target="footnotes.xml"/><Relationship Id="rId32" Type="http://schemas.openxmlformats.org/officeDocument/2006/relationships/hyperlink" Target="https://unfccc.int/documents/644941" TargetMode="External"/><Relationship Id="rId37" Type="http://schemas.openxmlformats.org/officeDocument/2006/relationships/hyperlink" Target="https://unfccc.int/documents/637076" TargetMode="External"/><Relationship Id="rId53" Type="http://schemas.openxmlformats.org/officeDocument/2006/relationships/footer" Target="footer4.xml"/><Relationship Id="rId58" Type="http://schemas.openxmlformats.org/officeDocument/2006/relationships/hyperlink" Target="https://unfccc.int/documents/637073" TargetMode="External"/><Relationship Id="rId74" Type="http://schemas.openxmlformats.org/officeDocument/2006/relationships/footer" Target="footer7.xml"/><Relationship Id="rId79" Type="http://schemas.openxmlformats.org/officeDocument/2006/relationships/hyperlink" Target="https://unfccc.int/documents/626561" TargetMode="External"/><Relationship Id="rId102" Type="http://schemas.openxmlformats.org/officeDocument/2006/relationships/hyperlink" Target="https://unfccc.int/documents/626566" TargetMode="External"/><Relationship Id="rId123" Type="http://schemas.openxmlformats.org/officeDocument/2006/relationships/hyperlink" Target="https://unfccc.int/documents/637073" TargetMode="External"/><Relationship Id="rId128" Type="http://schemas.openxmlformats.org/officeDocument/2006/relationships/fontTable" Target="fontTable.xml"/><Relationship Id="rId5" Type="http://schemas.openxmlformats.org/officeDocument/2006/relationships/customXml" Target="../customXml/item5.xml"/><Relationship Id="rId90" Type="http://schemas.openxmlformats.org/officeDocument/2006/relationships/header" Target="header10.xml"/><Relationship Id="rId95" Type="http://schemas.openxmlformats.org/officeDocument/2006/relationships/hyperlink" Target="https://unfccc.int/documents/8615" TargetMode="External"/><Relationship Id="rId22" Type="http://schemas.openxmlformats.org/officeDocument/2006/relationships/hyperlink" Target="https://unfccc.int/documents/637074" TargetMode="External"/><Relationship Id="rId27" Type="http://schemas.openxmlformats.org/officeDocument/2006/relationships/footer" Target="footer1.xml"/><Relationship Id="rId43" Type="http://schemas.openxmlformats.org/officeDocument/2006/relationships/hyperlink" Target="https://unfccc.int/documents/637073" TargetMode="External"/><Relationship Id="rId48" Type="http://schemas.openxmlformats.org/officeDocument/2006/relationships/hyperlink" Target="https://unfccc.int/documents/641397" TargetMode="External"/><Relationship Id="rId64" Type="http://schemas.openxmlformats.org/officeDocument/2006/relationships/hyperlink" Target="https://unfccc.int/documents/637073" TargetMode="External"/><Relationship Id="rId69" Type="http://schemas.openxmlformats.org/officeDocument/2006/relationships/hyperlink" Target="https://unfccc.int/documents/637067" TargetMode="External"/><Relationship Id="rId113" Type="http://schemas.openxmlformats.org/officeDocument/2006/relationships/header" Target="header11.xml"/><Relationship Id="rId118" Type="http://schemas.openxmlformats.org/officeDocument/2006/relationships/hyperlink" Target="https://unfccc.int/documents/637074" TargetMode="External"/><Relationship Id="rId80" Type="http://schemas.openxmlformats.org/officeDocument/2006/relationships/hyperlink" Target="https://unfccc.int/documents/626569" TargetMode="External"/><Relationship Id="rId85" Type="http://schemas.openxmlformats.org/officeDocument/2006/relationships/hyperlink" Target="https://unfccc.int/documents/637067" TargetMode="External"/><Relationship Id="rId12" Type="http://schemas.openxmlformats.org/officeDocument/2006/relationships/endnotes" Target="endnotes.xml"/><Relationship Id="rId17" Type="http://schemas.openxmlformats.org/officeDocument/2006/relationships/hyperlink" Target="https://unfccc.int/documents/460954" TargetMode="External"/><Relationship Id="rId33" Type="http://schemas.openxmlformats.org/officeDocument/2006/relationships/header" Target="header4.xml"/><Relationship Id="rId38" Type="http://schemas.openxmlformats.org/officeDocument/2006/relationships/hyperlink" Target="https://unfccc.int/documents/644941" TargetMode="External"/><Relationship Id="rId59" Type="http://schemas.openxmlformats.org/officeDocument/2006/relationships/hyperlink" Target="https://unfccc.int/documents/626561" TargetMode="External"/><Relationship Id="rId103" Type="http://schemas.openxmlformats.org/officeDocument/2006/relationships/hyperlink" Target="https://unfccc.int/documents/637064" TargetMode="External"/><Relationship Id="rId108" Type="http://schemas.openxmlformats.org/officeDocument/2006/relationships/hyperlink" Target="https://unfccc.int/documents/637074" TargetMode="External"/><Relationship Id="rId124" Type="http://schemas.openxmlformats.org/officeDocument/2006/relationships/header" Target="header14.xml"/><Relationship Id="rId129" Type="http://schemas.openxmlformats.org/officeDocument/2006/relationships/theme" Target="theme/theme1.xml"/><Relationship Id="rId54" Type="http://schemas.openxmlformats.org/officeDocument/2006/relationships/footer" Target="footer5.xml"/><Relationship Id="rId70" Type="http://schemas.openxmlformats.org/officeDocument/2006/relationships/hyperlink" Target="https://unfccc.int/documents/637073" TargetMode="External"/><Relationship Id="rId75" Type="http://schemas.openxmlformats.org/officeDocument/2006/relationships/hyperlink" Target="https://unfccc.int/documents/626561" TargetMode="External"/><Relationship Id="rId91" Type="http://schemas.openxmlformats.org/officeDocument/2006/relationships/footer" Target="footer8.xml"/><Relationship Id="rId96" Type="http://schemas.openxmlformats.org/officeDocument/2006/relationships/hyperlink" Target="https://unfccc.int/documents/9101"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s://unfccc.int/documents/626569" TargetMode="External"/><Relationship Id="rId28" Type="http://schemas.openxmlformats.org/officeDocument/2006/relationships/footer" Target="footer2.xml"/><Relationship Id="rId49" Type="http://schemas.openxmlformats.org/officeDocument/2006/relationships/hyperlink" Target="https://unfccc.int/documents/637067" TargetMode="External"/><Relationship Id="rId114" Type="http://schemas.openxmlformats.org/officeDocument/2006/relationships/header" Target="header12.xml"/><Relationship Id="rId119" Type="http://schemas.openxmlformats.org/officeDocument/2006/relationships/header" Target="header13.xml"/><Relationship Id="rId44" Type="http://schemas.openxmlformats.org/officeDocument/2006/relationships/hyperlink" Target="https://unfccc.int/documents/637067" TargetMode="External"/><Relationship Id="rId60" Type="http://schemas.openxmlformats.org/officeDocument/2006/relationships/hyperlink" Target="https://unfccc.int/documents/626569" TargetMode="External"/><Relationship Id="rId65" Type="http://schemas.openxmlformats.org/officeDocument/2006/relationships/hyperlink" Target="https://unfccc.int/documents/637067" TargetMode="External"/><Relationship Id="rId81" Type="http://schemas.openxmlformats.org/officeDocument/2006/relationships/hyperlink" Target="https://unfccc.int/documents/637067" TargetMode="External"/><Relationship Id="rId86" Type="http://schemas.openxmlformats.org/officeDocument/2006/relationships/hyperlink" Target="https://unfccc.int/documents/637073" TargetMode="External"/><Relationship Id="rId13" Type="http://schemas.openxmlformats.org/officeDocument/2006/relationships/image" Target="media/image1.wmf"/><Relationship Id="rId18" Type="http://schemas.openxmlformats.org/officeDocument/2006/relationships/hyperlink" Target="https://unfccc.int/documents/193408" TargetMode="External"/><Relationship Id="rId39" Type="http://schemas.openxmlformats.org/officeDocument/2006/relationships/hyperlink" Target="https://unfccc.int/documents/644941" TargetMode="External"/><Relationship Id="rId109" Type="http://schemas.openxmlformats.org/officeDocument/2006/relationships/hyperlink" Target="https://unfccc.int/documents/460950" TargetMode="External"/><Relationship Id="rId34" Type="http://schemas.openxmlformats.org/officeDocument/2006/relationships/footer" Target="footer3.xml"/><Relationship Id="rId50" Type="http://schemas.openxmlformats.org/officeDocument/2006/relationships/hyperlink" Target="https://unfccc.int/documents/637073" TargetMode="External"/><Relationship Id="rId55" Type="http://schemas.openxmlformats.org/officeDocument/2006/relationships/hyperlink" Target="https://unfccc.int/documents/626561" TargetMode="External"/><Relationship Id="rId76" Type="http://schemas.openxmlformats.org/officeDocument/2006/relationships/hyperlink" Target="https://unfccc.int/documents/626569" TargetMode="External"/><Relationship Id="rId97" Type="http://schemas.openxmlformats.org/officeDocument/2006/relationships/hyperlink" Target="https://unfccc.int/documents/9676" TargetMode="External"/><Relationship Id="rId104" Type="http://schemas.openxmlformats.org/officeDocument/2006/relationships/hyperlink" Target="https://unfccc.int/documents/193408" TargetMode="External"/><Relationship Id="rId120" Type="http://schemas.openxmlformats.org/officeDocument/2006/relationships/footer" Target="footer12.xml"/><Relationship Id="rId125" Type="http://schemas.openxmlformats.org/officeDocument/2006/relationships/header" Target="header15.xml"/><Relationship Id="rId7" Type="http://schemas.openxmlformats.org/officeDocument/2006/relationships/numbering" Target="numbering.xml"/><Relationship Id="rId71" Type="http://schemas.openxmlformats.org/officeDocument/2006/relationships/header" Target="header7.xml"/><Relationship Id="rId92" Type="http://schemas.openxmlformats.org/officeDocument/2006/relationships/footer" Target="footer9.xml"/><Relationship Id="rId2" Type="http://schemas.openxmlformats.org/officeDocument/2006/relationships/customXml" Target="../customXml/item2.xml"/><Relationship Id="rId29" Type="http://schemas.openxmlformats.org/officeDocument/2006/relationships/header" Target="header3.xml"/><Relationship Id="rId24" Type="http://schemas.openxmlformats.org/officeDocument/2006/relationships/hyperlink" Target="https://unfccc.int/documents/644941" TargetMode="External"/><Relationship Id="rId40" Type="http://schemas.openxmlformats.org/officeDocument/2006/relationships/hyperlink" Target="https://unfccc.int/documents/626561" TargetMode="External"/><Relationship Id="rId45" Type="http://schemas.openxmlformats.org/officeDocument/2006/relationships/hyperlink" Target="https://unfccc.int/documents/637073" TargetMode="External"/><Relationship Id="rId66" Type="http://schemas.openxmlformats.org/officeDocument/2006/relationships/hyperlink" Target="https://unfccc.int/documents/637073" TargetMode="External"/><Relationship Id="rId87" Type="http://schemas.openxmlformats.org/officeDocument/2006/relationships/hyperlink" Target="https://unfccc.int/documents/637067" TargetMode="External"/><Relationship Id="rId110" Type="http://schemas.openxmlformats.org/officeDocument/2006/relationships/hyperlink" Target="https://unfccc.int/documents/193364" TargetMode="External"/><Relationship Id="rId115" Type="http://schemas.openxmlformats.org/officeDocument/2006/relationships/footer" Target="footer10.xml"/><Relationship Id="rId61" Type="http://schemas.openxmlformats.org/officeDocument/2006/relationships/hyperlink" Target="https://unfccc.int/documents/637067" TargetMode="External"/><Relationship Id="rId82" Type="http://schemas.openxmlformats.org/officeDocument/2006/relationships/hyperlink" Target="https://unfccc.int/documents/637073" TargetMode="External"/><Relationship Id="rId19" Type="http://schemas.openxmlformats.org/officeDocument/2006/relationships/hyperlink" Target="https://unfccc.int/documents/210477" TargetMode="External"/><Relationship Id="rId14" Type="http://schemas.openxmlformats.org/officeDocument/2006/relationships/image" Target="media/image2.png"/><Relationship Id="rId30" Type="http://schemas.openxmlformats.org/officeDocument/2006/relationships/hyperlink" Target="https://unfccc.int/documents/6527" TargetMode="External"/><Relationship Id="rId35" Type="http://schemas.openxmlformats.org/officeDocument/2006/relationships/hyperlink" Target="https://unfccc.int/documents/193408" TargetMode="External"/><Relationship Id="rId56" Type="http://schemas.openxmlformats.org/officeDocument/2006/relationships/hyperlink" Target="https://unfccc.int/documents/626569" TargetMode="External"/><Relationship Id="rId77" Type="http://schemas.openxmlformats.org/officeDocument/2006/relationships/hyperlink" Target="https://unfccc.int/documents/637067" TargetMode="External"/><Relationship Id="rId100" Type="http://schemas.openxmlformats.org/officeDocument/2006/relationships/hyperlink" Target="https://unfccc.int/documents/210478" TargetMode="External"/><Relationship Id="rId105" Type="http://schemas.openxmlformats.org/officeDocument/2006/relationships/hyperlink" Target="https://unfccc.int/documents/460950" TargetMode="External"/><Relationship Id="rId126" Type="http://schemas.openxmlformats.org/officeDocument/2006/relationships/footer" Target="footer13.xml"/><Relationship Id="rId8" Type="http://schemas.openxmlformats.org/officeDocument/2006/relationships/styles" Target="styles.xml"/><Relationship Id="rId51" Type="http://schemas.openxmlformats.org/officeDocument/2006/relationships/header" Target="header5.xml"/><Relationship Id="rId72" Type="http://schemas.openxmlformats.org/officeDocument/2006/relationships/header" Target="header8.xml"/><Relationship Id="rId93" Type="http://schemas.openxmlformats.org/officeDocument/2006/relationships/hyperlink" Target="https://unfccc.int/documents/5082" TargetMode="External"/><Relationship Id="rId98" Type="http://schemas.openxmlformats.org/officeDocument/2006/relationships/hyperlink" Target="https://unfccc.int/documents/65129" TargetMode="External"/><Relationship Id="rId121" Type="http://schemas.openxmlformats.org/officeDocument/2006/relationships/hyperlink" Target="https://unfccc.int/documents/460950" TargetMode="External"/><Relationship Id="rId3" Type="http://schemas.openxmlformats.org/officeDocument/2006/relationships/customXml" Target="../customXml/item3.xml"/><Relationship Id="rId25" Type="http://schemas.openxmlformats.org/officeDocument/2006/relationships/header" Target="header1.xml"/><Relationship Id="rId46" Type="http://schemas.openxmlformats.org/officeDocument/2006/relationships/hyperlink" Target="https://unfccc.int/documents/637067" TargetMode="External"/><Relationship Id="rId67" Type="http://schemas.openxmlformats.org/officeDocument/2006/relationships/hyperlink" Target="https://unfccc.int/documents/637067" TargetMode="External"/><Relationship Id="rId116" Type="http://schemas.openxmlformats.org/officeDocument/2006/relationships/footer" Target="footer11.xml"/><Relationship Id="rId20" Type="http://schemas.openxmlformats.org/officeDocument/2006/relationships/hyperlink" Target="https://unfccc.int/documents/460952" TargetMode="External"/><Relationship Id="rId41" Type="http://schemas.openxmlformats.org/officeDocument/2006/relationships/hyperlink" Target="https://unfccc.int/documents/626569" TargetMode="External"/><Relationship Id="rId62" Type="http://schemas.openxmlformats.org/officeDocument/2006/relationships/hyperlink" Target="https://unfccc.int/documents/637073" TargetMode="External"/><Relationship Id="rId83" Type="http://schemas.openxmlformats.org/officeDocument/2006/relationships/hyperlink" Target="https://unfccc.int/documents/637067" TargetMode="External"/><Relationship Id="rId88" Type="http://schemas.openxmlformats.org/officeDocument/2006/relationships/hyperlink" Target="https://unfccc.int/documents/637073" TargetMode="External"/><Relationship Id="rId111" Type="http://schemas.openxmlformats.org/officeDocument/2006/relationships/hyperlink" Target="https://unfccc.int/documents/193408" TargetMode="External"/><Relationship Id="rId15" Type="http://schemas.openxmlformats.org/officeDocument/2006/relationships/hyperlink" Target="https://unfccc.int/documents/9097" TargetMode="External"/><Relationship Id="rId36" Type="http://schemas.openxmlformats.org/officeDocument/2006/relationships/hyperlink" Target="https://unfccc.int/documents/637076" TargetMode="External"/><Relationship Id="rId57" Type="http://schemas.openxmlformats.org/officeDocument/2006/relationships/hyperlink" Target="https://unfccc.int/documents/637067" TargetMode="External"/><Relationship Id="rId106" Type="http://schemas.openxmlformats.org/officeDocument/2006/relationships/hyperlink" Target="https://unfccc.int/documents/460952" TargetMode="External"/><Relationship Id="rId127" Type="http://schemas.openxmlformats.org/officeDocument/2006/relationships/footer" Target="footer14.xml"/><Relationship Id="rId10" Type="http://schemas.openxmlformats.org/officeDocument/2006/relationships/webSettings" Target="webSettings.xml"/><Relationship Id="rId31" Type="http://schemas.openxmlformats.org/officeDocument/2006/relationships/hyperlink" Target="https://unfccc.int/documents/644941" TargetMode="External"/><Relationship Id="rId52" Type="http://schemas.openxmlformats.org/officeDocument/2006/relationships/header" Target="header6.xml"/><Relationship Id="rId73" Type="http://schemas.openxmlformats.org/officeDocument/2006/relationships/footer" Target="footer6.xml"/><Relationship Id="rId78" Type="http://schemas.openxmlformats.org/officeDocument/2006/relationships/hyperlink" Target="https://unfccc.int/documents/637073" TargetMode="External"/><Relationship Id="rId94" Type="http://schemas.openxmlformats.org/officeDocument/2006/relationships/hyperlink" Target="https://unfccc.int/documents/5564" TargetMode="External"/><Relationship Id="rId99" Type="http://schemas.openxmlformats.org/officeDocument/2006/relationships/hyperlink" Target="https://unfccc.int/documents/193364" TargetMode="External"/><Relationship Id="rId101" Type="http://schemas.openxmlformats.org/officeDocument/2006/relationships/hyperlink" Target="https://unfccc.int/documents/460957" TargetMode="External"/><Relationship Id="rId122" Type="http://schemas.openxmlformats.org/officeDocument/2006/relationships/hyperlink" Target="https://unfccc.int/documents/637073" TargetMode="External"/><Relationship Id="rId9" Type="http://schemas.openxmlformats.org/officeDocument/2006/relationships/settings" Target="settings.xml"/><Relationship Id="rId26"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documents/641785" TargetMode="External"/><Relationship Id="rId18" Type="http://schemas.openxmlformats.org/officeDocument/2006/relationships/hyperlink" Target="https://www4.unfccc.int/sites/submissionsstaging/Pages/Home.aspx" TargetMode="External"/><Relationship Id="rId26" Type="http://schemas.openxmlformats.org/officeDocument/2006/relationships/hyperlink" Target="https://www.adaptation-fund.org/document/resource-mobilization-strategy-2022-2025/" TargetMode="External"/><Relationship Id="rId3" Type="http://schemas.openxmlformats.org/officeDocument/2006/relationships/hyperlink" Target="https://unfccc.int/documents/637074" TargetMode="External"/><Relationship Id="rId21" Type="http://schemas.openxmlformats.org/officeDocument/2006/relationships/hyperlink" Target="https://unfccc.int/documents/637067" TargetMode="External"/><Relationship Id="rId34" Type="http://schemas.openxmlformats.org/officeDocument/2006/relationships/hyperlink" Target="https://www4.unfccc.int/sites/submissionsstaging/Pages/Home.aspx" TargetMode="External"/><Relationship Id="rId7" Type="http://schemas.openxmlformats.org/officeDocument/2006/relationships/hyperlink" Target="https://unfccc.int/documents/640967" TargetMode="External"/><Relationship Id="rId12" Type="http://schemas.openxmlformats.org/officeDocument/2006/relationships/hyperlink" Target="https://unfccc.int/documents/641397" TargetMode="External"/><Relationship Id="rId17" Type="http://schemas.openxmlformats.org/officeDocument/2006/relationships/hyperlink" Target="https://unfccc.int/documents/637073" TargetMode="External"/><Relationship Id="rId25" Type="http://schemas.openxmlformats.org/officeDocument/2006/relationships/hyperlink" Target="https://unfccc.int/documents/626566" TargetMode="External"/><Relationship Id="rId33" Type="http://schemas.openxmlformats.org/officeDocument/2006/relationships/hyperlink" Target="https://unfccc.int/documents/641845" TargetMode="External"/><Relationship Id="rId2" Type="http://schemas.openxmlformats.org/officeDocument/2006/relationships/hyperlink" Target="https://unfccc.int/documents/637074" TargetMode="External"/><Relationship Id="rId16" Type="http://schemas.openxmlformats.org/officeDocument/2006/relationships/hyperlink" Target="https://unfccc.int/documents/637067" TargetMode="External"/><Relationship Id="rId20" Type="http://schemas.openxmlformats.org/officeDocument/2006/relationships/hyperlink" Target="https://unfccc.int/documents/641397" TargetMode="External"/><Relationship Id="rId29" Type="http://schemas.openxmlformats.org/officeDocument/2006/relationships/hyperlink" Target="https://unfccc.int/documents/641149" TargetMode="External"/><Relationship Id="rId1" Type="http://schemas.openxmlformats.org/officeDocument/2006/relationships/hyperlink" Target="https://unfccc.int/topics/climate-finance/resources/biennial-assessment-and-overview-of-climate-finance-flows" TargetMode="External"/><Relationship Id="rId6" Type="http://schemas.openxmlformats.org/officeDocument/2006/relationships/hyperlink" Target="https://unfccc.int/documents/9097" TargetMode="External"/><Relationship Id="rId11" Type="http://schemas.openxmlformats.org/officeDocument/2006/relationships/hyperlink" Target="https://unfccc.int/documents/65780" TargetMode="External"/><Relationship Id="rId24" Type="http://schemas.openxmlformats.org/officeDocument/2006/relationships/hyperlink" Target="https://www.adaptation-fund.org/document/medium-term-strategy-2023-2027" TargetMode="External"/><Relationship Id="rId32" Type="http://schemas.openxmlformats.org/officeDocument/2006/relationships/hyperlink" Target="https://www.adaptation-fund.org/enhancing-access-and-increasing-impact-the-role-of-the-multilateral-climate-funds/" TargetMode="External"/><Relationship Id="rId5" Type="http://schemas.openxmlformats.org/officeDocument/2006/relationships/hyperlink" Target="https://unfccc.int/documents/641042" TargetMode="External"/><Relationship Id="rId15" Type="http://schemas.openxmlformats.org/officeDocument/2006/relationships/hyperlink" Target="https://unfccc.int/documents/637073" TargetMode="External"/><Relationship Id="rId23" Type="http://schemas.openxmlformats.org/officeDocument/2006/relationships/hyperlink" Target="https://unfccc.int/documents/641872" TargetMode="External"/><Relationship Id="rId28" Type="http://schemas.openxmlformats.org/officeDocument/2006/relationships/hyperlink" Target="https://www.adaptation-fund.org/document/gender-mainstreaming-e-course" TargetMode="External"/><Relationship Id="rId10" Type="http://schemas.openxmlformats.org/officeDocument/2006/relationships/hyperlink" Target="https://unfccc.int/documents/9097" TargetMode="External"/><Relationship Id="rId19" Type="http://schemas.openxmlformats.org/officeDocument/2006/relationships/hyperlink" Target="https://unfccc.int/documents/641046" TargetMode="External"/><Relationship Id="rId31" Type="http://schemas.openxmlformats.org/officeDocument/2006/relationships/hyperlink" Target="https://unfccc.int/documents/626571" TargetMode="External"/><Relationship Id="rId4" Type="http://schemas.openxmlformats.org/officeDocument/2006/relationships/hyperlink" Target="https://unfccc.int/documents/637074" TargetMode="External"/><Relationship Id="rId9" Type="http://schemas.openxmlformats.org/officeDocument/2006/relationships/hyperlink" Target="https://unfccc.int/documents/65780" TargetMode="External"/><Relationship Id="rId14" Type="http://schemas.openxmlformats.org/officeDocument/2006/relationships/hyperlink" Target="https://unfccc.int/documents/637067" TargetMode="External"/><Relationship Id="rId22" Type="http://schemas.openxmlformats.org/officeDocument/2006/relationships/hyperlink" Target="https://unfccc.int/documents/641842" TargetMode="External"/><Relationship Id="rId27" Type="http://schemas.openxmlformats.org/officeDocument/2006/relationships/hyperlink" Target="https://www.adaptation-fund.org/document/opg-annex4-gender-policy" TargetMode="External"/><Relationship Id="rId30" Type="http://schemas.openxmlformats.org/officeDocument/2006/relationships/hyperlink" Target="https://unfccc.int/documents/626566" TargetMode="External"/><Relationship Id="rId8" Type="http://schemas.openxmlformats.org/officeDocument/2006/relationships/hyperlink" Target="https://unfccc.int/documents/6418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u\Downloads\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EE00819E-ADD0-429B-8ADE-E1417858C473}">
  <ds:schemaRefs>
    <ds:schemaRef ds:uri="http://schemas.microsoft.com/sharepoint/v3/contenttype/forms"/>
  </ds:schemaRefs>
</ds:datastoreItem>
</file>

<file path=customXml/itemProps2.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3.xml><?xml version="1.0" encoding="utf-8"?>
<ds:datastoreItem xmlns:ds="http://schemas.openxmlformats.org/officeDocument/2006/customXml" ds:itemID="{61F0F169-2553-4669-BC65-29F423886E3F}">
  <ds:schemaRefs>
    <ds:schemaRef ds:uri="http://schemas.microsoft.com/office/2006/metadata/properties"/>
    <ds:schemaRef ds:uri="http://schemas.microsoft.com/office/infopath/2007/PartnerControls"/>
    <ds:schemaRef ds:uri="0d8f00d2-86fc-4eff-afef-8f73dd50878e"/>
    <ds:schemaRef ds:uri="eb4559c4-8463-4985-927f-f0d558bff8f0"/>
  </ds:schemaRefs>
</ds:datastoreItem>
</file>

<file path=customXml/itemProps4.xml><?xml version="1.0" encoding="utf-8"?>
<ds:datastoreItem xmlns:ds="http://schemas.openxmlformats.org/officeDocument/2006/customXml" ds:itemID="{D09E4C29-1F30-46DD-833F-4EFF9F1E0630}">
  <ds:schemaRefs>
    <ds:schemaRef ds:uri="http://schemas.microsoft.com/sharepoint/events"/>
  </ds:schemaRefs>
</ds:datastoreItem>
</file>

<file path=customXml/itemProps5.xml><?xml version="1.0" encoding="utf-8"?>
<ds:datastoreItem xmlns:ds="http://schemas.openxmlformats.org/officeDocument/2006/customXml" ds:itemID="{BD041B2C-8182-4862-A366-92A64D51CC57}"/>
</file>

<file path=customXml/itemProps6.xml><?xml version="1.0" encoding="utf-8"?>
<ds:datastoreItem xmlns:ds="http://schemas.openxmlformats.org/officeDocument/2006/customXml" ds:itemID="{20DDE8AB-D574-43E3-9E29-5F429DB67E6D}"/>
</file>

<file path=docProps/app.xml><?xml version="1.0" encoding="utf-8"?>
<Properties xmlns="http://schemas.openxmlformats.org/officeDocument/2006/extended-properties" xmlns:vt="http://schemas.openxmlformats.org/officeDocument/2006/docPropsVTypes">
  <Template>FCCC.dotm</Template>
  <TotalTime>958</TotalTime>
  <Pages>18</Pages>
  <Words>6841</Words>
  <Characters>38995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sixtieth session. Addendum</vt:lpstr>
    </vt:vector>
  </TitlesOfParts>
  <Company>UNFCCC</Company>
  <LinksUpToDate>false</LinksUpToDate>
  <CharactersWithSpaces>45745</CharactersWithSpaces>
  <SharedDoc>false</SharedDoc>
  <HLinks>
    <vt:vector size="756" baseType="variant">
      <vt:variant>
        <vt:i4>2293880</vt:i4>
      </vt:variant>
      <vt:variant>
        <vt:i4>273</vt:i4>
      </vt:variant>
      <vt:variant>
        <vt:i4>0</vt:i4>
      </vt:variant>
      <vt:variant>
        <vt:i4>5</vt:i4>
      </vt:variant>
      <vt:variant>
        <vt:lpwstr>https://unfccc.int/documents/637073</vt:lpwstr>
      </vt:variant>
      <vt:variant>
        <vt:lpwstr/>
      </vt:variant>
      <vt:variant>
        <vt:i4>2293880</vt:i4>
      </vt:variant>
      <vt:variant>
        <vt:i4>270</vt:i4>
      </vt:variant>
      <vt:variant>
        <vt:i4>0</vt:i4>
      </vt:variant>
      <vt:variant>
        <vt:i4>5</vt:i4>
      </vt:variant>
      <vt:variant>
        <vt:lpwstr>https://unfccc.int/documents/637073</vt:lpwstr>
      </vt:variant>
      <vt:variant>
        <vt:lpwstr/>
      </vt:variant>
      <vt:variant>
        <vt:i4>2359412</vt:i4>
      </vt:variant>
      <vt:variant>
        <vt:i4>267</vt:i4>
      </vt:variant>
      <vt:variant>
        <vt:i4>0</vt:i4>
      </vt:variant>
      <vt:variant>
        <vt:i4>5</vt:i4>
      </vt:variant>
      <vt:variant>
        <vt:lpwstr>https://unfccc.int/documents/460950</vt:lpwstr>
      </vt:variant>
      <vt:variant>
        <vt:lpwstr/>
      </vt:variant>
      <vt:variant>
        <vt:i4>2293880</vt:i4>
      </vt:variant>
      <vt:variant>
        <vt:i4>264</vt:i4>
      </vt:variant>
      <vt:variant>
        <vt:i4>0</vt:i4>
      </vt:variant>
      <vt:variant>
        <vt:i4>5</vt:i4>
      </vt:variant>
      <vt:variant>
        <vt:lpwstr>https://unfccc.int/documents/637074</vt:lpwstr>
      </vt:variant>
      <vt:variant>
        <vt:lpwstr/>
      </vt:variant>
      <vt:variant>
        <vt:i4>2293884</vt:i4>
      </vt:variant>
      <vt:variant>
        <vt:i4>261</vt:i4>
      </vt:variant>
      <vt:variant>
        <vt:i4>0</vt:i4>
      </vt:variant>
      <vt:variant>
        <vt:i4>5</vt:i4>
      </vt:variant>
      <vt:variant>
        <vt:lpwstr>https://unfccc.int/documents/626569</vt:lpwstr>
      </vt:variant>
      <vt:variant>
        <vt:lpwstr/>
      </vt:variant>
      <vt:variant>
        <vt:i4>2293880</vt:i4>
      </vt:variant>
      <vt:variant>
        <vt:i4>258</vt:i4>
      </vt:variant>
      <vt:variant>
        <vt:i4>0</vt:i4>
      </vt:variant>
      <vt:variant>
        <vt:i4>5</vt:i4>
      </vt:variant>
      <vt:variant>
        <vt:lpwstr>https://unfccc.int/documents/637073</vt:lpwstr>
      </vt:variant>
      <vt:variant>
        <vt:lpwstr/>
      </vt:variant>
      <vt:variant>
        <vt:i4>2556022</vt:i4>
      </vt:variant>
      <vt:variant>
        <vt:i4>255</vt:i4>
      </vt:variant>
      <vt:variant>
        <vt:i4>0</vt:i4>
      </vt:variant>
      <vt:variant>
        <vt:i4>5</vt:i4>
      </vt:variant>
      <vt:variant>
        <vt:lpwstr>https://unfccc.int/documents/193408</vt:lpwstr>
      </vt:variant>
      <vt:variant>
        <vt:lpwstr/>
      </vt:variant>
      <vt:variant>
        <vt:i4>2162801</vt:i4>
      </vt:variant>
      <vt:variant>
        <vt:i4>252</vt:i4>
      </vt:variant>
      <vt:variant>
        <vt:i4>0</vt:i4>
      </vt:variant>
      <vt:variant>
        <vt:i4>5</vt:i4>
      </vt:variant>
      <vt:variant>
        <vt:lpwstr>https://unfccc.int/documents/193364</vt:lpwstr>
      </vt:variant>
      <vt:variant>
        <vt:lpwstr/>
      </vt:variant>
      <vt:variant>
        <vt:i4>2359412</vt:i4>
      </vt:variant>
      <vt:variant>
        <vt:i4>249</vt:i4>
      </vt:variant>
      <vt:variant>
        <vt:i4>0</vt:i4>
      </vt:variant>
      <vt:variant>
        <vt:i4>5</vt:i4>
      </vt:variant>
      <vt:variant>
        <vt:lpwstr>https://unfccc.int/documents/460950</vt:lpwstr>
      </vt:variant>
      <vt:variant>
        <vt:lpwstr/>
      </vt:variant>
      <vt:variant>
        <vt:i4>2293880</vt:i4>
      </vt:variant>
      <vt:variant>
        <vt:i4>246</vt:i4>
      </vt:variant>
      <vt:variant>
        <vt:i4>0</vt:i4>
      </vt:variant>
      <vt:variant>
        <vt:i4>5</vt:i4>
      </vt:variant>
      <vt:variant>
        <vt:lpwstr>https://unfccc.int/documents/637074</vt:lpwstr>
      </vt:variant>
      <vt:variant>
        <vt:lpwstr/>
      </vt:variant>
      <vt:variant>
        <vt:i4>2228348</vt:i4>
      </vt:variant>
      <vt:variant>
        <vt:i4>243</vt:i4>
      </vt:variant>
      <vt:variant>
        <vt:i4>0</vt:i4>
      </vt:variant>
      <vt:variant>
        <vt:i4>5</vt:i4>
      </vt:variant>
      <vt:variant>
        <vt:lpwstr>https://unfccc.int/documents/626571</vt:lpwstr>
      </vt:variant>
      <vt:variant>
        <vt:lpwstr/>
      </vt:variant>
      <vt:variant>
        <vt:i4>2359412</vt:i4>
      </vt:variant>
      <vt:variant>
        <vt:i4>240</vt:i4>
      </vt:variant>
      <vt:variant>
        <vt:i4>0</vt:i4>
      </vt:variant>
      <vt:variant>
        <vt:i4>5</vt:i4>
      </vt:variant>
      <vt:variant>
        <vt:lpwstr>https://unfccc.int/documents/460952</vt:lpwstr>
      </vt:variant>
      <vt:variant>
        <vt:lpwstr/>
      </vt:variant>
      <vt:variant>
        <vt:i4>2359412</vt:i4>
      </vt:variant>
      <vt:variant>
        <vt:i4>237</vt:i4>
      </vt:variant>
      <vt:variant>
        <vt:i4>0</vt:i4>
      </vt:variant>
      <vt:variant>
        <vt:i4>5</vt:i4>
      </vt:variant>
      <vt:variant>
        <vt:lpwstr>https://unfccc.int/documents/460950</vt:lpwstr>
      </vt:variant>
      <vt:variant>
        <vt:lpwstr/>
      </vt:variant>
      <vt:variant>
        <vt:i4>2556022</vt:i4>
      </vt:variant>
      <vt:variant>
        <vt:i4>234</vt:i4>
      </vt:variant>
      <vt:variant>
        <vt:i4>0</vt:i4>
      </vt:variant>
      <vt:variant>
        <vt:i4>5</vt:i4>
      </vt:variant>
      <vt:variant>
        <vt:lpwstr>https://unfccc.int/documents/193408</vt:lpwstr>
      </vt:variant>
      <vt:variant>
        <vt:lpwstr/>
      </vt:variant>
      <vt:variant>
        <vt:i4>2228344</vt:i4>
      </vt:variant>
      <vt:variant>
        <vt:i4>231</vt:i4>
      </vt:variant>
      <vt:variant>
        <vt:i4>0</vt:i4>
      </vt:variant>
      <vt:variant>
        <vt:i4>5</vt:i4>
      </vt:variant>
      <vt:variant>
        <vt:lpwstr>https://unfccc.int/documents/637064</vt:lpwstr>
      </vt:variant>
      <vt:variant>
        <vt:lpwstr/>
      </vt:variant>
      <vt:variant>
        <vt:i4>2293884</vt:i4>
      </vt:variant>
      <vt:variant>
        <vt:i4>228</vt:i4>
      </vt:variant>
      <vt:variant>
        <vt:i4>0</vt:i4>
      </vt:variant>
      <vt:variant>
        <vt:i4>5</vt:i4>
      </vt:variant>
      <vt:variant>
        <vt:lpwstr>https://unfccc.int/documents/626566</vt:lpwstr>
      </vt:variant>
      <vt:variant>
        <vt:lpwstr/>
      </vt:variant>
      <vt:variant>
        <vt:i4>2359412</vt:i4>
      </vt:variant>
      <vt:variant>
        <vt:i4>225</vt:i4>
      </vt:variant>
      <vt:variant>
        <vt:i4>0</vt:i4>
      </vt:variant>
      <vt:variant>
        <vt:i4>5</vt:i4>
      </vt:variant>
      <vt:variant>
        <vt:lpwstr>https://unfccc.int/documents/460957</vt:lpwstr>
      </vt:variant>
      <vt:variant>
        <vt:lpwstr/>
      </vt:variant>
      <vt:variant>
        <vt:i4>2097278</vt:i4>
      </vt:variant>
      <vt:variant>
        <vt:i4>222</vt:i4>
      </vt:variant>
      <vt:variant>
        <vt:i4>0</vt:i4>
      </vt:variant>
      <vt:variant>
        <vt:i4>5</vt:i4>
      </vt:variant>
      <vt:variant>
        <vt:lpwstr>https://unfccc.int/documents/210478</vt:lpwstr>
      </vt:variant>
      <vt:variant>
        <vt:lpwstr/>
      </vt:variant>
      <vt:variant>
        <vt:i4>2162801</vt:i4>
      </vt:variant>
      <vt:variant>
        <vt:i4>219</vt:i4>
      </vt:variant>
      <vt:variant>
        <vt:i4>0</vt:i4>
      </vt:variant>
      <vt:variant>
        <vt:i4>5</vt:i4>
      </vt:variant>
      <vt:variant>
        <vt:lpwstr>https://unfccc.int/documents/193364</vt:lpwstr>
      </vt:variant>
      <vt:variant>
        <vt:lpwstr/>
      </vt:variant>
      <vt:variant>
        <vt:i4>2818172</vt:i4>
      </vt:variant>
      <vt:variant>
        <vt:i4>216</vt:i4>
      </vt:variant>
      <vt:variant>
        <vt:i4>0</vt:i4>
      </vt:variant>
      <vt:variant>
        <vt:i4>5</vt:i4>
      </vt:variant>
      <vt:variant>
        <vt:lpwstr>https://unfccc.int/documents/65129</vt:lpwstr>
      </vt:variant>
      <vt:variant>
        <vt:lpwstr/>
      </vt:variant>
      <vt:variant>
        <vt:i4>1769549</vt:i4>
      </vt:variant>
      <vt:variant>
        <vt:i4>213</vt:i4>
      </vt:variant>
      <vt:variant>
        <vt:i4>0</vt:i4>
      </vt:variant>
      <vt:variant>
        <vt:i4>5</vt:i4>
      </vt:variant>
      <vt:variant>
        <vt:lpwstr>https://unfccc.int/documents/9676</vt:lpwstr>
      </vt:variant>
      <vt:variant>
        <vt:lpwstr/>
      </vt:variant>
      <vt:variant>
        <vt:i4>1835082</vt:i4>
      </vt:variant>
      <vt:variant>
        <vt:i4>210</vt:i4>
      </vt:variant>
      <vt:variant>
        <vt:i4>0</vt:i4>
      </vt:variant>
      <vt:variant>
        <vt:i4>5</vt:i4>
      </vt:variant>
      <vt:variant>
        <vt:lpwstr>https://unfccc.int/documents/9101</vt:lpwstr>
      </vt:variant>
      <vt:variant>
        <vt:lpwstr/>
      </vt:variant>
      <vt:variant>
        <vt:i4>1835085</vt:i4>
      </vt:variant>
      <vt:variant>
        <vt:i4>207</vt:i4>
      </vt:variant>
      <vt:variant>
        <vt:i4>0</vt:i4>
      </vt:variant>
      <vt:variant>
        <vt:i4>5</vt:i4>
      </vt:variant>
      <vt:variant>
        <vt:lpwstr>https://unfccc.int/documents/8615</vt:lpwstr>
      </vt:variant>
      <vt:variant>
        <vt:lpwstr/>
      </vt:variant>
      <vt:variant>
        <vt:i4>1441870</vt:i4>
      </vt:variant>
      <vt:variant>
        <vt:i4>204</vt:i4>
      </vt:variant>
      <vt:variant>
        <vt:i4>0</vt:i4>
      </vt:variant>
      <vt:variant>
        <vt:i4>5</vt:i4>
      </vt:variant>
      <vt:variant>
        <vt:lpwstr>https://unfccc.int/documents/5564</vt:lpwstr>
      </vt:variant>
      <vt:variant>
        <vt:lpwstr/>
      </vt:variant>
      <vt:variant>
        <vt:i4>1572939</vt:i4>
      </vt:variant>
      <vt:variant>
        <vt:i4>201</vt:i4>
      </vt:variant>
      <vt:variant>
        <vt:i4>0</vt:i4>
      </vt:variant>
      <vt:variant>
        <vt:i4>5</vt:i4>
      </vt:variant>
      <vt:variant>
        <vt:lpwstr>https://unfccc.int/documents/5082</vt:lpwstr>
      </vt:variant>
      <vt:variant>
        <vt:lpwstr/>
      </vt:variant>
      <vt:variant>
        <vt:i4>2293880</vt:i4>
      </vt:variant>
      <vt:variant>
        <vt:i4>198</vt:i4>
      </vt:variant>
      <vt:variant>
        <vt:i4>0</vt:i4>
      </vt:variant>
      <vt:variant>
        <vt:i4>5</vt:i4>
      </vt:variant>
      <vt:variant>
        <vt:lpwstr>https://unfccc.int/documents/637073</vt:lpwstr>
      </vt:variant>
      <vt:variant>
        <vt:lpwstr/>
      </vt:variant>
      <vt:variant>
        <vt:i4>2228344</vt:i4>
      </vt:variant>
      <vt:variant>
        <vt:i4>195</vt:i4>
      </vt:variant>
      <vt:variant>
        <vt:i4>0</vt:i4>
      </vt:variant>
      <vt:variant>
        <vt:i4>5</vt:i4>
      </vt:variant>
      <vt:variant>
        <vt:lpwstr>https://unfccc.int/documents/637067</vt:lpwstr>
      </vt:variant>
      <vt:variant>
        <vt:lpwstr/>
      </vt:variant>
      <vt:variant>
        <vt:i4>2293880</vt:i4>
      </vt:variant>
      <vt:variant>
        <vt:i4>192</vt:i4>
      </vt:variant>
      <vt:variant>
        <vt:i4>0</vt:i4>
      </vt:variant>
      <vt:variant>
        <vt:i4>5</vt:i4>
      </vt:variant>
      <vt:variant>
        <vt:lpwstr>https://unfccc.int/documents/637073</vt:lpwstr>
      </vt:variant>
      <vt:variant>
        <vt:lpwstr/>
      </vt:variant>
      <vt:variant>
        <vt:i4>2228344</vt:i4>
      </vt:variant>
      <vt:variant>
        <vt:i4>189</vt:i4>
      </vt:variant>
      <vt:variant>
        <vt:i4>0</vt:i4>
      </vt:variant>
      <vt:variant>
        <vt:i4>5</vt:i4>
      </vt:variant>
      <vt:variant>
        <vt:lpwstr>https://unfccc.int/documents/637067</vt:lpwstr>
      </vt:variant>
      <vt:variant>
        <vt:lpwstr/>
      </vt:variant>
      <vt:variant>
        <vt:i4>2293880</vt:i4>
      </vt:variant>
      <vt:variant>
        <vt:i4>186</vt:i4>
      </vt:variant>
      <vt:variant>
        <vt:i4>0</vt:i4>
      </vt:variant>
      <vt:variant>
        <vt:i4>5</vt:i4>
      </vt:variant>
      <vt:variant>
        <vt:lpwstr>https://unfccc.int/documents/637073</vt:lpwstr>
      </vt:variant>
      <vt:variant>
        <vt:lpwstr/>
      </vt:variant>
      <vt:variant>
        <vt:i4>2228344</vt:i4>
      </vt:variant>
      <vt:variant>
        <vt:i4>183</vt:i4>
      </vt:variant>
      <vt:variant>
        <vt:i4>0</vt:i4>
      </vt:variant>
      <vt:variant>
        <vt:i4>5</vt:i4>
      </vt:variant>
      <vt:variant>
        <vt:lpwstr>https://unfccc.int/documents/637067</vt:lpwstr>
      </vt:variant>
      <vt:variant>
        <vt:lpwstr/>
      </vt:variant>
      <vt:variant>
        <vt:i4>2293880</vt:i4>
      </vt:variant>
      <vt:variant>
        <vt:i4>180</vt:i4>
      </vt:variant>
      <vt:variant>
        <vt:i4>0</vt:i4>
      </vt:variant>
      <vt:variant>
        <vt:i4>5</vt:i4>
      </vt:variant>
      <vt:variant>
        <vt:lpwstr>https://unfccc.int/documents/637073</vt:lpwstr>
      </vt:variant>
      <vt:variant>
        <vt:lpwstr/>
      </vt:variant>
      <vt:variant>
        <vt:i4>2228344</vt:i4>
      </vt:variant>
      <vt:variant>
        <vt:i4>177</vt:i4>
      </vt:variant>
      <vt:variant>
        <vt:i4>0</vt:i4>
      </vt:variant>
      <vt:variant>
        <vt:i4>5</vt:i4>
      </vt:variant>
      <vt:variant>
        <vt:lpwstr>https://unfccc.int/documents/637067</vt:lpwstr>
      </vt:variant>
      <vt:variant>
        <vt:lpwstr/>
      </vt:variant>
      <vt:variant>
        <vt:i4>2293884</vt:i4>
      </vt:variant>
      <vt:variant>
        <vt:i4>174</vt:i4>
      </vt:variant>
      <vt:variant>
        <vt:i4>0</vt:i4>
      </vt:variant>
      <vt:variant>
        <vt:i4>5</vt:i4>
      </vt:variant>
      <vt:variant>
        <vt:lpwstr>https://unfccc.int/documents/626569</vt:lpwstr>
      </vt:variant>
      <vt:variant>
        <vt:lpwstr/>
      </vt:variant>
      <vt:variant>
        <vt:i4>2293884</vt:i4>
      </vt:variant>
      <vt:variant>
        <vt:i4>171</vt:i4>
      </vt:variant>
      <vt:variant>
        <vt:i4>0</vt:i4>
      </vt:variant>
      <vt:variant>
        <vt:i4>5</vt:i4>
      </vt:variant>
      <vt:variant>
        <vt:lpwstr>https://unfccc.int/documents/626561</vt:lpwstr>
      </vt:variant>
      <vt:variant>
        <vt:lpwstr/>
      </vt:variant>
      <vt:variant>
        <vt:i4>2293880</vt:i4>
      </vt:variant>
      <vt:variant>
        <vt:i4>168</vt:i4>
      </vt:variant>
      <vt:variant>
        <vt:i4>0</vt:i4>
      </vt:variant>
      <vt:variant>
        <vt:i4>5</vt:i4>
      </vt:variant>
      <vt:variant>
        <vt:lpwstr>https://unfccc.int/documents/637073</vt:lpwstr>
      </vt:variant>
      <vt:variant>
        <vt:lpwstr/>
      </vt:variant>
      <vt:variant>
        <vt:i4>2228344</vt:i4>
      </vt:variant>
      <vt:variant>
        <vt:i4>165</vt:i4>
      </vt:variant>
      <vt:variant>
        <vt:i4>0</vt:i4>
      </vt:variant>
      <vt:variant>
        <vt:i4>5</vt:i4>
      </vt:variant>
      <vt:variant>
        <vt:lpwstr>https://unfccc.int/documents/637067</vt:lpwstr>
      </vt:variant>
      <vt:variant>
        <vt:lpwstr/>
      </vt:variant>
      <vt:variant>
        <vt:i4>2293884</vt:i4>
      </vt:variant>
      <vt:variant>
        <vt:i4>162</vt:i4>
      </vt:variant>
      <vt:variant>
        <vt:i4>0</vt:i4>
      </vt:variant>
      <vt:variant>
        <vt:i4>5</vt:i4>
      </vt:variant>
      <vt:variant>
        <vt:lpwstr>https://unfccc.int/documents/626569</vt:lpwstr>
      </vt:variant>
      <vt:variant>
        <vt:lpwstr/>
      </vt:variant>
      <vt:variant>
        <vt:i4>2293884</vt:i4>
      </vt:variant>
      <vt:variant>
        <vt:i4>159</vt:i4>
      </vt:variant>
      <vt:variant>
        <vt:i4>0</vt:i4>
      </vt:variant>
      <vt:variant>
        <vt:i4>5</vt:i4>
      </vt:variant>
      <vt:variant>
        <vt:lpwstr>https://unfccc.int/documents/626561</vt:lpwstr>
      </vt:variant>
      <vt:variant>
        <vt:lpwstr/>
      </vt:variant>
      <vt:variant>
        <vt:i4>2293880</vt:i4>
      </vt:variant>
      <vt:variant>
        <vt:i4>156</vt:i4>
      </vt:variant>
      <vt:variant>
        <vt:i4>0</vt:i4>
      </vt:variant>
      <vt:variant>
        <vt:i4>5</vt:i4>
      </vt:variant>
      <vt:variant>
        <vt:lpwstr>https://unfccc.int/documents/637073</vt:lpwstr>
      </vt:variant>
      <vt:variant>
        <vt:lpwstr/>
      </vt:variant>
      <vt:variant>
        <vt:i4>2228344</vt:i4>
      </vt:variant>
      <vt:variant>
        <vt:i4>153</vt:i4>
      </vt:variant>
      <vt:variant>
        <vt:i4>0</vt:i4>
      </vt:variant>
      <vt:variant>
        <vt:i4>5</vt:i4>
      </vt:variant>
      <vt:variant>
        <vt:lpwstr>https://unfccc.int/documents/637067</vt:lpwstr>
      </vt:variant>
      <vt:variant>
        <vt:lpwstr/>
      </vt:variant>
      <vt:variant>
        <vt:i4>2293880</vt:i4>
      </vt:variant>
      <vt:variant>
        <vt:i4>150</vt:i4>
      </vt:variant>
      <vt:variant>
        <vt:i4>0</vt:i4>
      </vt:variant>
      <vt:variant>
        <vt:i4>5</vt:i4>
      </vt:variant>
      <vt:variant>
        <vt:lpwstr>https://unfccc.int/documents/637073</vt:lpwstr>
      </vt:variant>
      <vt:variant>
        <vt:lpwstr/>
      </vt:variant>
      <vt:variant>
        <vt:i4>2228344</vt:i4>
      </vt:variant>
      <vt:variant>
        <vt:i4>147</vt:i4>
      </vt:variant>
      <vt:variant>
        <vt:i4>0</vt:i4>
      </vt:variant>
      <vt:variant>
        <vt:i4>5</vt:i4>
      </vt:variant>
      <vt:variant>
        <vt:lpwstr>https://unfccc.int/documents/637067</vt:lpwstr>
      </vt:variant>
      <vt:variant>
        <vt:lpwstr/>
      </vt:variant>
      <vt:variant>
        <vt:i4>2293880</vt:i4>
      </vt:variant>
      <vt:variant>
        <vt:i4>144</vt:i4>
      </vt:variant>
      <vt:variant>
        <vt:i4>0</vt:i4>
      </vt:variant>
      <vt:variant>
        <vt:i4>5</vt:i4>
      </vt:variant>
      <vt:variant>
        <vt:lpwstr>https://unfccc.int/documents/637073</vt:lpwstr>
      </vt:variant>
      <vt:variant>
        <vt:lpwstr/>
      </vt:variant>
      <vt:variant>
        <vt:i4>2228344</vt:i4>
      </vt:variant>
      <vt:variant>
        <vt:i4>141</vt:i4>
      </vt:variant>
      <vt:variant>
        <vt:i4>0</vt:i4>
      </vt:variant>
      <vt:variant>
        <vt:i4>5</vt:i4>
      </vt:variant>
      <vt:variant>
        <vt:lpwstr>https://unfccc.int/documents/637067</vt:lpwstr>
      </vt:variant>
      <vt:variant>
        <vt:lpwstr/>
      </vt:variant>
      <vt:variant>
        <vt:i4>2293880</vt:i4>
      </vt:variant>
      <vt:variant>
        <vt:i4>138</vt:i4>
      </vt:variant>
      <vt:variant>
        <vt:i4>0</vt:i4>
      </vt:variant>
      <vt:variant>
        <vt:i4>5</vt:i4>
      </vt:variant>
      <vt:variant>
        <vt:lpwstr>https://unfccc.int/documents/637073</vt:lpwstr>
      </vt:variant>
      <vt:variant>
        <vt:lpwstr/>
      </vt:variant>
      <vt:variant>
        <vt:i4>2228344</vt:i4>
      </vt:variant>
      <vt:variant>
        <vt:i4>135</vt:i4>
      </vt:variant>
      <vt:variant>
        <vt:i4>0</vt:i4>
      </vt:variant>
      <vt:variant>
        <vt:i4>5</vt:i4>
      </vt:variant>
      <vt:variant>
        <vt:lpwstr>https://unfccc.int/documents/637067</vt:lpwstr>
      </vt:variant>
      <vt:variant>
        <vt:lpwstr/>
      </vt:variant>
      <vt:variant>
        <vt:i4>2293880</vt:i4>
      </vt:variant>
      <vt:variant>
        <vt:i4>132</vt:i4>
      </vt:variant>
      <vt:variant>
        <vt:i4>0</vt:i4>
      </vt:variant>
      <vt:variant>
        <vt:i4>5</vt:i4>
      </vt:variant>
      <vt:variant>
        <vt:lpwstr>https://unfccc.int/documents/637073</vt:lpwstr>
      </vt:variant>
      <vt:variant>
        <vt:lpwstr/>
      </vt:variant>
      <vt:variant>
        <vt:i4>2228344</vt:i4>
      </vt:variant>
      <vt:variant>
        <vt:i4>129</vt:i4>
      </vt:variant>
      <vt:variant>
        <vt:i4>0</vt:i4>
      </vt:variant>
      <vt:variant>
        <vt:i4>5</vt:i4>
      </vt:variant>
      <vt:variant>
        <vt:lpwstr>https://unfccc.int/documents/637067</vt:lpwstr>
      </vt:variant>
      <vt:variant>
        <vt:lpwstr/>
      </vt:variant>
      <vt:variant>
        <vt:i4>2293884</vt:i4>
      </vt:variant>
      <vt:variant>
        <vt:i4>126</vt:i4>
      </vt:variant>
      <vt:variant>
        <vt:i4>0</vt:i4>
      </vt:variant>
      <vt:variant>
        <vt:i4>5</vt:i4>
      </vt:variant>
      <vt:variant>
        <vt:lpwstr>https://unfccc.int/documents/626569</vt:lpwstr>
      </vt:variant>
      <vt:variant>
        <vt:lpwstr/>
      </vt:variant>
      <vt:variant>
        <vt:i4>2293884</vt:i4>
      </vt:variant>
      <vt:variant>
        <vt:i4>123</vt:i4>
      </vt:variant>
      <vt:variant>
        <vt:i4>0</vt:i4>
      </vt:variant>
      <vt:variant>
        <vt:i4>5</vt:i4>
      </vt:variant>
      <vt:variant>
        <vt:lpwstr>https://unfccc.int/documents/626561</vt:lpwstr>
      </vt:variant>
      <vt:variant>
        <vt:lpwstr/>
      </vt:variant>
      <vt:variant>
        <vt:i4>2293880</vt:i4>
      </vt:variant>
      <vt:variant>
        <vt:i4>120</vt:i4>
      </vt:variant>
      <vt:variant>
        <vt:i4>0</vt:i4>
      </vt:variant>
      <vt:variant>
        <vt:i4>5</vt:i4>
      </vt:variant>
      <vt:variant>
        <vt:lpwstr>https://unfccc.int/documents/637073</vt:lpwstr>
      </vt:variant>
      <vt:variant>
        <vt:lpwstr/>
      </vt:variant>
      <vt:variant>
        <vt:i4>2228344</vt:i4>
      </vt:variant>
      <vt:variant>
        <vt:i4>117</vt:i4>
      </vt:variant>
      <vt:variant>
        <vt:i4>0</vt:i4>
      </vt:variant>
      <vt:variant>
        <vt:i4>5</vt:i4>
      </vt:variant>
      <vt:variant>
        <vt:lpwstr>https://unfccc.int/documents/637067</vt:lpwstr>
      </vt:variant>
      <vt:variant>
        <vt:lpwstr/>
      </vt:variant>
      <vt:variant>
        <vt:i4>2293884</vt:i4>
      </vt:variant>
      <vt:variant>
        <vt:i4>114</vt:i4>
      </vt:variant>
      <vt:variant>
        <vt:i4>0</vt:i4>
      </vt:variant>
      <vt:variant>
        <vt:i4>5</vt:i4>
      </vt:variant>
      <vt:variant>
        <vt:lpwstr>https://unfccc.int/documents/626569</vt:lpwstr>
      </vt:variant>
      <vt:variant>
        <vt:lpwstr/>
      </vt:variant>
      <vt:variant>
        <vt:i4>2293884</vt:i4>
      </vt:variant>
      <vt:variant>
        <vt:i4>111</vt:i4>
      </vt:variant>
      <vt:variant>
        <vt:i4>0</vt:i4>
      </vt:variant>
      <vt:variant>
        <vt:i4>5</vt:i4>
      </vt:variant>
      <vt:variant>
        <vt:lpwstr>https://unfccc.int/documents/626561</vt:lpwstr>
      </vt:variant>
      <vt:variant>
        <vt:lpwstr/>
      </vt:variant>
      <vt:variant>
        <vt:i4>2293880</vt:i4>
      </vt:variant>
      <vt:variant>
        <vt:i4>108</vt:i4>
      </vt:variant>
      <vt:variant>
        <vt:i4>0</vt:i4>
      </vt:variant>
      <vt:variant>
        <vt:i4>5</vt:i4>
      </vt:variant>
      <vt:variant>
        <vt:lpwstr>https://unfccc.int/documents/637073</vt:lpwstr>
      </vt:variant>
      <vt:variant>
        <vt:lpwstr/>
      </vt:variant>
      <vt:variant>
        <vt:i4>2228344</vt:i4>
      </vt:variant>
      <vt:variant>
        <vt:i4>105</vt:i4>
      </vt:variant>
      <vt:variant>
        <vt:i4>0</vt:i4>
      </vt:variant>
      <vt:variant>
        <vt:i4>5</vt:i4>
      </vt:variant>
      <vt:variant>
        <vt:lpwstr>https://unfccc.int/documents/637067</vt:lpwstr>
      </vt:variant>
      <vt:variant>
        <vt:lpwstr/>
      </vt:variant>
      <vt:variant>
        <vt:i4>2818172</vt:i4>
      </vt:variant>
      <vt:variant>
        <vt:i4>102</vt:i4>
      </vt:variant>
      <vt:variant>
        <vt:i4>0</vt:i4>
      </vt:variant>
      <vt:variant>
        <vt:i4>5</vt:i4>
      </vt:variant>
      <vt:variant>
        <vt:lpwstr>https://unfccc.int/documents/641397</vt:lpwstr>
      </vt:variant>
      <vt:variant>
        <vt:lpwstr/>
      </vt:variant>
      <vt:variant>
        <vt:i4>2293880</vt:i4>
      </vt:variant>
      <vt:variant>
        <vt:i4>99</vt:i4>
      </vt:variant>
      <vt:variant>
        <vt:i4>0</vt:i4>
      </vt:variant>
      <vt:variant>
        <vt:i4>5</vt:i4>
      </vt:variant>
      <vt:variant>
        <vt:lpwstr>https://unfccc.int/documents/637073</vt:lpwstr>
      </vt:variant>
      <vt:variant>
        <vt:lpwstr/>
      </vt:variant>
      <vt:variant>
        <vt:i4>2228344</vt:i4>
      </vt:variant>
      <vt:variant>
        <vt:i4>96</vt:i4>
      </vt:variant>
      <vt:variant>
        <vt:i4>0</vt:i4>
      </vt:variant>
      <vt:variant>
        <vt:i4>5</vt:i4>
      </vt:variant>
      <vt:variant>
        <vt:lpwstr>https://unfccc.int/documents/637067</vt:lpwstr>
      </vt:variant>
      <vt:variant>
        <vt:lpwstr/>
      </vt:variant>
      <vt:variant>
        <vt:i4>2293880</vt:i4>
      </vt:variant>
      <vt:variant>
        <vt:i4>93</vt:i4>
      </vt:variant>
      <vt:variant>
        <vt:i4>0</vt:i4>
      </vt:variant>
      <vt:variant>
        <vt:i4>5</vt:i4>
      </vt:variant>
      <vt:variant>
        <vt:lpwstr>https://unfccc.int/documents/637073</vt:lpwstr>
      </vt:variant>
      <vt:variant>
        <vt:lpwstr/>
      </vt:variant>
      <vt:variant>
        <vt:i4>2228344</vt:i4>
      </vt:variant>
      <vt:variant>
        <vt:i4>90</vt:i4>
      </vt:variant>
      <vt:variant>
        <vt:i4>0</vt:i4>
      </vt:variant>
      <vt:variant>
        <vt:i4>5</vt:i4>
      </vt:variant>
      <vt:variant>
        <vt:lpwstr>https://unfccc.int/documents/637067</vt:lpwstr>
      </vt:variant>
      <vt:variant>
        <vt:lpwstr/>
      </vt:variant>
      <vt:variant>
        <vt:i4>2293880</vt:i4>
      </vt:variant>
      <vt:variant>
        <vt:i4>87</vt:i4>
      </vt:variant>
      <vt:variant>
        <vt:i4>0</vt:i4>
      </vt:variant>
      <vt:variant>
        <vt:i4>5</vt:i4>
      </vt:variant>
      <vt:variant>
        <vt:lpwstr>https://unfccc.int/documents/637073</vt:lpwstr>
      </vt:variant>
      <vt:variant>
        <vt:lpwstr/>
      </vt:variant>
      <vt:variant>
        <vt:i4>2228344</vt:i4>
      </vt:variant>
      <vt:variant>
        <vt:i4>84</vt:i4>
      </vt:variant>
      <vt:variant>
        <vt:i4>0</vt:i4>
      </vt:variant>
      <vt:variant>
        <vt:i4>5</vt:i4>
      </vt:variant>
      <vt:variant>
        <vt:lpwstr>https://unfccc.int/documents/637067</vt:lpwstr>
      </vt:variant>
      <vt:variant>
        <vt:lpwstr/>
      </vt:variant>
      <vt:variant>
        <vt:i4>2293884</vt:i4>
      </vt:variant>
      <vt:variant>
        <vt:i4>81</vt:i4>
      </vt:variant>
      <vt:variant>
        <vt:i4>0</vt:i4>
      </vt:variant>
      <vt:variant>
        <vt:i4>5</vt:i4>
      </vt:variant>
      <vt:variant>
        <vt:lpwstr>https://unfccc.int/documents/626569</vt:lpwstr>
      </vt:variant>
      <vt:variant>
        <vt:lpwstr/>
      </vt:variant>
      <vt:variant>
        <vt:i4>2293884</vt:i4>
      </vt:variant>
      <vt:variant>
        <vt:i4>78</vt:i4>
      </vt:variant>
      <vt:variant>
        <vt:i4>0</vt:i4>
      </vt:variant>
      <vt:variant>
        <vt:i4>5</vt:i4>
      </vt:variant>
      <vt:variant>
        <vt:lpwstr>https://unfccc.int/documents/626561</vt:lpwstr>
      </vt:variant>
      <vt:variant>
        <vt:lpwstr/>
      </vt:variant>
      <vt:variant>
        <vt:i4>2293878</vt:i4>
      </vt:variant>
      <vt:variant>
        <vt:i4>75</vt:i4>
      </vt:variant>
      <vt:variant>
        <vt:i4>0</vt:i4>
      </vt:variant>
      <vt:variant>
        <vt:i4>5</vt:i4>
      </vt:variant>
      <vt:variant>
        <vt:lpwstr>https://unfccc.int/documents/644941</vt:lpwstr>
      </vt:variant>
      <vt:variant>
        <vt:lpwstr/>
      </vt:variant>
      <vt:variant>
        <vt:i4>2293878</vt:i4>
      </vt:variant>
      <vt:variant>
        <vt:i4>72</vt:i4>
      </vt:variant>
      <vt:variant>
        <vt:i4>0</vt:i4>
      </vt:variant>
      <vt:variant>
        <vt:i4>5</vt:i4>
      </vt:variant>
      <vt:variant>
        <vt:lpwstr>https://unfccc.int/documents/644941</vt:lpwstr>
      </vt:variant>
      <vt:variant>
        <vt:lpwstr/>
      </vt:variant>
      <vt:variant>
        <vt:i4>2293880</vt:i4>
      </vt:variant>
      <vt:variant>
        <vt:i4>69</vt:i4>
      </vt:variant>
      <vt:variant>
        <vt:i4>0</vt:i4>
      </vt:variant>
      <vt:variant>
        <vt:i4>5</vt:i4>
      </vt:variant>
      <vt:variant>
        <vt:lpwstr>https://unfccc.int/documents/637076</vt:lpwstr>
      </vt:variant>
      <vt:variant>
        <vt:lpwstr/>
      </vt:variant>
      <vt:variant>
        <vt:i4>2293880</vt:i4>
      </vt:variant>
      <vt:variant>
        <vt:i4>66</vt:i4>
      </vt:variant>
      <vt:variant>
        <vt:i4>0</vt:i4>
      </vt:variant>
      <vt:variant>
        <vt:i4>5</vt:i4>
      </vt:variant>
      <vt:variant>
        <vt:lpwstr>https://unfccc.int/documents/637076</vt:lpwstr>
      </vt:variant>
      <vt:variant>
        <vt:lpwstr/>
      </vt:variant>
      <vt:variant>
        <vt:i4>2556022</vt:i4>
      </vt:variant>
      <vt:variant>
        <vt:i4>63</vt:i4>
      </vt:variant>
      <vt:variant>
        <vt:i4>0</vt:i4>
      </vt:variant>
      <vt:variant>
        <vt:i4>5</vt:i4>
      </vt:variant>
      <vt:variant>
        <vt:lpwstr>https://unfccc.int/documents/193408</vt:lpwstr>
      </vt:variant>
      <vt:variant>
        <vt:lpwstr/>
      </vt:variant>
      <vt:variant>
        <vt:i4>2293878</vt:i4>
      </vt:variant>
      <vt:variant>
        <vt:i4>60</vt:i4>
      </vt:variant>
      <vt:variant>
        <vt:i4>0</vt:i4>
      </vt:variant>
      <vt:variant>
        <vt:i4>5</vt:i4>
      </vt:variant>
      <vt:variant>
        <vt:lpwstr>https://unfccc.int/documents/644941</vt:lpwstr>
      </vt:variant>
      <vt:variant>
        <vt:lpwstr/>
      </vt:variant>
      <vt:variant>
        <vt:i4>2293878</vt:i4>
      </vt:variant>
      <vt:variant>
        <vt:i4>57</vt:i4>
      </vt:variant>
      <vt:variant>
        <vt:i4>0</vt:i4>
      </vt:variant>
      <vt:variant>
        <vt:i4>5</vt:i4>
      </vt:variant>
      <vt:variant>
        <vt:lpwstr>https://unfccc.int/documents/644941</vt:lpwstr>
      </vt:variant>
      <vt:variant>
        <vt:lpwstr/>
      </vt:variant>
      <vt:variant>
        <vt:i4>1114190</vt:i4>
      </vt:variant>
      <vt:variant>
        <vt:i4>54</vt:i4>
      </vt:variant>
      <vt:variant>
        <vt:i4>0</vt:i4>
      </vt:variant>
      <vt:variant>
        <vt:i4>5</vt:i4>
      </vt:variant>
      <vt:variant>
        <vt:lpwstr>https://unfccc.int/documents/6527</vt:lpwstr>
      </vt:variant>
      <vt:variant>
        <vt:lpwstr/>
      </vt:variant>
      <vt:variant>
        <vt:i4>2293878</vt:i4>
      </vt:variant>
      <vt:variant>
        <vt:i4>51</vt:i4>
      </vt:variant>
      <vt:variant>
        <vt:i4>0</vt:i4>
      </vt:variant>
      <vt:variant>
        <vt:i4>5</vt:i4>
      </vt:variant>
      <vt:variant>
        <vt:lpwstr>https://unfccc.int/documents/644941</vt:lpwstr>
      </vt:variant>
      <vt:variant>
        <vt:lpwstr/>
      </vt:variant>
      <vt:variant>
        <vt:i4>2293884</vt:i4>
      </vt:variant>
      <vt:variant>
        <vt:i4>48</vt:i4>
      </vt:variant>
      <vt:variant>
        <vt:i4>0</vt:i4>
      </vt:variant>
      <vt:variant>
        <vt:i4>5</vt:i4>
      </vt:variant>
      <vt:variant>
        <vt:lpwstr>https://unfccc.int/documents/626569</vt:lpwstr>
      </vt:variant>
      <vt:variant>
        <vt:lpwstr/>
      </vt:variant>
      <vt:variant>
        <vt:i4>2293880</vt:i4>
      </vt:variant>
      <vt:variant>
        <vt:i4>45</vt:i4>
      </vt:variant>
      <vt:variant>
        <vt:i4>0</vt:i4>
      </vt:variant>
      <vt:variant>
        <vt:i4>5</vt:i4>
      </vt:variant>
      <vt:variant>
        <vt:lpwstr>https://unfccc.int/documents/637074</vt:lpwstr>
      </vt:variant>
      <vt:variant>
        <vt:lpwstr/>
      </vt:variant>
      <vt:variant>
        <vt:i4>2228348</vt:i4>
      </vt:variant>
      <vt:variant>
        <vt:i4>42</vt:i4>
      </vt:variant>
      <vt:variant>
        <vt:i4>0</vt:i4>
      </vt:variant>
      <vt:variant>
        <vt:i4>5</vt:i4>
      </vt:variant>
      <vt:variant>
        <vt:lpwstr>https://unfccc.int/documents/626571</vt:lpwstr>
      </vt:variant>
      <vt:variant>
        <vt:lpwstr/>
      </vt:variant>
      <vt:variant>
        <vt:i4>2359412</vt:i4>
      </vt:variant>
      <vt:variant>
        <vt:i4>39</vt:i4>
      </vt:variant>
      <vt:variant>
        <vt:i4>0</vt:i4>
      </vt:variant>
      <vt:variant>
        <vt:i4>5</vt:i4>
      </vt:variant>
      <vt:variant>
        <vt:lpwstr>https://unfccc.int/documents/460952</vt:lpwstr>
      </vt:variant>
      <vt:variant>
        <vt:lpwstr/>
      </vt:variant>
      <vt:variant>
        <vt:i4>2097278</vt:i4>
      </vt:variant>
      <vt:variant>
        <vt:i4>36</vt:i4>
      </vt:variant>
      <vt:variant>
        <vt:i4>0</vt:i4>
      </vt:variant>
      <vt:variant>
        <vt:i4>5</vt:i4>
      </vt:variant>
      <vt:variant>
        <vt:lpwstr>https://unfccc.int/documents/210477</vt:lpwstr>
      </vt:variant>
      <vt:variant>
        <vt:lpwstr/>
      </vt:variant>
      <vt:variant>
        <vt:i4>2556022</vt:i4>
      </vt:variant>
      <vt:variant>
        <vt:i4>33</vt:i4>
      </vt:variant>
      <vt:variant>
        <vt:i4>0</vt:i4>
      </vt:variant>
      <vt:variant>
        <vt:i4>5</vt:i4>
      </vt:variant>
      <vt:variant>
        <vt:lpwstr>https://unfccc.int/documents/193408</vt:lpwstr>
      </vt:variant>
      <vt:variant>
        <vt:lpwstr/>
      </vt:variant>
      <vt:variant>
        <vt:i4>2359412</vt:i4>
      </vt:variant>
      <vt:variant>
        <vt:i4>30</vt:i4>
      </vt:variant>
      <vt:variant>
        <vt:i4>0</vt:i4>
      </vt:variant>
      <vt:variant>
        <vt:i4>5</vt:i4>
      </vt:variant>
      <vt:variant>
        <vt:lpwstr>https://unfccc.int/documents/460954</vt:lpwstr>
      </vt:variant>
      <vt:variant>
        <vt:lpwstr/>
      </vt:variant>
      <vt:variant>
        <vt:i4>2097278</vt:i4>
      </vt:variant>
      <vt:variant>
        <vt:i4>27</vt:i4>
      </vt:variant>
      <vt:variant>
        <vt:i4>0</vt:i4>
      </vt:variant>
      <vt:variant>
        <vt:i4>5</vt:i4>
      </vt:variant>
      <vt:variant>
        <vt:lpwstr>https://unfccc.int/documents/210476</vt:lpwstr>
      </vt:variant>
      <vt:variant>
        <vt:lpwstr/>
      </vt:variant>
      <vt:variant>
        <vt:i4>1376331</vt:i4>
      </vt:variant>
      <vt:variant>
        <vt:i4>24</vt:i4>
      </vt:variant>
      <vt:variant>
        <vt:i4>0</vt:i4>
      </vt:variant>
      <vt:variant>
        <vt:i4>5</vt:i4>
      </vt:variant>
      <vt:variant>
        <vt:lpwstr>https://unfccc.int/documents/9097</vt:lpwstr>
      </vt:variant>
      <vt:variant>
        <vt:lpwstr/>
      </vt:variant>
      <vt:variant>
        <vt:i4>4063274</vt:i4>
      </vt:variant>
      <vt:variant>
        <vt:i4>21</vt:i4>
      </vt:variant>
      <vt:variant>
        <vt:i4>0</vt:i4>
      </vt:variant>
      <vt:variant>
        <vt:i4>5</vt:i4>
      </vt:variant>
      <vt:variant>
        <vt:lpwstr/>
      </vt:variant>
      <vt:variant>
        <vt:lpwstr>decision15</vt:lpwstr>
      </vt:variant>
      <vt:variant>
        <vt:i4>4128810</vt:i4>
      </vt:variant>
      <vt:variant>
        <vt:i4>18</vt:i4>
      </vt:variant>
      <vt:variant>
        <vt:i4>0</vt:i4>
      </vt:variant>
      <vt:variant>
        <vt:i4>5</vt:i4>
      </vt:variant>
      <vt:variant>
        <vt:lpwstr/>
      </vt:variant>
      <vt:variant>
        <vt:lpwstr>decision14</vt:lpwstr>
      </vt:variant>
      <vt:variant>
        <vt:i4>3670058</vt:i4>
      </vt:variant>
      <vt:variant>
        <vt:i4>15</vt:i4>
      </vt:variant>
      <vt:variant>
        <vt:i4>0</vt:i4>
      </vt:variant>
      <vt:variant>
        <vt:i4>5</vt:i4>
      </vt:variant>
      <vt:variant>
        <vt:lpwstr/>
      </vt:variant>
      <vt:variant>
        <vt:lpwstr>decision13</vt:lpwstr>
      </vt:variant>
      <vt:variant>
        <vt:i4>3735594</vt:i4>
      </vt:variant>
      <vt:variant>
        <vt:i4>12</vt:i4>
      </vt:variant>
      <vt:variant>
        <vt:i4>0</vt:i4>
      </vt:variant>
      <vt:variant>
        <vt:i4>5</vt:i4>
      </vt:variant>
      <vt:variant>
        <vt:lpwstr/>
      </vt:variant>
      <vt:variant>
        <vt:lpwstr>decision12</vt:lpwstr>
      </vt:variant>
      <vt:variant>
        <vt:i4>3801130</vt:i4>
      </vt:variant>
      <vt:variant>
        <vt:i4>9</vt:i4>
      </vt:variant>
      <vt:variant>
        <vt:i4>0</vt:i4>
      </vt:variant>
      <vt:variant>
        <vt:i4>5</vt:i4>
      </vt:variant>
      <vt:variant>
        <vt:lpwstr/>
      </vt:variant>
      <vt:variant>
        <vt:lpwstr>decision11</vt:lpwstr>
      </vt:variant>
      <vt:variant>
        <vt:i4>3866666</vt:i4>
      </vt:variant>
      <vt:variant>
        <vt:i4>6</vt:i4>
      </vt:variant>
      <vt:variant>
        <vt:i4>0</vt:i4>
      </vt:variant>
      <vt:variant>
        <vt:i4>5</vt:i4>
      </vt:variant>
      <vt:variant>
        <vt:lpwstr/>
      </vt:variant>
      <vt:variant>
        <vt:lpwstr>decision10</vt:lpwstr>
      </vt:variant>
      <vt:variant>
        <vt:i4>720923</vt:i4>
      </vt:variant>
      <vt:variant>
        <vt:i4>3</vt:i4>
      </vt:variant>
      <vt:variant>
        <vt:i4>0</vt:i4>
      </vt:variant>
      <vt:variant>
        <vt:i4>5</vt:i4>
      </vt:variant>
      <vt:variant>
        <vt:lpwstr/>
      </vt:variant>
      <vt:variant>
        <vt:lpwstr>decision9</vt:lpwstr>
      </vt:variant>
      <vt:variant>
        <vt:i4>720923</vt:i4>
      </vt:variant>
      <vt:variant>
        <vt:i4>0</vt:i4>
      </vt:variant>
      <vt:variant>
        <vt:i4>0</vt:i4>
      </vt:variant>
      <vt:variant>
        <vt:i4>5</vt:i4>
      </vt:variant>
      <vt:variant>
        <vt:lpwstr/>
      </vt:variant>
      <vt:variant>
        <vt:lpwstr>decision8</vt:lpwstr>
      </vt:variant>
      <vt:variant>
        <vt:i4>5898268</vt:i4>
      </vt:variant>
      <vt:variant>
        <vt:i4>99</vt:i4>
      </vt:variant>
      <vt:variant>
        <vt:i4>0</vt:i4>
      </vt:variant>
      <vt:variant>
        <vt:i4>5</vt:i4>
      </vt:variant>
      <vt:variant>
        <vt:lpwstr>https://www4.unfccc.int/sites/submissionsstaging/Pages/Home.aspx</vt:lpwstr>
      </vt:variant>
      <vt:variant>
        <vt:lpwstr/>
      </vt:variant>
      <vt:variant>
        <vt:i4>2490487</vt:i4>
      </vt:variant>
      <vt:variant>
        <vt:i4>96</vt:i4>
      </vt:variant>
      <vt:variant>
        <vt:i4>0</vt:i4>
      </vt:variant>
      <vt:variant>
        <vt:i4>5</vt:i4>
      </vt:variant>
      <vt:variant>
        <vt:lpwstr>https://unfccc.int/documents/641845</vt:lpwstr>
      </vt:variant>
      <vt:variant>
        <vt:lpwstr/>
      </vt:variant>
      <vt:variant>
        <vt:i4>2752631</vt:i4>
      </vt:variant>
      <vt:variant>
        <vt:i4>93</vt:i4>
      </vt:variant>
      <vt:variant>
        <vt:i4>0</vt:i4>
      </vt:variant>
      <vt:variant>
        <vt:i4>5</vt:i4>
      </vt:variant>
      <vt:variant>
        <vt:lpwstr>https://www.adaptation-fund.org/enhancing-access-and-increasing-impact-the-role-of-the-multilateral-climate-funds/</vt:lpwstr>
      </vt:variant>
      <vt:variant>
        <vt:lpwstr/>
      </vt:variant>
      <vt:variant>
        <vt:i4>2228348</vt:i4>
      </vt:variant>
      <vt:variant>
        <vt:i4>90</vt:i4>
      </vt:variant>
      <vt:variant>
        <vt:i4>0</vt:i4>
      </vt:variant>
      <vt:variant>
        <vt:i4>5</vt:i4>
      </vt:variant>
      <vt:variant>
        <vt:lpwstr>https://unfccc.int/documents/626571</vt:lpwstr>
      </vt:variant>
      <vt:variant>
        <vt:lpwstr/>
      </vt:variant>
      <vt:variant>
        <vt:i4>2293884</vt:i4>
      </vt:variant>
      <vt:variant>
        <vt:i4>87</vt:i4>
      </vt:variant>
      <vt:variant>
        <vt:i4>0</vt:i4>
      </vt:variant>
      <vt:variant>
        <vt:i4>5</vt:i4>
      </vt:variant>
      <vt:variant>
        <vt:lpwstr>https://unfccc.int/documents/626566</vt:lpwstr>
      </vt:variant>
      <vt:variant>
        <vt:lpwstr/>
      </vt:variant>
      <vt:variant>
        <vt:i4>2490494</vt:i4>
      </vt:variant>
      <vt:variant>
        <vt:i4>84</vt:i4>
      </vt:variant>
      <vt:variant>
        <vt:i4>0</vt:i4>
      </vt:variant>
      <vt:variant>
        <vt:i4>5</vt:i4>
      </vt:variant>
      <vt:variant>
        <vt:lpwstr>https://unfccc.int/documents/641149</vt:lpwstr>
      </vt:variant>
      <vt:variant>
        <vt:lpwstr/>
      </vt:variant>
      <vt:variant>
        <vt:i4>7209001</vt:i4>
      </vt:variant>
      <vt:variant>
        <vt:i4>81</vt:i4>
      </vt:variant>
      <vt:variant>
        <vt:i4>0</vt:i4>
      </vt:variant>
      <vt:variant>
        <vt:i4>5</vt:i4>
      </vt:variant>
      <vt:variant>
        <vt:lpwstr>https://www.adaptation-fund.org/document/gender-mainstreaming-e-course</vt:lpwstr>
      </vt:variant>
      <vt:variant>
        <vt:lpwstr/>
      </vt:variant>
      <vt:variant>
        <vt:i4>1310741</vt:i4>
      </vt:variant>
      <vt:variant>
        <vt:i4>78</vt:i4>
      </vt:variant>
      <vt:variant>
        <vt:i4>0</vt:i4>
      </vt:variant>
      <vt:variant>
        <vt:i4>5</vt:i4>
      </vt:variant>
      <vt:variant>
        <vt:lpwstr>https://www.adaptation-fund.org/document/opg-annex4-gender-policy</vt:lpwstr>
      </vt:variant>
      <vt:variant>
        <vt:lpwstr/>
      </vt:variant>
      <vt:variant>
        <vt:i4>7012387</vt:i4>
      </vt:variant>
      <vt:variant>
        <vt:i4>75</vt:i4>
      </vt:variant>
      <vt:variant>
        <vt:i4>0</vt:i4>
      </vt:variant>
      <vt:variant>
        <vt:i4>5</vt:i4>
      </vt:variant>
      <vt:variant>
        <vt:lpwstr>https://www.adaptation-fund.org/document/resource-mobilization-strategy-2022-2025/</vt:lpwstr>
      </vt:variant>
      <vt:variant>
        <vt:lpwstr/>
      </vt:variant>
      <vt:variant>
        <vt:i4>2293884</vt:i4>
      </vt:variant>
      <vt:variant>
        <vt:i4>72</vt:i4>
      </vt:variant>
      <vt:variant>
        <vt:i4>0</vt:i4>
      </vt:variant>
      <vt:variant>
        <vt:i4>5</vt:i4>
      </vt:variant>
      <vt:variant>
        <vt:lpwstr>https://unfccc.int/documents/626566</vt:lpwstr>
      </vt:variant>
      <vt:variant>
        <vt:lpwstr/>
      </vt:variant>
      <vt:variant>
        <vt:i4>3080302</vt:i4>
      </vt:variant>
      <vt:variant>
        <vt:i4>69</vt:i4>
      </vt:variant>
      <vt:variant>
        <vt:i4>0</vt:i4>
      </vt:variant>
      <vt:variant>
        <vt:i4>5</vt:i4>
      </vt:variant>
      <vt:variant>
        <vt:lpwstr>https://www.adaptation-fund.org/document/medium-term-strategy-2023-2027</vt:lpwstr>
      </vt:variant>
      <vt:variant>
        <vt:lpwstr/>
      </vt:variant>
      <vt:variant>
        <vt:i4>2424951</vt:i4>
      </vt:variant>
      <vt:variant>
        <vt:i4>66</vt:i4>
      </vt:variant>
      <vt:variant>
        <vt:i4>0</vt:i4>
      </vt:variant>
      <vt:variant>
        <vt:i4>5</vt:i4>
      </vt:variant>
      <vt:variant>
        <vt:lpwstr>https://unfccc.int/documents/641872</vt:lpwstr>
      </vt:variant>
      <vt:variant>
        <vt:lpwstr/>
      </vt:variant>
      <vt:variant>
        <vt:i4>2490487</vt:i4>
      </vt:variant>
      <vt:variant>
        <vt:i4>63</vt:i4>
      </vt:variant>
      <vt:variant>
        <vt:i4>0</vt:i4>
      </vt:variant>
      <vt:variant>
        <vt:i4>5</vt:i4>
      </vt:variant>
      <vt:variant>
        <vt:lpwstr>https://unfccc.int/documents/641842</vt:lpwstr>
      </vt:variant>
      <vt:variant>
        <vt:lpwstr/>
      </vt:variant>
      <vt:variant>
        <vt:i4>2228344</vt:i4>
      </vt:variant>
      <vt:variant>
        <vt:i4>60</vt:i4>
      </vt:variant>
      <vt:variant>
        <vt:i4>0</vt:i4>
      </vt:variant>
      <vt:variant>
        <vt:i4>5</vt:i4>
      </vt:variant>
      <vt:variant>
        <vt:lpwstr>https://unfccc.int/documents/637067</vt:lpwstr>
      </vt:variant>
      <vt:variant>
        <vt:lpwstr/>
      </vt:variant>
      <vt:variant>
        <vt:i4>2818172</vt:i4>
      </vt:variant>
      <vt:variant>
        <vt:i4>57</vt:i4>
      </vt:variant>
      <vt:variant>
        <vt:i4>0</vt:i4>
      </vt:variant>
      <vt:variant>
        <vt:i4>5</vt:i4>
      </vt:variant>
      <vt:variant>
        <vt:lpwstr>https://unfccc.int/documents/641397</vt:lpwstr>
      </vt:variant>
      <vt:variant>
        <vt:lpwstr/>
      </vt:variant>
      <vt:variant>
        <vt:i4>2490495</vt:i4>
      </vt:variant>
      <vt:variant>
        <vt:i4>54</vt:i4>
      </vt:variant>
      <vt:variant>
        <vt:i4>0</vt:i4>
      </vt:variant>
      <vt:variant>
        <vt:i4>5</vt:i4>
      </vt:variant>
      <vt:variant>
        <vt:lpwstr>https://unfccc.int/documents/641046</vt:lpwstr>
      </vt:variant>
      <vt:variant>
        <vt:lpwstr/>
      </vt:variant>
      <vt:variant>
        <vt:i4>5898268</vt:i4>
      </vt:variant>
      <vt:variant>
        <vt:i4>51</vt:i4>
      </vt:variant>
      <vt:variant>
        <vt:i4>0</vt:i4>
      </vt:variant>
      <vt:variant>
        <vt:i4>5</vt:i4>
      </vt:variant>
      <vt:variant>
        <vt:lpwstr>https://www4.unfccc.int/sites/submissionsstaging/Pages/Home.aspx</vt:lpwstr>
      </vt:variant>
      <vt:variant>
        <vt:lpwstr/>
      </vt:variant>
      <vt:variant>
        <vt:i4>2293880</vt:i4>
      </vt:variant>
      <vt:variant>
        <vt:i4>48</vt:i4>
      </vt:variant>
      <vt:variant>
        <vt:i4>0</vt:i4>
      </vt:variant>
      <vt:variant>
        <vt:i4>5</vt:i4>
      </vt:variant>
      <vt:variant>
        <vt:lpwstr>https://unfccc.int/documents/637073</vt:lpwstr>
      </vt:variant>
      <vt:variant>
        <vt:lpwstr/>
      </vt:variant>
      <vt:variant>
        <vt:i4>2228344</vt:i4>
      </vt:variant>
      <vt:variant>
        <vt:i4>45</vt:i4>
      </vt:variant>
      <vt:variant>
        <vt:i4>0</vt:i4>
      </vt:variant>
      <vt:variant>
        <vt:i4>5</vt:i4>
      </vt:variant>
      <vt:variant>
        <vt:lpwstr>https://unfccc.int/documents/637067</vt:lpwstr>
      </vt:variant>
      <vt:variant>
        <vt:lpwstr/>
      </vt:variant>
      <vt:variant>
        <vt:i4>2293880</vt:i4>
      </vt:variant>
      <vt:variant>
        <vt:i4>42</vt:i4>
      </vt:variant>
      <vt:variant>
        <vt:i4>0</vt:i4>
      </vt:variant>
      <vt:variant>
        <vt:i4>5</vt:i4>
      </vt:variant>
      <vt:variant>
        <vt:lpwstr>https://unfccc.int/documents/637073</vt:lpwstr>
      </vt:variant>
      <vt:variant>
        <vt:lpwstr/>
      </vt:variant>
      <vt:variant>
        <vt:i4>2228344</vt:i4>
      </vt:variant>
      <vt:variant>
        <vt:i4>39</vt:i4>
      </vt:variant>
      <vt:variant>
        <vt:i4>0</vt:i4>
      </vt:variant>
      <vt:variant>
        <vt:i4>5</vt:i4>
      </vt:variant>
      <vt:variant>
        <vt:lpwstr>https://unfccc.int/documents/637067</vt:lpwstr>
      </vt:variant>
      <vt:variant>
        <vt:lpwstr/>
      </vt:variant>
      <vt:variant>
        <vt:i4>2752632</vt:i4>
      </vt:variant>
      <vt:variant>
        <vt:i4>36</vt:i4>
      </vt:variant>
      <vt:variant>
        <vt:i4>0</vt:i4>
      </vt:variant>
      <vt:variant>
        <vt:i4>5</vt:i4>
      </vt:variant>
      <vt:variant>
        <vt:lpwstr>https://unfccc.int/documents/641785</vt:lpwstr>
      </vt:variant>
      <vt:variant>
        <vt:lpwstr/>
      </vt:variant>
      <vt:variant>
        <vt:i4>2818172</vt:i4>
      </vt:variant>
      <vt:variant>
        <vt:i4>33</vt:i4>
      </vt:variant>
      <vt:variant>
        <vt:i4>0</vt:i4>
      </vt:variant>
      <vt:variant>
        <vt:i4>5</vt:i4>
      </vt:variant>
      <vt:variant>
        <vt:lpwstr>https://unfccc.int/documents/641397</vt:lpwstr>
      </vt:variant>
      <vt:variant>
        <vt:lpwstr/>
      </vt:variant>
      <vt:variant>
        <vt:i4>2359414</vt:i4>
      </vt:variant>
      <vt:variant>
        <vt:i4>30</vt:i4>
      </vt:variant>
      <vt:variant>
        <vt:i4>0</vt:i4>
      </vt:variant>
      <vt:variant>
        <vt:i4>5</vt:i4>
      </vt:variant>
      <vt:variant>
        <vt:lpwstr>https://unfccc.int/documents/65780</vt:lpwstr>
      </vt:variant>
      <vt:variant>
        <vt:lpwstr/>
      </vt:variant>
      <vt:variant>
        <vt:i4>1376331</vt:i4>
      </vt:variant>
      <vt:variant>
        <vt:i4>27</vt:i4>
      </vt:variant>
      <vt:variant>
        <vt:i4>0</vt:i4>
      </vt:variant>
      <vt:variant>
        <vt:i4>5</vt:i4>
      </vt:variant>
      <vt:variant>
        <vt:lpwstr>https://unfccc.int/documents/9097</vt:lpwstr>
      </vt:variant>
      <vt:variant>
        <vt:lpwstr/>
      </vt:variant>
      <vt:variant>
        <vt:i4>2359414</vt:i4>
      </vt:variant>
      <vt:variant>
        <vt:i4>24</vt:i4>
      </vt:variant>
      <vt:variant>
        <vt:i4>0</vt:i4>
      </vt:variant>
      <vt:variant>
        <vt:i4>5</vt:i4>
      </vt:variant>
      <vt:variant>
        <vt:lpwstr>https://unfccc.int/documents/65780</vt:lpwstr>
      </vt:variant>
      <vt:variant>
        <vt:lpwstr/>
      </vt:variant>
      <vt:variant>
        <vt:i4>2424951</vt:i4>
      </vt:variant>
      <vt:variant>
        <vt:i4>21</vt:i4>
      </vt:variant>
      <vt:variant>
        <vt:i4>0</vt:i4>
      </vt:variant>
      <vt:variant>
        <vt:i4>5</vt:i4>
      </vt:variant>
      <vt:variant>
        <vt:lpwstr>https://unfccc.int/documents/641871</vt:lpwstr>
      </vt:variant>
      <vt:variant>
        <vt:lpwstr/>
      </vt:variant>
      <vt:variant>
        <vt:i4>2424950</vt:i4>
      </vt:variant>
      <vt:variant>
        <vt:i4>18</vt:i4>
      </vt:variant>
      <vt:variant>
        <vt:i4>0</vt:i4>
      </vt:variant>
      <vt:variant>
        <vt:i4>5</vt:i4>
      </vt:variant>
      <vt:variant>
        <vt:lpwstr>https://unfccc.int/documents/640967</vt:lpwstr>
      </vt:variant>
      <vt:variant>
        <vt:lpwstr/>
      </vt:variant>
      <vt:variant>
        <vt:i4>1376331</vt:i4>
      </vt:variant>
      <vt:variant>
        <vt:i4>15</vt:i4>
      </vt:variant>
      <vt:variant>
        <vt:i4>0</vt:i4>
      </vt:variant>
      <vt:variant>
        <vt:i4>5</vt:i4>
      </vt:variant>
      <vt:variant>
        <vt:lpwstr>https://unfccc.int/documents/9097</vt:lpwstr>
      </vt:variant>
      <vt:variant>
        <vt:lpwstr/>
      </vt:variant>
      <vt:variant>
        <vt:i4>2490495</vt:i4>
      </vt:variant>
      <vt:variant>
        <vt:i4>12</vt:i4>
      </vt:variant>
      <vt:variant>
        <vt:i4>0</vt:i4>
      </vt:variant>
      <vt:variant>
        <vt:i4>5</vt:i4>
      </vt:variant>
      <vt:variant>
        <vt:lpwstr>https://unfccc.int/documents/641042</vt:lpwstr>
      </vt:variant>
      <vt:variant>
        <vt:lpwstr/>
      </vt:variant>
      <vt:variant>
        <vt:i4>2293880</vt:i4>
      </vt:variant>
      <vt:variant>
        <vt:i4>9</vt:i4>
      </vt:variant>
      <vt:variant>
        <vt:i4>0</vt:i4>
      </vt:variant>
      <vt:variant>
        <vt:i4>5</vt:i4>
      </vt:variant>
      <vt:variant>
        <vt:lpwstr>https://unfccc.int/documents/637074</vt:lpwstr>
      </vt:variant>
      <vt:variant>
        <vt:lpwstr/>
      </vt:variant>
      <vt:variant>
        <vt:i4>2293880</vt:i4>
      </vt:variant>
      <vt:variant>
        <vt:i4>6</vt:i4>
      </vt:variant>
      <vt:variant>
        <vt:i4>0</vt:i4>
      </vt:variant>
      <vt:variant>
        <vt:i4>5</vt:i4>
      </vt:variant>
      <vt:variant>
        <vt:lpwstr>https://unfccc.int/documents/637074</vt:lpwstr>
      </vt:variant>
      <vt:variant>
        <vt:lpwstr/>
      </vt:variant>
      <vt:variant>
        <vt:i4>2293880</vt:i4>
      </vt:variant>
      <vt:variant>
        <vt:i4>3</vt:i4>
      </vt:variant>
      <vt:variant>
        <vt:i4>0</vt:i4>
      </vt:variant>
      <vt:variant>
        <vt:i4>5</vt:i4>
      </vt:variant>
      <vt:variant>
        <vt:lpwstr>https://unfccc.int/documents/637074</vt:lpwstr>
      </vt:variant>
      <vt:variant>
        <vt:lpwstr/>
      </vt:variant>
      <vt:variant>
        <vt:i4>5701697</vt:i4>
      </vt:variant>
      <vt:variant>
        <vt:i4>0</vt:i4>
      </vt:variant>
      <vt:variant>
        <vt:i4>0</vt:i4>
      </vt:variant>
      <vt:variant>
        <vt:i4>5</vt:i4>
      </vt:variant>
      <vt:variant>
        <vt:lpwstr>https://unfccc.int/topics/climate-finance/resources/biennial-assessment-and-overview-of-climate-finance-flows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sixtieth session. Addendum</dc:title>
  <dc:subject/>
  <dc:creator>Aisulu Aldasheva</dc:creator>
  <cp:keywords/>
  <dc:description>Updated for COP28</dc:description>
  <cp:lastModifiedBy>Corinne Cornu</cp:lastModifiedBy>
  <cp:revision>214</cp:revision>
  <cp:lastPrinted>2022-09-20T12:19:00Z</cp:lastPrinted>
  <dcterms:created xsi:type="dcterms:W3CDTF">2024-04-05T16:55:00Z</dcterms:created>
  <dcterms:modified xsi:type="dcterms:W3CDTF">2025-04-01T10:09:00Z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4/4/2024 15:24:08</vt:lpwstr>
  </property>
  <property fmtid="{D5CDD505-2E9C-101B-9397-08002B2CF9AE}" pid="4" name="ContentTypeId">
    <vt:lpwstr>0x01010093B27815B4C26448A2AC74C6D94E050B</vt:lpwstr>
  </property>
  <property fmtid="{D5CDD505-2E9C-101B-9397-08002B2CF9AE}" pid="5" name="_dlc_DocIdItemGuid">
    <vt:lpwstr>82fcd8eb-cded-4c8e-87cc-f040194ae0b6</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fccc_Keywords">
    <vt:lpwstr>47;#Sessional proceedings|ff7bdb8c-f4ee-4fbb-ab88-7747669b7746</vt:lpwstr>
  </property>
  <property fmtid="{D5CDD505-2E9C-101B-9397-08002B2CF9AE}" pid="11" name="fccc_session">
    <vt:lpwstr>828;#CMA 6|921772ad-b3b9-4474-ad2a-c67c251a1b9a</vt:lpwstr>
  </property>
  <property fmtid="{D5CDD505-2E9C-101B-9397-08002B2CF9AE}" pid="12" name="LinkedUNFCCCDocumentTracker">
    <vt:lpwstr>6946</vt:lpwstr>
  </property>
  <property fmtid="{D5CDD505-2E9C-101B-9397-08002B2CF9AE}" pid="13" name="Web_x0020_doc_x0020_type">
    <vt:lpwstr/>
  </property>
  <property fmtid="{D5CDD505-2E9C-101B-9397-08002B2CF9AE}" pid="14" name="Document_x0020_Group">
    <vt:lpwstr/>
  </property>
  <property fmtid="{D5CDD505-2E9C-101B-9397-08002B2CF9AE}" pid="15" name="Conference">
    <vt:lpwstr/>
  </property>
  <property fmtid="{D5CDD505-2E9C-101B-9397-08002B2CF9AE}" pid="16" name="mc8c0c91454a4efc97cb5a2e90a99718">
    <vt:lpwstr/>
  </property>
  <property fmtid="{D5CDD505-2E9C-101B-9397-08002B2CF9AE}" pid="17" name="Corporate author">
    <vt:lpwstr/>
  </property>
  <property fmtid="{D5CDD505-2E9C-101B-9397-08002B2CF9AE}" pid="18" name="Agenda Item">
    <vt:lpwstr/>
  </property>
  <property fmtid="{D5CDD505-2E9C-101B-9397-08002B2CF9AE}" pid="19" name="Web doc type">
    <vt:lpwstr/>
  </property>
  <property fmtid="{D5CDD505-2E9C-101B-9397-08002B2CF9AE}" pid="20" name="Document Group">
    <vt:lpwstr/>
  </property>
  <property fmtid="{D5CDD505-2E9C-101B-9397-08002B2CF9AE}" pid="21" name="Embargo">
    <vt:lpwstr>No</vt:lpwstr>
  </property>
  <property fmtid="{D5CDD505-2E9C-101B-9397-08002B2CF9AE}" pid="22" name="lcf76f155ced4ddcb4097134ff3c332f">
    <vt:lpwstr/>
  </property>
  <property fmtid="{D5CDD505-2E9C-101B-9397-08002B2CF9AE}" pid="23" name="docSymbol1">
    <vt:lpwstr>FCCC/PA/CMA/2024/17/Add.2</vt:lpwstr>
  </property>
  <property fmtid="{D5CDD505-2E9C-101B-9397-08002B2CF9AE}" pid="24" name="docSymbol2">
    <vt:lpwstr/>
  </property>
  <property fmtid="{D5CDD505-2E9C-101B-9397-08002B2CF9AE}" pid="25" name="Corporate_x0020_author">
    <vt:lpwstr/>
  </property>
</Properties>
</file>