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9.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1.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footer1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6.xml" ContentType="application/vnd.openxmlformats-officedocument.wordprocessingml.footer+xml"/>
  <Override PartName="/word/header24.xml" ContentType="application/vnd.openxmlformats-officedocument.wordprocessingml.header+xml"/>
  <Override PartName="/word/header10.xml" ContentType="application/vnd.openxmlformats-officedocument.wordprocessingml.header+xml"/>
  <Override PartName="/word/header8.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756BC7" w:rsidRPr="004F2183" w14:paraId="5F5A82D3" w14:textId="77777777" w:rsidTr="00BC36B3">
        <w:trPr>
          <w:cantSplit/>
          <w:trHeight w:hRule="exact" w:val="1134"/>
        </w:trPr>
        <w:tc>
          <w:tcPr>
            <w:tcW w:w="1242" w:type="dxa"/>
            <w:vAlign w:val="bottom"/>
          </w:tcPr>
          <w:p w14:paraId="5F5A82D0" w14:textId="77777777" w:rsidR="00756BC7" w:rsidRPr="004F2183" w:rsidRDefault="00C148B2" w:rsidP="00550391">
            <w:bookmarkStart w:id="0" w:name="_GoBack" w:colFirst="0" w:colLast="0"/>
            <w:r>
              <w:pict w14:anchorId="5F5A82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scription: Description: Description: _unlogo" style="width:51pt;height:43.5pt;visibility:visible">
                  <v:imagedata r:id="rId11" o:title=" _unlogo"/>
                </v:shape>
              </w:pict>
            </w:r>
          </w:p>
        </w:tc>
        <w:tc>
          <w:tcPr>
            <w:tcW w:w="2552" w:type="dxa"/>
            <w:vAlign w:val="bottom"/>
          </w:tcPr>
          <w:p w14:paraId="5F5A82D1" w14:textId="77777777" w:rsidR="00756BC7" w:rsidRPr="004F2183" w:rsidRDefault="00756BC7" w:rsidP="00550391">
            <w:pPr>
              <w:ind w:left="113"/>
              <w:rPr>
                <w:sz w:val="28"/>
                <w:szCs w:val="28"/>
              </w:rPr>
            </w:pPr>
            <w:r w:rsidRPr="004F2183">
              <w:rPr>
                <w:sz w:val="28"/>
                <w:szCs w:val="28"/>
              </w:rPr>
              <w:t>United Nations</w:t>
            </w:r>
          </w:p>
        </w:tc>
        <w:tc>
          <w:tcPr>
            <w:tcW w:w="5845" w:type="dxa"/>
            <w:gridSpan w:val="3"/>
            <w:vAlign w:val="bottom"/>
          </w:tcPr>
          <w:p w14:paraId="5F5A82D2" w14:textId="760397F9" w:rsidR="00756BC7" w:rsidRPr="004F2183" w:rsidRDefault="00CA0361" w:rsidP="00CA0361">
            <w:pPr>
              <w:jc w:val="right"/>
            </w:pPr>
            <w:r w:rsidRPr="004F2183">
              <w:rPr>
                <w:sz w:val="40"/>
              </w:rPr>
              <w:t>FCCC</w:t>
            </w:r>
            <w:r w:rsidRPr="004F2183">
              <w:t>/KP/CMP/2017/7/Add.1</w:t>
            </w:r>
          </w:p>
        </w:tc>
      </w:tr>
      <w:bookmarkEnd w:id="0"/>
      <w:tr w:rsidR="00756BC7" w:rsidRPr="004F2183" w14:paraId="5F5A82DD" w14:textId="77777777" w:rsidTr="00BC36B3">
        <w:trPr>
          <w:cantSplit/>
          <w:trHeight w:hRule="exact" w:val="2552"/>
        </w:trPr>
        <w:tc>
          <w:tcPr>
            <w:tcW w:w="4511" w:type="dxa"/>
            <w:gridSpan w:val="3"/>
          </w:tcPr>
          <w:p w14:paraId="5F5A82D7" w14:textId="4BCBFD65" w:rsidR="00756BC7" w:rsidRPr="004F2183" w:rsidRDefault="00C148B2" w:rsidP="006D1991">
            <w:r>
              <w:pict w14:anchorId="5F5A82FF">
                <v:shape id="Picture 2" o:spid="_x0000_i1026" type="#_x0000_t75" style="width:189.75pt;height:43.5pt;visibility:visible;mso-position-horizontal-relative:margin;mso-position-vertical-relative:text;mso-width-relative:page;mso-height-relative:page">
                  <v:imagedata r:id="rId12" o:title=""/>
                </v:shape>
              </w:pict>
            </w:r>
          </w:p>
        </w:tc>
        <w:tc>
          <w:tcPr>
            <w:tcW w:w="2293" w:type="dxa"/>
          </w:tcPr>
          <w:p w14:paraId="5F5A82D8" w14:textId="77777777" w:rsidR="00756BC7" w:rsidRPr="004F2183" w:rsidRDefault="00756BC7" w:rsidP="00550391"/>
        </w:tc>
        <w:tc>
          <w:tcPr>
            <w:tcW w:w="2835" w:type="dxa"/>
          </w:tcPr>
          <w:p w14:paraId="40552FF8" w14:textId="77777777" w:rsidR="00CA0361" w:rsidRPr="004F2183" w:rsidRDefault="00CA0361" w:rsidP="00CA0361">
            <w:pPr>
              <w:spacing w:before="240" w:line="240" w:lineRule="exact"/>
              <w:ind w:left="143"/>
            </w:pPr>
            <w:r w:rsidRPr="004F2183">
              <w:t>Distr.: General</w:t>
            </w:r>
          </w:p>
          <w:p w14:paraId="46438F71" w14:textId="0DADD1CF" w:rsidR="00CA0361" w:rsidRPr="004F2183" w:rsidRDefault="0079037F" w:rsidP="00CA0361">
            <w:pPr>
              <w:spacing w:line="240" w:lineRule="exact"/>
              <w:ind w:left="143"/>
            </w:pPr>
            <w:r>
              <w:t>8 February</w:t>
            </w:r>
            <w:r w:rsidR="00CA0361" w:rsidRPr="004F2183">
              <w:t xml:space="preserve"> 2018</w:t>
            </w:r>
          </w:p>
          <w:p w14:paraId="1B69215C" w14:textId="77777777" w:rsidR="00CA0361" w:rsidRPr="004F2183" w:rsidRDefault="00CA0361" w:rsidP="00CA0361">
            <w:pPr>
              <w:spacing w:line="240" w:lineRule="exact"/>
              <w:ind w:left="143"/>
            </w:pPr>
          </w:p>
          <w:p w14:paraId="5F5A82DC" w14:textId="2B317F5E" w:rsidR="00E86618" w:rsidRPr="004F2183" w:rsidRDefault="00CA0361" w:rsidP="00CA0361">
            <w:pPr>
              <w:spacing w:line="240" w:lineRule="exact"/>
              <w:ind w:left="143"/>
            </w:pPr>
            <w:r w:rsidRPr="004F2183">
              <w:t>Original: English</w:t>
            </w:r>
          </w:p>
        </w:tc>
      </w:tr>
    </w:tbl>
    <w:p w14:paraId="5F5A82DE" w14:textId="77777777" w:rsidR="00E86618" w:rsidRPr="004F2183" w:rsidRDefault="00E86618" w:rsidP="00E86618">
      <w:pPr>
        <w:spacing w:before="120"/>
        <w:rPr>
          <w:b/>
          <w:sz w:val="24"/>
          <w:szCs w:val="24"/>
        </w:rPr>
      </w:pPr>
      <w:r w:rsidRPr="004F2183">
        <w:rPr>
          <w:b/>
          <w:sz w:val="24"/>
          <w:szCs w:val="24"/>
        </w:rPr>
        <w:t>Conference of the Parties serving as the meeting</w:t>
      </w:r>
      <w:r w:rsidRPr="004F2183">
        <w:rPr>
          <w:b/>
          <w:sz w:val="24"/>
          <w:szCs w:val="24"/>
        </w:rPr>
        <w:br/>
        <w:t>of the Parties to the Kyoto Protocol</w:t>
      </w:r>
    </w:p>
    <w:p w14:paraId="5F5A82E4" w14:textId="0D47FAEA" w:rsidR="00E86618" w:rsidRPr="004F2183" w:rsidRDefault="00E86618" w:rsidP="00E86618">
      <w:pPr>
        <w:pStyle w:val="HChG"/>
      </w:pPr>
      <w:r w:rsidRPr="004F2183">
        <w:tab/>
      </w:r>
      <w:r w:rsidRPr="004F2183">
        <w:tab/>
      </w:r>
      <w:r w:rsidR="000E682E" w:rsidRPr="004F2183">
        <w:t xml:space="preserve">Report of the Conference of the Parties serving as the meeting of the Parties to the Kyoto Protocol on its thirteenth session, held in Bonn from 6 to </w:t>
      </w:r>
      <w:r w:rsidR="00A03220" w:rsidRPr="004F2183">
        <w:t>1</w:t>
      </w:r>
      <w:r w:rsidR="00A03220">
        <w:t>8</w:t>
      </w:r>
      <w:r w:rsidR="00A03220" w:rsidRPr="004F2183">
        <w:t xml:space="preserve"> </w:t>
      </w:r>
      <w:r w:rsidR="000E682E" w:rsidRPr="004F2183">
        <w:t>November 2017</w:t>
      </w:r>
    </w:p>
    <w:p w14:paraId="5F5A82E5" w14:textId="76FA2EE3" w:rsidR="00E86618" w:rsidRPr="004F2183" w:rsidRDefault="000E682E" w:rsidP="00E86618">
      <w:pPr>
        <w:pStyle w:val="H1G"/>
        <w:ind w:firstLine="0"/>
      </w:pPr>
      <w:r w:rsidRPr="004F2183">
        <w:t>Addendum</w:t>
      </w:r>
    </w:p>
    <w:p w14:paraId="76E5C108" w14:textId="485F9C8E" w:rsidR="000E682E" w:rsidRPr="004F2183" w:rsidRDefault="000E682E" w:rsidP="000E682E">
      <w:pPr>
        <w:pStyle w:val="H1G"/>
        <w:ind w:firstLine="0"/>
      </w:pPr>
      <w:r w:rsidRPr="004F2183">
        <w:t>Part two: Action taken by the Conference of the Parties serving as the meeting of the Parties to the Kyoto Protocol at its thirteenth session</w:t>
      </w:r>
    </w:p>
    <w:p w14:paraId="2099120B" w14:textId="77777777" w:rsidR="000E682E" w:rsidRPr="004F2183" w:rsidRDefault="000E682E" w:rsidP="000E682E">
      <w:pPr>
        <w:pStyle w:val="HChG"/>
      </w:pPr>
      <w:r w:rsidRPr="004F2183">
        <w:rPr>
          <w:b w:val="0"/>
        </w:rPr>
        <w:t>Contents</w:t>
      </w:r>
    </w:p>
    <w:p w14:paraId="2B56057E" w14:textId="5E31B1AF" w:rsidR="000E682E" w:rsidRPr="004F2183" w:rsidRDefault="000E682E" w:rsidP="000E682E">
      <w:pPr>
        <w:pStyle w:val="HChG"/>
      </w:pPr>
      <w:r w:rsidRPr="004F2183">
        <w:tab/>
      </w:r>
      <w:r w:rsidRPr="004F2183">
        <w:tab/>
        <w:t>Decisions adopted by the Conference of the Parties serving as the meeting of the Parties to the Kyoto Protocol</w:t>
      </w:r>
    </w:p>
    <w:p w14:paraId="1E1D6FEB" w14:textId="77777777" w:rsidR="000E682E" w:rsidRPr="004F2183" w:rsidRDefault="000E682E" w:rsidP="000E682E">
      <w:pPr>
        <w:tabs>
          <w:tab w:val="right" w:pos="8929"/>
          <w:tab w:val="right" w:pos="9638"/>
        </w:tabs>
        <w:spacing w:before="60" w:after="120"/>
        <w:ind w:left="1134"/>
      </w:pPr>
      <w:r w:rsidRPr="004F2183">
        <w:rPr>
          <w:i/>
          <w:sz w:val="18"/>
        </w:rPr>
        <w:t>Decision</w:t>
      </w:r>
      <w:r w:rsidRPr="004F2183">
        <w:rPr>
          <w:i/>
          <w:sz w:val="18"/>
        </w:rPr>
        <w:tab/>
      </w:r>
      <w:r w:rsidRPr="004F2183">
        <w:rPr>
          <w:i/>
          <w:sz w:val="18"/>
        </w:rPr>
        <w:tab/>
        <w:t>Page</w:t>
      </w:r>
    </w:p>
    <w:p w14:paraId="6A5B463D" w14:textId="023C4C3A" w:rsidR="000E682E" w:rsidRPr="004F2183" w:rsidRDefault="000E682E" w:rsidP="000E682E">
      <w:pPr>
        <w:tabs>
          <w:tab w:val="right" w:pos="850"/>
          <w:tab w:val="left" w:pos="1134"/>
          <w:tab w:val="left" w:pos="1559"/>
          <w:tab w:val="left" w:pos="2268"/>
          <w:tab w:val="left" w:leader="dot" w:pos="7654"/>
          <w:tab w:val="right" w:pos="8929"/>
          <w:tab w:val="right" w:pos="9638"/>
        </w:tabs>
        <w:spacing w:after="120"/>
      </w:pPr>
      <w:r w:rsidRPr="004F2183">
        <w:tab/>
      </w:r>
      <w:r w:rsidRPr="004F2183">
        <w:tab/>
        <w:t>1/CMP.13</w:t>
      </w:r>
      <w:r w:rsidRPr="004F2183">
        <w:tab/>
      </w:r>
      <w:r w:rsidR="004C604C" w:rsidRPr="004F2183">
        <w:t>Report of the Adaptation Fund Board</w:t>
      </w:r>
      <w:r w:rsidRPr="004F2183">
        <w:tab/>
      </w:r>
      <w:r w:rsidRPr="004F2183">
        <w:tab/>
      </w:r>
      <w:r w:rsidR="00C670E6" w:rsidRPr="004F2183">
        <w:tab/>
        <w:t>2</w:t>
      </w:r>
    </w:p>
    <w:p w14:paraId="4AA27105" w14:textId="720E814E" w:rsidR="000E682E" w:rsidRPr="004F2183" w:rsidRDefault="000E682E" w:rsidP="000E682E">
      <w:pPr>
        <w:tabs>
          <w:tab w:val="right" w:pos="850"/>
          <w:tab w:val="left" w:pos="1134"/>
          <w:tab w:val="left" w:pos="1559"/>
          <w:tab w:val="left" w:pos="2268"/>
          <w:tab w:val="left" w:leader="dot" w:pos="7654"/>
          <w:tab w:val="right" w:pos="8929"/>
          <w:tab w:val="right" w:pos="9638"/>
        </w:tabs>
        <w:spacing w:after="120"/>
      </w:pPr>
      <w:r w:rsidRPr="004F2183">
        <w:tab/>
      </w:r>
      <w:r w:rsidRPr="004F2183">
        <w:tab/>
        <w:t>2/CMP.13</w:t>
      </w:r>
      <w:r w:rsidRPr="004F2183">
        <w:tab/>
      </w:r>
      <w:r w:rsidR="004C604C" w:rsidRPr="004F2183">
        <w:t>Third review of the Adaptation Fund</w:t>
      </w:r>
      <w:r w:rsidRPr="004F2183">
        <w:tab/>
      </w:r>
      <w:r w:rsidRPr="004F2183">
        <w:tab/>
      </w:r>
      <w:r w:rsidR="00C670E6" w:rsidRPr="004F2183">
        <w:tab/>
        <w:t>5</w:t>
      </w:r>
    </w:p>
    <w:p w14:paraId="54D6A502" w14:textId="075C2B66" w:rsidR="000E682E" w:rsidRPr="004F2183" w:rsidRDefault="000E682E" w:rsidP="000E682E">
      <w:pPr>
        <w:tabs>
          <w:tab w:val="right" w:pos="850"/>
          <w:tab w:val="left" w:pos="1134"/>
          <w:tab w:val="left" w:pos="1559"/>
          <w:tab w:val="left" w:pos="2268"/>
          <w:tab w:val="left" w:leader="dot" w:pos="7654"/>
          <w:tab w:val="right" w:pos="8929"/>
          <w:tab w:val="right" w:pos="9638"/>
        </w:tabs>
        <w:spacing w:after="120"/>
      </w:pPr>
      <w:r w:rsidRPr="004F2183">
        <w:tab/>
      </w:r>
      <w:r w:rsidRPr="004F2183">
        <w:tab/>
        <w:t>3/CMP.13</w:t>
      </w:r>
      <w:r w:rsidRPr="004F2183">
        <w:tab/>
      </w:r>
      <w:r w:rsidR="004C604C" w:rsidRPr="004F2183">
        <w:t>Guidance relating to the clean development mechanism</w:t>
      </w:r>
      <w:r w:rsidRPr="004F2183">
        <w:tab/>
      </w:r>
      <w:r w:rsidRPr="004F2183">
        <w:tab/>
      </w:r>
      <w:r w:rsidR="00C670E6" w:rsidRPr="004F2183">
        <w:tab/>
        <w:t>7</w:t>
      </w:r>
    </w:p>
    <w:p w14:paraId="49850F8C" w14:textId="470E7120" w:rsidR="000E682E" w:rsidRPr="004F2183" w:rsidRDefault="000E682E" w:rsidP="004C604C">
      <w:pPr>
        <w:tabs>
          <w:tab w:val="right" w:pos="850"/>
          <w:tab w:val="left" w:pos="1134"/>
          <w:tab w:val="left" w:pos="1559"/>
          <w:tab w:val="left" w:pos="2268"/>
          <w:tab w:val="left" w:leader="dot" w:pos="7654"/>
          <w:tab w:val="right" w:pos="8929"/>
          <w:tab w:val="right" w:pos="9638"/>
        </w:tabs>
        <w:spacing w:after="120"/>
        <w:ind w:left="2268" w:hanging="2268"/>
      </w:pPr>
      <w:r w:rsidRPr="004F2183">
        <w:tab/>
      </w:r>
      <w:r w:rsidRPr="004F2183">
        <w:tab/>
        <w:t>4/CMP.13</w:t>
      </w:r>
      <w:r w:rsidRPr="004F2183">
        <w:tab/>
      </w:r>
      <w:r w:rsidR="004C604C" w:rsidRPr="004F2183">
        <w:t>Fourth review of the implementation of the framework for</w:t>
      </w:r>
      <w:r w:rsidR="004C604C" w:rsidRPr="004F2183">
        <w:br/>
        <w:t>capacity-building in countries with economies in transition</w:t>
      </w:r>
      <w:r w:rsidR="004C604C" w:rsidRPr="004F2183">
        <w:br/>
        <w:t>under the Kyoto Protocol</w:t>
      </w:r>
      <w:r w:rsidRPr="004F2183">
        <w:tab/>
      </w:r>
      <w:r w:rsidRPr="004F2183">
        <w:tab/>
      </w:r>
      <w:r w:rsidR="00C670E6" w:rsidRPr="004F2183">
        <w:tab/>
        <w:t>10</w:t>
      </w:r>
    </w:p>
    <w:p w14:paraId="10B25530" w14:textId="006D0AF3" w:rsidR="000E682E" w:rsidRPr="004F2183" w:rsidRDefault="000E682E" w:rsidP="000E682E">
      <w:pPr>
        <w:tabs>
          <w:tab w:val="right" w:pos="850"/>
          <w:tab w:val="left" w:pos="1134"/>
          <w:tab w:val="left" w:pos="1559"/>
          <w:tab w:val="left" w:pos="2268"/>
          <w:tab w:val="left" w:leader="dot" w:pos="7654"/>
          <w:tab w:val="right" w:pos="8929"/>
          <w:tab w:val="right" w:pos="9638"/>
        </w:tabs>
        <w:spacing w:after="120"/>
        <w:ind w:left="2268" w:hanging="2268"/>
      </w:pPr>
      <w:r w:rsidRPr="004F2183">
        <w:tab/>
      </w:r>
      <w:r w:rsidRPr="004F2183">
        <w:tab/>
        <w:t>5/CMP.13</w:t>
      </w:r>
      <w:r w:rsidRPr="004F2183">
        <w:tab/>
      </w:r>
      <w:r w:rsidR="004C604C" w:rsidRPr="004F2183">
        <w:t>Administrative, financial and institutional matters</w:t>
      </w:r>
      <w:r w:rsidRPr="004F2183">
        <w:tab/>
      </w:r>
      <w:r w:rsidRPr="004F2183">
        <w:tab/>
      </w:r>
      <w:r w:rsidR="00C670E6" w:rsidRPr="004F2183">
        <w:tab/>
        <w:t>11</w:t>
      </w:r>
    </w:p>
    <w:p w14:paraId="68D7478B" w14:textId="2067EFA2" w:rsidR="004C604C" w:rsidRPr="004F2183" w:rsidRDefault="000E682E" w:rsidP="000E682E">
      <w:pPr>
        <w:tabs>
          <w:tab w:val="right" w:pos="850"/>
          <w:tab w:val="left" w:pos="1134"/>
          <w:tab w:val="left" w:pos="1559"/>
          <w:tab w:val="left" w:pos="2268"/>
          <w:tab w:val="left" w:leader="dot" w:pos="7654"/>
          <w:tab w:val="right" w:pos="8929"/>
          <w:tab w:val="right" w:pos="9638"/>
        </w:tabs>
        <w:spacing w:after="120"/>
        <w:ind w:left="2268" w:hanging="2268"/>
      </w:pPr>
      <w:r w:rsidRPr="004F2183">
        <w:tab/>
      </w:r>
      <w:r w:rsidRPr="004F2183">
        <w:tab/>
        <w:t>6/CMP.13</w:t>
      </w:r>
      <w:r w:rsidRPr="004F2183">
        <w:tab/>
      </w:r>
      <w:r w:rsidR="004C604C" w:rsidRPr="004F2183">
        <w:t>Programme budget for the biennium 2018</w:t>
      </w:r>
      <w:r w:rsidR="004C604C" w:rsidRPr="004F2183">
        <w:softHyphen/>
      </w:r>
      <w:r w:rsidR="00CE3749" w:rsidRPr="004F2183">
        <w:t>–</w:t>
      </w:r>
      <w:r w:rsidR="004C604C" w:rsidRPr="004F2183">
        <w:t>2019</w:t>
      </w:r>
      <w:r w:rsidRPr="004F2183">
        <w:tab/>
      </w:r>
      <w:r w:rsidR="00C670E6" w:rsidRPr="004F2183">
        <w:tab/>
      </w:r>
      <w:r w:rsidR="00C670E6" w:rsidRPr="004F2183">
        <w:tab/>
        <w:t>13</w:t>
      </w:r>
    </w:p>
    <w:p w14:paraId="247AD86C" w14:textId="5DC689B2" w:rsidR="000E682E" w:rsidRPr="004F2183" w:rsidRDefault="004C604C" w:rsidP="000E682E">
      <w:pPr>
        <w:tabs>
          <w:tab w:val="right" w:pos="850"/>
          <w:tab w:val="left" w:pos="1134"/>
          <w:tab w:val="left" w:pos="1559"/>
          <w:tab w:val="left" w:pos="2268"/>
          <w:tab w:val="left" w:leader="dot" w:pos="7654"/>
          <w:tab w:val="right" w:pos="8929"/>
          <w:tab w:val="right" w:pos="9638"/>
        </w:tabs>
        <w:spacing w:after="120"/>
        <w:ind w:left="2268" w:hanging="2268"/>
      </w:pPr>
      <w:r w:rsidRPr="004F2183">
        <w:tab/>
      </w:r>
      <w:r w:rsidRPr="004F2183">
        <w:tab/>
        <w:t>7/CMP.13</w:t>
      </w:r>
      <w:r w:rsidRPr="004F2183">
        <w:tab/>
        <w:t>Budget for the international transaction log and a methodology</w:t>
      </w:r>
      <w:r w:rsidRPr="004F2183">
        <w:br/>
        <w:t xml:space="preserve">for the collection of </w:t>
      </w:r>
      <w:r w:rsidR="008C5042" w:rsidRPr="004F2183">
        <w:t xml:space="preserve">its </w:t>
      </w:r>
      <w:r w:rsidRPr="004F2183">
        <w:t>fees for the biennium 2018</w:t>
      </w:r>
      <w:r w:rsidR="00D16BEF" w:rsidRPr="004F2183">
        <w:t>–</w:t>
      </w:r>
      <w:r w:rsidRPr="004F2183">
        <w:t>2019</w:t>
      </w:r>
      <w:r w:rsidR="000E682E" w:rsidRPr="004F2183">
        <w:tab/>
      </w:r>
      <w:r w:rsidR="00C670E6" w:rsidRPr="004F2183">
        <w:tab/>
      </w:r>
      <w:r w:rsidR="00C670E6" w:rsidRPr="004F2183">
        <w:tab/>
        <w:t>18</w:t>
      </w:r>
    </w:p>
    <w:p w14:paraId="7D1868AC" w14:textId="6BD26D5A" w:rsidR="004C604C" w:rsidRPr="004F2183" w:rsidRDefault="004C604C" w:rsidP="000E682E">
      <w:pPr>
        <w:tabs>
          <w:tab w:val="right" w:pos="850"/>
          <w:tab w:val="left" w:pos="1134"/>
          <w:tab w:val="left" w:pos="1559"/>
          <w:tab w:val="left" w:pos="2268"/>
          <w:tab w:val="left" w:leader="dot" w:pos="7654"/>
          <w:tab w:val="right" w:pos="8929"/>
          <w:tab w:val="right" w:pos="9638"/>
        </w:tabs>
        <w:spacing w:after="120"/>
        <w:ind w:left="2268" w:hanging="2268"/>
        <w:rPr>
          <w:i/>
        </w:rPr>
      </w:pPr>
      <w:r w:rsidRPr="004F2183">
        <w:tab/>
      </w:r>
      <w:r w:rsidRPr="004F2183">
        <w:tab/>
      </w:r>
      <w:r w:rsidRPr="004F2183">
        <w:rPr>
          <w:i/>
        </w:rPr>
        <w:t>Resolution</w:t>
      </w:r>
    </w:p>
    <w:p w14:paraId="17CD73BD" w14:textId="1D71907E" w:rsidR="000E682E" w:rsidRPr="00F93BD2" w:rsidRDefault="000E682E" w:rsidP="000E682E">
      <w:pPr>
        <w:tabs>
          <w:tab w:val="right" w:pos="850"/>
          <w:tab w:val="left" w:pos="1134"/>
          <w:tab w:val="left" w:pos="1559"/>
          <w:tab w:val="left" w:pos="2268"/>
          <w:tab w:val="left" w:leader="dot" w:pos="7654"/>
          <w:tab w:val="right" w:pos="8929"/>
          <w:tab w:val="right" w:pos="9638"/>
        </w:tabs>
        <w:spacing w:after="120"/>
        <w:ind w:left="2268" w:hanging="2268"/>
      </w:pPr>
      <w:r w:rsidRPr="004F2183">
        <w:tab/>
      </w:r>
      <w:r w:rsidRPr="004F2183">
        <w:tab/>
      </w:r>
      <w:r w:rsidR="004C604C" w:rsidRPr="004F2183">
        <w:t>1/CMP.13</w:t>
      </w:r>
      <w:r w:rsidR="004C604C" w:rsidRPr="004F2183">
        <w:tab/>
        <w:t>Expression of gratitude to the Government of the Federal Republic</w:t>
      </w:r>
      <w:r w:rsidR="004C604C" w:rsidRPr="004F2183">
        <w:br/>
        <w:t xml:space="preserve">of Germany and the </w:t>
      </w:r>
      <w:r w:rsidR="00936AAC" w:rsidRPr="004F2183">
        <w:t xml:space="preserve">people of the </w:t>
      </w:r>
      <w:r w:rsidR="004C604C" w:rsidRPr="004F2183">
        <w:t>city of Bonn</w:t>
      </w:r>
      <w:r w:rsidR="004C604C" w:rsidRPr="004F2183">
        <w:tab/>
      </w:r>
      <w:r w:rsidR="00C670E6" w:rsidRPr="004F2183">
        <w:tab/>
      </w:r>
      <w:r w:rsidR="00C670E6" w:rsidRPr="004F2183">
        <w:tab/>
        <w:t>2</w:t>
      </w:r>
      <w:r w:rsidR="002E548E" w:rsidRPr="004F2183">
        <w:t>1</w:t>
      </w:r>
    </w:p>
    <w:p w14:paraId="6301C44F" w14:textId="77777777" w:rsidR="000E682E" w:rsidRPr="00F93BD2" w:rsidRDefault="000E682E" w:rsidP="00E86618"/>
    <w:p w14:paraId="346F7BFA" w14:textId="3AD800DE" w:rsidR="00840A8E" w:rsidRPr="00F93BD2" w:rsidRDefault="00E86618" w:rsidP="00C13C4D">
      <w:pPr>
        <w:pStyle w:val="HChG"/>
        <w:ind w:firstLine="0"/>
      </w:pPr>
      <w:r w:rsidRPr="00F93BD2">
        <w:br w:type="page"/>
      </w:r>
      <w:r w:rsidR="000E682E" w:rsidRPr="00F93BD2">
        <w:lastRenderedPageBreak/>
        <w:t>Decision 1/CMP.13</w:t>
      </w:r>
    </w:p>
    <w:p w14:paraId="3CEDDACF" w14:textId="7B1CB425" w:rsidR="00C149FA" w:rsidRPr="00F93BD2" w:rsidRDefault="00C13C4D" w:rsidP="00C149FA">
      <w:pPr>
        <w:pStyle w:val="HChG"/>
      </w:pPr>
      <w:r w:rsidRPr="00F93BD2">
        <w:tab/>
      </w:r>
      <w:r w:rsidRPr="00F93BD2">
        <w:tab/>
      </w:r>
      <w:r w:rsidR="00C149FA" w:rsidRPr="00F93BD2">
        <w:t>Report of the Adaptation Fund Board</w:t>
      </w:r>
    </w:p>
    <w:p w14:paraId="0BEFFB63" w14:textId="77777777" w:rsidR="00C149FA" w:rsidRPr="00F93BD2" w:rsidRDefault="00C149FA" w:rsidP="004A0F26">
      <w:pPr>
        <w:spacing w:before="120"/>
        <w:ind w:left="1134" w:right="1134" w:firstLine="567"/>
        <w:jc w:val="both"/>
        <w:rPr>
          <w:i/>
          <w:szCs w:val="24"/>
        </w:rPr>
      </w:pPr>
      <w:r w:rsidRPr="00F93BD2">
        <w:rPr>
          <w:i/>
          <w:szCs w:val="24"/>
        </w:rPr>
        <w:t>The Conference of the Parties serving as the meeting of the Parties to the Kyoto Protocol</w:t>
      </w:r>
      <w:r w:rsidRPr="00F93BD2">
        <w:rPr>
          <w:szCs w:val="24"/>
        </w:rPr>
        <w:t>,</w:t>
      </w:r>
    </w:p>
    <w:p w14:paraId="108BC3AF" w14:textId="77777777" w:rsidR="00C149FA" w:rsidRPr="00F93BD2" w:rsidRDefault="00C149FA" w:rsidP="00C149FA">
      <w:pPr>
        <w:spacing w:before="120"/>
        <w:ind w:left="1134" w:right="1174" w:firstLine="567"/>
        <w:jc w:val="both"/>
        <w:rPr>
          <w:szCs w:val="24"/>
          <w:lang w:val="en-US"/>
        </w:rPr>
      </w:pPr>
      <w:r w:rsidRPr="00F93BD2">
        <w:rPr>
          <w:i/>
          <w:szCs w:val="24"/>
          <w:lang w:val="en-US"/>
        </w:rPr>
        <w:t xml:space="preserve">Recalling </w:t>
      </w:r>
      <w:r w:rsidRPr="00F93BD2">
        <w:rPr>
          <w:szCs w:val="24"/>
          <w:lang w:val="en-US"/>
        </w:rPr>
        <w:t>decisions 1/CMP.3, 2/CMP.10, 1/CMP.11</w:t>
      </w:r>
      <w:r w:rsidRPr="00F93BD2">
        <w:rPr>
          <w:szCs w:val="24"/>
        </w:rPr>
        <w:t xml:space="preserve"> and 2/CMP.12</w:t>
      </w:r>
      <w:r w:rsidRPr="00F93BD2">
        <w:rPr>
          <w:szCs w:val="24"/>
          <w:lang w:val="en-US"/>
        </w:rPr>
        <w:t>,</w:t>
      </w:r>
    </w:p>
    <w:p w14:paraId="5CDEC553" w14:textId="77777777" w:rsidR="00C149FA" w:rsidRPr="00F93BD2" w:rsidRDefault="00C149FA" w:rsidP="00C149FA">
      <w:pPr>
        <w:spacing w:before="120"/>
        <w:ind w:left="1134" w:right="1174" w:firstLine="567"/>
        <w:jc w:val="both"/>
        <w:rPr>
          <w:i/>
          <w:szCs w:val="24"/>
          <w:lang w:val="en-US"/>
        </w:rPr>
      </w:pPr>
      <w:r w:rsidRPr="00F93BD2">
        <w:rPr>
          <w:i/>
          <w:szCs w:val="24"/>
          <w:lang w:val="en-US"/>
        </w:rPr>
        <w:t xml:space="preserve">Also recalling </w:t>
      </w:r>
      <w:r w:rsidRPr="00F93BD2">
        <w:rPr>
          <w:szCs w:val="24"/>
          <w:lang w:val="en-US"/>
        </w:rPr>
        <w:t>the Paris Agreement, adopted under the Convention,</w:t>
      </w:r>
    </w:p>
    <w:p w14:paraId="6944D632" w14:textId="77777777" w:rsidR="00C149FA" w:rsidRPr="00F93BD2" w:rsidRDefault="00C149FA" w:rsidP="00C149FA">
      <w:pPr>
        <w:spacing w:before="120" w:after="120"/>
        <w:ind w:left="1134" w:right="1174" w:firstLine="567"/>
        <w:jc w:val="both"/>
        <w:rPr>
          <w:i/>
          <w:szCs w:val="24"/>
          <w:lang w:val="en-US"/>
        </w:rPr>
      </w:pPr>
      <w:r w:rsidRPr="00F93BD2">
        <w:rPr>
          <w:i/>
          <w:szCs w:val="24"/>
          <w:lang w:val="en-US"/>
        </w:rPr>
        <w:t xml:space="preserve">Further recalling </w:t>
      </w:r>
      <w:r w:rsidRPr="00F93BD2">
        <w:rPr>
          <w:szCs w:val="24"/>
          <w:lang w:val="en-US"/>
        </w:rPr>
        <w:t xml:space="preserve">decision 1/CP.21, paragraphs 59 and 60, and </w:t>
      </w:r>
      <w:r w:rsidRPr="00F93BD2">
        <w:rPr>
          <w:szCs w:val="24"/>
        </w:rPr>
        <w:t>decision 1/CMA.1, paragraph 11</w:t>
      </w:r>
      <w:r w:rsidRPr="00F93BD2">
        <w:rPr>
          <w:szCs w:val="24"/>
          <w:lang w:val="en-US"/>
        </w:rPr>
        <w:t>,</w:t>
      </w:r>
      <w:r w:rsidRPr="00F93BD2">
        <w:rPr>
          <w:i/>
          <w:szCs w:val="24"/>
          <w:lang w:val="en-US"/>
        </w:rPr>
        <w:t xml:space="preserve"> </w:t>
      </w:r>
    </w:p>
    <w:p w14:paraId="10DA1C3A" w14:textId="5A7181B9" w:rsidR="00C149FA" w:rsidRPr="00F93BD2" w:rsidRDefault="00C148B2" w:rsidP="00C148B2">
      <w:pPr>
        <w:pStyle w:val="RegSingleTxtG"/>
        <w:numPr>
          <w:ilvl w:val="0"/>
          <w:numId w:val="0"/>
        </w:numPr>
        <w:ind w:left="1134"/>
        <w:rPr>
          <w:i/>
        </w:rPr>
      </w:pPr>
      <w:r w:rsidRPr="00F93BD2">
        <w:t>1.</w:t>
      </w:r>
      <w:r w:rsidRPr="00F93BD2">
        <w:tab/>
      </w:r>
      <w:r w:rsidR="00C149FA" w:rsidRPr="00F93BD2">
        <w:rPr>
          <w:i/>
        </w:rPr>
        <w:t xml:space="preserve">Takes note </w:t>
      </w:r>
      <w:r w:rsidR="00C149FA" w:rsidRPr="00F93BD2">
        <w:t>of</w:t>
      </w:r>
      <w:r w:rsidR="00C149FA" w:rsidRPr="00F93BD2">
        <w:rPr>
          <w:i/>
        </w:rPr>
        <w:t xml:space="preserve"> </w:t>
      </w:r>
      <w:r w:rsidR="00C149FA" w:rsidRPr="00F93BD2">
        <w:t>the</w:t>
      </w:r>
      <w:r w:rsidR="00C149FA" w:rsidRPr="00F93BD2">
        <w:rPr>
          <w:i/>
        </w:rPr>
        <w:t xml:space="preserve"> </w:t>
      </w:r>
      <w:r w:rsidR="00C149FA" w:rsidRPr="00F93BD2">
        <w:t>annual report of the Adaptation Fund Board, and the information contained therein;</w:t>
      </w:r>
      <w:r w:rsidR="00C149FA" w:rsidRPr="00F93BD2">
        <w:rPr>
          <w:rStyle w:val="FootnoteReference"/>
          <w:szCs w:val="18"/>
        </w:rPr>
        <w:footnoteReference w:id="2"/>
      </w:r>
    </w:p>
    <w:p w14:paraId="1A798B4E" w14:textId="10A30E8A" w:rsidR="00C149FA" w:rsidRPr="00F93BD2" w:rsidRDefault="00C148B2" w:rsidP="00C148B2">
      <w:pPr>
        <w:pStyle w:val="RegSingleTxtG"/>
        <w:numPr>
          <w:ilvl w:val="0"/>
          <w:numId w:val="0"/>
        </w:numPr>
        <w:ind w:left="1134"/>
        <w:rPr>
          <w:i/>
          <w:szCs w:val="24"/>
        </w:rPr>
      </w:pPr>
      <w:r w:rsidRPr="00F93BD2">
        <w:rPr>
          <w:szCs w:val="24"/>
        </w:rPr>
        <w:t>2.</w:t>
      </w:r>
      <w:r w:rsidRPr="00F93BD2">
        <w:rPr>
          <w:szCs w:val="24"/>
        </w:rPr>
        <w:tab/>
      </w:r>
      <w:r w:rsidR="00C149FA" w:rsidRPr="00F93BD2">
        <w:rPr>
          <w:i/>
          <w:szCs w:val="24"/>
        </w:rPr>
        <w:t xml:space="preserve">Notes </w:t>
      </w:r>
      <w:r w:rsidR="00C149FA" w:rsidRPr="00F93BD2">
        <w:rPr>
          <w:szCs w:val="24"/>
        </w:rPr>
        <w:t>the following information, actions and decisions relating to the Adaptation Fund Board presented in the report referred to in paragraph 1 above and in the oral report provided by the Chair of the Adaptation Fund Board at this session:</w:t>
      </w:r>
      <w:r w:rsidR="00C149FA" w:rsidRPr="00F93BD2">
        <w:rPr>
          <w:rStyle w:val="FootnoteReference"/>
          <w:szCs w:val="18"/>
        </w:rPr>
        <w:footnoteReference w:id="3"/>
      </w:r>
    </w:p>
    <w:p w14:paraId="43E1E596" w14:textId="3EA9BC21" w:rsidR="00C149FA" w:rsidRPr="00F93BD2" w:rsidRDefault="00C148B2" w:rsidP="00C148B2">
      <w:pPr>
        <w:pStyle w:val="RegSingleTxtG2"/>
        <w:numPr>
          <w:ilvl w:val="0"/>
          <w:numId w:val="0"/>
        </w:numPr>
        <w:ind w:left="1134" w:firstLine="567"/>
        <w:rPr>
          <w:i/>
        </w:rPr>
      </w:pPr>
      <w:r w:rsidRPr="00F93BD2">
        <w:rPr>
          <w:szCs w:val="28"/>
        </w:rPr>
        <w:t>(a)</w:t>
      </w:r>
      <w:r w:rsidRPr="00F93BD2">
        <w:rPr>
          <w:szCs w:val="28"/>
        </w:rPr>
        <w:tab/>
      </w:r>
      <w:r w:rsidR="00C149FA" w:rsidRPr="00F93BD2">
        <w:t>The accreditation of 26 national implementing entities for accessing resources from the Adaptation Fund directly;</w:t>
      </w:r>
    </w:p>
    <w:p w14:paraId="4C317273" w14:textId="561354D1" w:rsidR="00C149FA" w:rsidRPr="00F93BD2" w:rsidRDefault="00C148B2" w:rsidP="00C148B2">
      <w:pPr>
        <w:pStyle w:val="RegSingleTxtG2"/>
        <w:numPr>
          <w:ilvl w:val="0"/>
          <w:numId w:val="0"/>
        </w:numPr>
        <w:ind w:left="1134" w:firstLine="567"/>
        <w:rPr>
          <w:i/>
          <w:szCs w:val="24"/>
        </w:rPr>
      </w:pPr>
      <w:r w:rsidRPr="00F93BD2">
        <w:rPr>
          <w:szCs w:val="28"/>
        </w:rPr>
        <w:t>(b)</w:t>
      </w:r>
      <w:r w:rsidRPr="00F93BD2">
        <w:rPr>
          <w:szCs w:val="28"/>
        </w:rPr>
        <w:tab/>
      </w:r>
      <w:r w:rsidR="00C149FA" w:rsidRPr="00F93BD2">
        <w:rPr>
          <w:szCs w:val="24"/>
        </w:rPr>
        <w:t>Cumulative project and programme approvals reaching USD 418.1 million as at 30 June 2017;</w:t>
      </w:r>
    </w:p>
    <w:p w14:paraId="20008025" w14:textId="5BFB630A" w:rsidR="00C149FA" w:rsidRPr="00F93BD2" w:rsidRDefault="00C148B2" w:rsidP="00C148B2">
      <w:pPr>
        <w:pStyle w:val="RegSingleTxtG2"/>
        <w:numPr>
          <w:ilvl w:val="0"/>
          <w:numId w:val="0"/>
        </w:numPr>
        <w:ind w:left="1134" w:firstLine="567"/>
        <w:rPr>
          <w:szCs w:val="24"/>
        </w:rPr>
      </w:pPr>
      <w:r w:rsidRPr="00F93BD2">
        <w:rPr>
          <w:szCs w:val="28"/>
        </w:rPr>
        <w:t>(c)</w:t>
      </w:r>
      <w:r w:rsidRPr="00F93BD2">
        <w:rPr>
          <w:szCs w:val="28"/>
        </w:rPr>
        <w:tab/>
      </w:r>
      <w:r w:rsidR="00C149FA" w:rsidRPr="00F93BD2">
        <w:rPr>
          <w:szCs w:val="24"/>
        </w:rPr>
        <w:t>The record number of project and programme proposals received from 2015 to 2017 and the rapidly increasing demand for funding;</w:t>
      </w:r>
    </w:p>
    <w:p w14:paraId="4E40C12A" w14:textId="1FE980B5" w:rsidR="00C149FA" w:rsidRPr="00F93BD2" w:rsidRDefault="00C148B2" w:rsidP="00C148B2">
      <w:pPr>
        <w:pStyle w:val="RegSingleTxtG2"/>
        <w:numPr>
          <w:ilvl w:val="0"/>
          <w:numId w:val="0"/>
        </w:numPr>
        <w:ind w:left="1134" w:firstLine="567"/>
        <w:rPr>
          <w:szCs w:val="24"/>
        </w:rPr>
      </w:pPr>
      <w:r w:rsidRPr="00F93BD2">
        <w:rPr>
          <w:szCs w:val="28"/>
        </w:rPr>
        <w:t>(d)</w:t>
      </w:r>
      <w:r w:rsidRPr="00F93BD2">
        <w:rPr>
          <w:szCs w:val="28"/>
        </w:rPr>
        <w:tab/>
      </w:r>
      <w:r w:rsidR="00C149FA" w:rsidRPr="00F93BD2">
        <w:rPr>
          <w:szCs w:val="24"/>
        </w:rPr>
        <w:t>Funds available for new funding approvals amounting to USD 185.9 million as at 30 June 2017;</w:t>
      </w:r>
    </w:p>
    <w:p w14:paraId="253F4B2A" w14:textId="66E2A53A" w:rsidR="00C149FA" w:rsidRPr="00F93BD2" w:rsidRDefault="00C148B2" w:rsidP="00C148B2">
      <w:pPr>
        <w:pStyle w:val="RegSingleTxtG2"/>
        <w:numPr>
          <w:ilvl w:val="0"/>
          <w:numId w:val="0"/>
        </w:numPr>
        <w:ind w:left="1134" w:firstLine="567"/>
        <w:rPr>
          <w:szCs w:val="24"/>
        </w:rPr>
      </w:pPr>
      <w:r w:rsidRPr="00F93BD2">
        <w:rPr>
          <w:szCs w:val="28"/>
        </w:rPr>
        <w:t>(e)</w:t>
      </w:r>
      <w:r w:rsidRPr="00F93BD2">
        <w:rPr>
          <w:szCs w:val="28"/>
        </w:rPr>
        <w:tab/>
      </w:r>
      <w:r w:rsidR="00C149FA" w:rsidRPr="00F93BD2">
        <w:rPr>
          <w:szCs w:val="24"/>
        </w:rPr>
        <w:t>The value of projects and programmes in the active pipeline estimated at USD 163.9 million as at 30 June 2017;</w:t>
      </w:r>
    </w:p>
    <w:p w14:paraId="08335B1C" w14:textId="428AEE3E" w:rsidR="00C149FA" w:rsidRPr="00F93BD2" w:rsidRDefault="00C148B2" w:rsidP="00C148B2">
      <w:pPr>
        <w:pStyle w:val="RegSingleTxtG2"/>
        <w:numPr>
          <w:ilvl w:val="0"/>
          <w:numId w:val="0"/>
        </w:numPr>
        <w:ind w:left="1134" w:firstLine="567"/>
        <w:rPr>
          <w:szCs w:val="24"/>
        </w:rPr>
      </w:pPr>
      <w:r w:rsidRPr="00F93BD2">
        <w:rPr>
          <w:szCs w:val="28"/>
        </w:rPr>
        <w:t>(f)</w:t>
      </w:r>
      <w:r w:rsidRPr="00F93BD2">
        <w:rPr>
          <w:szCs w:val="28"/>
        </w:rPr>
        <w:tab/>
      </w:r>
      <w:r w:rsidR="00C149FA" w:rsidRPr="00F93BD2">
        <w:rPr>
          <w:szCs w:val="24"/>
        </w:rPr>
        <w:t>The approval of funding decisions for readiness grants amounting to USD 275,000, consisting of USD 100,000 in South–South cooperation grants, USD 145,000 in technical assistance grants for the environmental and social policy and gender policy, and USD 30,000 in technical assistance grants for the gender policy;</w:t>
      </w:r>
    </w:p>
    <w:p w14:paraId="353AF446" w14:textId="5A6A7EAF" w:rsidR="00C149FA" w:rsidRPr="00F93BD2" w:rsidRDefault="00C148B2" w:rsidP="00C148B2">
      <w:pPr>
        <w:pStyle w:val="RegSingleTxtG2"/>
        <w:numPr>
          <w:ilvl w:val="0"/>
          <w:numId w:val="0"/>
        </w:numPr>
        <w:ind w:left="1134" w:firstLine="567"/>
        <w:rPr>
          <w:szCs w:val="24"/>
        </w:rPr>
      </w:pPr>
      <w:r w:rsidRPr="00F93BD2">
        <w:rPr>
          <w:szCs w:val="28"/>
        </w:rPr>
        <w:t>(g)</w:t>
      </w:r>
      <w:r w:rsidRPr="00F93BD2">
        <w:rPr>
          <w:szCs w:val="28"/>
        </w:rPr>
        <w:tab/>
      </w:r>
      <w:r w:rsidR="00C149FA" w:rsidRPr="00F93BD2">
        <w:rPr>
          <w:szCs w:val="24"/>
        </w:rPr>
        <w:t>The approval of three regional (multi-country) projects, with total funding of USD 25.8 million, and the decision to continue financing regional projects and programmes beyond the Pilot Programme for Regional Projects and Programmes, launched in May 2015;</w:t>
      </w:r>
    </w:p>
    <w:p w14:paraId="31B9F6A0" w14:textId="0E2C73FE" w:rsidR="00C149FA" w:rsidRPr="00F93BD2" w:rsidRDefault="00C148B2" w:rsidP="00C148B2">
      <w:pPr>
        <w:pStyle w:val="RegSingleTxtG2"/>
        <w:numPr>
          <w:ilvl w:val="0"/>
          <w:numId w:val="0"/>
        </w:numPr>
        <w:ind w:left="1134" w:firstLine="567"/>
        <w:rPr>
          <w:szCs w:val="24"/>
        </w:rPr>
      </w:pPr>
      <w:r w:rsidRPr="00F93BD2">
        <w:rPr>
          <w:szCs w:val="28"/>
        </w:rPr>
        <w:t>(h)</w:t>
      </w:r>
      <w:r w:rsidRPr="00F93BD2">
        <w:rPr>
          <w:szCs w:val="28"/>
        </w:rPr>
        <w:tab/>
      </w:r>
      <w:r w:rsidR="00C149FA" w:rsidRPr="00F93BD2">
        <w:rPr>
          <w:szCs w:val="24"/>
        </w:rPr>
        <w:t>The cumulative receipts of USD 649.5 million into the Adaptation Trust Fund, as at 30 June 2017, comprising USD 197.8 million from the monetization of certified emission reductions, USD 442.4 million from additional contributions and USD 9.3 million from investment income earned on the trust fund balance;</w:t>
      </w:r>
    </w:p>
    <w:p w14:paraId="46371FC2" w14:textId="1E3263D4" w:rsidR="00C149FA" w:rsidRPr="00F93BD2" w:rsidRDefault="00C148B2" w:rsidP="00C148B2">
      <w:pPr>
        <w:pStyle w:val="RegSingleTxtG2"/>
        <w:numPr>
          <w:ilvl w:val="0"/>
          <w:numId w:val="0"/>
        </w:numPr>
        <w:ind w:left="1134" w:firstLine="567"/>
        <w:rPr>
          <w:szCs w:val="24"/>
        </w:rPr>
      </w:pPr>
      <w:r w:rsidRPr="00F93BD2">
        <w:rPr>
          <w:szCs w:val="28"/>
        </w:rPr>
        <w:t>(i)</w:t>
      </w:r>
      <w:r w:rsidRPr="00F93BD2">
        <w:rPr>
          <w:szCs w:val="28"/>
        </w:rPr>
        <w:tab/>
      </w:r>
      <w:r w:rsidR="00C149FA" w:rsidRPr="00F93BD2">
        <w:rPr>
          <w:szCs w:val="24"/>
        </w:rPr>
        <w:t xml:space="preserve">The approval of the Ad </w:t>
      </w:r>
      <w:r w:rsidR="00BE5A78" w:rsidRPr="00F93BD2">
        <w:rPr>
          <w:szCs w:val="24"/>
        </w:rPr>
        <w:t>H</w:t>
      </w:r>
      <w:r w:rsidR="00C149FA" w:rsidRPr="00F93BD2">
        <w:rPr>
          <w:szCs w:val="24"/>
        </w:rPr>
        <w:t>oc Complaint Handling Mechanism of the Adaptation Fund,</w:t>
      </w:r>
      <w:r w:rsidR="00C149FA" w:rsidRPr="00F93BD2">
        <w:rPr>
          <w:rStyle w:val="FootnoteReference"/>
          <w:szCs w:val="24"/>
        </w:rPr>
        <w:footnoteReference w:id="4"/>
      </w:r>
      <w:r w:rsidR="00C149FA" w:rsidRPr="00F93BD2">
        <w:rPr>
          <w:szCs w:val="24"/>
        </w:rPr>
        <w:t xml:space="preserve"> established to promote the fund’s accountability and help respond, through a participatory approach, to complaints raised against a project or programme financed by the fund;</w:t>
      </w:r>
    </w:p>
    <w:p w14:paraId="4BCA21D4" w14:textId="790DB700" w:rsidR="00C149FA" w:rsidRPr="00F93BD2" w:rsidRDefault="00C148B2" w:rsidP="00C148B2">
      <w:pPr>
        <w:pStyle w:val="RegSingleTxtG2"/>
        <w:numPr>
          <w:ilvl w:val="0"/>
          <w:numId w:val="0"/>
        </w:numPr>
        <w:ind w:left="1134" w:firstLine="567"/>
        <w:rPr>
          <w:szCs w:val="24"/>
        </w:rPr>
      </w:pPr>
      <w:r w:rsidRPr="00F93BD2">
        <w:rPr>
          <w:szCs w:val="28"/>
        </w:rPr>
        <w:lastRenderedPageBreak/>
        <w:t>(j)</w:t>
      </w:r>
      <w:r w:rsidRPr="00F93BD2">
        <w:rPr>
          <w:szCs w:val="28"/>
        </w:rPr>
        <w:tab/>
      </w:r>
      <w:r w:rsidR="00C149FA" w:rsidRPr="00F93BD2">
        <w:rPr>
          <w:szCs w:val="24"/>
        </w:rPr>
        <w:t>The adoption by the Adaptation Fund Board of a medium-term strategy for the Adaptation Fund;</w:t>
      </w:r>
      <w:r w:rsidR="00C149FA" w:rsidRPr="00F93BD2">
        <w:rPr>
          <w:rStyle w:val="FootnoteReference"/>
          <w:szCs w:val="24"/>
        </w:rPr>
        <w:footnoteReference w:id="5"/>
      </w:r>
    </w:p>
    <w:p w14:paraId="24809F61" w14:textId="5368DDB1" w:rsidR="00C149FA" w:rsidRPr="00F93BD2" w:rsidRDefault="00C148B2" w:rsidP="00C148B2">
      <w:pPr>
        <w:pStyle w:val="RegSingleTxtG2"/>
        <w:numPr>
          <w:ilvl w:val="0"/>
          <w:numId w:val="0"/>
        </w:numPr>
        <w:ind w:left="1134" w:firstLine="567"/>
        <w:rPr>
          <w:szCs w:val="24"/>
        </w:rPr>
      </w:pPr>
      <w:r w:rsidRPr="00F93BD2">
        <w:rPr>
          <w:szCs w:val="28"/>
        </w:rPr>
        <w:t>(k)</w:t>
      </w:r>
      <w:r w:rsidRPr="00F93BD2">
        <w:rPr>
          <w:szCs w:val="28"/>
        </w:rPr>
        <w:tab/>
      </w:r>
      <w:r w:rsidR="00C149FA" w:rsidRPr="00F93BD2">
        <w:rPr>
          <w:szCs w:val="24"/>
        </w:rPr>
        <w:t>The approval of 16 single-country project/programme proposals submitted by implementing entities, totalling USD 103.1 million, including 6 proposals submitted by national implementing entities, to the amount of USD 38.8 million, 5 proposals submitted by regional implementing entities, to the amount of USD 39.6 million, and 5 proposals submitted by multilateral implementing entities, to the amount of USD 24.6 million;</w:t>
      </w:r>
    </w:p>
    <w:p w14:paraId="756F0C26" w14:textId="52279415" w:rsidR="00C149FA" w:rsidRPr="00F93BD2" w:rsidRDefault="00C148B2" w:rsidP="00C148B2">
      <w:pPr>
        <w:pStyle w:val="RegSingleTxtG2"/>
        <w:numPr>
          <w:ilvl w:val="0"/>
          <w:numId w:val="0"/>
        </w:numPr>
        <w:ind w:left="1134" w:firstLine="567"/>
        <w:rPr>
          <w:szCs w:val="24"/>
        </w:rPr>
      </w:pPr>
      <w:r w:rsidRPr="00F93BD2">
        <w:rPr>
          <w:szCs w:val="28"/>
        </w:rPr>
        <w:t>(l)</w:t>
      </w:r>
      <w:r w:rsidRPr="00F93BD2">
        <w:rPr>
          <w:szCs w:val="28"/>
        </w:rPr>
        <w:tab/>
      </w:r>
      <w:r w:rsidR="00C149FA" w:rsidRPr="00F93BD2">
        <w:rPr>
          <w:szCs w:val="24"/>
        </w:rPr>
        <w:t>The contributions received from 1 July 2016 to 30 June 2017, amounting to USD 97.6 million, from Germany, Italy, Sweden and the Brussels-Capital, Flanders and Walloon Regions of Belgium;</w:t>
      </w:r>
    </w:p>
    <w:p w14:paraId="40320BAF" w14:textId="260CBFD2" w:rsidR="00C149FA" w:rsidRPr="00F93BD2" w:rsidRDefault="00C148B2" w:rsidP="00C148B2">
      <w:pPr>
        <w:pStyle w:val="RegSingleTxtG2"/>
        <w:numPr>
          <w:ilvl w:val="0"/>
          <w:numId w:val="0"/>
        </w:numPr>
        <w:ind w:left="1134" w:firstLine="567"/>
        <w:rPr>
          <w:i/>
          <w:szCs w:val="24"/>
        </w:rPr>
      </w:pPr>
      <w:r w:rsidRPr="00F93BD2">
        <w:rPr>
          <w:szCs w:val="28"/>
        </w:rPr>
        <w:t>(m)</w:t>
      </w:r>
      <w:r w:rsidRPr="00F93BD2">
        <w:rPr>
          <w:szCs w:val="28"/>
        </w:rPr>
        <w:tab/>
      </w:r>
      <w:r w:rsidR="00C149FA" w:rsidRPr="00F93BD2">
        <w:rPr>
          <w:szCs w:val="24"/>
        </w:rPr>
        <w:t>The publication of a gender guidance document</w:t>
      </w:r>
      <w:r w:rsidR="00C149FA" w:rsidRPr="00F93BD2">
        <w:rPr>
          <w:rStyle w:val="FootnoteReference"/>
          <w:szCs w:val="18"/>
        </w:rPr>
        <w:footnoteReference w:id="6"/>
      </w:r>
      <w:r w:rsidR="00C149FA" w:rsidRPr="00F93BD2">
        <w:rPr>
          <w:szCs w:val="24"/>
        </w:rPr>
        <w:t xml:space="preserve"> to assist implementing entities in complying with the fund’s gender policy and action plan and in mainstreaming gender considerations;</w:t>
      </w:r>
    </w:p>
    <w:p w14:paraId="5AF71868" w14:textId="58A7524A" w:rsidR="00C149FA" w:rsidRPr="00F93BD2" w:rsidRDefault="00C148B2" w:rsidP="00C148B2">
      <w:pPr>
        <w:pStyle w:val="RegSingleTxtG2"/>
        <w:numPr>
          <w:ilvl w:val="0"/>
          <w:numId w:val="0"/>
        </w:numPr>
        <w:ind w:left="1134" w:firstLine="567"/>
        <w:rPr>
          <w:i/>
          <w:szCs w:val="24"/>
        </w:rPr>
      </w:pPr>
      <w:r w:rsidRPr="00F93BD2">
        <w:rPr>
          <w:szCs w:val="28"/>
        </w:rPr>
        <w:t>(n)</w:t>
      </w:r>
      <w:r w:rsidRPr="00F93BD2">
        <w:rPr>
          <w:szCs w:val="28"/>
        </w:rPr>
        <w:tab/>
      </w:r>
      <w:r w:rsidR="00C149FA" w:rsidRPr="00F93BD2">
        <w:rPr>
          <w:szCs w:val="24"/>
        </w:rPr>
        <w:t>The 2017–2020 resource mobilization strategy</w:t>
      </w:r>
      <w:r w:rsidR="00C149FA" w:rsidRPr="00F93BD2">
        <w:rPr>
          <w:rStyle w:val="FootnoteReference"/>
          <w:szCs w:val="24"/>
        </w:rPr>
        <w:footnoteReference w:id="7"/>
      </w:r>
      <w:r w:rsidR="00C149FA" w:rsidRPr="00F93BD2">
        <w:rPr>
          <w:szCs w:val="24"/>
        </w:rPr>
        <w:t xml:space="preserve"> being implemented by the Adaptation Fund Board; </w:t>
      </w:r>
    </w:p>
    <w:p w14:paraId="547033D5" w14:textId="44E3224A" w:rsidR="00C149FA" w:rsidRPr="00F93BD2" w:rsidRDefault="00C148B2" w:rsidP="00C148B2">
      <w:pPr>
        <w:pStyle w:val="RegSingleTxtG"/>
        <w:numPr>
          <w:ilvl w:val="0"/>
          <w:numId w:val="0"/>
        </w:numPr>
        <w:tabs>
          <w:tab w:val="left" w:pos="568"/>
        </w:tabs>
        <w:ind w:left="1134"/>
        <w:rPr>
          <w:szCs w:val="24"/>
        </w:rPr>
      </w:pPr>
      <w:r w:rsidRPr="00F93BD2">
        <w:rPr>
          <w:szCs w:val="24"/>
        </w:rPr>
        <w:t>3.</w:t>
      </w:r>
      <w:r w:rsidRPr="00F93BD2">
        <w:rPr>
          <w:szCs w:val="24"/>
        </w:rPr>
        <w:tab/>
      </w:r>
      <w:r w:rsidR="00C149FA" w:rsidRPr="00F93BD2">
        <w:rPr>
          <w:i/>
          <w:szCs w:val="24"/>
        </w:rPr>
        <w:t>Also notes</w:t>
      </w:r>
      <w:r w:rsidR="00C149FA" w:rsidRPr="00F93BD2">
        <w:rPr>
          <w:szCs w:val="24"/>
        </w:rPr>
        <w:t xml:space="preserve"> the total amount of USD 81.4 million in contributions made to the Adaptation Fund in 2016, surpassing the fundraising target of the Adaptation Fund Board of USD 80 million for the 2016 calendar year;</w:t>
      </w:r>
    </w:p>
    <w:p w14:paraId="6F815B5A" w14:textId="55194118" w:rsidR="00C149FA" w:rsidRPr="00F93BD2" w:rsidRDefault="00C148B2" w:rsidP="00C148B2">
      <w:pPr>
        <w:pStyle w:val="RegSingleTxtG"/>
        <w:numPr>
          <w:ilvl w:val="0"/>
          <w:numId w:val="0"/>
        </w:numPr>
        <w:tabs>
          <w:tab w:val="left" w:pos="568"/>
        </w:tabs>
        <w:ind w:left="1134"/>
        <w:rPr>
          <w:szCs w:val="24"/>
          <w:u w:val="single"/>
        </w:rPr>
      </w:pPr>
      <w:r w:rsidRPr="00F93BD2">
        <w:rPr>
          <w:szCs w:val="24"/>
        </w:rPr>
        <w:t>4.</w:t>
      </w:r>
      <w:r w:rsidRPr="00F93BD2">
        <w:rPr>
          <w:szCs w:val="24"/>
        </w:rPr>
        <w:tab/>
      </w:r>
      <w:r w:rsidR="00C149FA" w:rsidRPr="00F93BD2">
        <w:rPr>
          <w:i/>
          <w:szCs w:val="24"/>
        </w:rPr>
        <w:t>Welcomes</w:t>
      </w:r>
      <w:r w:rsidR="00C149FA" w:rsidRPr="00F93BD2">
        <w:rPr>
          <w:szCs w:val="24"/>
        </w:rPr>
        <w:t xml:space="preserve"> the financial pledges to the Adaptation Fund made by Germany, Ireland, Italy, Sweden and the Walloon Region of Belgium, equivalent to USD 93.3 million;</w:t>
      </w:r>
    </w:p>
    <w:p w14:paraId="509A77E4" w14:textId="65F3CD56" w:rsidR="00C149FA" w:rsidRPr="00F93BD2" w:rsidRDefault="00C148B2" w:rsidP="00C148B2">
      <w:pPr>
        <w:pStyle w:val="RegSingleTxtG"/>
        <w:numPr>
          <w:ilvl w:val="0"/>
          <w:numId w:val="0"/>
        </w:numPr>
        <w:tabs>
          <w:tab w:val="left" w:pos="568"/>
        </w:tabs>
        <w:ind w:left="1134"/>
        <w:rPr>
          <w:szCs w:val="24"/>
          <w:u w:val="single"/>
        </w:rPr>
      </w:pPr>
      <w:r w:rsidRPr="00F93BD2">
        <w:rPr>
          <w:szCs w:val="24"/>
        </w:rPr>
        <w:t>5.</w:t>
      </w:r>
      <w:r w:rsidRPr="00F93BD2">
        <w:rPr>
          <w:szCs w:val="24"/>
        </w:rPr>
        <w:tab/>
      </w:r>
      <w:r w:rsidR="00C149FA" w:rsidRPr="00F93BD2">
        <w:rPr>
          <w:i/>
          <w:szCs w:val="24"/>
        </w:rPr>
        <w:t xml:space="preserve">Notes </w:t>
      </w:r>
      <w:r w:rsidR="00C149FA" w:rsidRPr="00F93BD2">
        <w:rPr>
          <w:szCs w:val="24"/>
        </w:rPr>
        <w:t>that with the pledges mentioned in paragraph 4 above, the fundraising target of the Adaptation Fund Board of USD 80 million for the 2017 calendar year has been surpassed;</w:t>
      </w:r>
    </w:p>
    <w:p w14:paraId="50F64AC1" w14:textId="68CB9A85" w:rsidR="00C149FA" w:rsidRPr="00F93BD2" w:rsidRDefault="00C148B2" w:rsidP="00C148B2">
      <w:pPr>
        <w:pStyle w:val="RegSingleTxtG"/>
        <w:numPr>
          <w:ilvl w:val="0"/>
          <w:numId w:val="0"/>
        </w:numPr>
        <w:tabs>
          <w:tab w:val="left" w:pos="568"/>
        </w:tabs>
        <w:ind w:left="1134"/>
        <w:rPr>
          <w:szCs w:val="24"/>
        </w:rPr>
      </w:pPr>
      <w:r w:rsidRPr="00F93BD2">
        <w:rPr>
          <w:szCs w:val="24"/>
        </w:rPr>
        <w:t>6.</w:t>
      </w:r>
      <w:r w:rsidRPr="00F93BD2">
        <w:rPr>
          <w:szCs w:val="24"/>
        </w:rPr>
        <w:tab/>
      </w:r>
      <w:r w:rsidR="00C149FA" w:rsidRPr="00F93BD2">
        <w:rPr>
          <w:i/>
          <w:szCs w:val="24"/>
        </w:rPr>
        <w:t>Reiterates</w:t>
      </w:r>
      <w:r w:rsidR="00C149FA" w:rsidRPr="00F93BD2">
        <w:rPr>
          <w:szCs w:val="24"/>
        </w:rPr>
        <w:t xml:space="preserve"> its concern</w:t>
      </w:r>
      <w:r w:rsidR="00C149FA" w:rsidRPr="00F93BD2">
        <w:rPr>
          <w:rStyle w:val="FootnoteReference"/>
          <w:szCs w:val="18"/>
        </w:rPr>
        <w:footnoteReference w:id="8"/>
      </w:r>
      <w:r w:rsidR="00C149FA" w:rsidRPr="00F93BD2">
        <w:rPr>
          <w:sz w:val="18"/>
          <w:szCs w:val="18"/>
        </w:rPr>
        <w:t xml:space="preserve"> </w:t>
      </w:r>
      <w:r w:rsidR="00C149FA" w:rsidRPr="00F93BD2">
        <w:rPr>
          <w:szCs w:val="24"/>
        </w:rPr>
        <w:t>regarding</w:t>
      </w:r>
      <w:r w:rsidR="00C149FA" w:rsidRPr="00F93BD2">
        <w:rPr>
          <w:i/>
          <w:szCs w:val="24"/>
        </w:rPr>
        <w:t xml:space="preserve"> </w:t>
      </w:r>
      <w:r w:rsidR="00C149FA" w:rsidRPr="00F93BD2">
        <w:rPr>
          <w:szCs w:val="24"/>
        </w:rPr>
        <w:t>the issues related to the sustainability, adequacy and predictability of funding for the Adaptation Fund due to the current uncertainty about the prices of certified emission reductions;</w:t>
      </w:r>
    </w:p>
    <w:p w14:paraId="139EC1A8" w14:textId="799F2140" w:rsidR="00C149FA" w:rsidRPr="00F93BD2" w:rsidRDefault="00C148B2" w:rsidP="00C148B2">
      <w:pPr>
        <w:pStyle w:val="RegSingleTxtG"/>
        <w:numPr>
          <w:ilvl w:val="0"/>
          <w:numId w:val="0"/>
        </w:numPr>
        <w:tabs>
          <w:tab w:val="left" w:pos="568"/>
        </w:tabs>
        <w:ind w:left="1134"/>
        <w:rPr>
          <w:szCs w:val="24"/>
          <w:u w:val="single"/>
        </w:rPr>
      </w:pPr>
      <w:r w:rsidRPr="00F93BD2">
        <w:rPr>
          <w:szCs w:val="24"/>
        </w:rPr>
        <w:t>7.</w:t>
      </w:r>
      <w:r w:rsidRPr="00F93BD2">
        <w:rPr>
          <w:szCs w:val="24"/>
        </w:rPr>
        <w:tab/>
      </w:r>
      <w:r w:rsidR="00C149FA" w:rsidRPr="00F93BD2">
        <w:rPr>
          <w:i/>
          <w:szCs w:val="24"/>
        </w:rPr>
        <w:t>Encourages</w:t>
      </w:r>
      <w:r w:rsidR="00C149FA" w:rsidRPr="00F93BD2">
        <w:rPr>
          <w:szCs w:val="24"/>
        </w:rPr>
        <w:t xml:space="preserve"> the scaling-up of financial resources, including the provision of voluntary support, that is additional to the share of proceeds levied on certified emission reductions, in order to support the resource mobilization efforts of the Adaptation Fund Board with a view to strengthening the Adaptation Fund; </w:t>
      </w:r>
    </w:p>
    <w:p w14:paraId="4C7800F4" w14:textId="04EFABD1" w:rsidR="00C149FA" w:rsidRPr="00F93BD2" w:rsidRDefault="00C148B2" w:rsidP="00C148B2">
      <w:pPr>
        <w:pStyle w:val="RegSingleTxtG"/>
        <w:numPr>
          <w:ilvl w:val="0"/>
          <w:numId w:val="0"/>
        </w:numPr>
        <w:tabs>
          <w:tab w:val="left" w:pos="568"/>
        </w:tabs>
        <w:ind w:left="1134"/>
        <w:rPr>
          <w:szCs w:val="24"/>
          <w:u w:val="single"/>
        </w:rPr>
      </w:pPr>
      <w:r w:rsidRPr="00F93BD2">
        <w:rPr>
          <w:szCs w:val="24"/>
        </w:rPr>
        <w:t>8.</w:t>
      </w:r>
      <w:r w:rsidRPr="00F93BD2">
        <w:rPr>
          <w:szCs w:val="24"/>
        </w:rPr>
        <w:tab/>
      </w:r>
      <w:r w:rsidR="00C149FA" w:rsidRPr="00F93BD2">
        <w:rPr>
          <w:i/>
          <w:szCs w:val="24"/>
        </w:rPr>
        <w:t xml:space="preserve">Also encourages </w:t>
      </w:r>
      <w:r w:rsidR="00C149FA" w:rsidRPr="00F93BD2">
        <w:rPr>
          <w:szCs w:val="24"/>
        </w:rPr>
        <w:t xml:space="preserve">the Adaptation Fund Board, in line with its existing mandate, to continue its consideration of linkages between the Adaptation Fund and other funds, and to report on the outcomes thereof to the Conference of the Parties serving as the meeting of the Parties to the Kyoto Protocol at its fourteenth session (December 2018); </w:t>
      </w:r>
    </w:p>
    <w:p w14:paraId="32C96FF3" w14:textId="7D0005E9" w:rsidR="00C149FA" w:rsidRPr="00F93BD2" w:rsidRDefault="00C148B2" w:rsidP="00C148B2">
      <w:pPr>
        <w:pStyle w:val="RegSingleTxtG"/>
        <w:numPr>
          <w:ilvl w:val="0"/>
          <w:numId w:val="0"/>
        </w:numPr>
        <w:tabs>
          <w:tab w:val="left" w:pos="568"/>
        </w:tabs>
        <w:ind w:left="1134"/>
        <w:rPr>
          <w:szCs w:val="24"/>
          <w:u w:val="single"/>
        </w:rPr>
      </w:pPr>
      <w:r w:rsidRPr="00F93BD2">
        <w:rPr>
          <w:szCs w:val="24"/>
        </w:rPr>
        <w:t>9.</w:t>
      </w:r>
      <w:r w:rsidRPr="00F93BD2">
        <w:rPr>
          <w:szCs w:val="24"/>
        </w:rPr>
        <w:tab/>
      </w:r>
      <w:r w:rsidR="00C149FA" w:rsidRPr="00F93BD2">
        <w:rPr>
          <w:i/>
          <w:szCs w:val="24"/>
        </w:rPr>
        <w:t>Further encourages</w:t>
      </w:r>
      <w:r w:rsidR="00C149FA" w:rsidRPr="00F93BD2">
        <w:rPr>
          <w:szCs w:val="24"/>
        </w:rPr>
        <w:t xml:space="preserve"> the Adaptation Fund Board to implement its medium-term strategy</w:t>
      </w:r>
      <w:r w:rsidR="00C149FA" w:rsidRPr="00F93BD2">
        <w:rPr>
          <w:sz w:val="18"/>
          <w:szCs w:val="18"/>
        </w:rPr>
        <w:t>;</w:t>
      </w:r>
      <w:r w:rsidR="00C149FA" w:rsidRPr="00F93BD2">
        <w:rPr>
          <w:rStyle w:val="FootnoteReference"/>
          <w:szCs w:val="18"/>
        </w:rPr>
        <w:footnoteReference w:id="9"/>
      </w:r>
    </w:p>
    <w:p w14:paraId="74D898E9" w14:textId="2444C32B" w:rsidR="00C149FA" w:rsidRPr="00F93BD2" w:rsidRDefault="00C148B2" w:rsidP="00C148B2">
      <w:pPr>
        <w:pStyle w:val="RegSingleTxtG"/>
        <w:numPr>
          <w:ilvl w:val="0"/>
          <w:numId w:val="0"/>
        </w:numPr>
        <w:tabs>
          <w:tab w:val="left" w:pos="568"/>
        </w:tabs>
        <w:ind w:left="1134"/>
        <w:rPr>
          <w:szCs w:val="24"/>
          <w:u w:val="single"/>
        </w:rPr>
      </w:pPr>
      <w:r w:rsidRPr="00F93BD2">
        <w:rPr>
          <w:szCs w:val="24"/>
        </w:rPr>
        <w:t>10.</w:t>
      </w:r>
      <w:r w:rsidRPr="00F93BD2">
        <w:rPr>
          <w:szCs w:val="24"/>
        </w:rPr>
        <w:tab/>
      </w:r>
      <w:r w:rsidR="00C149FA" w:rsidRPr="00F93BD2">
        <w:rPr>
          <w:i/>
          <w:szCs w:val="24"/>
        </w:rPr>
        <w:t>Encourages</w:t>
      </w:r>
      <w:r w:rsidR="00C149FA" w:rsidRPr="00F93BD2">
        <w:rPr>
          <w:szCs w:val="24"/>
        </w:rPr>
        <w:t xml:space="preserve"> the Adaptation Fund Board to continue its deliberations on enhancing and streamlining accreditation policies for implementing entities, including reaccreditation of previously accredited entities;</w:t>
      </w:r>
    </w:p>
    <w:p w14:paraId="346F2878" w14:textId="0933D37B" w:rsidR="00C149FA" w:rsidRPr="00F93BD2" w:rsidRDefault="00C148B2" w:rsidP="00C148B2">
      <w:pPr>
        <w:pStyle w:val="RegSingleTxtG"/>
        <w:numPr>
          <w:ilvl w:val="0"/>
          <w:numId w:val="0"/>
        </w:numPr>
        <w:tabs>
          <w:tab w:val="left" w:pos="568"/>
        </w:tabs>
        <w:ind w:left="1134"/>
        <w:rPr>
          <w:szCs w:val="24"/>
        </w:rPr>
      </w:pPr>
      <w:r w:rsidRPr="00F93BD2">
        <w:rPr>
          <w:szCs w:val="24"/>
        </w:rPr>
        <w:t>11.</w:t>
      </w:r>
      <w:r w:rsidRPr="00F93BD2">
        <w:rPr>
          <w:szCs w:val="24"/>
        </w:rPr>
        <w:tab/>
      </w:r>
      <w:r w:rsidR="00C149FA" w:rsidRPr="00F93BD2">
        <w:rPr>
          <w:i/>
          <w:szCs w:val="24"/>
        </w:rPr>
        <w:t>Requests</w:t>
      </w:r>
      <w:r w:rsidR="00C149FA" w:rsidRPr="00F93BD2">
        <w:rPr>
          <w:szCs w:val="24"/>
        </w:rPr>
        <w:t xml:space="preserve"> the Adaptation Fund Board to make available, as part of its annual report, information on board meetings and other relevant developments that have taken place after the publication of the main part of the annual report;</w:t>
      </w:r>
    </w:p>
    <w:p w14:paraId="277046F5" w14:textId="4DD1EB11" w:rsidR="00C149FA" w:rsidRPr="00F93BD2" w:rsidRDefault="00C148B2" w:rsidP="00C148B2">
      <w:pPr>
        <w:pStyle w:val="RegSingleTxtG"/>
        <w:numPr>
          <w:ilvl w:val="0"/>
          <w:numId w:val="0"/>
        </w:numPr>
        <w:tabs>
          <w:tab w:val="left" w:pos="568"/>
        </w:tabs>
        <w:ind w:left="1134"/>
        <w:rPr>
          <w:szCs w:val="24"/>
        </w:rPr>
      </w:pPr>
      <w:r w:rsidRPr="00F93BD2">
        <w:rPr>
          <w:szCs w:val="24"/>
        </w:rPr>
        <w:t>12.</w:t>
      </w:r>
      <w:r w:rsidRPr="00F93BD2">
        <w:rPr>
          <w:szCs w:val="24"/>
        </w:rPr>
        <w:tab/>
      </w:r>
      <w:r w:rsidR="00C149FA" w:rsidRPr="00F93BD2">
        <w:rPr>
          <w:i/>
          <w:szCs w:val="24"/>
        </w:rPr>
        <w:t>Decides</w:t>
      </w:r>
      <w:r w:rsidR="00C149FA" w:rsidRPr="00F93BD2">
        <w:rPr>
          <w:szCs w:val="24"/>
        </w:rPr>
        <w:t xml:space="preserve"> that the Adaptation Fund shall serve the Paris Agreement subject to and consistent with decisions to be taken at the third part of the first session of the Conference </w:t>
      </w:r>
      <w:r w:rsidR="00C149FA" w:rsidRPr="00F93BD2">
        <w:rPr>
          <w:szCs w:val="24"/>
        </w:rPr>
        <w:lastRenderedPageBreak/>
        <w:t>of the Parties serving as the meeting of the Parties to the Paris Agreement (December 2018), in line with decision 1/CMA.1, paragraph 11;</w:t>
      </w:r>
    </w:p>
    <w:p w14:paraId="195EE3CC" w14:textId="23ECC86E" w:rsidR="00C149FA" w:rsidRPr="00F93BD2" w:rsidRDefault="00C148B2" w:rsidP="00C148B2">
      <w:pPr>
        <w:pStyle w:val="RegSingleTxtG"/>
        <w:numPr>
          <w:ilvl w:val="0"/>
          <w:numId w:val="0"/>
        </w:numPr>
        <w:tabs>
          <w:tab w:val="left" w:pos="568"/>
        </w:tabs>
        <w:ind w:left="1134"/>
        <w:rPr>
          <w:szCs w:val="24"/>
        </w:rPr>
      </w:pPr>
      <w:r w:rsidRPr="00F93BD2">
        <w:rPr>
          <w:szCs w:val="24"/>
        </w:rPr>
        <w:t>13.</w:t>
      </w:r>
      <w:r w:rsidRPr="00F93BD2">
        <w:rPr>
          <w:szCs w:val="24"/>
        </w:rPr>
        <w:tab/>
      </w:r>
      <w:r w:rsidR="00C149FA" w:rsidRPr="00F93BD2">
        <w:rPr>
          <w:i/>
          <w:szCs w:val="24"/>
        </w:rPr>
        <w:t xml:space="preserve">Also decides </w:t>
      </w:r>
      <w:r w:rsidR="00C149FA" w:rsidRPr="00F93BD2">
        <w:rPr>
          <w:szCs w:val="24"/>
        </w:rPr>
        <w:t>that it will consider whether the Adaptation Fund shall serve the Paris Agreement exclusively, under the guidance of and accountable to the Conference of the Parties serving as the meeting of</w:t>
      </w:r>
      <w:r w:rsidR="00BE5A78" w:rsidRPr="00F93BD2">
        <w:rPr>
          <w:szCs w:val="24"/>
        </w:rPr>
        <w:t xml:space="preserve"> the</w:t>
      </w:r>
      <w:r w:rsidR="00C149FA" w:rsidRPr="00F93BD2">
        <w:rPr>
          <w:szCs w:val="24"/>
        </w:rPr>
        <w:t xml:space="preserve"> Parties to the Paris Agreement, following a recommendation from the Conference of the Parties serving as the meeting of</w:t>
      </w:r>
      <w:r w:rsidR="00BE5A78" w:rsidRPr="00F93BD2">
        <w:rPr>
          <w:szCs w:val="24"/>
        </w:rPr>
        <w:t xml:space="preserve"> the</w:t>
      </w:r>
      <w:r w:rsidR="00C149FA" w:rsidRPr="00F93BD2">
        <w:rPr>
          <w:szCs w:val="24"/>
        </w:rPr>
        <w:t xml:space="preserve"> Parties to the Paris Agreement on this matter to the Conference of the Parties serving as the meeting of </w:t>
      </w:r>
      <w:r w:rsidR="00BE5A78" w:rsidRPr="00F93BD2">
        <w:rPr>
          <w:szCs w:val="24"/>
        </w:rPr>
        <w:t xml:space="preserve">the </w:t>
      </w:r>
      <w:r w:rsidR="00C149FA" w:rsidRPr="00F93BD2">
        <w:rPr>
          <w:szCs w:val="24"/>
        </w:rPr>
        <w:t>Parties to the Kyoto Protocol at its fifteenth session (November 2019);</w:t>
      </w:r>
    </w:p>
    <w:p w14:paraId="6855C4D3" w14:textId="75BB0CF3" w:rsidR="00C149FA" w:rsidRPr="00F93BD2" w:rsidRDefault="00C148B2" w:rsidP="00C148B2">
      <w:pPr>
        <w:pStyle w:val="RegSingleTxtG"/>
        <w:numPr>
          <w:ilvl w:val="0"/>
          <w:numId w:val="0"/>
        </w:numPr>
        <w:tabs>
          <w:tab w:val="left" w:pos="568"/>
        </w:tabs>
        <w:ind w:left="1134"/>
        <w:rPr>
          <w:szCs w:val="24"/>
        </w:rPr>
      </w:pPr>
      <w:r w:rsidRPr="00F93BD2">
        <w:rPr>
          <w:szCs w:val="24"/>
        </w:rPr>
        <w:t>14.</w:t>
      </w:r>
      <w:r w:rsidRPr="00F93BD2">
        <w:rPr>
          <w:szCs w:val="24"/>
        </w:rPr>
        <w:tab/>
      </w:r>
      <w:r w:rsidR="00C149FA" w:rsidRPr="00F93BD2">
        <w:rPr>
          <w:i/>
          <w:szCs w:val="24"/>
        </w:rPr>
        <w:t>Notes</w:t>
      </w:r>
      <w:r w:rsidR="00C149FA" w:rsidRPr="00F93BD2">
        <w:rPr>
          <w:szCs w:val="24"/>
        </w:rPr>
        <w:t xml:space="preserve"> the progress of the Ad Hoc Working Group on the Paris Agreement in undertaking the necessary preparatory work to address governance and institutional arrangements, safeguards and operating modalities for the Adaptation Fund to serve the Paris Agreement, including sources of funding, to be defined by Parties, and </w:t>
      </w:r>
      <w:r w:rsidR="00C149FA" w:rsidRPr="00F93BD2">
        <w:rPr>
          <w:i/>
          <w:szCs w:val="24"/>
        </w:rPr>
        <w:t>looks forward to</w:t>
      </w:r>
      <w:r w:rsidR="00C149FA" w:rsidRPr="00F93BD2">
        <w:rPr>
          <w:szCs w:val="24"/>
        </w:rPr>
        <w:t xml:space="preserve"> the recommendations thereon from the Ad Hoc Working Group on the Paris Agreement in 2018;</w:t>
      </w:r>
    </w:p>
    <w:p w14:paraId="3D6CC9F0" w14:textId="097201C8" w:rsidR="00C149FA" w:rsidRPr="00F93BD2" w:rsidRDefault="00C148B2" w:rsidP="00C148B2">
      <w:pPr>
        <w:pStyle w:val="RegSingleTxtG"/>
        <w:numPr>
          <w:ilvl w:val="0"/>
          <w:numId w:val="0"/>
        </w:numPr>
        <w:tabs>
          <w:tab w:val="left" w:pos="568"/>
        </w:tabs>
        <w:ind w:left="1134"/>
        <w:rPr>
          <w:szCs w:val="24"/>
        </w:rPr>
      </w:pPr>
      <w:r w:rsidRPr="00F93BD2">
        <w:rPr>
          <w:szCs w:val="24"/>
        </w:rPr>
        <w:t>15.</w:t>
      </w:r>
      <w:r w:rsidRPr="00F93BD2">
        <w:rPr>
          <w:szCs w:val="24"/>
        </w:rPr>
        <w:tab/>
      </w:r>
      <w:r w:rsidR="00C149FA" w:rsidRPr="00F93BD2">
        <w:rPr>
          <w:i/>
          <w:szCs w:val="24"/>
        </w:rPr>
        <w:t>Recognizes</w:t>
      </w:r>
      <w:r w:rsidR="00C149FA" w:rsidRPr="00F93BD2">
        <w:rPr>
          <w:szCs w:val="24"/>
        </w:rPr>
        <w:t xml:space="preserve"> that the Adaptation Fund should continue to contribute to an enhanced, efficient and coherent climate finance architecture.</w:t>
      </w:r>
    </w:p>
    <w:p w14:paraId="4F7559C6" w14:textId="31ED2ABA" w:rsidR="00C13C4D" w:rsidRPr="00F93BD2" w:rsidRDefault="00C965B8" w:rsidP="004A0F26">
      <w:pPr>
        <w:spacing w:before="120"/>
        <w:ind w:left="1134" w:right="-1" w:firstLine="567"/>
        <w:jc w:val="right"/>
        <w:rPr>
          <w:i/>
        </w:rPr>
        <w:sectPr w:rsidR="00C13C4D" w:rsidRPr="00F93BD2" w:rsidSect="00B7462C">
          <w:headerReference w:type="even" r:id="rId13"/>
          <w:headerReference w:type="default" r:id="rId14"/>
          <w:footerReference w:type="even" r:id="rId15"/>
          <w:footerReference w:type="default" r:id="rId16"/>
          <w:headerReference w:type="first" r:id="rId17"/>
          <w:footnotePr>
            <w:numRestart w:val="eachSect"/>
          </w:footnotePr>
          <w:pgSz w:w="11906" w:h="16838" w:code="9"/>
          <w:pgMar w:top="1418" w:right="1134" w:bottom="1134" w:left="1134" w:header="851" w:footer="567" w:gutter="0"/>
          <w:cols w:space="708"/>
          <w:titlePg/>
          <w:docGrid w:linePitch="360"/>
        </w:sectPr>
      </w:pPr>
      <w:r w:rsidRPr="00F93BD2">
        <w:rPr>
          <w:i/>
        </w:rPr>
        <w:t>13</w:t>
      </w:r>
      <w:r w:rsidRPr="00F93BD2">
        <w:rPr>
          <w:i/>
          <w:vertAlign w:val="superscript"/>
        </w:rPr>
        <w:t>th</w:t>
      </w:r>
      <w:r w:rsidRPr="00F93BD2">
        <w:rPr>
          <w:i/>
        </w:rPr>
        <w:t xml:space="preserve"> </w:t>
      </w:r>
      <w:r w:rsidR="00C149FA" w:rsidRPr="00F93BD2">
        <w:rPr>
          <w:i/>
        </w:rPr>
        <w:t>plenary meeting</w:t>
      </w:r>
      <w:r w:rsidR="00C149FA" w:rsidRPr="00F93BD2">
        <w:rPr>
          <w:i/>
        </w:rPr>
        <w:br/>
      </w:r>
      <w:r w:rsidRPr="00F93BD2">
        <w:rPr>
          <w:i/>
        </w:rPr>
        <w:t>18</w:t>
      </w:r>
      <w:r w:rsidR="00C13C4D" w:rsidRPr="00F93BD2">
        <w:rPr>
          <w:i/>
        </w:rPr>
        <w:t xml:space="preserve"> November 2017 </w:t>
      </w:r>
    </w:p>
    <w:p w14:paraId="0BA6181F" w14:textId="23F461F2" w:rsidR="00C149FA" w:rsidRPr="00F93BD2" w:rsidRDefault="00C13C4D" w:rsidP="00C13C4D">
      <w:pPr>
        <w:pStyle w:val="HChG"/>
      </w:pPr>
      <w:r w:rsidRPr="00F93BD2">
        <w:lastRenderedPageBreak/>
        <w:tab/>
      </w:r>
      <w:r w:rsidRPr="00F93BD2">
        <w:tab/>
        <w:t>Decision 2/CMP.13</w:t>
      </w:r>
    </w:p>
    <w:p w14:paraId="717CB293" w14:textId="463EEAE0" w:rsidR="00C13C4D" w:rsidRPr="00F93BD2" w:rsidRDefault="00C13C4D" w:rsidP="00C13C4D">
      <w:pPr>
        <w:pStyle w:val="HChG"/>
      </w:pPr>
      <w:r w:rsidRPr="00F93BD2">
        <w:tab/>
      </w:r>
      <w:r w:rsidRPr="00F93BD2">
        <w:tab/>
        <w:t>Third review of the Adaptation Fund</w:t>
      </w:r>
    </w:p>
    <w:p w14:paraId="57DBA278" w14:textId="77777777" w:rsidR="00C13C4D" w:rsidRPr="00F93BD2" w:rsidRDefault="00C13C4D" w:rsidP="004A0F26">
      <w:pPr>
        <w:spacing w:before="120" w:after="120"/>
        <w:ind w:left="1134" w:right="1134" w:firstLine="567"/>
      </w:pPr>
      <w:r w:rsidRPr="00F93BD2">
        <w:rPr>
          <w:i/>
        </w:rPr>
        <w:t>The Conference of the Parties serving as the meeting of the Parties to the Kyoto Protocol</w:t>
      </w:r>
      <w:r w:rsidRPr="00F93BD2">
        <w:t>,</w:t>
      </w:r>
    </w:p>
    <w:p w14:paraId="098AC089" w14:textId="4A5F7D0D" w:rsidR="00C13C4D" w:rsidRPr="00F93BD2" w:rsidRDefault="00C13C4D" w:rsidP="00C13C4D">
      <w:pPr>
        <w:pStyle w:val="Default"/>
        <w:spacing w:after="120"/>
        <w:ind w:left="1134" w:firstLine="567"/>
        <w:rPr>
          <w:i/>
          <w:iCs/>
          <w:sz w:val="20"/>
          <w:szCs w:val="20"/>
        </w:rPr>
      </w:pPr>
      <w:r w:rsidRPr="00F93BD2">
        <w:rPr>
          <w:i/>
          <w:iCs/>
          <w:sz w:val="20"/>
          <w:szCs w:val="20"/>
        </w:rPr>
        <w:t xml:space="preserve">Recalling </w:t>
      </w:r>
      <w:r w:rsidRPr="00F93BD2">
        <w:rPr>
          <w:iCs/>
          <w:sz w:val="20"/>
          <w:szCs w:val="20"/>
        </w:rPr>
        <w:t>decision</w:t>
      </w:r>
      <w:r w:rsidR="00303B3F" w:rsidRPr="00F93BD2">
        <w:rPr>
          <w:iCs/>
          <w:sz w:val="20"/>
          <w:szCs w:val="20"/>
        </w:rPr>
        <w:t>s</w:t>
      </w:r>
      <w:r w:rsidRPr="00F93BD2">
        <w:rPr>
          <w:iCs/>
          <w:sz w:val="20"/>
          <w:szCs w:val="20"/>
        </w:rPr>
        <w:t xml:space="preserve"> 2/CMP.10 and 1/CMP.12,</w:t>
      </w:r>
      <w:r w:rsidRPr="00F93BD2">
        <w:rPr>
          <w:i/>
          <w:iCs/>
          <w:sz w:val="20"/>
          <w:szCs w:val="20"/>
        </w:rPr>
        <w:t xml:space="preserve"> </w:t>
      </w:r>
    </w:p>
    <w:p w14:paraId="10680AE9" w14:textId="77777777" w:rsidR="00C13C4D" w:rsidRPr="00F93BD2" w:rsidRDefault="00C13C4D" w:rsidP="00C13C4D">
      <w:pPr>
        <w:pStyle w:val="Default"/>
        <w:ind w:left="1134" w:right="1133" w:firstLine="567"/>
        <w:rPr>
          <w:sz w:val="20"/>
          <w:szCs w:val="20"/>
        </w:rPr>
      </w:pPr>
      <w:r w:rsidRPr="00F93BD2">
        <w:rPr>
          <w:i/>
          <w:iCs/>
          <w:sz w:val="20"/>
          <w:szCs w:val="20"/>
        </w:rPr>
        <w:t xml:space="preserve">Reiterating </w:t>
      </w:r>
      <w:r w:rsidRPr="00F93BD2">
        <w:rPr>
          <w:sz w:val="20"/>
          <w:szCs w:val="20"/>
        </w:rPr>
        <w:t xml:space="preserve">the crucial importance of the Adaptation Fund as an essential channel for supporting adaptation action and the main promoter of direct access, together with its focus on funding the full costs of concrete adaptation projects and </w:t>
      </w:r>
      <w:r w:rsidRPr="00F93BD2">
        <w:rPr>
          <w:sz w:val="20"/>
          <w:szCs w:val="20"/>
          <w:lang w:val="en-GB"/>
        </w:rPr>
        <w:t>programmes</w:t>
      </w:r>
      <w:r w:rsidRPr="00F93BD2">
        <w:rPr>
          <w:sz w:val="20"/>
          <w:szCs w:val="20"/>
        </w:rPr>
        <w:t xml:space="preserve"> in developing countries, </w:t>
      </w:r>
    </w:p>
    <w:p w14:paraId="027741C6" w14:textId="77777777" w:rsidR="00C13C4D" w:rsidRPr="00F93BD2" w:rsidRDefault="00C13C4D" w:rsidP="00C13C4D">
      <w:pPr>
        <w:spacing w:before="120" w:after="120"/>
        <w:ind w:left="1134" w:right="1134" w:firstLine="567"/>
      </w:pPr>
      <w:r w:rsidRPr="00F93BD2">
        <w:rPr>
          <w:i/>
          <w:iCs/>
        </w:rPr>
        <w:t xml:space="preserve">Noting with deep concern </w:t>
      </w:r>
      <w:r w:rsidRPr="00F93BD2">
        <w:t xml:space="preserve">the continued issues related to the sustainability, adequacy and predictability of funding from the Adaptation Fund, given the current prices of certified emission reductions, which affect its ability to fulfil its mandate, </w:t>
      </w:r>
    </w:p>
    <w:p w14:paraId="3422F417" w14:textId="5E6FFE0C" w:rsidR="00C13C4D" w:rsidRPr="00F93BD2" w:rsidRDefault="00C148B2" w:rsidP="00C148B2">
      <w:pPr>
        <w:pStyle w:val="RegSingleTxtG"/>
        <w:numPr>
          <w:ilvl w:val="0"/>
          <w:numId w:val="0"/>
        </w:numPr>
        <w:ind w:left="1134"/>
      </w:pPr>
      <w:r w:rsidRPr="00F93BD2">
        <w:t>1.</w:t>
      </w:r>
      <w:r w:rsidRPr="00F93BD2">
        <w:tab/>
      </w:r>
      <w:r w:rsidR="00C13C4D" w:rsidRPr="00F93BD2">
        <w:rPr>
          <w:i/>
        </w:rPr>
        <w:t xml:space="preserve">Takes note </w:t>
      </w:r>
      <w:r w:rsidR="00C13C4D" w:rsidRPr="00F93BD2">
        <w:t>of the technical paper on the third review of the Adaptation Fund,</w:t>
      </w:r>
      <w:r w:rsidR="00C13C4D" w:rsidRPr="00F93BD2">
        <w:rPr>
          <w:rStyle w:val="FootnoteReference"/>
        </w:rPr>
        <w:footnoteReference w:id="10"/>
      </w:r>
      <w:r w:rsidR="00C13C4D" w:rsidRPr="00F93BD2">
        <w:t xml:space="preserve"> based on the terms of reference for the review contained in the annex to decision 1/CMP.12;</w:t>
      </w:r>
    </w:p>
    <w:p w14:paraId="3BFAE1D0" w14:textId="1DC30A54" w:rsidR="00C13C4D" w:rsidRPr="00F93BD2" w:rsidRDefault="00C148B2" w:rsidP="00C148B2">
      <w:pPr>
        <w:pStyle w:val="RegSingleTxtG"/>
        <w:numPr>
          <w:ilvl w:val="0"/>
          <w:numId w:val="0"/>
        </w:numPr>
        <w:tabs>
          <w:tab w:val="left" w:pos="568"/>
        </w:tabs>
        <w:ind w:left="1134"/>
      </w:pPr>
      <w:r w:rsidRPr="00F93BD2">
        <w:t>2.</w:t>
      </w:r>
      <w:r w:rsidRPr="00F93BD2">
        <w:tab/>
      </w:r>
      <w:r w:rsidR="00C13C4D" w:rsidRPr="00F93BD2">
        <w:rPr>
          <w:i/>
        </w:rPr>
        <w:t>Welcomes</w:t>
      </w:r>
      <w:r w:rsidR="00C13C4D" w:rsidRPr="00F93BD2">
        <w:t xml:space="preserve"> the completion of phase 1 of the independent evaluation of the Adaptation Fund and </w:t>
      </w:r>
      <w:r w:rsidR="00C13C4D" w:rsidRPr="00F93BD2">
        <w:rPr>
          <w:i/>
        </w:rPr>
        <w:t>looks forward</w:t>
      </w:r>
      <w:r w:rsidR="00C13C4D" w:rsidRPr="00F93BD2">
        <w:t xml:space="preserve"> </w:t>
      </w:r>
      <w:r w:rsidR="00C13C4D" w:rsidRPr="00F93BD2">
        <w:rPr>
          <w:i/>
        </w:rPr>
        <w:t>to</w:t>
      </w:r>
      <w:r w:rsidR="00C13C4D" w:rsidRPr="00F93BD2">
        <w:t xml:space="preserve"> phase 2;</w:t>
      </w:r>
    </w:p>
    <w:p w14:paraId="22B5AFAC" w14:textId="448AD966" w:rsidR="00C13C4D" w:rsidRPr="00F93BD2" w:rsidRDefault="00C148B2" w:rsidP="00C148B2">
      <w:pPr>
        <w:pStyle w:val="RegSingleTxtG"/>
        <w:numPr>
          <w:ilvl w:val="0"/>
          <w:numId w:val="0"/>
        </w:numPr>
        <w:tabs>
          <w:tab w:val="left" w:pos="568"/>
        </w:tabs>
        <w:ind w:left="1134"/>
      </w:pPr>
      <w:r w:rsidRPr="00F93BD2">
        <w:t>3.</w:t>
      </w:r>
      <w:r w:rsidRPr="00F93BD2">
        <w:tab/>
      </w:r>
      <w:r w:rsidR="00C13C4D" w:rsidRPr="00F93BD2">
        <w:rPr>
          <w:i/>
        </w:rPr>
        <w:t>Recognizes</w:t>
      </w:r>
      <w:r w:rsidR="00C13C4D" w:rsidRPr="00F93BD2">
        <w:t xml:space="preserve"> the lessons learned and progress made since the second review of the Adaptation Fund, including initiatives and improvements such as modalities to enable enhancement of the direct access modality, the Readiness Programme including its South–South mentoring channel, a streamlined process for accreditation for small entities and guidance on accreditation standards;</w:t>
      </w:r>
    </w:p>
    <w:p w14:paraId="2F211B6C" w14:textId="380C2241" w:rsidR="00C13C4D" w:rsidRPr="00F93BD2" w:rsidRDefault="00C148B2" w:rsidP="00C148B2">
      <w:pPr>
        <w:pStyle w:val="RegSingleTxtG"/>
        <w:numPr>
          <w:ilvl w:val="0"/>
          <w:numId w:val="0"/>
        </w:numPr>
        <w:tabs>
          <w:tab w:val="left" w:pos="568"/>
        </w:tabs>
        <w:ind w:left="1134"/>
      </w:pPr>
      <w:r w:rsidRPr="00F93BD2">
        <w:t>4.</w:t>
      </w:r>
      <w:r w:rsidRPr="00F93BD2">
        <w:tab/>
      </w:r>
      <w:r w:rsidR="00C13C4D" w:rsidRPr="00F93BD2">
        <w:rPr>
          <w:i/>
        </w:rPr>
        <w:t>Also recognizes</w:t>
      </w:r>
      <w:r w:rsidR="00C13C4D" w:rsidRPr="00F93BD2">
        <w:t xml:space="preserve"> the comparative advantage of the Adaptation Fund, including the speed of project approval, the strategic engagement by stakeholders at the subnational level, the various institutional benefits, the efficiency of institutional arrangements and the enhancement of country ownership in the funding process;</w:t>
      </w:r>
    </w:p>
    <w:p w14:paraId="2425D215" w14:textId="0642498C" w:rsidR="00C13C4D" w:rsidRPr="00F93BD2" w:rsidRDefault="00C148B2" w:rsidP="00C148B2">
      <w:pPr>
        <w:pStyle w:val="RegSingleTxtG"/>
        <w:numPr>
          <w:ilvl w:val="0"/>
          <w:numId w:val="0"/>
        </w:numPr>
        <w:tabs>
          <w:tab w:val="left" w:pos="568"/>
        </w:tabs>
        <w:ind w:left="1134"/>
      </w:pPr>
      <w:r w:rsidRPr="00F93BD2">
        <w:t>5.</w:t>
      </w:r>
      <w:r w:rsidRPr="00F93BD2">
        <w:tab/>
      </w:r>
      <w:r w:rsidR="00C13C4D" w:rsidRPr="00F93BD2">
        <w:rPr>
          <w:i/>
        </w:rPr>
        <w:t>Welcomes</w:t>
      </w:r>
      <w:r w:rsidR="00C13C4D" w:rsidRPr="00F93BD2">
        <w:t xml:space="preserve"> the implementation of mandatory compliance for implementing entities with the Adaptation Fund’s environmental and social safeguards and gender policy, which enhances the effectiveness of the Adaptation Fund;</w:t>
      </w:r>
    </w:p>
    <w:p w14:paraId="59F92CEB" w14:textId="6C474C2D" w:rsidR="00C13C4D" w:rsidRPr="00F93BD2" w:rsidRDefault="00C148B2" w:rsidP="00C148B2">
      <w:pPr>
        <w:pStyle w:val="RegSingleTxtG"/>
        <w:numPr>
          <w:ilvl w:val="0"/>
          <w:numId w:val="0"/>
        </w:numPr>
        <w:tabs>
          <w:tab w:val="left" w:pos="568"/>
        </w:tabs>
        <w:ind w:left="1134"/>
      </w:pPr>
      <w:r w:rsidRPr="00F93BD2">
        <w:t>6.</w:t>
      </w:r>
      <w:r w:rsidRPr="00F93BD2">
        <w:tab/>
      </w:r>
      <w:r w:rsidR="00C13C4D" w:rsidRPr="00F93BD2">
        <w:rPr>
          <w:i/>
        </w:rPr>
        <w:t>Notes</w:t>
      </w:r>
      <w:r w:rsidR="00C13C4D" w:rsidRPr="00F93BD2">
        <w:t xml:space="preserve"> the efforts made by the Adaptation Fund Board in enhancing cooperation with other funds to ensure coherence and complementarity;</w:t>
      </w:r>
      <w:r w:rsidR="00C13C4D" w:rsidRPr="00F93BD2" w:rsidDel="000937FC">
        <w:t xml:space="preserve"> </w:t>
      </w:r>
    </w:p>
    <w:p w14:paraId="473D238A" w14:textId="2FC67A1C" w:rsidR="00C13C4D" w:rsidRPr="00F93BD2" w:rsidRDefault="00C148B2" w:rsidP="00C148B2">
      <w:pPr>
        <w:pStyle w:val="RegSingleTxtG"/>
        <w:numPr>
          <w:ilvl w:val="0"/>
          <w:numId w:val="0"/>
        </w:numPr>
        <w:tabs>
          <w:tab w:val="left" w:pos="568"/>
        </w:tabs>
        <w:ind w:left="1134"/>
      </w:pPr>
      <w:r w:rsidRPr="00F93BD2">
        <w:t>7.</w:t>
      </w:r>
      <w:r w:rsidRPr="00F93BD2">
        <w:tab/>
      </w:r>
      <w:r w:rsidR="00C13C4D" w:rsidRPr="00F93BD2">
        <w:rPr>
          <w:i/>
        </w:rPr>
        <w:t>Encourages</w:t>
      </w:r>
      <w:r w:rsidR="00C13C4D" w:rsidRPr="00F93BD2">
        <w:t xml:space="preserve"> the Adaptation Fund Board:</w:t>
      </w:r>
    </w:p>
    <w:p w14:paraId="0F893BC1" w14:textId="18848A9D" w:rsidR="00C13C4D" w:rsidRPr="00F93BD2" w:rsidRDefault="00C148B2" w:rsidP="00C148B2">
      <w:pPr>
        <w:pStyle w:val="RegSingleTxtG2"/>
        <w:numPr>
          <w:ilvl w:val="0"/>
          <w:numId w:val="0"/>
        </w:numPr>
        <w:ind w:left="1134" w:firstLine="567"/>
      </w:pPr>
      <w:r w:rsidRPr="00F93BD2">
        <w:rPr>
          <w:szCs w:val="28"/>
        </w:rPr>
        <w:t>(a)</w:t>
      </w:r>
      <w:r w:rsidRPr="00F93BD2">
        <w:rPr>
          <w:szCs w:val="28"/>
        </w:rPr>
        <w:tab/>
      </w:r>
      <w:r w:rsidR="00C13C4D" w:rsidRPr="00F93BD2">
        <w:t xml:space="preserve">To consider options for improvement of efficiency with regard to the operation of the Adaptation Fund; </w:t>
      </w:r>
    </w:p>
    <w:p w14:paraId="1EC60DB1" w14:textId="5DDD9406" w:rsidR="00C13C4D" w:rsidRPr="00F93BD2" w:rsidRDefault="00C148B2" w:rsidP="00C148B2">
      <w:pPr>
        <w:pStyle w:val="RegSingleTxtG2"/>
        <w:numPr>
          <w:ilvl w:val="0"/>
          <w:numId w:val="0"/>
        </w:numPr>
        <w:ind w:left="1134" w:firstLine="567"/>
      </w:pPr>
      <w:r w:rsidRPr="00F93BD2">
        <w:rPr>
          <w:szCs w:val="28"/>
        </w:rPr>
        <w:t>(b)</w:t>
      </w:r>
      <w:r w:rsidRPr="00F93BD2">
        <w:rPr>
          <w:szCs w:val="28"/>
        </w:rPr>
        <w:tab/>
      </w:r>
      <w:r w:rsidR="00C13C4D" w:rsidRPr="00F93BD2">
        <w:t>To continue to engage with subnational actors and the private sector through, inter alia, microfinance schemes, weather-based insurance arrangements, involvement with local industry groups and farmers in adaptation projects, and public–private partnerships;</w:t>
      </w:r>
    </w:p>
    <w:p w14:paraId="2F080A15" w14:textId="121229E3" w:rsidR="00C13C4D" w:rsidRPr="00F93BD2" w:rsidRDefault="00C148B2" w:rsidP="00C148B2">
      <w:pPr>
        <w:pStyle w:val="RegSingleTxtG2"/>
        <w:numPr>
          <w:ilvl w:val="0"/>
          <w:numId w:val="0"/>
        </w:numPr>
        <w:ind w:left="1134" w:firstLine="567"/>
      </w:pPr>
      <w:r w:rsidRPr="00F93BD2">
        <w:rPr>
          <w:szCs w:val="28"/>
        </w:rPr>
        <w:t>(c)</w:t>
      </w:r>
      <w:r w:rsidRPr="00F93BD2">
        <w:rPr>
          <w:szCs w:val="28"/>
        </w:rPr>
        <w:tab/>
      </w:r>
      <w:r w:rsidR="00C13C4D" w:rsidRPr="00F93BD2">
        <w:t>To consider voluntary tracking of climate finance mobilized, where appropriate;</w:t>
      </w:r>
    </w:p>
    <w:p w14:paraId="627785BE" w14:textId="0936B032" w:rsidR="00C13C4D" w:rsidRPr="00F93BD2" w:rsidRDefault="00C148B2" w:rsidP="00C148B2">
      <w:pPr>
        <w:pStyle w:val="RegSingleTxtG2"/>
        <w:numPr>
          <w:ilvl w:val="0"/>
          <w:numId w:val="0"/>
        </w:numPr>
        <w:ind w:left="1134" w:firstLine="567"/>
      </w:pPr>
      <w:r w:rsidRPr="00F93BD2">
        <w:rPr>
          <w:szCs w:val="28"/>
        </w:rPr>
        <w:t>(d)</w:t>
      </w:r>
      <w:r w:rsidRPr="00F93BD2">
        <w:rPr>
          <w:szCs w:val="28"/>
        </w:rPr>
        <w:tab/>
      </w:r>
      <w:r w:rsidR="00C13C4D" w:rsidRPr="00F93BD2">
        <w:t>To continue the efforts to enhance complementarity and coherence with other funds both under and outside the Convention;</w:t>
      </w:r>
    </w:p>
    <w:p w14:paraId="1E52BA1E" w14:textId="3410F293" w:rsidR="00C13C4D" w:rsidRPr="00F93BD2" w:rsidRDefault="00C148B2" w:rsidP="00C148B2">
      <w:pPr>
        <w:pStyle w:val="RegSingleTxtG"/>
        <w:numPr>
          <w:ilvl w:val="0"/>
          <w:numId w:val="0"/>
        </w:numPr>
        <w:tabs>
          <w:tab w:val="left" w:pos="568"/>
        </w:tabs>
        <w:ind w:left="1134"/>
      </w:pPr>
      <w:r w:rsidRPr="00F93BD2">
        <w:t>8.</w:t>
      </w:r>
      <w:r w:rsidRPr="00F93BD2">
        <w:tab/>
      </w:r>
      <w:r w:rsidR="00C13C4D" w:rsidRPr="00F93BD2">
        <w:rPr>
          <w:i/>
        </w:rPr>
        <w:t>Requests</w:t>
      </w:r>
      <w:r w:rsidR="00C13C4D" w:rsidRPr="00F93BD2">
        <w:t xml:space="preserve"> the Adaptation Fund Board:</w:t>
      </w:r>
    </w:p>
    <w:p w14:paraId="66BAE08C" w14:textId="0E38CCAE" w:rsidR="00C13C4D" w:rsidRPr="00F93BD2" w:rsidRDefault="00C148B2" w:rsidP="00C148B2">
      <w:pPr>
        <w:pStyle w:val="RegSingleTxtG2"/>
        <w:numPr>
          <w:ilvl w:val="0"/>
          <w:numId w:val="0"/>
        </w:numPr>
        <w:ind w:left="1134" w:firstLine="567"/>
      </w:pPr>
      <w:r w:rsidRPr="00F93BD2">
        <w:rPr>
          <w:szCs w:val="28"/>
        </w:rPr>
        <w:t>(a)</w:t>
      </w:r>
      <w:r w:rsidRPr="00F93BD2">
        <w:rPr>
          <w:szCs w:val="28"/>
        </w:rPr>
        <w:tab/>
      </w:r>
      <w:r w:rsidR="00C13C4D" w:rsidRPr="00F93BD2">
        <w:t>To consider lessons learned from the Adaptation Fund’s engagement with private sector stakeholders in adaptation projects at the local level, including in the decision-making processes of the Adaptation Fund and in communications with donors;</w:t>
      </w:r>
    </w:p>
    <w:p w14:paraId="2A4537EC" w14:textId="115F4077" w:rsidR="00C13C4D" w:rsidRPr="00F93BD2" w:rsidRDefault="00C148B2" w:rsidP="00C148B2">
      <w:pPr>
        <w:pStyle w:val="RegSingleTxtG2"/>
        <w:numPr>
          <w:ilvl w:val="0"/>
          <w:numId w:val="0"/>
        </w:numPr>
        <w:ind w:left="1134" w:firstLine="567"/>
      </w:pPr>
      <w:r w:rsidRPr="00F93BD2">
        <w:rPr>
          <w:szCs w:val="28"/>
        </w:rPr>
        <w:lastRenderedPageBreak/>
        <w:t>(b)</w:t>
      </w:r>
      <w:r w:rsidRPr="00F93BD2">
        <w:rPr>
          <w:szCs w:val="28"/>
        </w:rPr>
        <w:tab/>
      </w:r>
      <w:r w:rsidR="00C13C4D" w:rsidRPr="00F93BD2">
        <w:t>To monitor and assess project approval time under the Readiness Programme, identifying any linkages of this time to the introduction of the Adaptation Fund’s environmental and social policy, and to take measures to reduce the time, as necessary, while continuing to implement its environmental and social safeguards and gender policy;</w:t>
      </w:r>
    </w:p>
    <w:p w14:paraId="3C7F2324" w14:textId="5EBCF065" w:rsidR="00C13C4D" w:rsidRPr="00F93BD2" w:rsidRDefault="00C148B2" w:rsidP="00C148B2">
      <w:pPr>
        <w:pStyle w:val="RegSingleTxtG2"/>
        <w:numPr>
          <w:ilvl w:val="0"/>
          <w:numId w:val="0"/>
        </w:numPr>
        <w:ind w:left="1134" w:firstLine="567"/>
      </w:pPr>
      <w:r w:rsidRPr="00F93BD2">
        <w:rPr>
          <w:szCs w:val="28"/>
        </w:rPr>
        <w:t>(c)</w:t>
      </w:r>
      <w:r w:rsidRPr="00F93BD2">
        <w:rPr>
          <w:szCs w:val="28"/>
        </w:rPr>
        <w:tab/>
      </w:r>
      <w:r w:rsidR="00C13C4D" w:rsidRPr="00F93BD2">
        <w:t xml:space="preserve">To continue to provide information on project approval time; </w:t>
      </w:r>
    </w:p>
    <w:p w14:paraId="7473DDB6" w14:textId="2A3C19F7" w:rsidR="00C13C4D" w:rsidRPr="00F93BD2" w:rsidRDefault="00C148B2" w:rsidP="00C148B2">
      <w:pPr>
        <w:pStyle w:val="RegSingleTxtG2"/>
        <w:numPr>
          <w:ilvl w:val="0"/>
          <w:numId w:val="0"/>
        </w:numPr>
        <w:ind w:left="1134" w:firstLine="567"/>
      </w:pPr>
      <w:r w:rsidRPr="00F93BD2">
        <w:rPr>
          <w:szCs w:val="28"/>
        </w:rPr>
        <w:t>(d)</w:t>
      </w:r>
      <w:r w:rsidRPr="00F93BD2">
        <w:rPr>
          <w:szCs w:val="28"/>
        </w:rPr>
        <w:tab/>
      </w:r>
      <w:r w:rsidR="00C13C4D" w:rsidRPr="00F93BD2">
        <w:t>To continue monitoring the adaptation impacts and results of the Adaptation Fund, including using local and sector-specific metrics;</w:t>
      </w:r>
    </w:p>
    <w:p w14:paraId="1C0D93D1" w14:textId="0BCF494F" w:rsidR="00C13C4D" w:rsidRPr="00F93BD2" w:rsidRDefault="00C148B2" w:rsidP="00C148B2">
      <w:pPr>
        <w:pStyle w:val="RegSingleTxtG2"/>
        <w:numPr>
          <w:ilvl w:val="0"/>
          <w:numId w:val="0"/>
        </w:numPr>
        <w:ind w:left="1134" w:firstLine="567"/>
      </w:pPr>
      <w:r w:rsidRPr="00F93BD2">
        <w:rPr>
          <w:szCs w:val="28"/>
        </w:rPr>
        <w:t>(e)</w:t>
      </w:r>
      <w:r w:rsidRPr="00F93BD2">
        <w:rPr>
          <w:szCs w:val="28"/>
        </w:rPr>
        <w:tab/>
      </w:r>
      <w:r w:rsidR="00C13C4D" w:rsidRPr="00F93BD2">
        <w:t>To report on progress made on the mandates arising from this decision in the future reports of the Adaptation Fund to the Conference of the Parties serving as the meeting of the Parties to the Kyoto Protocol;</w:t>
      </w:r>
    </w:p>
    <w:p w14:paraId="4FEC86C7" w14:textId="6E2E9321" w:rsidR="00C13C4D" w:rsidRPr="00F93BD2" w:rsidRDefault="00C148B2" w:rsidP="00C148B2">
      <w:pPr>
        <w:pStyle w:val="RegSingleTxtG"/>
        <w:numPr>
          <w:ilvl w:val="0"/>
          <w:numId w:val="0"/>
        </w:numPr>
        <w:tabs>
          <w:tab w:val="left" w:pos="568"/>
        </w:tabs>
        <w:ind w:left="1134"/>
      </w:pPr>
      <w:r w:rsidRPr="00F93BD2">
        <w:t>9.</w:t>
      </w:r>
      <w:r w:rsidRPr="00F93BD2">
        <w:tab/>
      </w:r>
      <w:r w:rsidR="00C13C4D" w:rsidRPr="00F93BD2">
        <w:rPr>
          <w:i/>
        </w:rPr>
        <w:t>Also requests</w:t>
      </w:r>
      <w:r w:rsidR="00C13C4D" w:rsidRPr="00F93BD2">
        <w:t xml:space="preserve"> the Subsidiary Body for Implementation, at its session to be held in June 2020, to initiate the fourth review of the Adaptation Fund, in accordance with the terms of reference contained in the annex to decision 1/CMP.12, or as amended, and to report back to its governing body to be convened in conjunction with the twenty-seventh session of the Conference of the Parties (November 2021). </w:t>
      </w:r>
    </w:p>
    <w:p w14:paraId="7419C1CE" w14:textId="56D3A184" w:rsidR="00C13C4D" w:rsidRPr="00F93BD2" w:rsidRDefault="00C965B8" w:rsidP="004A0F26">
      <w:pPr>
        <w:spacing w:before="120"/>
        <w:ind w:left="1134" w:right="-1" w:firstLine="567"/>
        <w:jc w:val="right"/>
        <w:rPr>
          <w:i/>
        </w:rPr>
      </w:pPr>
      <w:r w:rsidRPr="00F93BD2">
        <w:rPr>
          <w:i/>
        </w:rPr>
        <w:t>13</w:t>
      </w:r>
      <w:r w:rsidRPr="00F93BD2">
        <w:rPr>
          <w:i/>
          <w:vertAlign w:val="superscript"/>
        </w:rPr>
        <w:t>th</w:t>
      </w:r>
      <w:r w:rsidRPr="00F93BD2">
        <w:rPr>
          <w:i/>
        </w:rPr>
        <w:t xml:space="preserve"> </w:t>
      </w:r>
      <w:r w:rsidR="00C13C4D" w:rsidRPr="00F93BD2">
        <w:rPr>
          <w:i/>
        </w:rPr>
        <w:t>plenary meeting</w:t>
      </w:r>
      <w:r w:rsidR="00C13C4D" w:rsidRPr="00F93BD2">
        <w:rPr>
          <w:i/>
        </w:rPr>
        <w:br/>
      </w:r>
      <w:r w:rsidRPr="00F93BD2">
        <w:rPr>
          <w:i/>
        </w:rPr>
        <w:t>18</w:t>
      </w:r>
      <w:r w:rsidR="00C13C4D" w:rsidRPr="00F93BD2">
        <w:rPr>
          <w:i/>
        </w:rPr>
        <w:t xml:space="preserve"> November 2017</w:t>
      </w:r>
    </w:p>
    <w:p w14:paraId="75374AF1" w14:textId="77777777" w:rsidR="00C9296A" w:rsidRPr="00F93BD2" w:rsidRDefault="00C9296A" w:rsidP="00C9296A">
      <w:pPr>
        <w:sectPr w:rsidR="00C9296A" w:rsidRPr="00F93BD2" w:rsidSect="00CA0361">
          <w:headerReference w:type="even" r:id="rId18"/>
          <w:headerReference w:type="default" r:id="rId19"/>
          <w:footerReference w:type="even" r:id="rId20"/>
          <w:footerReference w:type="default" r:id="rId21"/>
          <w:footnotePr>
            <w:numRestart w:val="eachSect"/>
          </w:footnotePr>
          <w:pgSz w:w="11906" w:h="16838" w:code="9"/>
          <w:pgMar w:top="1417" w:right="1134" w:bottom="1134" w:left="1134" w:header="850" w:footer="567" w:gutter="0"/>
          <w:cols w:space="708"/>
          <w:docGrid w:linePitch="360"/>
        </w:sectPr>
      </w:pPr>
    </w:p>
    <w:p w14:paraId="4E864C7F" w14:textId="004CE429" w:rsidR="00C149FA" w:rsidRPr="00F93BD2" w:rsidRDefault="00C149FA" w:rsidP="00C9296A">
      <w:pPr>
        <w:pStyle w:val="HChG"/>
      </w:pPr>
      <w:r w:rsidRPr="00F93BD2">
        <w:lastRenderedPageBreak/>
        <w:tab/>
      </w:r>
      <w:r w:rsidRPr="00F93BD2">
        <w:tab/>
        <w:t>Decision 3/CMP.13</w:t>
      </w:r>
    </w:p>
    <w:p w14:paraId="32D8119C" w14:textId="1F7EBF63" w:rsidR="00C9296A" w:rsidRPr="00F93BD2" w:rsidRDefault="00C149FA" w:rsidP="00C9296A">
      <w:pPr>
        <w:pStyle w:val="HChG"/>
      </w:pPr>
      <w:r w:rsidRPr="00F93BD2">
        <w:tab/>
      </w:r>
      <w:r w:rsidRPr="00F93BD2">
        <w:tab/>
      </w:r>
      <w:r w:rsidR="00C9296A" w:rsidRPr="00F93BD2">
        <w:t>Guidance relating to the clean development mechanism</w:t>
      </w:r>
    </w:p>
    <w:p w14:paraId="26284E56" w14:textId="77777777" w:rsidR="00C9296A" w:rsidRPr="00F93BD2" w:rsidRDefault="00C9296A" w:rsidP="004A0F26">
      <w:pPr>
        <w:spacing w:before="120"/>
        <w:ind w:left="1134" w:right="1134" w:firstLine="567"/>
        <w:jc w:val="both"/>
        <w:rPr>
          <w:i/>
        </w:rPr>
      </w:pPr>
      <w:r w:rsidRPr="00F93BD2">
        <w:rPr>
          <w:i/>
        </w:rPr>
        <w:t>The Conference of the Parties serving as the meeting of the Parties to the Kyoto Protocol</w:t>
      </w:r>
      <w:r w:rsidRPr="00F93BD2">
        <w:t>,</w:t>
      </w:r>
    </w:p>
    <w:p w14:paraId="735209B6" w14:textId="77777777" w:rsidR="00C9296A" w:rsidRPr="00F93BD2" w:rsidRDefault="00C9296A" w:rsidP="004A0F26">
      <w:pPr>
        <w:spacing w:before="120"/>
        <w:ind w:left="1134" w:right="1134" w:firstLine="567"/>
        <w:jc w:val="both"/>
      </w:pPr>
      <w:r w:rsidRPr="00F93BD2">
        <w:rPr>
          <w:i/>
          <w:lang w:val="en-US"/>
        </w:rPr>
        <w:t xml:space="preserve">Recalling </w:t>
      </w:r>
      <w:r w:rsidRPr="00F93BD2">
        <w:rPr>
          <w:lang w:val="en-US"/>
        </w:rPr>
        <w:t>the provisions of Articles 3 and 12 of the Kyoto Protocol and decision 1/CMP.6,</w:t>
      </w:r>
    </w:p>
    <w:p w14:paraId="2D4B8E78" w14:textId="77777777" w:rsidR="00C9296A" w:rsidRPr="00F93BD2" w:rsidRDefault="00C9296A" w:rsidP="004A0F26">
      <w:pPr>
        <w:spacing w:before="120"/>
        <w:ind w:left="1134" w:right="1134" w:firstLine="567"/>
        <w:jc w:val="both"/>
      </w:pPr>
      <w:r w:rsidRPr="00F93BD2">
        <w:rPr>
          <w:i/>
          <w:lang w:val="en-US"/>
        </w:rPr>
        <w:t xml:space="preserve">Cognizant </w:t>
      </w:r>
      <w:r w:rsidRPr="00F93BD2">
        <w:rPr>
          <w:lang w:val="en-US"/>
        </w:rPr>
        <w:t>of decision 3/CMP.1 and subsequent guidance provided by the Conference of the Parties serving as the meeting of the Parties to the Kyoto Protocol relating to the clean development mechanism,</w:t>
      </w:r>
    </w:p>
    <w:p w14:paraId="46A5551B" w14:textId="77777777" w:rsidR="00C9296A" w:rsidRPr="00F93BD2" w:rsidRDefault="00C9296A" w:rsidP="004A0F26">
      <w:pPr>
        <w:spacing w:before="120"/>
        <w:ind w:left="1134" w:right="1134" w:firstLine="567"/>
        <w:jc w:val="both"/>
        <w:rPr>
          <w:lang w:val="en-US"/>
        </w:rPr>
      </w:pPr>
      <w:r w:rsidRPr="00F93BD2">
        <w:rPr>
          <w:i/>
        </w:rPr>
        <w:t xml:space="preserve">Welcoming </w:t>
      </w:r>
      <w:r w:rsidRPr="00F93BD2">
        <w:t xml:space="preserve">the </w:t>
      </w:r>
      <w:r w:rsidRPr="00F93BD2">
        <w:rPr>
          <w:lang w:val="en-US"/>
        </w:rPr>
        <w:t>report</w:t>
      </w:r>
      <w:r w:rsidRPr="00F93BD2">
        <w:t xml:space="preserve"> for 2016–2017 of the Executive Board of the clean development mechanism,</w:t>
      </w:r>
      <w:r w:rsidRPr="00F93BD2">
        <w:rPr>
          <w:rStyle w:val="FootnoteReference"/>
        </w:rPr>
        <w:footnoteReference w:id="11"/>
      </w:r>
    </w:p>
    <w:p w14:paraId="4FBEB989" w14:textId="77777777" w:rsidR="00C9296A" w:rsidRPr="00F93BD2" w:rsidRDefault="00C9296A" w:rsidP="004A0F26">
      <w:pPr>
        <w:spacing w:before="120"/>
        <w:ind w:left="1134" w:right="1134" w:firstLine="567"/>
        <w:jc w:val="both"/>
      </w:pPr>
      <w:r w:rsidRPr="00F93BD2">
        <w:rPr>
          <w:i/>
        </w:rPr>
        <w:t>Appreciating</w:t>
      </w:r>
      <w:r w:rsidRPr="00F93BD2">
        <w:t xml:space="preserve"> the Executive Board, its panels and working groups and the secretariat for the work undertaken in 2017,</w:t>
      </w:r>
    </w:p>
    <w:p w14:paraId="62E0969B" w14:textId="4C1FA2F8" w:rsidR="00C9296A" w:rsidRPr="00F93BD2" w:rsidRDefault="00C9296A" w:rsidP="004A0F26">
      <w:pPr>
        <w:spacing w:before="120"/>
        <w:ind w:left="1134" w:right="1134" w:firstLine="567"/>
        <w:jc w:val="both"/>
      </w:pPr>
      <w:r w:rsidRPr="00F93BD2">
        <w:rPr>
          <w:i/>
        </w:rPr>
        <w:t>Noting</w:t>
      </w:r>
      <w:r w:rsidRPr="00F93BD2">
        <w:t xml:space="preserve"> the contribution to global efforts to address climate change by the clean development mechanism, which to date has been responsible for over 7,780 project activities being registered, 310 programmes of activities </w:t>
      </w:r>
      <w:r w:rsidR="008F48FC" w:rsidRPr="00F93BD2">
        <w:t xml:space="preserve">being </w:t>
      </w:r>
      <w:r w:rsidRPr="00F93BD2">
        <w:t>registered and over 1.88 billion certified emission reductions being issued,</w:t>
      </w:r>
      <w:r w:rsidRPr="00F93BD2">
        <w:rPr>
          <w:rStyle w:val="FootnoteReference"/>
        </w:rPr>
        <w:footnoteReference w:id="12"/>
      </w:r>
      <w:r w:rsidRPr="00F93BD2">
        <w:t xml:space="preserve"> of which over 124 million have been voluntarily cancelled either in national registries or in the clean development mechanism registry,</w:t>
      </w:r>
    </w:p>
    <w:p w14:paraId="5CFEB058" w14:textId="77777777" w:rsidR="00C9296A" w:rsidRPr="00F93BD2" w:rsidRDefault="00C9296A" w:rsidP="004A0F26">
      <w:pPr>
        <w:spacing w:before="120"/>
        <w:ind w:left="1134" w:right="1134" w:firstLine="567"/>
        <w:jc w:val="both"/>
      </w:pPr>
      <w:r w:rsidRPr="00F93BD2">
        <w:rPr>
          <w:i/>
          <w:lang w:val="en-US"/>
        </w:rPr>
        <w:t xml:space="preserve">Also noting </w:t>
      </w:r>
      <w:r w:rsidRPr="00F93BD2">
        <w:rPr>
          <w:lang w:val="en-US"/>
        </w:rPr>
        <w:t>decision 1/CP.19, paragraph 5(c), and decision 1/CP.21, paragraph 106, on the role of voluntary cancellation of certified emission reductions,</w:t>
      </w:r>
    </w:p>
    <w:p w14:paraId="31BFF95C" w14:textId="77777777" w:rsidR="00C9296A" w:rsidRPr="00F93BD2" w:rsidRDefault="00C9296A" w:rsidP="004A0F26">
      <w:pPr>
        <w:spacing w:before="120"/>
        <w:ind w:left="1134" w:right="1134" w:firstLine="567"/>
        <w:jc w:val="both"/>
      </w:pPr>
      <w:r w:rsidRPr="00F93BD2">
        <w:rPr>
          <w:i/>
        </w:rPr>
        <w:t>Further noting</w:t>
      </w:r>
      <w:r w:rsidRPr="00F93BD2">
        <w:t xml:space="preserve"> that the regional distribution of registered project activities, registered programmes of activities and issuance of certified emission reductions is, respectively: for Africa 2.8 per cent, 36.1 per cent and 2.2 per cent; for Asia-Pacific 83.8 per cent, 47.1 per cent and 84.8 per cent; for Eastern Europe 0.6 per cent, 0.7 per cent and 0.2 per cent; and for Latin America and the Caribbean 12.8 per cent, 16.1 per cent and 12.8 per cent,</w:t>
      </w:r>
    </w:p>
    <w:p w14:paraId="2CCE0CA6" w14:textId="77777777" w:rsidR="00C9296A" w:rsidRPr="00F93BD2" w:rsidRDefault="00C9296A" w:rsidP="004A0F26">
      <w:pPr>
        <w:spacing w:before="120"/>
        <w:ind w:left="1134" w:right="1134" w:firstLine="567"/>
        <w:jc w:val="both"/>
      </w:pPr>
      <w:r w:rsidRPr="00F93BD2">
        <w:rPr>
          <w:i/>
          <w:lang w:val="en-US"/>
        </w:rPr>
        <w:t xml:space="preserve">Urging </w:t>
      </w:r>
      <w:r w:rsidRPr="00F93BD2">
        <w:t>Parties to deposit with the Depositary their instruments of acceptance in respect of the Doha Amendment</w:t>
      </w:r>
      <w:r w:rsidRPr="00F93BD2">
        <w:rPr>
          <w:rStyle w:val="FootnoteReference"/>
        </w:rPr>
        <w:footnoteReference w:id="13"/>
      </w:r>
      <w:r w:rsidRPr="00F93BD2">
        <w:t xml:space="preserve"> pursuant to Article 20 of the Kyoto Protocol with a view to expediting its entry into force,</w:t>
      </w:r>
    </w:p>
    <w:p w14:paraId="77C8080E" w14:textId="6BF341C2" w:rsidR="00C9296A" w:rsidRPr="00F93BD2" w:rsidRDefault="00C148B2" w:rsidP="00C148B2">
      <w:pPr>
        <w:pStyle w:val="RegSingleTxtG"/>
        <w:numPr>
          <w:ilvl w:val="0"/>
          <w:numId w:val="0"/>
        </w:numPr>
        <w:spacing w:before="120"/>
        <w:ind w:left="1134"/>
      </w:pPr>
      <w:r w:rsidRPr="00F93BD2">
        <w:t>1.</w:t>
      </w:r>
      <w:r w:rsidRPr="00F93BD2">
        <w:tab/>
      </w:r>
      <w:r w:rsidR="00C9296A" w:rsidRPr="00F93BD2">
        <w:rPr>
          <w:i/>
        </w:rPr>
        <w:t>Requests</w:t>
      </w:r>
      <w:r w:rsidR="00C9296A" w:rsidRPr="00F93BD2">
        <w:t xml:space="preserve"> the Executive Board of the clean development mechanism to continue to simplify the process for the development and approval of standardized baselines and to support designated national authorities in developing standardized baselines upon the request of the designated national authorities;</w:t>
      </w:r>
    </w:p>
    <w:p w14:paraId="4FE9F36D" w14:textId="521432F2" w:rsidR="00C9296A" w:rsidRPr="00F93BD2" w:rsidRDefault="00C148B2" w:rsidP="00C148B2">
      <w:pPr>
        <w:pStyle w:val="RegSingleTxtG"/>
        <w:numPr>
          <w:ilvl w:val="0"/>
          <w:numId w:val="0"/>
        </w:numPr>
        <w:spacing w:before="120"/>
        <w:ind w:left="1134"/>
      </w:pPr>
      <w:r w:rsidRPr="00F93BD2">
        <w:t>2.</w:t>
      </w:r>
      <w:r w:rsidRPr="00F93BD2">
        <w:tab/>
      </w:r>
      <w:r w:rsidR="00C9296A" w:rsidRPr="00F93BD2">
        <w:rPr>
          <w:i/>
        </w:rPr>
        <w:t>Encourages</w:t>
      </w:r>
      <w:r w:rsidR="00C9296A" w:rsidRPr="00F93BD2">
        <w:t xml:space="preserve"> the Executive Board to continue its cooperation with financial institutions in response to decision 6/CMP.11, paragraphs 7 and 8;</w:t>
      </w:r>
    </w:p>
    <w:p w14:paraId="5D2C7DA1" w14:textId="6C45EFFA" w:rsidR="00C9296A" w:rsidRPr="00F93BD2" w:rsidRDefault="00C148B2" w:rsidP="00C148B2">
      <w:pPr>
        <w:pStyle w:val="RegSingleTxtG"/>
        <w:numPr>
          <w:ilvl w:val="0"/>
          <w:numId w:val="0"/>
        </w:numPr>
        <w:spacing w:before="120"/>
        <w:ind w:left="1134"/>
      </w:pPr>
      <w:r w:rsidRPr="00F93BD2">
        <w:t>3.</w:t>
      </w:r>
      <w:r w:rsidRPr="00F93BD2">
        <w:tab/>
      </w:r>
      <w:r w:rsidR="00C9296A" w:rsidRPr="00F93BD2">
        <w:rPr>
          <w:i/>
        </w:rPr>
        <w:t xml:space="preserve">Recognizes </w:t>
      </w:r>
      <w:r w:rsidR="00C9296A" w:rsidRPr="00F93BD2">
        <w:t xml:space="preserve">the support provided to stakeholders in the clean development mechanism through the regional collaboration centres, and </w:t>
      </w:r>
      <w:r w:rsidR="00C9296A" w:rsidRPr="00F93BD2">
        <w:rPr>
          <w:i/>
        </w:rPr>
        <w:t>requests</w:t>
      </w:r>
      <w:r w:rsidR="00C9296A" w:rsidRPr="00F93BD2">
        <w:t xml:space="preserve"> the Executive Board to continue to support clean development mechanism project development via the regional collaboration centres and to report back to the Conference of the Parties serving as the meeting of the Parties to the Kyoto Protocol at its fourteenth session (December 2018);</w:t>
      </w:r>
    </w:p>
    <w:p w14:paraId="0EDC6BF3" w14:textId="4FC8FAAF" w:rsidR="00C9296A" w:rsidRPr="00F93BD2" w:rsidRDefault="00C148B2" w:rsidP="00C148B2">
      <w:pPr>
        <w:pStyle w:val="RegSingleTxtG"/>
        <w:numPr>
          <w:ilvl w:val="0"/>
          <w:numId w:val="0"/>
        </w:numPr>
        <w:spacing w:before="120"/>
        <w:ind w:left="1134"/>
      </w:pPr>
      <w:r w:rsidRPr="00F93BD2">
        <w:t>4.</w:t>
      </w:r>
      <w:r w:rsidRPr="00F93BD2">
        <w:tab/>
      </w:r>
      <w:r w:rsidR="00C9296A" w:rsidRPr="00F93BD2">
        <w:rPr>
          <w:i/>
        </w:rPr>
        <w:t>Takes note</w:t>
      </w:r>
      <w:r w:rsidR="00C9296A" w:rsidRPr="00F93BD2">
        <w:t xml:space="preserve"> that the Executive Board has adopted a two-year business and management plan (2018–2019);</w:t>
      </w:r>
    </w:p>
    <w:p w14:paraId="3925F051" w14:textId="1D333019" w:rsidR="00C9296A" w:rsidRPr="00F93BD2" w:rsidRDefault="00C148B2" w:rsidP="00C148B2">
      <w:pPr>
        <w:pStyle w:val="RegSingleTxtG"/>
        <w:numPr>
          <w:ilvl w:val="0"/>
          <w:numId w:val="0"/>
        </w:numPr>
        <w:spacing w:before="120"/>
        <w:ind w:left="1134"/>
      </w:pPr>
      <w:r w:rsidRPr="00F93BD2">
        <w:lastRenderedPageBreak/>
        <w:t>5.</w:t>
      </w:r>
      <w:r w:rsidRPr="00F93BD2">
        <w:tab/>
      </w:r>
      <w:r w:rsidR="00C9296A" w:rsidRPr="00F93BD2">
        <w:rPr>
          <w:i/>
        </w:rPr>
        <w:t>Designates</w:t>
      </w:r>
      <w:r w:rsidR="00C9296A" w:rsidRPr="00F93BD2">
        <w:t xml:space="preserve"> as operational entities those entities that have been accredited and provisionally designated as such by the Executive Board to carry out the sector-specific validation functions and/or sector-specific verification functions described in the annex.</w:t>
      </w:r>
    </w:p>
    <w:p w14:paraId="7F811F40" w14:textId="04871F5F" w:rsidR="00C9296A" w:rsidRPr="00F93BD2" w:rsidRDefault="00C9296A" w:rsidP="00C148B2">
      <w:pPr>
        <w:pStyle w:val="RegH5G"/>
        <w:numPr>
          <w:ilvl w:val="0"/>
          <w:numId w:val="0"/>
        </w:numPr>
        <w:ind w:left="1135" w:right="-1" w:hanging="454"/>
        <w:jc w:val="center"/>
        <w:rPr>
          <w:i w:val="0"/>
        </w:rPr>
        <w:sectPr w:rsidR="00C9296A" w:rsidRPr="00F93BD2" w:rsidSect="00CA0361">
          <w:headerReference w:type="even" r:id="rId22"/>
          <w:headerReference w:type="default" r:id="rId23"/>
          <w:footerReference w:type="even" r:id="rId24"/>
          <w:footerReference w:type="default" r:id="rId25"/>
          <w:headerReference w:type="first" r:id="rId26"/>
          <w:footnotePr>
            <w:numRestart w:val="eachSect"/>
          </w:footnotePr>
          <w:pgSz w:w="11906" w:h="16838" w:code="9"/>
          <w:pgMar w:top="1417" w:right="1134" w:bottom="1134" w:left="1134" w:header="850" w:footer="567" w:gutter="0"/>
          <w:cols w:space="708"/>
          <w:docGrid w:linePitch="360"/>
        </w:sectPr>
      </w:pPr>
    </w:p>
    <w:p w14:paraId="1798D390" w14:textId="023609A7" w:rsidR="00C9296A" w:rsidRPr="00F93BD2" w:rsidRDefault="00C9296A" w:rsidP="00C148B2">
      <w:pPr>
        <w:pStyle w:val="RegHChG"/>
        <w:numPr>
          <w:ilvl w:val="0"/>
          <w:numId w:val="0"/>
        </w:numPr>
        <w:ind w:hanging="454"/>
      </w:pPr>
      <w:r w:rsidRPr="00F93BD2">
        <w:lastRenderedPageBreak/>
        <w:t>Annex</w:t>
      </w:r>
    </w:p>
    <w:p w14:paraId="3130FEF4" w14:textId="22B2BD7B" w:rsidR="00D621AE" w:rsidRPr="00F93BD2" w:rsidRDefault="00C9296A" w:rsidP="001E73DC">
      <w:pPr>
        <w:pStyle w:val="HChG"/>
        <w:spacing w:before="120" w:after="120"/>
      </w:pPr>
      <w:r w:rsidRPr="00F93BD2">
        <w:tab/>
      </w:r>
      <w:r w:rsidRPr="00F93BD2">
        <w:tab/>
        <w:t>Designation of operational entities by the Conference of the Parties serving as the meeting of the Parties to the Kyoto Protocol at its thirteenth session and changes in accreditation status of entities during the reporting period of the Executive Board of the clean development mechanism (18 October 2016 to 22 September 2017)</w:t>
      </w:r>
    </w:p>
    <w:p w14:paraId="3E1BE3A9" w14:textId="059B0E9D" w:rsidR="001E73DC" w:rsidRPr="00F93BD2" w:rsidRDefault="001E73DC" w:rsidP="00D0121B">
      <w:pPr>
        <w:jc w:val="right"/>
      </w:pPr>
      <w:r w:rsidRPr="00F93BD2">
        <w:t>[English only]</w:t>
      </w:r>
    </w:p>
    <w:p w14:paraId="7349B719" w14:textId="77777777" w:rsidR="00C9296A" w:rsidRPr="00F93BD2" w:rsidRDefault="00C9296A" w:rsidP="00C9296A">
      <w:pPr>
        <w:jc w:val="right"/>
      </w:pPr>
    </w:p>
    <w:tbl>
      <w:tblPr>
        <w:tblW w:w="8506" w:type="dxa"/>
        <w:tblInd w:w="1134" w:type="dxa"/>
        <w:tblBorders>
          <w:top w:val="single" w:sz="4" w:space="0" w:color="auto"/>
        </w:tblBorders>
        <w:tblCellMar>
          <w:left w:w="0" w:type="dxa"/>
        </w:tblCellMar>
        <w:tblLook w:val="04A0" w:firstRow="1" w:lastRow="0" w:firstColumn="1" w:lastColumn="0" w:noHBand="0" w:noVBand="1"/>
      </w:tblPr>
      <w:tblGrid>
        <w:gridCol w:w="5529"/>
        <w:gridCol w:w="2977"/>
      </w:tblGrid>
      <w:tr w:rsidR="00C9296A" w:rsidRPr="00F93BD2" w14:paraId="2673D259" w14:textId="77777777" w:rsidTr="00550391">
        <w:trPr>
          <w:cantSplit/>
          <w:trHeight w:val="240"/>
          <w:tblHeader/>
        </w:trPr>
        <w:tc>
          <w:tcPr>
            <w:tcW w:w="3250" w:type="pct"/>
            <w:tcBorders>
              <w:top w:val="single" w:sz="4" w:space="0" w:color="auto"/>
              <w:bottom w:val="single" w:sz="12" w:space="0" w:color="auto"/>
            </w:tcBorders>
            <w:shd w:val="clear" w:color="auto" w:fill="auto"/>
            <w:tcMar>
              <w:top w:w="57" w:type="dxa"/>
              <w:bottom w:w="57" w:type="dxa"/>
            </w:tcMar>
            <w:vAlign w:val="bottom"/>
          </w:tcPr>
          <w:p w14:paraId="6E023DA7" w14:textId="77777777" w:rsidR="00C9296A" w:rsidRPr="00F93BD2" w:rsidRDefault="00C9296A" w:rsidP="00550391">
            <w:pPr>
              <w:pStyle w:val="SDMTableBoxParaNotNumbered"/>
              <w:spacing w:before="80" w:after="80" w:line="200" w:lineRule="exact"/>
              <w:rPr>
                <w:rFonts w:ascii="Times New Roman" w:hAnsi="Times New Roman"/>
                <w:i/>
                <w:sz w:val="16"/>
              </w:rPr>
            </w:pPr>
            <w:r w:rsidRPr="00F93BD2">
              <w:rPr>
                <w:rFonts w:ascii="Times New Roman" w:hAnsi="Times New Roman"/>
                <w:i/>
                <w:sz w:val="16"/>
              </w:rPr>
              <w:t>Name of entity</w:t>
            </w:r>
          </w:p>
        </w:tc>
        <w:tc>
          <w:tcPr>
            <w:tcW w:w="1750" w:type="pct"/>
            <w:tcBorders>
              <w:top w:val="single" w:sz="4" w:space="0" w:color="auto"/>
              <w:bottom w:val="single" w:sz="12" w:space="0" w:color="auto"/>
            </w:tcBorders>
            <w:shd w:val="clear" w:color="auto" w:fill="auto"/>
            <w:tcMar>
              <w:top w:w="57" w:type="dxa"/>
              <w:bottom w:w="57" w:type="dxa"/>
            </w:tcMar>
            <w:vAlign w:val="bottom"/>
          </w:tcPr>
          <w:p w14:paraId="67042E5F" w14:textId="77777777" w:rsidR="00C9296A" w:rsidRPr="00F93BD2" w:rsidRDefault="00C9296A" w:rsidP="00550391">
            <w:pPr>
              <w:pStyle w:val="SDMTableBoxParaNotNumbered"/>
              <w:spacing w:before="80" w:after="80" w:line="200" w:lineRule="exact"/>
              <w:jc w:val="right"/>
              <w:rPr>
                <w:rFonts w:ascii="Times New Roman" w:hAnsi="Times New Roman"/>
                <w:i/>
                <w:sz w:val="16"/>
              </w:rPr>
            </w:pPr>
            <w:r w:rsidRPr="00F93BD2">
              <w:rPr>
                <w:rFonts w:ascii="Times New Roman" w:hAnsi="Times New Roman"/>
                <w:i/>
                <w:sz w:val="16"/>
              </w:rPr>
              <w:t>Sectoral scopes (validation and verification)</w:t>
            </w:r>
          </w:p>
        </w:tc>
      </w:tr>
      <w:tr w:rsidR="00C9296A" w:rsidRPr="00F93BD2" w14:paraId="3C1D9994" w14:textId="77777777" w:rsidTr="00550391">
        <w:trPr>
          <w:cantSplit/>
          <w:trHeight w:val="240"/>
        </w:trPr>
        <w:tc>
          <w:tcPr>
            <w:tcW w:w="3250" w:type="pct"/>
            <w:tcBorders>
              <w:top w:val="single" w:sz="12" w:space="0" w:color="auto"/>
              <w:bottom w:val="nil"/>
            </w:tcBorders>
            <w:shd w:val="clear" w:color="auto" w:fill="auto"/>
          </w:tcPr>
          <w:p w14:paraId="44596005" w14:textId="77777777" w:rsidR="00C9296A" w:rsidRPr="00F93BD2" w:rsidRDefault="00C9296A" w:rsidP="00550391">
            <w:pPr>
              <w:pStyle w:val="SDMTableBoxParaNotNumbered"/>
              <w:spacing w:before="40" w:after="120" w:line="220" w:lineRule="exact"/>
              <w:rPr>
                <w:rFonts w:ascii="Times New Roman" w:hAnsi="Times New Roman"/>
              </w:rPr>
            </w:pPr>
            <w:r w:rsidRPr="00F93BD2">
              <w:rPr>
                <w:rFonts w:ascii="Times New Roman" w:hAnsi="Times New Roman"/>
              </w:rPr>
              <w:t>AENOR INTERNACIONAL, S.A.U. (AENOR)</w:t>
            </w:r>
            <w:r w:rsidRPr="00F93BD2">
              <w:rPr>
                <w:rFonts w:ascii="Times New Roman" w:hAnsi="Times New Roman"/>
                <w:i/>
                <w:sz w:val="18"/>
                <w:szCs w:val="18"/>
                <w:vertAlign w:val="superscript"/>
              </w:rPr>
              <w:t>a</w:t>
            </w:r>
            <w:r w:rsidRPr="00F93BD2">
              <w:rPr>
                <w:rFonts w:ascii="Times New Roman" w:hAnsi="Times New Roman"/>
              </w:rPr>
              <w:t xml:space="preserve"> </w:t>
            </w:r>
            <w:r w:rsidRPr="00F93BD2">
              <w:rPr>
                <w:rFonts w:ascii="Times New Roman" w:hAnsi="Times New Roman"/>
              </w:rPr>
              <w:br/>
              <w:t>(transfer of accreditation from Spanish Association for Standardisation and Certification (AENOR))</w:t>
            </w:r>
          </w:p>
        </w:tc>
        <w:tc>
          <w:tcPr>
            <w:tcW w:w="1750" w:type="pct"/>
            <w:tcBorders>
              <w:top w:val="single" w:sz="12" w:space="0" w:color="auto"/>
              <w:bottom w:val="nil"/>
            </w:tcBorders>
            <w:shd w:val="clear" w:color="auto" w:fill="auto"/>
          </w:tcPr>
          <w:p w14:paraId="33C588CB" w14:textId="77777777" w:rsidR="00C9296A" w:rsidRPr="00F93BD2" w:rsidRDefault="00C9296A" w:rsidP="00550391">
            <w:pPr>
              <w:pStyle w:val="SDMTableBoxParaNotNumbered"/>
              <w:spacing w:before="40" w:after="120" w:line="220" w:lineRule="exact"/>
              <w:jc w:val="right"/>
              <w:rPr>
                <w:rFonts w:ascii="Times New Roman" w:hAnsi="Times New Roman"/>
              </w:rPr>
            </w:pPr>
            <w:r w:rsidRPr="00F93BD2">
              <w:rPr>
                <w:rFonts w:ascii="Times New Roman" w:hAnsi="Times New Roman"/>
              </w:rPr>
              <w:t>1–15</w:t>
            </w:r>
          </w:p>
        </w:tc>
      </w:tr>
      <w:tr w:rsidR="00C9296A" w:rsidRPr="00F93BD2" w14:paraId="5C692964" w14:textId="77777777" w:rsidTr="00550391">
        <w:trPr>
          <w:cantSplit/>
          <w:trHeight w:val="240"/>
        </w:trPr>
        <w:tc>
          <w:tcPr>
            <w:tcW w:w="3250" w:type="pct"/>
            <w:tcBorders>
              <w:top w:val="nil"/>
            </w:tcBorders>
            <w:shd w:val="clear" w:color="auto" w:fill="auto"/>
          </w:tcPr>
          <w:p w14:paraId="5699A7B1" w14:textId="28C0EF11" w:rsidR="00C9296A" w:rsidRPr="00F93BD2" w:rsidRDefault="00C9296A" w:rsidP="00550391">
            <w:pPr>
              <w:pStyle w:val="SDMTableBoxParaNotNumbered"/>
              <w:spacing w:before="40" w:after="120" w:line="220" w:lineRule="exact"/>
              <w:rPr>
                <w:rFonts w:ascii="Times New Roman" w:hAnsi="Times New Roman"/>
              </w:rPr>
            </w:pPr>
            <w:r w:rsidRPr="00F93BD2">
              <w:rPr>
                <w:rFonts w:ascii="Times New Roman" w:hAnsi="Times New Roman"/>
                <w:lang w:val="fr-FR"/>
              </w:rPr>
              <w:t xml:space="preserve">Bureau Veritas India Pvt. Ltd. </w:t>
            </w:r>
            <w:r w:rsidRPr="00F93BD2">
              <w:rPr>
                <w:rFonts w:ascii="Times New Roman" w:hAnsi="Times New Roman"/>
              </w:rPr>
              <w:t>(BVI)</w:t>
            </w:r>
            <w:r w:rsidRPr="00F93BD2">
              <w:rPr>
                <w:rFonts w:ascii="Times New Roman" w:hAnsi="Times New Roman"/>
                <w:i/>
                <w:sz w:val="18"/>
                <w:szCs w:val="18"/>
                <w:vertAlign w:val="superscript"/>
              </w:rPr>
              <w:t>a</w:t>
            </w:r>
            <w:r w:rsidRPr="00F93BD2">
              <w:rPr>
                <w:rFonts w:ascii="Times New Roman" w:hAnsi="Times New Roman"/>
              </w:rPr>
              <w:br/>
              <w:t>(transfer of accreditation from Bureau Veritas Certification Holding SAS (BVCH))</w:t>
            </w:r>
          </w:p>
        </w:tc>
        <w:tc>
          <w:tcPr>
            <w:tcW w:w="1750" w:type="pct"/>
            <w:tcBorders>
              <w:top w:val="nil"/>
            </w:tcBorders>
            <w:shd w:val="clear" w:color="auto" w:fill="auto"/>
          </w:tcPr>
          <w:p w14:paraId="5FC324D7" w14:textId="77777777" w:rsidR="00C9296A" w:rsidRPr="00F93BD2" w:rsidRDefault="00C9296A" w:rsidP="00550391">
            <w:pPr>
              <w:pStyle w:val="SDMTableBoxParaNotNumbered"/>
              <w:spacing w:before="40" w:after="120" w:line="220" w:lineRule="exact"/>
              <w:jc w:val="right"/>
              <w:rPr>
                <w:rFonts w:ascii="Times New Roman" w:hAnsi="Times New Roman"/>
              </w:rPr>
            </w:pPr>
            <w:r w:rsidRPr="00F93BD2">
              <w:rPr>
                <w:rFonts w:ascii="Times New Roman" w:hAnsi="Times New Roman"/>
              </w:rPr>
              <w:t>1–15</w:t>
            </w:r>
          </w:p>
        </w:tc>
      </w:tr>
      <w:tr w:rsidR="00C9296A" w:rsidRPr="00F93BD2" w14:paraId="000C72A8" w14:textId="77777777" w:rsidTr="00550391">
        <w:trPr>
          <w:cantSplit/>
          <w:trHeight w:val="240"/>
        </w:trPr>
        <w:tc>
          <w:tcPr>
            <w:tcW w:w="3250" w:type="pct"/>
            <w:tcBorders>
              <w:top w:val="nil"/>
            </w:tcBorders>
            <w:shd w:val="clear" w:color="auto" w:fill="auto"/>
          </w:tcPr>
          <w:p w14:paraId="4965C0A3" w14:textId="77777777" w:rsidR="00C9296A" w:rsidRPr="00F93BD2" w:rsidRDefault="00C9296A" w:rsidP="00550391">
            <w:pPr>
              <w:pStyle w:val="SDMTableBoxParaNotNumbered"/>
              <w:spacing w:before="40" w:after="120" w:line="220" w:lineRule="exact"/>
              <w:rPr>
                <w:rFonts w:ascii="Times New Roman" w:hAnsi="Times New Roman"/>
              </w:rPr>
            </w:pPr>
            <w:r w:rsidRPr="00F93BD2">
              <w:rPr>
                <w:rFonts w:ascii="Times New Roman" w:hAnsi="Times New Roman"/>
              </w:rPr>
              <w:t>China Quality Certification Center (CQC)</w:t>
            </w:r>
            <w:r w:rsidRPr="00F93BD2">
              <w:rPr>
                <w:rFonts w:ascii="Times New Roman" w:hAnsi="Times New Roman"/>
                <w:i/>
                <w:sz w:val="18"/>
                <w:szCs w:val="18"/>
                <w:vertAlign w:val="superscript"/>
              </w:rPr>
              <w:t>b</w:t>
            </w:r>
          </w:p>
        </w:tc>
        <w:tc>
          <w:tcPr>
            <w:tcW w:w="1750" w:type="pct"/>
            <w:tcBorders>
              <w:top w:val="nil"/>
            </w:tcBorders>
            <w:shd w:val="clear" w:color="auto" w:fill="auto"/>
          </w:tcPr>
          <w:p w14:paraId="5F9C08DA" w14:textId="77777777" w:rsidR="00C9296A" w:rsidRPr="00F93BD2" w:rsidRDefault="00C9296A" w:rsidP="00550391">
            <w:pPr>
              <w:pStyle w:val="SDMTableBoxParaNotNumbered"/>
              <w:spacing w:before="40" w:after="120" w:line="220" w:lineRule="exact"/>
              <w:jc w:val="right"/>
              <w:rPr>
                <w:rFonts w:ascii="Times New Roman" w:hAnsi="Times New Roman"/>
              </w:rPr>
            </w:pPr>
            <w:r w:rsidRPr="00F93BD2">
              <w:rPr>
                <w:rFonts w:ascii="Times New Roman" w:hAnsi="Times New Roman"/>
              </w:rPr>
              <w:t>1–15</w:t>
            </w:r>
          </w:p>
        </w:tc>
      </w:tr>
      <w:tr w:rsidR="00C9296A" w:rsidRPr="00F93BD2" w14:paraId="4D60F1C5" w14:textId="77777777" w:rsidTr="00550391">
        <w:trPr>
          <w:cantSplit/>
          <w:trHeight w:val="240"/>
        </w:trPr>
        <w:tc>
          <w:tcPr>
            <w:tcW w:w="3250" w:type="pct"/>
            <w:tcBorders>
              <w:top w:val="nil"/>
            </w:tcBorders>
            <w:shd w:val="clear" w:color="auto" w:fill="auto"/>
          </w:tcPr>
          <w:p w14:paraId="78975A3D" w14:textId="77777777" w:rsidR="00C9296A" w:rsidRPr="00F93BD2" w:rsidRDefault="00C9296A" w:rsidP="00550391">
            <w:pPr>
              <w:pStyle w:val="SDMTableBoxParaNotNumbered"/>
              <w:spacing w:before="40" w:after="120" w:line="220" w:lineRule="exact"/>
              <w:rPr>
                <w:rFonts w:ascii="Times New Roman" w:hAnsi="Times New Roman"/>
              </w:rPr>
            </w:pPr>
            <w:r w:rsidRPr="00F93BD2">
              <w:rPr>
                <w:rFonts w:ascii="Times New Roman" w:hAnsi="Times New Roman"/>
              </w:rPr>
              <w:t>Earthood Services Private Limited (Earthood)</w:t>
            </w:r>
            <w:r w:rsidRPr="00F93BD2">
              <w:rPr>
                <w:rFonts w:ascii="Times New Roman" w:hAnsi="Times New Roman"/>
                <w:i/>
                <w:sz w:val="18"/>
                <w:vertAlign w:val="superscript"/>
              </w:rPr>
              <w:t>c</w:t>
            </w:r>
          </w:p>
        </w:tc>
        <w:tc>
          <w:tcPr>
            <w:tcW w:w="1750" w:type="pct"/>
            <w:tcBorders>
              <w:top w:val="nil"/>
            </w:tcBorders>
            <w:shd w:val="clear" w:color="auto" w:fill="auto"/>
          </w:tcPr>
          <w:p w14:paraId="616DD3BD" w14:textId="77777777" w:rsidR="00C9296A" w:rsidRPr="00F93BD2" w:rsidRDefault="00C9296A" w:rsidP="00550391">
            <w:pPr>
              <w:pStyle w:val="SDMTableBoxParaNotNumbered"/>
              <w:spacing w:before="40" w:after="120" w:line="220" w:lineRule="exact"/>
              <w:jc w:val="right"/>
              <w:rPr>
                <w:rFonts w:ascii="Times New Roman" w:hAnsi="Times New Roman"/>
              </w:rPr>
            </w:pPr>
            <w:r w:rsidRPr="00F93BD2">
              <w:rPr>
                <w:rFonts w:ascii="Times New Roman" w:hAnsi="Times New Roman"/>
              </w:rPr>
              <w:t>1, 3–5, 13 and 15</w:t>
            </w:r>
          </w:p>
        </w:tc>
      </w:tr>
      <w:tr w:rsidR="00C9296A" w:rsidRPr="00F93BD2" w14:paraId="053BEF06" w14:textId="77777777" w:rsidTr="00550391">
        <w:trPr>
          <w:cantSplit/>
          <w:trHeight w:val="240"/>
        </w:trPr>
        <w:tc>
          <w:tcPr>
            <w:tcW w:w="3250" w:type="pct"/>
            <w:tcBorders>
              <w:top w:val="nil"/>
              <w:bottom w:val="nil"/>
            </w:tcBorders>
            <w:shd w:val="clear" w:color="auto" w:fill="auto"/>
          </w:tcPr>
          <w:p w14:paraId="1B27F2ED" w14:textId="77777777" w:rsidR="00C9296A" w:rsidRPr="00F93BD2" w:rsidRDefault="00C9296A" w:rsidP="00550391">
            <w:pPr>
              <w:pStyle w:val="SDMTableBoxParaNotNumbered"/>
              <w:spacing w:before="40" w:after="120" w:line="220" w:lineRule="exact"/>
              <w:rPr>
                <w:rFonts w:ascii="Times New Roman" w:hAnsi="Times New Roman"/>
              </w:rPr>
            </w:pPr>
            <w:r w:rsidRPr="00F93BD2">
              <w:rPr>
                <w:rFonts w:ascii="Times New Roman" w:hAnsi="Times New Roman"/>
              </w:rPr>
              <w:t>ERM Certification and Verification Services Limited (ERM CVS)</w:t>
            </w:r>
            <w:r w:rsidRPr="00F93BD2">
              <w:rPr>
                <w:rFonts w:ascii="Times New Roman" w:hAnsi="Times New Roman"/>
                <w:i/>
                <w:sz w:val="18"/>
                <w:szCs w:val="18"/>
                <w:vertAlign w:val="superscript"/>
              </w:rPr>
              <w:t>b</w:t>
            </w:r>
            <w:r w:rsidRPr="00F93BD2">
              <w:rPr>
                <w:rFonts w:ascii="Times New Roman" w:hAnsi="Times New Roman"/>
              </w:rPr>
              <w:t xml:space="preserve"> </w:t>
            </w:r>
          </w:p>
        </w:tc>
        <w:tc>
          <w:tcPr>
            <w:tcW w:w="1750" w:type="pct"/>
            <w:tcBorders>
              <w:top w:val="nil"/>
              <w:bottom w:val="nil"/>
            </w:tcBorders>
            <w:shd w:val="clear" w:color="auto" w:fill="auto"/>
          </w:tcPr>
          <w:p w14:paraId="669F3833" w14:textId="77777777" w:rsidR="00C9296A" w:rsidRPr="00F93BD2" w:rsidRDefault="00C9296A" w:rsidP="00550391">
            <w:pPr>
              <w:pStyle w:val="SDMTableBoxParaNotNumbered"/>
              <w:spacing w:before="40" w:after="120" w:line="220" w:lineRule="exact"/>
              <w:jc w:val="right"/>
              <w:rPr>
                <w:rFonts w:ascii="Times New Roman" w:hAnsi="Times New Roman"/>
              </w:rPr>
            </w:pPr>
            <w:r w:rsidRPr="00F93BD2">
              <w:rPr>
                <w:rFonts w:ascii="Times New Roman" w:hAnsi="Times New Roman"/>
              </w:rPr>
              <w:t>1, 3–5, 8–10 and 13</w:t>
            </w:r>
          </w:p>
        </w:tc>
      </w:tr>
      <w:tr w:rsidR="00C9296A" w:rsidRPr="00F93BD2" w14:paraId="045EEE26" w14:textId="77777777" w:rsidTr="00550391">
        <w:trPr>
          <w:cantSplit/>
          <w:trHeight w:val="240"/>
        </w:trPr>
        <w:tc>
          <w:tcPr>
            <w:tcW w:w="3250" w:type="pct"/>
            <w:tcBorders>
              <w:top w:val="nil"/>
            </w:tcBorders>
            <w:shd w:val="clear" w:color="auto" w:fill="auto"/>
          </w:tcPr>
          <w:p w14:paraId="674D5B45" w14:textId="77777777" w:rsidR="00C9296A" w:rsidRPr="00F93BD2" w:rsidRDefault="00C9296A" w:rsidP="00550391">
            <w:pPr>
              <w:pStyle w:val="SDMTableBoxParaNotNumbered"/>
              <w:spacing w:before="40" w:after="120" w:line="220" w:lineRule="exact"/>
              <w:rPr>
                <w:rFonts w:ascii="Times New Roman" w:hAnsi="Times New Roman"/>
              </w:rPr>
            </w:pPr>
            <w:r w:rsidRPr="00F93BD2">
              <w:rPr>
                <w:rFonts w:ascii="Times New Roman" w:hAnsi="Times New Roman"/>
              </w:rPr>
              <w:t>Foundation for Industrial Development - Management System Certification Institute (Thailand) (MASCI)</w:t>
            </w:r>
            <w:r w:rsidRPr="00F93BD2">
              <w:rPr>
                <w:rFonts w:ascii="Times New Roman" w:hAnsi="Times New Roman"/>
                <w:i/>
                <w:sz w:val="18"/>
                <w:szCs w:val="18"/>
                <w:vertAlign w:val="superscript"/>
              </w:rPr>
              <w:t>b</w:t>
            </w:r>
          </w:p>
        </w:tc>
        <w:tc>
          <w:tcPr>
            <w:tcW w:w="1750" w:type="pct"/>
            <w:tcBorders>
              <w:top w:val="nil"/>
            </w:tcBorders>
            <w:shd w:val="clear" w:color="auto" w:fill="auto"/>
          </w:tcPr>
          <w:p w14:paraId="1DB358B6" w14:textId="77777777" w:rsidR="00C9296A" w:rsidRPr="00F93BD2" w:rsidRDefault="00C9296A" w:rsidP="00550391">
            <w:pPr>
              <w:pStyle w:val="SDMTableBoxParaNotNumbered"/>
              <w:spacing w:before="40" w:after="120" w:line="220" w:lineRule="exact"/>
              <w:jc w:val="right"/>
              <w:rPr>
                <w:rFonts w:ascii="Times New Roman" w:hAnsi="Times New Roman"/>
              </w:rPr>
            </w:pPr>
            <w:r w:rsidRPr="00F93BD2">
              <w:rPr>
                <w:rFonts w:ascii="Times New Roman" w:hAnsi="Times New Roman"/>
              </w:rPr>
              <w:t>1 and 13</w:t>
            </w:r>
          </w:p>
        </w:tc>
      </w:tr>
      <w:tr w:rsidR="00C9296A" w:rsidRPr="00F93BD2" w14:paraId="41584A3E" w14:textId="77777777" w:rsidTr="00550391">
        <w:trPr>
          <w:cantSplit/>
          <w:trHeight w:val="240"/>
        </w:trPr>
        <w:tc>
          <w:tcPr>
            <w:tcW w:w="3250" w:type="pct"/>
            <w:tcBorders>
              <w:top w:val="nil"/>
            </w:tcBorders>
            <w:shd w:val="clear" w:color="auto" w:fill="auto"/>
          </w:tcPr>
          <w:p w14:paraId="48E2EBD7" w14:textId="77777777" w:rsidR="00C9296A" w:rsidRPr="00F93BD2" w:rsidRDefault="00C9296A" w:rsidP="00550391">
            <w:pPr>
              <w:pStyle w:val="SDMTableBoxParaNotNumbered"/>
              <w:spacing w:before="40" w:after="120" w:line="220" w:lineRule="exact"/>
              <w:rPr>
                <w:rFonts w:ascii="Times New Roman" w:hAnsi="Times New Roman"/>
              </w:rPr>
            </w:pPr>
            <w:r w:rsidRPr="00F93BD2">
              <w:rPr>
                <w:rFonts w:ascii="Times New Roman" w:hAnsi="Times New Roman"/>
              </w:rPr>
              <w:t>Japan Quality Assurance Organisation (JQA)</w:t>
            </w:r>
            <w:r w:rsidRPr="00F93BD2">
              <w:rPr>
                <w:rFonts w:ascii="Times New Roman" w:hAnsi="Times New Roman"/>
                <w:i/>
                <w:sz w:val="18"/>
                <w:szCs w:val="18"/>
                <w:vertAlign w:val="superscript"/>
              </w:rPr>
              <w:t>b</w:t>
            </w:r>
          </w:p>
        </w:tc>
        <w:tc>
          <w:tcPr>
            <w:tcW w:w="1750" w:type="pct"/>
            <w:tcBorders>
              <w:top w:val="nil"/>
            </w:tcBorders>
            <w:shd w:val="clear" w:color="auto" w:fill="auto"/>
          </w:tcPr>
          <w:p w14:paraId="447E6E3F" w14:textId="77777777" w:rsidR="00C9296A" w:rsidRPr="00F93BD2" w:rsidRDefault="00C9296A" w:rsidP="00550391">
            <w:pPr>
              <w:pStyle w:val="SDMTableBoxParaNotNumbered"/>
              <w:spacing w:before="40" w:after="120" w:line="220" w:lineRule="exact"/>
              <w:jc w:val="right"/>
              <w:rPr>
                <w:rFonts w:ascii="Times New Roman" w:hAnsi="Times New Roman"/>
              </w:rPr>
            </w:pPr>
            <w:r w:rsidRPr="00F93BD2">
              <w:rPr>
                <w:rFonts w:ascii="Times New Roman" w:hAnsi="Times New Roman"/>
              </w:rPr>
              <w:t>1, 3–5, 10, 13 and 14</w:t>
            </w:r>
          </w:p>
        </w:tc>
      </w:tr>
      <w:tr w:rsidR="00C9296A" w:rsidRPr="00F93BD2" w14:paraId="43A198FC" w14:textId="77777777" w:rsidTr="00550391">
        <w:trPr>
          <w:cantSplit/>
          <w:trHeight w:val="240"/>
        </w:trPr>
        <w:tc>
          <w:tcPr>
            <w:tcW w:w="3250" w:type="pct"/>
            <w:tcBorders>
              <w:top w:val="nil"/>
            </w:tcBorders>
            <w:shd w:val="clear" w:color="auto" w:fill="auto"/>
          </w:tcPr>
          <w:p w14:paraId="732500D1" w14:textId="77777777" w:rsidR="00C9296A" w:rsidRPr="00F93BD2" w:rsidRDefault="00C9296A" w:rsidP="00550391">
            <w:pPr>
              <w:pStyle w:val="SDMTableBoxParaNotNumbered"/>
              <w:spacing w:before="40" w:after="120" w:line="220" w:lineRule="exact"/>
              <w:rPr>
                <w:rFonts w:ascii="Times New Roman" w:hAnsi="Times New Roman"/>
                <w:lang w:val="fr-FR"/>
              </w:rPr>
            </w:pPr>
            <w:r w:rsidRPr="00F93BD2">
              <w:rPr>
                <w:rFonts w:ascii="Times New Roman" w:hAnsi="Times New Roman"/>
                <w:lang w:val="fr-FR"/>
              </w:rPr>
              <w:t>Japan Management Association (JMA)</w:t>
            </w:r>
            <w:r w:rsidRPr="00F93BD2">
              <w:rPr>
                <w:rFonts w:ascii="Times New Roman" w:hAnsi="Times New Roman"/>
                <w:i/>
                <w:sz w:val="18"/>
                <w:szCs w:val="18"/>
                <w:vertAlign w:val="superscript"/>
                <w:lang w:val="fr-FR"/>
              </w:rPr>
              <w:t>d</w:t>
            </w:r>
          </w:p>
        </w:tc>
        <w:tc>
          <w:tcPr>
            <w:tcW w:w="1750" w:type="pct"/>
            <w:tcBorders>
              <w:top w:val="nil"/>
            </w:tcBorders>
            <w:shd w:val="clear" w:color="auto" w:fill="auto"/>
          </w:tcPr>
          <w:p w14:paraId="6D9D3906" w14:textId="77777777" w:rsidR="00C9296A" w:rsidRPr="00F93BD2" w:rsidRDefault="00C9296A" w:rsidP="00550391">
            <w:pPr>
              <w:pStyle w:val="SDMTableBoxParaNotNumbered"/>
              <w:spacing w:before="40" w:after="120" w:line="220" w:lineRule="exact"/>
              <w:jc w:val="right"/>
              <w:rPr>
                <w:rFonts w:ascii="Times New Roman" w:hAnsi="Times New Roman"/>
              </w:rPr>
            </w:pPr>
            <w:r w:rsidRPr="00F93BD2">
              <w:rPr>
                <w:rFonts w:ascii="Times New Roman" w:hAnsi="Times New Roman"/>
              </w:rPr>
              <w:t>1–4, 6, 9 and 14</w:t>
            </w:r>
          </w:p>
        </w:tc>
      </w:tr>
      <w:tr w:rsidR="00C9296A" w:rsidRPr="00F93BD2" w14:paraId="183C37EB" w14:textId="77777777" w:rsidTr="00550391">
        <w:trPr>
          <w:cantSplit/>
          <w:trHeight w:val="240"/>
        </w:trPr>
        <w:tc>
          <w:tcPr>
            <w:tcW w:w="3250" w:type="pct"/>
            <w:tcBorders>
              <w:top w:val="nil"/>
              <w:bottom w:val="nil"/>
              <w:right w:val="nil"/>
            </w:tcBorders>
            <w:shd w:val="clear" w:color="auto" w:fill="auto"/>
          </w:tcPr>
          <w:p w14:paraId="2976D47D" w14:textId="77777777" w:rsidR="00C9296A" w:rsidRPr="00F93BD2" w:rsidRDefault="00C9296A" w:rsidP="00550391">
            <w:pPr>
              <w:pStyle w:val="SDMTableBoxParaNotNumbered"/>
              <w:spacing w:before="40" w:after="120" w:line="220" w:lineRule="exact"/>
              <w:rPr>
                <w:rFonts w:ascii="Times New Roman" w:hAnsi="Times New Roman"/>
              </w:rPr>
            </w:pPr>
            <w:r w:rsidRPr="00F93BD2">
              <w:rPr>
                <w:rFonts w:ascii="Times New Roman" w:hAnsi="Times New Roman"/>
              </w:rPr>
              <w:t>Korea Energy Agency (KEA)</w:t>
            </w:r>
            <w:r w:rsidRPr="00F93BD2">
              <w:rPr>
                <w:rFonts w:ascii="Times New Roman" w:hAnsi="Times New Roman"/>
                <w:i/>
                <w:sz w:val="18"/>
                <w:szCs w:val="18"/>
                <w:vertAlign w:val="superscript"/>
              </w:rPr>
              <w:t>b</w:t>
            </w:r>
            <w:r w:rsidRPr="00F93BD2">
              <w:rPr>
                <w:rFonts w:ascii="Times New Roman" w:hAnsi="Times New Roman"/>
              </w:rPr>
              <w:t xml:space="preserve"> </w:t>
            </w:r>
          </w:p>
        </w:tc>
        <w:tc>
          <w:tcPr>
            <w:tcW w:w="1750" w:type="pct"/>
            <w:tcBorders>
              <w:top w:val="nil"/>
              <w:left w:val="nil"/>
              <w:bottom w:val="nil"/>
            </w:tcBorders>
            <w:shd w:val="clear" w:color="auto" w:fill="auto"/>
          </w:tcPr>
          <w:p w14:paraId="4EC28A30" w14:textId="77777777" w:rsidR="00C9296A" w:rsidRPr="00F93BD2" w:rsidRDefault="00C9296A" w:rsidP="00550391">
            <w:pPr>
              <w:pStyle w:val="SDMTableBoxParaNotNumbered"/>
              <w:spacing w:before="40" w:after="120" w:line="220" w:lineRule="exact"/>
              <w:jc w:val="right"/>
              <w:rPr>
                <w:rFonts w:ascii="Times New Roman" w:hAnsi="Times New Roman"/>
              </w:rPr>
            </w:pPr>
            <w:r w:rsidRPr="00F93BD2">
              <w:rPr>
                <w:rFonts w:ascii="Times New Roman" w:hAnsi="Times New Roman"/>
              </w:rPr>
              <w:t>1, 3–5, 7, 9 and 11–15</w:t>
            </w:r>
          </w:p>
        </w:tc>
      </w:tr>
      <w:tr w:rsidR="00C9296A" w:rsidRPr="00F93BD2" w14:paraId="4C9312C7" w14:textId="77777777" w:rsidTr="00550391">
        <w:trPr>
          <w:cantSplit/>
          <w:trHeight w:val="240"/>
        </w:trPr>
        <w:tc>
          <w:tcPr>
            <w:tcW w:w="3250" w:type="pct"/>
            <w:tcBorders>
              <w:top w:val="nil"/>
              <w:right w:val="nil"/>
            </w:tcBorders>
            <w:shd w:val="clear" w:color="auto" w:fill="auto"/>
          </w:tcPr>
          <w:p w14:paraId="5939FC19" w14:textId="77777777" w:rsidR="00C9296A" w:rsidRPr="00F93BD2" w:rsidRDefault="00C9296A" w:rsidP="00550391">
            <w:pPr>
              <w:pStyle w:val="SDMTableBoxParaNotNumbered"/>
              <w:spacing w:before="40" w:after="120" w:line="220" w:lineRule="exact"/>
              <w:rPr>
                <w:rFonts w:ascii="Times New Roman" w:hAnsi="Times New Roman"/>
              </w:rPr>
            </w:pPr>
            <w:r w:rsidRPr="00F93BD2">
              <w:rPr>
                <w:rFonts w:ascii="Times New Roman" w:hAnsi="Times New Roman"/>
              </w:rPr>
              <w:t>Korean Standards Association (KSA)</w:t>
            </w:r>
            <w:r w:rsidRPr="00F93BD2">
              <w:rPr>
                <w:rFonts w:ascii="Times New Roman" w:hAnsi="Times New Roman"/>
                <w:i/>
                <w:sz w:val="18"/>
                <w:szCs w:val="18"/>
                <w:vertAlign w:val="superscript"/>
              </w:rPr>
              <w:t>b</w:t>
            </w:r>
          </w:p>
        </w:tc>
        <w:tc>
          <w:tcPr>
            <w:tcW w:w="1750" w:type="pct"/>
            <w:tcBorders>
              <w:top w:val="nil"/>
              <w:left w:val="nil"/>
            </w:tcBorders>
            <w:shd w:val="clear" w:color="auto" w:fill="auto"/>
          </w:tcPr>
          <w:p w14:paraId="20894119" w14:textId="77777777" w:rsidR="00C9296A" w:rsidRPr="00F93BD2" w:rsidRDefault="00C9296A" w:rsidP="00550391">
            <w:pPr>
              <w:pStyle w:val="SDMTableBoxParaNotNumbered"/>
              <w:spacing w:before="40" w:after="120" w:line="220" w:lineRule="exact"/>
              <w:jc w:val="right"/>
              <w:rPr>
                <w:rFonts w:ascii="Times New Roman" w:hAnsi="Times New Roman"/>
              </w:rPr>
            </w:pPr>
            <w:r w:rsidRPr="00F93BD2">
              <w:rPr>
                <w:rFonts w:ascii="Times New Roman" w:hAnsi="Times New Roman"/>
              </w:rPr>
              <w:t>1–5, 9, 10 and 13</w:t>
            </w:r>
          </w:p>
        </w:tc>
      </w:tr>
      <w:tr w:rsidR="00C9296A" w:rsidRPr="00F93BD2" w14:paraId="4DE2BA1D" w14:textId="77777777" w:rsidTr="00550391">
        <w:trPr>
          <w:cantSplit/>
          <w:trHeight w:val="240"/>
        </w:trPr>
        <w:tc>
          <w:tcPr>
            <w:tcW w:w="3250" w:type="pct"/>
            <w:tcBorders>
              <w:top w:val="nil"/>
              <w:bottom w:val="nil"/>
            </w:tcBorders>
            <w:shd w:val="clear" w:color="auto" w:fill="auto"/>
          </w:tcPr>
          <w:p w14:paraId="41444D0F" w14:textId="77777777" w:rsidR="00C9296A" w:rsidRPr="00F93BD2" w:rsidRDefault="00C9296A" w:rsidP="00550391">
            <w:pPr>
              <w:pStyle w:val="SDMTableBoxParaNotNumbered"/>
              <w:spacing w:before="40" w:after="120" w:line="220" w:lineRule="exact"/>
              <w:rPr>
                <w:rFonts w:ascii="Times New Roman" w:hAnsi="Times New Roman"/>
              </w:rPr>
            </w:pPr>
            <w:r w:rsidRPr="00F93BD2">
              <w:rPr>
                <w:rFonts w:ascii="Times New Roman" w:hAnsi="Times New Roman"/>
                <w:lang w:val="en-US"/>
              </w:rPr>
              <w:t>Perry Johnson Registrars Carbon Emissions Services (PJRCES)</w:t>
            </w:r>
            <w:r w:rsidRPr="00F93BD2">
              <w:rPr>
                <w:rFonts w:ascii="Times New Roman" w:hAnsi="Times New Roman"/>
                <w:i/>
                <w:sz w:val="18"/>
                <w:szCs w:val="18"/>
                <w:vertAlign w:val="superscript"/>
              </w:rPr>
              <w:t>e</w:t>
            </w:r>
          </w:p>
        </w:tc>
        <w:tc>
          <w:tcPr>
            <w:tcW w:w="1750" w:type="pct"/>
            <w:tcBorders>
              <w:top w:val="nil"/>
              <w:bottom w:val="nil"/>
            </w:tcBorders>
            <w:shd w:val="clear" w:color="auto" w:fill="auto"/>
          </w:tcPr>
          <w:p w14:paraId="744D2072" w14:textId="77777777" w:rsidR="00C9296A" w:rsidRPr="00F93BD2" w:rsidRDefault="00C9296A" w:rsidP="00550391">
            <w:pPr>
              <w:pStyle w:val="SDMTableBoxParaNotNumbered"/>
              <w:spacing w:before="40" w:after="120" w:line="220" w:lineRule="exact"/>
              <w:jc w:val="right"/>
              <w:rPr>
                <w:rFonts w:ascii="Times New Roman" w:hAnsi="Times New Roman"/>
              </w:rPr>
            </w:pPr>
            <w:r w:rsidRPr="00F93BD2">
              <w:rPr>
                <w:rFonts w:ascii="Times New Roman" w:hAnsi="Times New Roman"/>
              </w:rPr>
              <w:t>4, 7, 10, 12 and 15</w:t>
            </w:r>
          </w:p>
        </w:tc>
      </w:tr>
      <w:tr w:rsidR="00C9296A" w:rsidRPr="00F93BD2" w14:paraId="46E16DBE" w14:textId="77777777" w:rsidTr="00550391">
        <w:trPr>
          <w:cantSplit/>
          <w:trHeight w:val="240"/>
        </w:trPr>
        <w:tc>
          <w:tcPr>
            <w:tcW w:w="3250" w:type="pct"/>
            <w:tcBorders>
              <w:top w:val="nil"/>
              <w:bottom w:val="nil"/>
            </w:tcBorders>
            <w:shd w:val="clear" w:color="auto" w:fill="auto"/>
          </w:tcPr>
          <w:p w14:paraId="0E0AB864" w14:textId="77777777" w:rsidR="00C9296A" w:rsidRPr="00F93BD2" w:rsidRDefault="00C9296A" w:rsidP="00550391">
            <w:pPr>
              <w:pStyle w:val="SDMTableBoxParaNotNumbered"/>
              <w:spacing w:before="40" w:after="120" w:line="220" w:lineRule="exact"/>
              <w:rPr>
                <w:rFonts w:ascii="Times New Roman" w:hAnsi="Times New Roman"/>
              </w:rPr>
            </w:pPr>
            <w:r w:rsidRPr="00F93BD2">
              <w:rPr>
                <w:rFonts w:ascii="Times New Roman" w:hAnsi="Times New Roman"/>
              </w:rPr>
              <w:t>Re Carbon Gözetim Denetim ve Belgelendirme Limited Sirketi (Re Carbon)</w:t>
            </w:r>
            <w:r w:rsidRPr="00F93BD2">
              <w:rPr>
                <w:rFonts w:ascii="Times New Roman" w:hAnsi="Times New Roman"/>
                <w:i/>
                <w:sz w:val="18"/>
                <w:vertAlign w:val="superscript"/>
              </w:rPr>
              <w:t>a</w:t>
            </w:r>
            <w:r w:rsidRPr="00F93BD2">
              <w:rPr>
                <w:rFonts w:ascii="Times New Roman" w:hAnsi="Times New Roman"/>
                <w:i/>
              </w:rPr>
              <w:t xml:space="preserve"> </w:t>
            </w:r>
            <w:r w:rsidRPr="00F93BD2">
              <w:rPr>
                <w:rFonts w:ascii="Times New Roman" w:hAnsi="Times New Roman"/>
              </w:rPr>
              <w:t xml:space="preserve">(transfer of accreditation from Re-consult Ltd. (Re-consult)) </w:t>
            </w:r>
          </w:p>
        </w:tc>
        <w:tc>
          <w:tcPr>
            <w:tcW w:w="1750" w:type="pct"/>
            <w:tcBorders>
              <w:top w:val="nil"/>
              <w:bottom w:val="nil"/>
            </w:tcBorders>
            <w:shd w:val="clear" w:color="auto" w:fill="auto"/>
          </w:tcPr>
          <w:p w14:paraId="4C507D3D" w14:textId="77777777" w:rsidR="00C9296A" w:rsidRPr="00F93BD2" w:rsidRDefault="00C9296A" w:rsidP="00550391">
            <w:pPr>
              <w:pStyle w:val="SDMTableBoxParaNotNumbered"/>
              <w:spacing w:before="40" w:after="120" w:line="220" w:lineRule="exact"/>
              <w:jc w:val="right"/>
              <w:rPr>
                <w:rFonts w:ascii="Times New Roman" w:hAnsi="Times New Roman"/>
              </w:rPr>
            </w:pPr>
            <w:r w:rsidRPr="00F93BD2">
              <w:rPr>
                <w:rFonts w:ascii="Times New Roman" w:hAnsi="Times New Roman"/>
              </w:rPr>
              <w:t>1–4, 9, 13 and 15</w:t>
            </w:r>
          </w:p>
        </w:tc>
      </w:tr>
      <w:tr w:rsidR="00C9296A" w:rsidRPr="00F93BD2" w14:paraId="5EE070D9" w14:textId="77777777" w:rsidTr="00550391">
        <w:trPr>
          <w:cantSplit/>
          <w:trHeight w:val="240"/>
        </w:trPr>
        <w:tc>
          <w:tcPr>
            <w:tcW w:w="3250" w:type="pct"/>
            <w:tcBorders>
              <w:top w:val="nil"/>
              <w:bottom w:val="nil"/>
            </w:tcBorders>
            <w:shd w:val="clear" w:color="auto" w:fill="auto"/>
          </w:tcPr>
          <w:p w14:paraId="513BF108" w14:textId="77777777" w:rsidR="00C9296A" w:rsidRPr="00F93BD2" w:rsidRDefault="00C9296A" w:rsidP="00550391">
            <w:pPr>
              <w:pStyle w:val="SDMTableBoxParaNotNumbered"/>
              <w:spacing w:before="40" w:after="120" w:line="220" w:lineRule="exact"/>
              <w:rPr>
                <w:rFonts w:ascii="Times New Roman" w:hAnsi="Times New Roman"/>
                <w:lang w:val="es-BO"/>
              </w:rPr>
            </w:pPr>
            <w:r w:rsidRPr="00F93BD2">
              <w:rPr>
                <w:rFonts w:ascii="Times New Roman" w:hAnsi="Times New Roman"/>
                <w:lang w:val="es-BO"/>
              </w:rPr>
              <w:t>RINA Services S.p.A. (RINA)</w:t>
            </w:r>
            <w:r w:rsidRPr="00F93BD2">
              <w:rPr>
                <w:rFonts w:ascii="Times New Roman" w:hAnsi="Times New Roman"/>
                <w:i/>
                <w:sz w:val="18"/>
                <w:vertAlign w:val="superscript"/>
                <w:lang w:val="es-BO"/>
              </w:rPr>
              <w:t>f</w:t>
            </w:r>
          </w:p>
        </w:tc>
        <w:tc>
          <w:tcPr>
            <w:tcW w:w="1750" w:type="pct"/>
            <w:tcBorders>
              <w:top w:val="nil"/>
              <w:bottom w:val="nil"/>
            </w:tcBorders>
            <w:shd w:val="clear" w:color="auto" w:fill="auto"/>
          </w:tcPr>
          <w:p w14:paraId="039AA60A" w14:textId="77777777" w:rsidR="00C9296A" w:rsidRPr="00F93BD2" w:rsidRDefault="00C9296A" w:rsidP="00550391">
            <w:pPr>
              <w:pStyle w:val="SDMTableBoxParaNotNumbered"/>
              <w:spacing w:before="40" w:after="120" w:line="220" w:lineRule="exact"/>
              <w:jc w:val="right"/>
              <w:rPr>
                <w:rFonts w:ascii="Times New Roman" w:hAnsi="Times New Roman"/>
              </w:rPr>
            </w:pPr>
            <w:r w:rsidRPr="00F93BD2">
              <w:rPr>
                <w:rFonts w:ascii="Times New Roman" w:hAnsi="Times New Roman"/>
              </w:rPr>
              <w:t>8</w:t>
            </w:r>
          </w:p>
        </w:tc>
      </w:tr>
      <w:tr w:rsidR="00C9296A" w:rsidRPr="00F93BD2" w14:paraId="03D1A527" w14:textId="77777777" w:rsidTr="00550391">
        <w:trPr>
          <w:cantSplit/>
          <w:trHeight w:val="240"/>
        </w:trPr>
        <w:tc>
          <w:tcPr>
            <w:tcW w:w="3250" w:type="pct"/>
            <w:tcBorders>
              <w:top w:val="nil"/>
              <w:bottom w:val="nil"/>
            </w:tcBorders>
            <w:shd w:val="clear" w:color="auto" w:fill="auto"/>
          </w:tcPr>
          <w:p w14:paraId="63561CE8" w14:textId="77777777" w:rsidR="00C9296A" w:rsidRPr="00F93BD2" w:rsidRDefault="00C9296A" w:rsidP="00550391">
            <w:pPr>
              <w:pStyle w:val="SDMTableBoxParaNotNumbered"/>
              <w:spacing w:before="40" w:after="120" w:line="220" w:lineRule="exact"/>
              <w:rPr>
                <w:rFonts w:ascii="Times New Roman" w:hAnsi="Times New Roman"/>
                <w:lang w:val="es-BO"/>
              </w:rPr>
            </w:pPr>
            <w:r w:rsidRPr="00F93BD2">
              <w:rPr>
                <w:rFonts w:ascii="Times New Roman" w:hAnsi="Times New Roman"/>
                <w:lang w:val="es-BO"/>
              </w:rPr>
              <w:t>RINA Services S.p.A. (RINA)</w:t>
            </w:r>
            <w:r w:rsidRPr="00F93BD2">
              <w:rPr>
                <w:rFonts w:ascii="Times New Roman" w:hAnsi="Times New Roman"/>
                <w:i/>
                <w:sz w:val="18"/>
                <w:vertAlign w:val="superscript"/>
                <w:lang w:val="es-BO"/>
              </w:rPr>
              <w:t>b</w:t>
            </w:r>
          </w:p>
        </w:tc>
        <w:tc>
          <w:tcPr>
            <w:tcW w:w="1750" w:type="pct"/>
            <w:tcBorders>
              <w:top w:val="nil"/>
              <w:bottom w:val="nil"/>
            </w:tcBorders>
            <w:shd w:val="clear" w:color="auto" w:fill="auto"/>
          </w:tcPr>
          <w:p w14:paraId="799FD595" w14:textId="77777777" w:rsidR="00C9296A" w:rsidRPr="00F93BD2" w:rsidRDefault="00C9296A" w:rsidP="00550391">
            <w:pPr>
              <w:pStyle w:val="SDMTableBoxParaNotNumbered"/>
              <w:spacing w:before="40" w:after="120" w:line="220" w:lineRule="exact"/>
              <w:jc w:val="right"/>
              <w:rPr>
                <w:rFonts w:ascii="Times New Roman" w:hAnsi="Times New Roman"/>
              </w:rPr>
            </w:pPr>
            <w:r w:rsidRPr="00F93BD2">
              <w:rPr>
                <w:rFonts w:ascii="Times New Roman" w:hAnsi="Times New Roman"/>
              </w:rPr>
              <w:t>1–7, 9–11 and 13–15</w:t>
            </w:r>
          </w:p>
        </w:tc>
      </w:tr>
      <w:tr w:rsidR="00C9296A" w:rsidRPr="00F93BD2" w14:paraId="55E1EC5A" w14:textId="77777777" w:rsidTr="00550391">
        <w:trPr>
          <w:cantSplit/>
          <w:trHeight w:val="240"/>
        </w:trPr>
        <w:tc>
          <w:tcPr>
            <w:tcW w:w="3250" w:type="pct"/>
            <w:tcBorders>
              <w:top w:val="nil"/>
              <w:bottom w:val="nil"/>
            </w:tcBorders>
            <w:shd w:val="clear" w:color="auto" w:fill="auto"/>
          </w:tcPr>
          <w:p w14:paraId="1CB96B90" w14:textId="77777777" w:rsidR="00C9296A" w:rsidRPr="00F93BD2" w:rsidRDefault="00C9296A" w:rsidP="00550391">
            <w:pPr>
              <w:pStyle w:val="SDMTableBoxParaNotNumbered"/>
              <w:spacing w:before="40" w:after="120" w:line="220" w:lineRule="exact"/>
              <w:rPr>
                <w:rFonts w:ascii="Times New Roman" w:hAnsi="Times New Roman"/>
              </w:rPr>
            </w:pPr>
            <w:r w:rsidRPr="00F93BD2">
              <w:rPr>
                <w:rFonts w:ascii="Times New Roman" w:hAnsi="Times New Roman"/>
              </w:rPr>
              <w:t>SGS United Kingdom Limited (SGS)</w:t>
            </w:r>
            <w:r w:rsidRPr="00F93BD2">
              <w:rPr>
                <w:rFonts w:ascii="Times New Roman" w:hAnsi="Times New Roman"/>
                <w:i/>
                <w:sz w:val="18"/>
                <w:vertAlign w:val="superscript"/>
              </w:rPr>
              <w:t>d</w:t>
            </w:r>
          </w:p>
        </w:tc>
        <w:tc>
          <w:tcPr>
            <w:tcW w:w="1750" w:type="pct"/>
            <w:tcBorders>
              <w:top w:val="nil"/>
              <w:bottom w:val="nil"/>
            </w:tcBorders>
            <w:shd w:val="clear" w:color="auto" w:fill="auto"/>
          </w:tcPr>
          <w:p w14:paraId="1060351A" w14:textId="77777777" w:rsidR="00C9296A" w:rsidRPr="00F93BD2" w:rsidRDefault="00C9296A" w:rsidP="00550391">
            <w:pPr>
              <w:pStyle w:val="SDMTableBoxParaNotNumbered"/>
              <w:spacing w:before="40" w:after="120" w:line="220" w:lineRule="exact"/>
              <w:jc w:val="right"/>
              <w:rPr>
                <w:rFonts w:ascii="Times New Roman" w:hAnsi="Times New Roman"/>
              </w:rPr>
            </w:pPr>
            <w:r w:rsidRPr="00F93BD2">
              <w:rPr>
                <w:rFonts w:ascii="Times New Roman" w:hAnsi="Times New Roman"/>
              </w:rPr>
              <w:t>1, 4, 7, 10 and 13</w:t>
            </w:r>
          </w:p>
        </w:tc>
      </w:tr>
      <w:tr w:rsidR="00C9296A" w:rsidRPr="00F93BD2" w14:paraId="4EAFEF17" w14:textId="77777777" w:rsidTr="00550391">
        <w:trPr>
          <w:cantSplit/>
          <w:trHeight w:val="240"/>
        </w:trPr>
        <w:tc>
          <w:tcPr>
            <w:tcW w:w="3250" w:type="pct"/>
            <w:tcBorders>
              <w:top w:val="nil"/>
              <w:bottom w:val="nil"/>
            </w:tcBorders>
            <w:shd w:val="clear" w:color="auto" w:fill="auto"/>
          </w:tcPr>
          <w:p w14:paraId="57352497" w14:textId="77777777" w:rsidR="00C9296A" w:rsidRPr="00F93BD2" w:rsidRDefault="00C9296A" w:rsidP="00550391">
            <w:pPr>
              <w:pStyle w:val="SDMTableBoxParaNotNumbered"/>
              <w:spacing w:before="40" w:after="120" w:line="220" w:lineRule="exact"/>
              <w:rPr>
                <w:rFonts w:ascii="Times New Roman" w:hAnsi="Times New Roman"/>
              </w:rPr>
            </w:pPr>
            <w:r w:rsidRPr="00F93BD2">
              <w:rPr>
                <w:rFonts w:ascii="Times New Roman" w:hAnsi="Times New Roman"/>
              </w:rPr>
              <w:t>SIRIM QAS INTERNATIONAL SDN.BHD (SIRIM)</w:t>
            </w:r>
            <w:r w:rsidRPr="00F93BD2">
              <w:rPr>
                <w:rFonts w:ascii="Times New Roman" w:hAnsi="Times New Roman"/>
                <w:i/>
                <w:sz w:val="18"/>
                <w:vertAlign w:val="superscript"/>
              </w:rPr>
              <w:t>d</w:t>
            </w:r>
          </w:p>
        </w:tc>
        <w:tc>
          <w:tcPr>
            <w:tcW w:w="1750" w:type="pct"/>
            <w:tcBorders>
              <w:top w:val="nil"/>
              <w:bottom w:val="nil"/>
            </w:tcBorders>
            <w:shd w:val="clear" w:color="auto" w:fill="auto"/>
          </w:tcPr>
          <w:p w14:paraId="2CC9A446" w14:textId="77777777" w:rsidR="00C9296A" w:rsidRPr="00F93BD2" w:rsidRDefault="00C9296A" w:rsidP="00550391">
            <w:pPr>
              <w:pStyle w:val="SDMTableBoxParaNotNumbered"/>
              <w:spacing w:before="40" w:after="120" w:line="220" w:lineRule="exact"/>
              <w:jc w:val="right"/>
              <w:rPr>
                <w:rFonts w:ascii="Times New Roman" w:hAnsi="Times New Roman"/>
              </w:rPr>
            </w:pPr>
            <w:r w:rsidRPr="00F93BD2">
              <w:rPr>
                <w:rFonts w:ascii="Times New Roman" w:hAnsi="Times New Roman"/>
              </w:rPr>
              <w:t>1 and 13</w:t>
            </w:r>
          </w:p>
        </w:tc>
      </w:tr>
      <w:tr w:rsidR="00C9296A" w:rsidRPr="00F93BD2" w14:paraId="1D7DB64B" w14:textId="77777777" w:rsidTr="00550391">
        <w:trPr>
          <w:cantSplit/>
          <w:trHeight w:val="240"/>
        </w:trPr>
        <w:tc>
          <w:tcPr>
            <w:tcW w:w="3250" w:type="pct"/>
            <w:tcBorders>
              <w:top w:val="nil"/>
              <w:bottom w:val="single" w:sz="12" w:space="0" w:color="auto"/>
            </w:tcBorders>
            <w:shd w:val="clear" w:color="auto" w:fill="auto"/>
          </w:tcPr>
          <w:p w14:paraId="4E742124" w14:textId="77777777" w:rsidR="00C9296A" w:rsidRPr="00F93BD2" w:rsidRDefault="00C9296A" w:rsidP="00550391">
            <w:pPr>
              <w:pStyle w:val="SDMTableBoxParaNotNumbered"/>
              <w:spacing w:before="40" w:after="120" w:line="220" w:lineRule="exact"/>
              <w:rPr>
                <w:rFonts w:ascii="Times New Roman" w:hAnsi="Times New Roman"/>
                <w:lang w:val="de-DE"/>
              </w:rPr>
            </w:pPr>
            <w:r w:rsidRPr="00F93BD2">
              <w:rPr>
                <w:rFonts w:ascii="Times New Roman" w:hAnsi="Times New Roman"/>
                <w:lang w:val="de-DE"/>
              </w:rPr>
              <w:t>TÜV Rheinland (China) Ltd. (TÜV Rheinland)</w:t>
            </w:r>
            <w:r w:rsidRPr="00F93BD2">
              <w:rPr>
                <w:rFonts w:ascii="Times New Roman" w:hAnsi="Times New Roman"/>
                <w:i/>
                <w:sz w:val="18"/>
                <w:vertAlign w:val="superscript"/>
                <w:lang w:val="de-DE"/>
              </w:rPr>
              <w:t>d</w:t>
            </w:r>
          </w:p>
        </w:tc>
        <w:tc>
          <w:tcPr>
            <w:tcW w:w="1750" w:type="pct"/>
            <w:tcBorders>
              <w:top w:val="nil"/>
              <w:bottom w:val="single" w:sz="12" w:space="0" w:color="auto"/>
            </w:tcBorders>
            <w:shd w:val="clear" w:color="auto" w:fill="auto"/>
          </w:tcPr>
          <w:p w14:paraId="58284F79" w14:textId="77777777" w:rsidR="00C9296A" w:rsidRPr="00F93BD2" w:rsidRDefault="00C9296A" w:rsidP="00550391">
            <w:pPr>
              <w:pStyle w:val="SDMTableBoxParaNotNumbered"/>
              <w:spacing w:before="40" w:after="120" w:line="220" w:lineRule="exact"/>
              <w:jc w:val="right"/>
              <w:rPr>
                <w:rFonts w:ascii="Times New Roman" w:hAnsi="Times New Roman"/>
                <w:lang w:val="de-DE"/>
              </w:rPr>
            </w:pPr>
            <w:r w:rsidRPr="00F93BD2">
              <w:rPr>
                <w:rFonts w:ascii="Times New Roman" w:hAnsi="Times New Roman"/>
                <w:lang w:val="de-DE"/>
              </w:rPr>
              <w:t>1–15</w:t>
            </w:r>
          </w:p>
        </w:tc>
      </w:tr>
    </w:tbl>
    <w:p w14:paraId="7AC70CD8" w14:textId="3CE44B8D" w:rsidR="00C9296A" w:rsidRPr="00F93BD2" w:rsidRDefault="00C148B2" w:rsidP="00C148B2">
      <w:pPr>
        <w:pStyle w:val="FootnoteTable"/>
        <w:spacing w:before="120" w:line="220" w:lineRule="exact"/>
        <w:ind w:left="1106" w:firstLine="170"/>
        <w:rPr>
          <w:rFonts w:cs="Arial"/>
        </w:rPr>
      </w:pPr>
      <w:r w:rsidRPr="00F93BD2">
        <w:rPr>
          <w:rFonts w:cs="Arial"/>
          <w:i/>
          <w:vertAlign w:val="superscript"/>
        </w:rPr>
        <w:t xml:space="preserve">a   </w:t>
      </w:r>
      <w:r w:rsidR="00C9296A" w:rsidRPr="00F93BD2">
        <w:rPr>
          <w:rFonts w:cs="Arial"/>
        </w:rPr>
        <w:t>Transfer of accreditation from another legal entity.</w:t>
      </w:r>
    </w:p>
    <w:p w14:paraId="4144C41D" w14:textId="07615AC7" w:rsidR="00C9296A" w:rsidRPr="00F93BD2" w:rsidRDefault="00C148B2" w:rsidP="00C148B2">
      <w:pPr>
        <w:pStyle w:val="FootnoteTable"/>
        <w:spacing w:line="220" w:lineRule="exact"/>
        <w:ind w:left="1106" w:firstLine="170"/>
        <w:rPr>
          <w:rFonts w:cs="Arial"/>
        </w:rPr>
      </w:pPr>
      <w:r w:rsidRPr="00F93BD2">
        <w:rPr>
          <w:rFonts w:cs="Arial"/>
          <w:i/>
          <w:vertAlign w:val="superscript"/>
        </w:rPr>
        <w:t xml:space="preserve">b   </w:t>
      </w:r>
      <w:r w:rsidR="00C9296A" w:rsidRPr="00F93BD2">
        <w:rPr>
          <w:rFonts w:cs="Arial"/>
        </w:rPr>
        <w:t xml:space="preserve">Accreditation granted for five years. </w:t>
      </w:r>
    </w:p>
    <w:p w14:paraId="062459F1" w14:textId="2B58C3EE" w:rsidR="00C9296A" w:rsidRPr="00F93BD2" w:rsidRDefault="00C148B2" w:rsidP="00C148B2">
      <w:pPr>
        <w:pStyle w:val="FootnoteTable"/>
        <w:spacing w:line="220" w:lineRule="exact"/>
        <w:ind w:left="1106" w:firstLine="170"/>
        <w:rPr>
          <w:rFonts w:cs="Arial"/>
        </w:rPr>
      </w:pPr>
      <w:r w:rsidRPr="00F93BD2">
        <w:rPr>
          <w:rFonts w:cs="Arial"/>
          <w:i/>
          <w:vertAlign w:val="superscript"/>
        </w:rPr>
        <w:t xml:space="preserve">c   </w:t>
      </w:r>
      <w:r w:rsidR="00C9296A" w:rsidRPr="00F93BD2">
        <w:rPr>
          <w:rFonts w:cs="Arial"/>
        </w:rPr>
        <w:t xml:space="preserve">Voluntary withdrawal of accreditation; the remaining sectoral scopes are indicated. </w:t>
      </w:r>
    </w:p>
    <w:p w14:paraId="3B9B1804" w14:textId="57A9E23B" w:rsidR="00C9296A" w:rsidRPr="00F93BD2" w:rsidRDefault="00C148B2" w:rsidP="00C148B2">
      <w:pPr>
        <w:pStyle w:val="FootnoteTable"/>
        <w:spacing w:line="220" w:lineRule="exact"/>
        <w:ind w:left="1106" w:firstLine="170"/>
      </w:pPr>
      <w:r w:rsidRPr="00F93BD2">
        <w:rPr>
          <w:i/>
          <w:vertAlign w:val="superscript"/>
        </w:rPr>
        <w:t xml:space="preserve">d   </w:t>
      </w:r>
      <w:r w:rsidR="00C9296A" w:rsidRPr="00F93BD2">
        <w:rPr>
          <w:rFonts w:cs="Arial"/>
        </w:rPr>
        <w:t>Voluntary withdrawal of accreditation in its entirety.</w:t>
      </w:r>
    </w:p>
    <w:p w14:paraId="47F52466" w14:textId="6138B5F8" w:rsidR="00C9296A" w:rsidRPr="00F93BD2" w:rsidRDefault="00C148B2" w:rsidP="00C148B2">
      <w:pPr>
        <w:pStyle w:val="FootnoteTable"/>
        <w:spacing w:line="220" w:lineRule="exact"/>
        <w:ind w:left="1106" w:firstLine="170"/>
      </w:pPr>
      <w:r w:rsidRPr="00F93BD2">
        <w:rPr>
          <w:i/>
          <w:vertAlign w:val="superscript"/>
        </w:rPr>
        <w:t xml:space="preserve">e   </w:t>
      </w:r>
      <w:r w:rsidR="00C9296A" w:rsidRPr="00F93BD2">
        <w:t>Entity suspended; only the suspended sectoral scopes are indicated.</w:t>
      </w:r>
    </w:p>
    <w:p w14:paraId="228239D1" w14:textId="5EEDBB56" w:rsidR="00C9296A" w:rsidRPr="00F93BD2" w:rsidRDefault="00C148B2" w:rsidP="00C148B2">
      <w:pPr>
        <w:pStyle w:val="FootnoteTable"/>
        <w:spacing w:line="220" w:lineRule="exact"/>
        <w:ind w:left="1106" w:firstLine="170"/>
      </w:pPr>
      <w:r w:rsidRPr="00F93BD2">
        <w:rPr>
          <w:i/>
          <w:vertAlign w:val="superscript"/>
        </w:rPr>
        <w:t xml:space="preserve">f   </w:t>
      </w:r>
      <w:r w:rsidR="00C9296A" w:rsidRPr="00F93BD2">
        <w:rPr>
          <w:rFonts w:cs="Arial"/>
        </w:rPr>
        <w:t>Withdrawal of accreditation by the Board; only the withdrawn sectoral scopes are indicated.</w:t>
      </w:r>
    </w:p>
    <w:p w14:paraId="6B1FBAD0" w14:textId="52A28D7C" w:rsidR="00C149FA" w:rsidRPr="00F93BD2" w:rsidRDefault="00C90A51" w:rsidP="00C149FA">
      <w:pPr>
        <w:spacing w:before="240"/>
        <w:jc w:val="right"/>
        <w:rPr>
          <w:i/>
        </w:rPr>
      </w:pPr>
      <w:r w:rsidRPr="00F93BD2">
        <w:rPr>
          <w:i/>
        </w:rPr>
        <w:t>11</w:t>
      </w:r>
      <w:r w:rsidRPr="00F93BD2">
        <w:rPr>
          <w:i/>
          <w:vertAlign w:val="superscript"/>
        </w:rPr>
        <w:t>th</w:t>
      </w:r>
      <w:r w:rsidRPr="00F93BD2">
        <w:rPr>
          <w:i/>
        </w:rPr>
        <w:t xml:space="preserve"> </w:t>
      </w:r>
      <w:r w:rsidR="00C149FA" w:rsidRPr="00F93BD2">
        <w:rPr>
          <w:i/>
        </w:rPr>
        <w:t>plenary meeting</w:t>
      </w:r>
    </w:p>
    <w:p w14:paraId="78293C85" w14:textId="1A13CD4F" w:rsidR="00C149FA" w:rsidRPr="00F93BD2" w:rsidRDefault="00C149FA" w:rsidP="00C149FA">
      <w:pPr>
        <w:jc w:val="right"/>
        <w:rPr>
          <w:i/>
        </w:rPr>
      </w:pPr>
      <w:r w:rsidRPr="00F93BD2">
        <w:rPr>
          <w:i/>
        </w:rPr>
        <w:t>17 November 2017</w:t>
      </w:r>
    </w:p>
    <w:p w14:paraId="47AA2F21" w14:textId="77777777" w:rsidR="00C149FA" w:rsidRPr="00F93BD2" w:rsidRDefault="00C149FA" w:rsidP="00C9296A">
      <w:pPr>
        <w:spacing w:before="240"/>
        <w:ind w:left="1134" w:right="1134"/>
        <w:jc w:val="center"/>
        <w:rPr>
          <w:i/>
          <w:u w:val="single"/>
        </w:rPr>
        <w:sectPr w:rsidR="00C149FA" w:rsidRPr="00F93BD2" w:rsidSect="00CA0361">
          <w:headerReference w:type="even" r:id="rId27"/>
          <w:headerReference w:type="default" r:id="rId28"/>
          <w:footerReference w:type="even" r:id="rId29"/>
          <w:footerReference w:type="default" r:id="rId30"/>
          <w:footnotePr>
            <w:numRestart w:val="eachSect"/>
          </w:footnotePr>
          <w:pgSz w:w="11906" w:h="16838" w:code="9"/>
          <w:pgMar w:top="1417" w:right="1134" w:bottom="1134" w:left="1134" w:header="850" w:footer="567" w:gutter="0"/>
          <w:cols w:space="708"/>
          <w:docGrid w:linePitch="360"/>
        </w:sectPr>
      </w:pPr>
    </w:p>
    <w:p w14:paraId="534E1CA8" w14:textId="11A19A55" w:rsidR="00C9296A" w:rsidRPr="00F93BD2" w:rsidRDefault="00C149FA" w:rsidP="00C149FA">
      <w:pPr>
        <w:pStyle w:val="HChG"/>
        <w:ind w:left="1107" w:firstLine="0"/>
      </w:pPr>
      <w:r w:rsidRPr="00F93BD2">
        <w:lastRenderedPageBreak/>
        <w:t>Decision 4/CMP.13</w:t>
      </w:r>
    </w:p>
    <w:p w14:paraId="1B622ABE" w14:textId="77777777" w:rsidR="00C13C4D" w:rsidRPr="00F93BD2" w:rsidRDefault="00C13C4D" w:rsidP="00C13C4D">
      <w:pPr>
        <w:pStyle w:val="HChG"/>
      </w:pPr>
      <w:r w:rsidRPr="00F93BD2">
        <w:tab/>
      </w:r>
      <w:r w:rsidRPr="00F93BD2">
        <w:tab/>
      </w:r>
      <w:r w:rsidRPr="00F93BD2">
        <w:rPr>
          <w:szCs w:val="28"/>
          <w:lang w:val="en-US"/>
        </w:rPr>
        <w:t>Fourth review of the implementation of the framework for capacity-building in countries with economies in transition under the Kyoto Protocol</w:t>
      </w:r>
    </w:p>
    <w:p w14:paraId="200E7BEA" w14:textId="3D1D7CD3" w:rsidR="00C13C4D" w:rsidRPr="00F93BD2" w:rsidRDefault="00C13C4D" w:rsidP="004A0F26">
      <w:pPr>
        <w:spacing w:before="120"/>
        <w:ind w:left="1134" w:right="1134" w:firstLine="567"/>
        <w:jc w:val="both"/>
        <w:rPr>
          <w:i/>
        </w:rPr>
      </w:pPr>
      <w:r w:rsidRPr="00F93BD2">
        <w:rPr>
          <w:i/>
          <w:noProof/>
        </w:rPr>
        <w:t>The Conference of the Parties serving as the meeting of the Parties to the Kyoto Protocol</w:t>
      </w:r>
      <w:r w:rsidR="00E405D1" w:rsidRPr="00F93BD2">
        <w:rPr>
          <w:noProof/>
        </w:rPr>
        <w:t>,</w:t>
      </w:r>
    </w:p>
    <w:p w14:paraId="66B47F05" w14:textId="77777777" w:rsidR="00C13C4D" w:rsidRPr="00F93BD2" w:rsidRDefault="00C13C4D" w:rsidP="004A0F26">
      <w:pPr>
        <w:spacing w:before="120"/>
        <w:ind w:left="1134" w:right="1134" w:firstLine="567"/>
        <w:jc w:val="both"/>
      </w:pPr>
      <w:r w:rsidRPr="00F93BD2">
        <w:rPr>
          <w:i/>
          <w:noProof/>
        </w:rPr>
        <w:t xml:space="preserve">Recalling </w:t>
      </w:r>
      <w:r w:rsidRPr="00F93BD2">
        <w:rPr>
          <w:noProof/>
        </w:rPr>
        <w:t>decisions 3/CP.7, 3/CP.10, 30/CMP.1 and 11/CMP.8,</w:t>
      </w:r>
    </w:p>
    <w:p w14:paraId="3579D9CE" w14:textId="77777777" w:rsidR="00C13C4D" w:rsidRPr="00F93BD2" w:rsidRDefault="00C13C4D" w:rsidP="004A0F26">
      <w:pPr>
        <w:spacing w:before="120"/>
        <w:ind w:left="1134" w:right="1134" w:firstLine="567"/>
        <w:jc w:val="both"/>
        <w:rPr>
          <w:noProof/>
        </w:rPr>
      </w:pPr>
      <w:r w:rsidRPr="00F93BD2">
        <w:rPr>
          <w:i/>
          <w:noProof/>
        </w:rPr>
        <w:t xml:space="preserve">Acknowledging </w:t>
      </w:r>
      <w:r w:rsidRPr="00F93BD2">
        <w:rPr>
          <w:noProof/>
        </w:rPr>
        <w:t>that capacity-building for countries with economies in transition is essential to enable them to implement effectively their commitments under the Kyoto Protocol,</w:t>
      </w:r>
    </w:p>
    <w:p w14:paraId="1EA57866" w14:textId="77777777" w:rsidR="00C13C4D" w:rsidRPr="00F93BD2" w:rsidRDefault="00C13C4D" w:rsidP="004A0F26">
      <w:pPr>
        <w:spacing w:before="120"/>
        <w:ind w:left="1134" w:right="1134" w:firstLine="567"/>
        <w:jc w:val="both"/>
        <w:rPr>
          <w:spacing w:val="-4"/>
        </w:rPr>
      </w:pPr>
      <w:r w:rsidRPr="00F93BD2">
        <w:rPr>
          <w:i/>
          <w:spacing w:val="-4"/>
        </w:rPr>
        <w:t xml:space="preserve">Having considered </w:t>
      </w:r>
      <w:r w:rsidRPr="00F93BD2">
        <w:rPr>
          <w:spacing w:val="-4"/>
        </w:rPr>
        <w:t>the information provided by Parties, the submissions received in response to the invitations of the Conference of the Parties serving as the meeting of the Parties to the Kyoto Protocol and the compilation and synthesis report in support of the fourth review of the implementation of the framework for capacity-building in countries with economies in transition, as established by decision 3/CP.7 and reaffirmed by decision 30/CMP.1,</w:t>
      </w:r>
    </w:p>
    <w:p w14:paraId="4D089C3F" w14:textId="10FD4286" w:rsidR="00C13C4D" w:rsidRPr="00F93BD2" w:rsidRDefault="00C148B2" w:rsidP="00C148B2">
      <w:pPr>
        <w:pStyle w:val="RegSingleTxtG"/>
        <w:numPr>
          <w:ilvl w:val="0"/>
          <w:numId w:val="0"/>
        </w:numPr>
        <w:spacing w:before="120"/>
        <w:ind w:left="1134"/>
      </w:pPr>
      <w:r w:rsidRPr="00F93BD2">
        <w:t>1.</w:t>
      </w:r>
      <w:r w:rsidRPr="00F93BD2">
        <w:tab/>
      </w:r>
      <w:r w:rsidR="00C13C4D" w:rsidRPr="00F93BD2">
        <w:rPr>
          <w:i/>
        </w:rPr>
        <w:t>Recognizes</w:t>
      </w:r>
      <w:r w:rsidR="00C13C4D" w:rsidRPr="00F93BD2">
        <w:t xml:space="preserve"> that:</w:t>
      </w:r>
    </w:p>
    <w:p w14:paraId="5E5F09C2" w14:textId="4D535553" w:rsidR="00C13C4D" w:rsidRPr="00F93BD2" w:rsidRDefault="00C148B2" w:rsidP="00C148B2">
      <w:pPr>
        <w:pStyle w:val="RegSingleTxtG2"/>
        <w:numPr>
          <w:ilvl w:val="0"/>
          <w:numId w:val="0"/>
        </w:numPr>
        <w:ind w:left="1134" w:firstLine="567"/>
      </w:pPr>
      <w:r w:rsidRPr="00F93BD2">
        <w:rPr>
          <w:szCs w:val="28"/>
        </w:rPr>
        <w:t>(a)</w:t>
      </w:r>
      <w:r w:rsidRPr="00F93BD2">
        <w:rPr>
          <w:szCs w:val="28"/>
        </w:rPr>
        <w:tab/>
      </w:r>
      <w:r w:rsidR="00C13C4D" w:rsidRPr="00F93BD2">
        <w:t>Significant progress has been made in building the capacity of countries with economies in transition to mitigate and adapt to climate change, and that some recipients of assistance have started to transfer their own expertise, knowledge and lessons learned on capacity-building to Parties not included in Annex I to the Convention;</w:t>
      </w:r>
    </w:p>
    <w:p w14:paraId="7F062E64" w14:textId="6CE2A14F" w:rsidR="00C13C4D" w:rsidRPr="00F93BD2" w:rsidRDefault="00C148B2" w:rsidP="00C148B2">
      <w:pPr>
        <w:pStyle w:val="RegSingleTxtG2"/>
        <w:numPr>
          <w:ilvl w:val="0"/>
          <w:numId w:val="0"/>
        </w:numPr>
        <w:ind w:left="1134" w:firstLine="567"/>
      </w:pPr>
      <w:r w:rsidRPr="00F93BD2">
        <w:rPr>
          <w:szCs w:val="28"/>
        </w:rPr>
        <w:t>(b)</w:t>
      </w:r>
      <w:r w:rsidRPr="00F93BD2">
        <w:rPr>
          <w:szCs w:val="28"/>
        </w:rPr>
        <w:tab/>
      </w:r>
      <w:r w:rsidR="00C13C4D" w:rsidRPr="00F93BD2">
        <w:t xml:space="preserve">Parties included in Annex I to the Convention and the Global Environment Facility, within its mandate, have provided adequate resources and assistance for the implementation of the framework for capacity-building in countries with economies in transition, as established by decision 3/CP.7 </w:t>
      </w:r>
      <w:r w:rsidR="00C13C4D" w:rsidRPr="00F93BD2">
        <w:rPr>
          <w:noProof/>
        </w:rPr>
        <w:t>and reaffirmed by decision 30/CMP.1</w:t>
      </w:r>
      <w:r w:rsidR="00C13C4D" w:rsidRPr="00F93BD2">
        <w:t>;</w:t>
      </w:r>
    </w:p>
    <w:p w14:paraId="2B2EA725" w14:textId="001CD34B" w:rsidR="00C13C4D" w:rsidRPr="00F93BD2" w:rsidRDefault="00C148B2" w:rsidP="00C148B2">
      <w:pPr>
        <w:pStyle w:val="RegSingleTxtG2"/>
        <w:numPr>
          <w:ilvl w:val="0"/>
          <w:numId w:val="0"/>
        </w:numPr>
        <w:ind w:left="1134" w:firstLine="567"/>
      </w:pPr>
      <w:r w:rsidRPr="00F93BD2">
        <w:rPr>
          <w:szCs w:val="28"/>
        </w:rPr>
        <w:t>(c)</w:t>
      </w:r>
      <w:r w:rsidRPr="00F93BD2">
        <w:rPr>
          <w:szCs w:val="28"/>
        </w:rPr>
        <w:tab/>
      </w:r>
      <w:r w:rsidR="00C13C4D" w:rsidRPr="00F93BD2">
        <w:t>Support was also provided to countries with economies in transition by multilateral development banks and international financial institutions;</w:t>
      </w:r>
    </w:p>
    <w:p w14:paraId="37CEF0D0" w14:textId="745F1E5D" w:rsidR="00C13C4D" w:rsidRPr="00F93BD2" w:rsidRDefault="00C148B2" w:rsidP="00C148B2">
      <w:pPr>
        <w:pStyle w:val="RegSingleTxtG2"/>
        <w:numPr>
          <w:ilvl w:val="0"/>
          <w:numId w:val="0"/>
        </w:numPr>
        <w:ind w:left="1134" w:firstLine="567"/>
      </w:pPr>
      <w:r w:rsidRPr="00F93BD2">
        <w:rPr>
          <w:szCs w:val="28"/>
        </w:rPr>
        <w:t>(d)</w:t>
      </w:r>
      <w:r w:rsidRPr="00F93BD2">
        <w:rPr>
          <w:szCs w:val="28"/>
        </w:rPr>
        <w:tab/>
      </w:r>
      <w:r w:rsidR="00C13C4D" w:rsidRPr="00F93BD2">
        <w:t>Countries with economies in transition that are currently receiving support, notwithstanding the progress made, are in need of further capacity-building, in particular for the development and implementation of national low-carbon development strategies consistent with their national priorities and with their emission reduction targets;</w:t>
      </w:r>
    </w:p>
    <w:p w14:paraId="18F92226" w14:textId="0780D459" w:rsidR="00C13C4D" w:rsidRPr="00F93BD2" w:rsidRDefault="00C148B2" w:rsidP="00C148B2">
      <w:pPr>
        <w:pStyle w:val="RegSingleTxtG"/>
        <w:numPr>
          <w:ilvl w:val="0"/>
          <w:numId w:val="0"/>
        </w:numPr>
        <w:ind w:left="1134"/>
      </w:pPr>
      <w:r w:rsidRPr="00F93BD2">
        <w:t>2.</w:t>
      </w:r>
      <w:r w:rsidRPr="00F93BD2">
        <w:tab/>
      </w:r>
      <w:r w:rsidR="00C13C4D" w:rsidRPr="00F93BD2">
        <w:rPr>
          <w:i/>
        </w:rPr>
        <w:t>Reaffirms</w:t>
      </w:r>
      <w:r w:rsidR="00C13C4D" w:rsidRPr="00F93BD2">
        <w:t xml:space="preserve"> that the scope of the needs identified in the framework for capacity-building in countries with economies in transition established under decisions 3/CP.7 and </w:t>
      </w:r>
      <w:r w:rsidR="00C13C4D" w:rsidRPr="00F93BD2">
        <w:rPr>
          <w:noProof/>
        </w:rPr>
        <w:t>30/CMP.1</w:t>
      </w:r>
      <w:r w:rsidR="00C13C4D" w:rsidRPr="00F93BD2">
        <w:t xml:space="preserve"> and the key factors identified in decision 3/CP.10 remain relevant and continue to be the basis for, and guide the implementation of, capacity-building activities in countries with economies in transition that are currently receiving support;</w:t>
      </w:r>
    </w:p>
    <w:p w14:paraId="289FC354" w14:textId="3CB1AE84" w:rsidR="00C13C4D" w:rsidRPr="00F93BD2" w:rsidRDefault="00C148B2" w:rsidP="00C148B2">
      <w:pPr>
        <w:pStyle w:val="RegSingleTxtG"/>
        <w:numPr>
          <w:ilvl w:val="0"/>
          <w:numId w:val="0"/>
        </w:numPr>
        <w:ind w:left="1134"/>
      </w:pPr>
      <w:r w:rsidRPr="00F93BD2">
        <w:t>3.</w:t>
      </w:r>
      <w:r w:rsidRPr="00F93BD2">
        <w:tab/>
      </w:r>
      <w:r w:rsidR="00C13C4D" w:rsidRPr="00F93BD2">
        <w:rPr>
          <w:i/>
        </w:rPr>
        <w:t>Invites</w:t>
      </w:r>
      <w:r w:rsidR="00C13C4D" w:rsidRPr="00F93BD2">
        <w:t xml:space="preserve"> Parties included in Annex II to the Convention and other Parties in a position to do so, the Global Environment Facility, multilateral and bilateral agencies, international organizations, multilateral development banks, international financial institutions and the private sector, or any further arrangements, as appropriate and within their mandates, to continue to provide support for capacity-building activities in countries with economies in transition that are currently receiving support;</w:t>
      </w:r>
    </w:p>
    <w:p w14:paraId="141537D9" w14:textId="7D6C3EC9" w:rsidR="00C13C4D" w:rsidRPr="00F93BD2" w:rsidRDefault="00C148B2" w:rsidP="00C148B2">
      <w:pPr>
        <w:pStyle w:val="RegSingleTxtG"/>
        <w:numPr>
          <w:ilvl w:val="0"/>
          <w:numId w:val="0"/>
        </w:numPr>
        <w:spacing w:after="0"/>
        <w:ind w:left="1134"/>
      </w:pPr>
      <w:r w:rsidRPr="00F93BD2">
        <w:t>4.</w:t>
      </w:r>
      <w:r w:rsidRPr="00F93BD2">
        <w:tab/>
      </w:r>
      <w:r w:rsidR="00C13C4D" w:rsidRPr="00F93BD2">
        <w:rPr>
          <w:i/>
        </w:rPr>
        <w:t>Decides</w:t>
      </w:r>
      <w:r w:rsidR="00C13C4D" w:rsidRPr="00F93BD2">
        <w:t xml:space="preserve"> to conclude the fourth review and </w:t>
      </w:r>
      <w:r w:rsidR="00C13C4D" w:rsidRPr="00F93BD2">
        <w:rPr>
          <w:i/>
        </w:rPr>
        <w:t>requests</w:t>
      </w:r>
      <w:r w:rsidR="00C13C4D" w:rsidRPr="00F93BD2">
        <w:t xml:space="preserve"> the Subsidiary Body for Implementation, at its fifty-second session (June 2020), to initiate the fifth review of the implementation of the framework for capacity-building in countries with economies in transition under the Kyoto Protocol with a view to completing this review at the sixteenth session of the </w:t>
      </w:r>
      <w:r w:rsidR="00C13C4D" w:rsidRPr="00F93BD2">
        <w:rPr>
          <w:noProof/>
        </w:rPr>
        <w:t>Conference of the Parties serving as the meeting of the Parties to the Kyoto Protocol (November 2020)</w:t>
      </w:r>
      <w:r w:rsidR="00C13C4D" w:rsidRPr="00F93BD2">
        <w:t>.</w:t>
      </w:r>
    </w:p>
    <w:p w14:paraId="6DC780C7" w14:textId="609CBFA1" w:rsidR="00C13C4D" w:rsidRPr="00F93BD2" w:rsidRDefault="00C90A51" w:rsidP="00C13C4D">
      <w:pPr>
        <w:jc w:val="right"/>
        <w:rPr>
          <w:i/>
        </w:rPr>
      </w:pPr>
      <w:r w:rsidRPr="00F93BD2">
        <w:rPr>
          <w:i/>
        </w:rPr>
        <w:t>11</w:t>
      </w:r>
      <w:r w:rsidRPr="00F93BD2">
        <w:rPr>
          <w:i/>
          <w:vertAlign w:val="superscript"/>
        </w:rPr>
        <w:t>th</w:t>
      </w:r>
      <w:r w:rsidRPr="00F93BD2">
        <w:rPr>
          <w:i/>
        </w:rPr>
        <w:t xml:space="preserve"> </w:t>
      </w:r>
      <w:r w:rsidR="00C13C4D" w:rsidRPr="00F93BD2">
        <w:rPr>
          <w:i/>
        </w:rPr>
        <w:t>plenary meeting</w:t>
      </w:r>
    </w:p>
    <w:p w14:paraId="60FB6209" w14:textId="77777777" w:rsidR="00C13C4D" w:rsidRPr="00F93BD2" w:rsidRDefault="00C13C4D" w:rsidP="00C13C4D">
      <w:pPr>
        <w:jc w:val="right"/>
        <w:rPr>
          <w:i/>
        </w:rPr>
        <w:sectPr w:rsidR="00C13C4D" w:rsidRPr="00F93BD2" w:rsidSect="00CA0361">
          <w:headerReference w:type="even" r:id="rId31"/>
          <w:headerReference w:type="default" r:id="rId32"/>
          <w:footerReference w:type="even" r:id="rId33"/>
          <w:footerReference w:type="default" r:id="rId34"/>
          <w:footnotePr>
            <w:numRestart w:val="eachSect"/>
          </w:footnotePr>
          <w:pgSz w:w="11906" w:h="16838" w:code="9"/>
          <w:pgMar w:top="1417" w:right="1134" w:bottom="1134" w:left="1134" w:header="850" w:footer="567" w:gutter="0"/>
          <w:cols w:space="708"/>
          <w:docGrid w:linePitch="360"/>
        </w:sectPr>
      </w:pPr>
      <w:r w:rsidRPr="00F93BD2">
        <w:rPr>
          <w:i/>
        </w:rPr>
        <w:t>17 November 2017</w:t>
      </w:r>
    </w:p>
    <w:p w14:paraId="19A448C2" w14:textId="3D198817" w:rsidR="00C13C4D" w:rsidRPr="00F93BD2" w:rsidRDefault="009F490A" w:rsidP="00C13C4D">
      <w:pPr>
        <w:pStyle w:val="HChG"/>
      </w:pPr>
      <w:r w:rsidRPr="00F93BD2">
        <w:lastRenderedPageBreak/>
        <w:tab/>
      </w:r>
      <w:r w:rsidRPr="00F93BD2">
        <w:tab/>
      </w:r>
      <w:r w:rsidR="00C13C4D" w:rsidRPr="00F93BD2">
        <w:t>Decision 5/CMP.13</w:t>
      </w:r>
    </w:p>
    <w:p w14:paraId="2BD8F75B" w14:textId="73AE982F" w:rsidR="009F490A" w:rsidRPr="00F93BD2" w:rsidRDefault="009F490A" w:rsidP="009F490A">
      <w:pPr>
        <w:pStyle w:val="HChG"/>
      </w:pPr>
      <w:r w:rsidRPr="00F93BD2">
        <w:tab/>
      </w:r>
      <w:r w:rsidRPr="00F93BD2">
        <w:tab/>
        <w:t>Administrative, financial and institutional matters</w:t>
      </w:r>
    </w:p>
    <w:p w14:paraId="3D963666" w14:textId="77777777" w:rsidR="009F490A" w:rsidRPr="00F93BD2" w:rsidRDefault="009F490A" w:rsidP="004A0F26">
      <w:pPr>
        <w:spacing w:before="120"/>
        <w:ind w:left="1134" w:right="1134" w:firstLine="567"/>
        <w:jc w:val="both"/>
        <w:rPr>
          <w:i/>
        </w:rPr>
      </w:pPr>
      <w:r w:rsidRPr="00F93BD2">
        <w:rPr>
          <w:i/>
        </w:rPr>
        <w:t>The Conference of the Parties serving as the meeting of the Parties to the Kyoto Protocol</w:t>
      </w:r>
      <w:r w:rsidRPr="00F93BD2">
        <w:t>,</w:t>
      </w:r>
    </w:p>
    <w:p w14:paraId="46B1C6D0" w14:textId="77777777" w:rsidR="009F490A" w:rsidRPr="00F93BD2" w:rsidRDefault="009F490A" w:rsidP="004A0F26">
      <w:pPr>
        <w:spacing w:before="120"/>
        <w:ind w:left="1134" w:right="1134" w:firstLine="567"/>
        <w:jc w:val="both"/>
      </w:pPr>
      <w:r w:rsidRPr="00F93BD2">
        <w:rPr>
          <w:i/>
        </w:rPr>
        <w:t xml:space="preserve">Recalling </w:t>
      </w:r>
      <w:r w:rsidRPr="00F93BD2">
        <w:t>Article 13, paragraph 5, of the Kyoto Protocol,</w:t>
      </w:r>
    </w:p>
    <w:p w14:paraId="2D24F8A6" w14:textId="77777777" w:rsidR="009F490A" w:rsidRPr="00F93BD2" w:rsidRDefault="009F490A" w:rsidP="004A0F26">
      <w:pPr>
        <w:spacing w:before="120"/>
        <w:ind w:left="1134" w:right="1134" w:firstLine="567"/>
        <w:jc w:val="both"/>
      </w:pPr>
      <w:r w:rsidRPr="00F93BD2">
        <w:rPr>
          <w:i/>
        </w:rPr>
        <w:t xml:space="preserve">Also recalling </w:t>
      </w:r>
      <w:r w:rsidRPr="00F93BD2">
        <w:t>paragraph 11 of the financial procedures for the Conference of the Parties, which also applies to the Kyoto Protocol,</w:t>
      </w:r>
      <w:r w:rsidRPr="00F93BD2">
        <w:rPr>
          <w:rStyle w:val="FootnoteReference"/>
        </w:rPr>
        <w:footnoteReference w:id="14"/>
      </w:r>
    </w:p>
    <w:p w14:paraId="7E63BF09" w14:textId="77777777" w:rsidR="009F490A" w:rsidRPr="00F93BD2" w:rsidRDefault="009F490A" w:rsidP="004A0F26">
      <w:pPr>
        <w:spacing w:before="120"/>
        <w:ind w:left="1134" w:right="1134" w:firstLine="567"/>
        <w:jc w:val="both"/>
      </w:pPr>
      <w:r w:rsidRPr="00F93BD2">
        <w:rPr>
          <w:i/>
        </w:rPr>
        <w:t xml:space="preserve">Further recalling </w:t>
      </w:r>
      <w:r w:rsidRPr="00F93BD2">
        <w:t xml:space="preserve">decision 22/CP.21, in which the programme budget for the biennium 2016–2017 was approved, </w:t>
      </w:r>
    </w:p>
    <w:p w14:paraId="53A4A817" w14:textId="4DC4EB42" w:rsidR="009F490A" w:rsidRPr="00F93BD2" w:rsidRDefault="009F490A" w:rsidP="004A0F26">
      <w:pPr>
        <w:pStyle w:val="RegSingleTxtG"/>
        <w:numPr>
          <w:ilvl w:val="0"/>
          <w:numId w:val="0"/>
        </w:numPr>
        <w:spacing w:before="120"/>
        <w:ind w:left="1134" w:firstLine="567"/>
      </w:pPr>
      <w:r w:rsidRPr="00F93BD2">
        <w:rPr>
          <w:i/>
        </w:rPr>
        <w:t>Taking note</w:t>
      </w:r>
      <w:r w:rsidRPr="00F93BD2">
        <w:t xml:space="preserve"> of decision </w:t>
      </w:r>
      <w:r w:rsidR="00C4675C" w:rsidRPr="00F93BD2">
        <w:t>21</w:t>
      </w:r>
      <w:r w:rsidRPr="00F93BD2">
        <w:t>/CP.23,</w:t>
      </w:r>
      <w:r w:rsidR="00C4675C" w:rsidRPr="00F93BD2" w:rsidDel="00C4675C">
        <w:rPr>
          <w:rStyle w:val="FootnoteReference"/>
        </w:rPr>
        <w:t xml:space="preserve"> </w:t>
      </w:r>
    </w:p>
    <w:p w14:paraId="6ED162E1" w14:textId="77777777" w:rsidR="009F490A" w:rsidRPr="00F93BD2" w:rsidRDefault="009F490A" w:rsidP="004A0F26">
      <w:pPr>
        <w:pStyle w:val="RegSingleTxtG"/>
        <w:numPr>
          <w:ilvl w:val="0"/>
          <w:numId w:val="0"/>
        </w:numPr>
        <w:spacing w:before="120"/>
        <w:ind w:left="1134" w:firstLine="567"/>
      </w:pPr>
      <w:r w:rsidRPr="00F93BD2">
        <w:rPr>
          <w:i/>
        </w:rPr>
        <w:t xml:space="preserve">Having considered </w:t>
      </w:r>
      <w:r w:rsidRPr="00F93BD2">
        <w:t>the information contained in the documents prepared by the secretariat on administrative, financial and institutional matters,</w:t>
      </w:r>
      <w:r w:rsidRPr="00F93BD2">
        <w:rPr>
          <w:rStyle w:val="FootnoteReference"/>
        </w:rPr>
        <w:footnoteReference w:id="15"/>
      </w:r>
    </w:p>
    <w:p w14:paraId="71CB3A7C" w14:textId="0330AD12" w:rsidR="009F490A" w:rsidRPr="00F93BD2" w:rsidRDefault="00C148B2" w:rsidP="00C148B2">
      <w:pPr>
        <w:pStyle w:val="RegHChG"/>
        <w:numPr>
          <w:ilvl w:val="0"/>
          <w:numId w:val="0"/>
        </w:numPr>
        <w:tabs>
          <w:tab w:val="left" w:pos="1135"/>
        </w:tabs>
        <w:ind w:left="1135" w:hanging="454"/>
      </w:pPr>
      <w:r w:rsidRPr="00F93BD2">
        <w:t>I.</w:t>
      </w:r>
      <w:r w:rsidRPr="00F93BD2">
        <w:tab/>
      </w:r>
      <w:r w:rsidR="009F490A" w:rsidRPr="00F93BD2">
        <w:t>Budget performance for the biennium 2016–2017</w:t>
      </w:r>
    </w:p>
    <w:p w14:paraId="1C8FA4DB" w14:textId="1AF9FB76" w:rsidR="009F490A" w:rsidRPr="00F93BD2" w:rsidRDefault="00C148B2" w:rsidP="00C148B2">
      <w:pPr>
        <w:pStyle w:val="RegSingleTxtG"/>
        <w:numPr>
          <w:ilvl w:val="0"/>
          <w:numId w:val="0"/>
        </w:numPr>
        <w:ind w:left="1134"/>
        <w:rPr>
          <w:lang w:eastAsia="en-US"/>
        </w:rPr>
      </w:pPr>
      <w:r w:rsidRPr="00F93BD2">
        <w:rPr>
          <w:lang w:eastAsia="en-US"/>
        </w:rPr>
        <w:t>1.</w:t>
      </w:r>
      <w:r w:rsidRPr="00F93BD2">
        <w:rPr>
          <w:lang w:eastAsia="en-US"/>
        </w:rPr>
        <w:tab/>
      </w:r>
      <w:r w:rsidR="009F490A" w:rsidRPr="00F93BD2">
        <w:rPr>
          <w:i/>
          <w:lang w:eastAsia="en-US"/>
        </w:rPr>
        <w:t>Takes note</w:t>
      </w:r>
      <w:r w:rsidR="009F490A" w:rsidRPr="00F93BD2">
        <w:rPr>
          <w:lang w:eastAsia="en-US"/>
        </w:rPr>
        <w:t xml:space="preserve"> of the information contained in the report on budget performance for the biennium 2016–2017 as at 30 June 2017</w:t>
      </w:r>
      <w:r w:rsidR="009F490A" w:rsidRPr="00F93BD2">
        <w:rPr>
          <w:rStyle w:val="FootnoteReference"/>
          <w:rFonts w:eastAsia="Times New Roman"/>
          <w:lang w:eastAsia="en-US"/>
        </w:rPr>
        <w:footnoteReference w:id="16"/>
      </w:r>
      <w:r w:rsidR="009F490A" w:rsidRPr="00F93BD2">
        <w:rPr>
          <w:lang w:eastAsia="en-US"/>
        </w:rPr>
        <w:t xml:space="preserve"> and the note on the status of contributions to the trust funds administered by the secretariat as at 16 October 2017;</w:t>
      </w:r>
      <w:r w:rsidR="009F490A" w:rsidRPr="00F93BD2">
        <w:rPr>
          <w:rStyle w:val="FootnoteReference"/>
          <w:rFonts w:eastAsia="Times New Roman"/>
          <w:lang w:eastAsia="en-US"/>
        </w:rPr>
        <w:footnoteReference w:id="17"/>
      </w:r>
      <w:r w:rsidR="009F490A" w:rsidRPr="00F93BD2">
        <w:rPr>
          <w:lang w:eastAsia="en-US"/>
        </w:rPr>
        <w:t xml:space="preserve"> </w:t>
      </w:r>
    </w:p>
    <w:p w14:paraId="4DB41822" w14:textId="354E615D" w:rsidR="009F490A" w:rsidRPr="00F93BD2" w:rsidRDefault="00C148B2" w:rsidP="00C148B2">
      <w:pPr>
        <w:pStyle w:val="RegSingleTxtG"/>
        <w:numPr>
          <w:ilvl w:val="0"/>
          <w:numId w:val="0"/>
        </w:numPr>
        <w:ind w:left="1134"/>
        <w:rPr>
          <w:lang w:eastAsia="en-US"/>
        </w:rPr>
      </w:pPr>
      <w:r w:rsidRPr="00F93BD2">
        <w:rPr>
          <w:lang w:eastAsia="en-US"/>
        </w:rPr>
        <w:t>2.</w:t>
      </w:r>
      <w:r w:rsidRPr="00F93BD2">
        <w:rPr>
          <w:lang w:eastAsia="en-US"/>
        </w:rPr>
        <w:tab/>
      </w:r>
      <w:r w:rsidR="009F490A" w:rsidRPr="00F93BD2">
        <w:rPr>
          <w:i/>
          <w:lang w:eastAsia="en-US"/>
        </w:rPr>
        <w:t>Expresses its appreciation</w:t>
      </w:r>
      <w:r w:rsidR="009F490A" w:rsidRPr="00F93BD2">
        <w:rPr>
          <w:lang w:eastAsia="en-US"/>
        </w:rPr>
        <w:t xml:space="preserve"> to Parties that made contributions to the core budget in a timely manner; </w:t>
      </w:r>
    </w:p>
    <w:p w14:paraId="110EC17F" w14:textId="42EDBBE7" w:rsidR="009F490A" w:rsidRPr="00F93BD2" w:rsidRDefault="00C148B2" w:rsidP="00C148B2">
      <w:pPr>
        <w:pStyle w:val="RegSingleTxtG"/>
        <w:numPr>
          <w:ilvl w:val="0"/>
          <w:numId w:val="0"/>
        </w:numPr>
        <w:ind w:left="1134"/>
        <w:rPr>
          <w:lang w:eastAsia="en-US"/>
        </w:rPr>
      </w:pPr>
      <w:r w:rsidRPr="00F93BD2">
        <w:rPr>
          <w:lang w:eastAsia="en-US"/>
        </w:rPr>
        <w:t>3.</w:t>
      </w:r>
      <w:r w:rsidRPr="00F93BD2">
        <w:rPr>
          <w:lang w:eastAsia="en-US"/>
        </w:rPr>
        <w:tab/>
      </w:r>
      <w:r w:rsidR="009F490A" w:rsidRPr="00F93BD2">
        <w:rPr>
          <w:i/>
          <w:lang w:eastAsia="en-US"/>
        </w:rPr>
        <w:t>Expresses concern</w:t>
      </w:r>
      <w:r w:rsidR="009F490A" w:rsidRPr="00F93BD2">
        <w:rPr>
          <w:lang w:eastAsia="en-US"/>
        </w:rPr>
        <w:t xml:space="preserve"> regarding the high level of outstanding contributions to the core budget for the current and previous bienniums, which has resulted in difficulties with cash flow; </w:t>
      </w:r>
    </w:p>
    <w:p w14:paraId="7E21E340" w14:textId="427FFBDA" w:rsidR="009F490A" w:rsidRPr="00F93BD2" w:rsidRDefault="00C148B2" w:rsidP="00C148B2">
      <w:pPr>
        <w:pStyle w:val="RegSingleTxtG"/>
        <w:numPr>
          <w:ilvl w:val="0"/>
          <w:numId w:val="0"/>
        </w:numPr>
        <w:ind w:left="1134"/>
        <w:rPr>
          <w:lang w:eastAsia="en-US"/>
        </w:rPr>
      </w:pPr>
      <w:r w:rsidRPr="00F93BD2">
        <w:rPr>
          <w:lang w:eastAsia="en-US"/>
        </w:rPr>
        <w:t>4.</w:t>
      </w:r>
      <w:r w:rsidRPr="00F93BD2">
        <w:rPr>
          <w:lang w:eastAsia="en-US"/>
        </w:rPr>
        <w:tab/>
      </w:r>
      <w:r w:rsidR="009F490A" w:rsidRPr="00F93BD2">
        <w:rPr>
          <w:i/>
          <w:lang w:eastAsia="en-US"/>
        </w:rPr>
        <w:t>Strongly urges</w:t>
      </w:r>
      <w:r w:rsidR="009F490A" w:rsidRPr="00F93BD2">
        <w:rPr>
          <w:lang w:eastAsia="en-US"/>
        </w:rPr>
        <w:t xml:space="preserve"> Parties that have not made contributions in full to the core budget for the current and/or previous bienniums to do so without further delay; </w:t>
      </w:r>
    </w:p>
    <w:p w14:paraId="7517FE57" w14:textId="683E8BA4" w:rsidR="009F490A" w:rsidRPr="00F93BD2" w:rsidRDefault="00C148B2" w:rsidP="00C148B2">
      <w:pPr>
        <w:pStyle w:val="RegSingleTxtG"/>
        <w:numPr>
          <w:ilvl w:val="0"/>
          <w:numId w:val="0"/>
        </w:numPr>
        <w:ind w:left="1134"/>
        <w:rPr>
          <w:lang w:eastAsia="en-US"/>
        </w:rPr>
      </w:pPr>
      <w:r w:rsidRPr="00F93BD2">
        <w:rPr>
          <w:lang w:eastAsia="en-US"/>
        </w:rPr>
        <w:t>5.</w:t>
      </w:r>
      <w:r w:rsidRPr="00F93BD2">
        <w:rPr>
          <w:lang w:eastAsia="en-US"/>
        </w:rPr>
        <w:tab/>
      </w:r>
      <w:r w:rsidR="009F490A" w:rsidRPr="00F93BD2">
        <w:rPr>
          <w:i/>
          <w:lang w:eastAsia="en-US"/>
        </w:rPr>
        <w:t>Calls upon</w:t>
      </w:r>
      <w:r w:rsidR="009F490A" w:rsidRPr="00F93BD2">
        <w:rPr>
          <w:lang w:eastAsia="en-US"/>
        </w:rPr>
        <w:t xml:space="preserve"> Parties to make their contributions to the core budget for the year 2018 in a timely manner, bearing in mind that contributions are due on 1 January of each year in accordance with the financial procedures </w:t>
      </w:r>
      <w:r w:rsidR="009F490A" w:rsidRPr="00F93BD2">
        <w:t>for the Conference of the Parties</w:t>
      </w:r>
      <w:r w:rsidR="009F490A" w:rsidRPr="00F93BD2">
        <w:rPr>
          <w:lang w:eastAsia="en-US"/>
        </w:rPr>
        <w:t xml:space="preserve">; </w:t>
      </w:r>
    </w:p>
    <w:p w14:paraId="3485459E" w14:textId="47D5983F" w:rsidR="009F490A" w:rsidRPr="00F93BD2" w:rsidRDefault="00C148B2" w:rsidP="00C148B2">
      <w:pPr>
        <w:pStyle w:val="RegSingleTxtG"/>
        <w:numPr>
          <w:ilvl w:val="0"/>
          <w:numId w:val="0"/>
        </w:numPr>
        <w:ind w:left="1134"/>
        <w:rPr>
          <w:lang w:eastAsia="en-US"/>
        </w:rPr>
      </w:pPr>
      <w:r w:rsidRPr="00F93BD2">
        <w:rPr>
          <w:lang w:eastAsia="en-US"/>
        </w:rPr>
        <w:t>6.</w:t>
      </w:r>
      <w:r w:rsidRPr="00F93BD2">
        <w:rPr>
          <w:lang w:eastAsia="en-US"/>
        </w:rPr>
        <w:tab/>
      </w:r>
      <w:r w:rsidR="009F490A" w:rsidRPr="00F93BD2">
        <w:rPr>
          <w:i/>
          <w:lang w:eastAsia="en-US"/>
        </w:rPr>
        <w:t>Expresses its appreciation</w:t>
      </w:r>
      <w:r w:rsidR="009F490A" w:rsidRPr="00F93BD2">
        <w:rPr>
          <w:lang w:eastAsia="en-US"/>
        </w:rPr>
        <w:t xml:space="preserve"> for the contributions to the Trust Fund for Participation in the UNFCCC Process and to the Trust Fund for Supplementary Activities received from Parties;</w:t>
      </w:r>
    </w:p>
    <w:p w14:paraId="77CC9B88" w14:textId="0B409660" w:rsidR="009F490A" w:rsidRPr="00F93BD2" w:rsidRDefault="00C148B2" w:rsidP="00C148B2">
      <w:pPr>
        <w:pStyle w:val="RegSingleTxtG"/>
        <w:numPr>
          <w:ilvl w:val="0"/>
          <w:numId w:val="0"/>
        </w:numPr>
        <w:ind w:left="1134"/>
        <w:rPr>
          <w:lang w:eastAsia="en-US"/>
        </w:rPr>
      </w:pPr>
      <w:r w:rsidRPr="00F93BD2">
        <w:rPr>
          <w:lang w:eastAsia="en-US"/>
        </w:rPr>
        <w:t>7.</w:t>
      </w:r>
      <w:r w:rsidRPr="00F93BD2">
        <w:rPr>
          <w:lang w:eastAsia="en-US"/>
        </w:rPr>
        <w:tab/>
      </w:r>
      <w:r w:rsidR="009F490A" w:rsidRPr="00F93BD2">
        <w:rPr>
          <w:i/>
          <w:lang w:eastAsia="en-US"/>
        </w:rPr>
        <w:t>Urges</w:t>
      </w:r>
      <w:r w:rsidR="009F490A" w:rsidRPr="00F93BD2">
        <w:rPr>
          <w:lang w:eastAsia="en-US"/>
        </w:rPr>
        <w:t xml:space="preserve"> Parties to further contribute to the Trust Fund for Participation in the UNFCCC Process, in order to ensure the widest possible participation in the negotiations in 2018, and to the Trust Fund for Supplementary Activities; </w:t>
      </w:r>
    </w:p>
    <w:p w14:paraId="5FD6D501" w14:textId="742D5C73" w:rsidR="00FC564E" w:rsidRPr="00F93BD2" w:rsidRDefault="00C148B2" w:rsidP="00C148B2">
      <w:pPr>
        <w:pStyle w:val="RegSingleTxtG"/>
        <w:numPr>
          <w:ilvl w:val="0"/>
          <w:numId w:val="0"/>
        </w:numPr>
        <w:ind w:left="1134"/>
        <w:rPr>
          <w:lang w:eastAsia="en-US"/>
        </w:rPr>
      </w:pPr>
      <w:r w:rsidRPr="00F93BD2">
        <w:rPr>
          <w:lang w:eastAsia="en-US"/>
        </w:rPr>
        <w:t>8.</w:t>
      </w:r>
      <w:r w:rsidRPr="00F93BD2">
        <w:rPr>
          <w:lang w:eastAsia="en-US"/>
        </w:rPr>
        <w:tab/>
      </w:r>
      <w:r w:rsidR="009F490A" w:rsidRPr="00F93BD2">
        <w:rPr>
          <w:i/>
          <w:lang w:eastAsia="en-US"/>
        </w:rPr>
        <w:t>Reiterates</w:t>
      </w:r>
      <w:r w:rsidR="009F490A" w:rsidRPr="00F93BD2">
        <w:rPr>
          <w:lang w:eastAsia="en-US"/>
        </w:rPr>
        <w:t xml:space="preserve"> </w:t>
      </w:r>
      <w:r w:rsidR="009F490A" w:rsidRPr="00F93BD2">
        <w:rPr>
          <w:i/>
          <w:lang w:eastAsia="en-US"/>
        </w:rPr>
        <w:t>its appreciation</w:t>
      </w:r>
      <w:r w:rsidR="009F490A" w:rsidRPr="00F93BD2">
        <w:rPr>
          <w:lang w:eastAsia="en-US"/>
        </w:rPr>
        <w:t xml:space="preserve"> to the Government of Germany for its annual voluntary contribution to the core budget of EUR 766,938 and its special contribution of EUR 1,789,522 as Host Government of the secretariat; </w:t>
      </w:r>
    </w:p>
    <w:p w14:paraId="2C7A511C" w14:textId="4136F3A2" w:rsidR="009F490A" w:rsidRPr="00F93BD2" w:rsidRDefault="00C148B2" w:rsidP="00C148B2">
      <w:pPr>
        <w:pStyle w:val="RegHChG"/>
        <w:numPr>
          <w:ilvl w:val="0"/>
          <w:numId w:val="0"/>
        </w:numPr>
        <w:tabs>
          <w:tab w:val="left" w:pos="1135"/>
        </w:tabs>
        <w:ind w:left="1135" w:hanging="454"/>
      </w:pPr>
      <w:r w:rsidRPr="00F93BD2">
        <w:t>II.</w:t>
      </w:r>
      <w:r w:rsidRPr="00F93BD2">
        <w:tab/>
      </w:r>
      <w:r w:rsidR="00FC564E" w:rsidRPr="00F93BD2">
        <w:rPr>
          <w:lang w:eastAsia="en-US"/>
        </w:rPr>
        <w:br w:type="page"/>
      </w:r>
      <w:r w:rsidR="009F490A" w:rsidRPr="00F93BD2">
        <w:lastRenderedPageBreak/>
        <w:t>Audit report and financial statements for 2016</w:t>
      </w:r>
    </w:p>
    <w:p w14:paraId="6B866587" w14:textId="39425801" w:rsidR="009F490A" w:rsidRPr="00F93BD2" w:rsidRDefault="00C148B2" w:rsidP="00C148B2">
      <w:pPr>
        <w:pStyle w:val="RegSingleTxtG"/>
        <w:numPr>
          <w:ilvl w:val="0"/>
          <w:numId w:val="0"/>
        </w:numPr>
        <w:tabs>
          <w:tab w:val="left" w:pos="568"/>
        </w:tabs>
        <w:ind w:left="1134"/>
        <w:rPr>
          <w:lang w:eastAsia="en-US"/>
        </w:rPr>
      </w:pPr>
      <w:r w:rsidRPr="00F93BD2">
        <w:rPr>
          <w:lang w:eastAsia="en-US"/>
        </w:rPr>
        <w:t>9.</w:t>
      </w:r>
      <w:r w:rsidRPr="00F93BD2">
        <w:rPr>
          <w:lang w:eastAsia="en-US"/>
        </w:rPr>
        <w:tab/>
      </w:r>
      <w:r w:rsidR="009F490A" w:rsidRPr="00F93BD2">
        <w:rPr>
          <w:i/>
          <w:lang w:eastAsia="en-US"/>
        </w:rPr>
        <w:t>Takes note</w:t>
      </w:r>
      <w:r w:rsidR="009F490A" w:rsidRPr="00F93BD2">
        <w:rPr>
          <w:lang w:eastAsia="en-US"/>
        </w:rPr>
        <w:t xml:space="preserve"> of the audit report of the United Nations Board of Auditors</w:t>
      </w:r>
      <w:r w:rsidR="009F490A" w:rsidRPr="00F93BD2">
        <w:rPr>
          <w:rStyle w:val="FootnoteReference"/>
          <w:lang w:eastAsia="en-US"/>
        </w:rPr>
        <w:footnoteReference w:id="18"/>
      </w:r>
      <w:r w:rsidR="009F490A" w:rsidRPr="00F93BD2">
        <w:rPr>
          <w:lang w:eastAsia="en-US"/>
        </w:rPr>
        <w:t xml:space="preserve"> and the financial statements for 2016, which include recommendations, and the comments of the secretariat thereon; </w:t>
      </w:r>
    </w:p>
    <w:p w14:paraId="1DF1DB64" w14:textId="2FE32D01" w:rsidR="009F490A" w:rsidRPr="00F93BD2" w:rsidRDefault="00C148B2" w:rsidP="00C148B2">
      <w:pPr>
        <w:pStyle w:val="RegSingleTxtG"/>
        <w:numPr>
          <w:ilvl w:val="0"/>
          <w:numId w:val="0"/>
        </w:numPr>
        <w:tabs>
          <w:tab w:val="left" w:pos="568"/>
        </w:tabs>
        <w:ind w:left="1134"/>
        <w:rPr>
          <w:lang w:eastAsia="en-US"/>
        </w:rPr>
      </w:pPr>
      <w:r w:rsidRPr="00F93BD2">
        <w:rPr>
          <w:lang w:eastAsia="en-US"/>
        </w:rPr>
        <w:t>10.</w:t>
      </w:r>
      <w:r w:rsidRPr="00F93BD2">
        <w:rPr>
          <w:lang w:eastAsia="en-US"/>
        </w:rPr>
        <w:tab/>
      </w:r>
      <w:r w:rsidR="009F490A" w:rsidRPr="00F93BD2">
        <w:rPr>
          <w:i/>
          <w:lang w:eastAsia="en-US"/>
        </w:rPr>
        <w:t>Expresses its appreciation</w:t>
      </w:r>
      <w:r w:rsidR="009F490A" w:rsidRPr="00F93BD2">
        <w:rPr>
          <w:lang w:eastAsia="en-US"/>
        </w:rPr>
        <w:t xml:space="preserve"> to the United Nations for arranging the audit of the accounts of the Convention; </w:t>
      </w:r>
    </w:p>
    <w:p w14:paraId="627A3BCE" w14:textId="730F6002" w:rsidR="009F490A" w:rsidRPr="00F93BD2" w:rsidRDefault="00C148B2" w:rsidP="00C148B2">
      <w:pPr>
        <w:pStyle w:val="RegSingleTxtG"/>
        <w:numPr>
          <w:ilvl w:val="0"/>
          <w:numId w:val="0"/>
        </w:numPr>
        <w:tabs>
          <w:tab w:val="left" w:pos="568"/>
        </w:tabs>
        <w:ind w:left="1134"/>
        <w:rPr>
          <w:lang w:eastAsia="en-US"/>
        </w:rPr>
      </w:pPr>
      <w:r w:rsidRPr="00F93BD2">
        <w:rPr>
          <w:lang w:eastAsia="en-US"/>
        </w:rPr>
        <w:t>11.</w:t>
      </w:r>
      <w:r w:rsidRPr="00F93BD2">
        <w:rPr>
          <w:lang w:eastAsia="en-US"/>
        </w:rPr>
        <w:tab/>
      </w:r>
      <w:r w:rsidR="009F490A" w:rsidRPr="00F93BD2">
        <w:rPr>
          <w:i/>
          <w:lang w:eastAsia="en-US"/>
        </w:rPr>
        <w:t>Also expresses its appreciation</w:t>
      </w:r>
      <w:r w:rsidR="009F490A" w:rsidRPr="00F93BD2">
        <w:rPr>
          <w:lang w:eastAsia="en-US"/>
        </w:rPr>
        <w:t xml:space="preserve"> to the auditors for the valuable observations and recommendations and the presentation made thereon to Parties;</w:t>
      </w:r>
    </w:p>
    <w:p w14:paraId="06553BAF" w14:textId="34EFEACC" w:rsidR="009F490A" w:rsidRPr="00F93BD2" w:rsidRDefault="00C148B2" w:rsidP="00C148B2">
      <w:pPr>
        <w:pStyle w:val="RegSingleTxtG"/>
        <w:numPr>
          <w:ilvl w:val="0"/>
          <w:numId w:val="0"/>
        </w:numPr>
        <w:ind w:left="1134"/>
        <w:rPr>
          <w:lang w:eastAsia="en-US"/>
        </w:rPr>
      </w:pPr>
      <w:r w:rsidRPr="00F93BD2">
        <w:rPr>
          <w:lang w:eastAsia="en-US"/>
        </w:rPr>
        <w:t>12.</w:t>
      </w:r>
      <w:r w:rsidRPr="00F93BD2">
        <w:rPr>
          <w:lang w:eastAsia="en-US"/>
        </w:rPr>
        <w:tab/>
      </w:r>
      <w:r w:rsidR="009F490A" w:rsidRPr="00F93BD2">
        <w:rPr>
          <w:i/>
          <w:lang w:eastAsia="en-US"/>
        </w:rPr>
        <w:t>Urges</w:t>
      </w:r>
      <w:r w:rsidR="009F490A" w:rsidRPr="00F93BD2">
        <w:rPr>
          <w:lang w:eastAsia="en-US"/>
        </w:rPr>
        <w:t xml:space="preserve"> the Executive Secretary to implement the recommendations of the auditors, as appropriate.</w:t>
      </w:r>
    </w:p>
    <w:p w14:paraId="06C50D12" w14:textId="0C89E3FF" w:rsidR="009F490A" w:rsidRPr="00F93BD2" w:rsidRDefault="00C90A51" w:rsidP="009F490A">
      <w:pPr>
        <w:jc w:val="right"/>
        <w:rPr>
          <w:i/>
        </w:rPr>
      </w:pPr>
      <w:r w:rsidRPr="00F93BD2">
        <w:rPr>
          <w:i/>
        </w:rPr>
        <w:t>12</w:t>
      </w:r>
      <w:r w:rsidRPr="00F93BD2">
        <w:rPr>
          <w:i/>
          <w:vertAlign w:val="superscript"/>
        </w:rPr>
        <w:t>th</w:t>
      </w:r>
      <w:r w:rsidRPr="00F93BD2">
        <w:rPr>
          <w:i/>
        </w:rPr>
        <w:t xml:space="preserve"> </w:t>
      </w:r>
      <w:r w:rsidR="009F490A" w:rsidRPr="00F93BD2">
        <w:rPr>
          <w:i/>
        </w:rPr>
        <w:t>plenary meeting</w:t>
      </w:r>
    </w:p>
    <w:p w14:paraId="50932635" w14:textId="2A8FF96A" w:rsidR="009F490A" w:rsidRPr="00F93BD2" w:rsidRDefault="009F490A" w:rsidP="009F490A">
      <w:pPr>
        <w:jc w:val="right"/>
        <w:rPr>
          <w:i/>
        </w:rPr>
        <w:sectPr w:rsidR="009F490A" w:rsidRPr="00F93BD2" w:rsidSect="00CA0361">
          <w:headerReference w:type="even" r:id="rId35"/>
          <w:headerReference w:type="default" r:id="rId36"/>
          <w:footerReference w:type="even" r:id="rId37"/>
          <w:footerReference w:type="default" r:id="rId38"/>
          <w:footnotePr>
            <w:numRestart w:val="eachSect"/>
          </w:footnotePr>
          <w:pgSz w:w="11906" w:h="16838" w:code="9"/>
          <w:pgMar w:top="1417" w:right="1134" w:bottom="1134" w:left="1134" w:header="850" w:footer="567" w:gutter="0"/>
          <w:cols w:space="708"/>
          <w:docGrid w:linePitch="360"/>
        </w:sectPr>
      </w:pPr>
      <w:r w:rsidRPr="00F93BD2">
        <w:rPr>
          <w:i/>
        </w:rPr>
        <w:t>1</w:t>
      </w:r>
      <w:r w:rsidR="00C90A51" w:rsidRPr="00F93BD2">
        <w:rPr>
          <w:i/>
        </w:rPr>
        <w:t>8</w:t>
      </w:r>
      <w:r w:rsidRPr="00F93BD2">
        <w:rPr>
          <w:i/>
        </w:rPr>
        <w:t xml:space="preserve"> November 2017</w:t>
      </w:r>
    </w:p>
    <w:p w14:paraId="7031F8A9" w14:textId="25725F76" w:rsidR="00C13C4D" w:rsidRPr="00F93BD2" w:rsidRDefault="009F490A" w:rsidP="009F490A">
      <w:pPr>
        <w:pStyle w:val="HChG"/>
      </w:pPr>
      <w:r w:rsidRPr="00F93BD2">
        <w:lastRenderedPageBreak/>
        <w:tab/>
      </w:r>
      <w:r w:rsidRPr="00F93BD2">
        <w:tab/>
        <w:t>Decision 6/CMP.13</w:t>
      </w:r>
    </w:p>
    <w:p w14:paraId="34CA8E11" w14:textId="77777777" w:rsidR="009F490A" w:rsidRPr="00F93BD2" w:rsidRDefault="009F490A" w:rsidP="009F490A">
      <w:pPr>
        <w:rPr>
          <w:rFonts w:eastAsia="MS Mincho"/>
          <w:b/>
          <w:sz w:val="28"/>
          <w:lang w:eastAsia="de-DE"/>
        </w:rPr>
      </w:pPr>
      <w:r w:rsidRPr="00F93BD2">
        <w:tab/>
      </w:r>
      <w:r w:rsidRPr="00F93BD2">
        <w:tab/>
      </w:r>
      <w:r w:rsidRPr="00F93BD2">
        <w:rPr>
          <w:rFonts w:eastAsia="MS Mincho"/>
          <w:b/>
          <w:sz w:val="28"/>
          <w:lang w:eastAsia="de-DE"/>
        </w:rPr>
        <w:t>Programme budget for the biennium 2018–2019</w:t>
      </w:r>
    </w:p>
    <w:p w14:paraId="28417BC8" w14:textId="77777777" w:rsidR="009F490A" w:rsidRPr="00F93BD2" w:rsidRDefault="009F490A" w:rsidP="00C749E5">
      <w:pPr>
        <w:suppressAutoHyphens w:val="0"/>
        <w:spacing w:before="240" w:after="120" w:line="240" w:lineRule="auto"/>
        <w:ind w:left="1134" w:right="1134" w:firstLine="567"/>
        <w:jc w:val="both"/>
        <w:rPr>
          <w:rFonts w:eastAsia="Times New Roman"/>
          <w:i/>
          <w:lang w:eastAsia="en-US"/>
        </w:rPr>
      </w:pPr>
      <w:r w:rsidRPr="00F93BD2">
        <w:rPr>
          <w:rFonts w:eastAsia="Times New Roman"/>
          <w:i/>
          <w:lang w:eastAsia="en-US"/>
        </w:rPr>
        <w:t>The Conference of the Parties serving as the meeting of the Parties to the Kyoto Protocol</w:t>
      </w:r>
      <w:r w:rsidRPr="00F93BD2">
        <w:rPr>
          <w:rFonts w:eastAsia="Times New Roman"/>
          <w:lang w:eastAsia="en-US"/>
        </w:rPr>
        <w:t>,</w:t>
      </w:r>
    </w:p>
    <w:p w14:paraId="73367BF3" w14:textId="77777777" w:rsidR="009F490A" w:rsidRPr="00F93BD2" w:rsidRDefault="009F490A" w:rsidP="004A0F26">
      <w:pPr>
        <w:suppressAutoHyphens w:val="0"/>
        <w:spacing w:after="120" w:line="240" w:lineRule="auto"/>
        <w:ind w:left="1134" w:right="1134" w:firstLine="567"/>
        <w:jc w:val="both"/>
        <w:rPr>
          <w:rFonts w:eastAsia="Times New Roman"/>
          <w:lang w:eastAsia="en-US"/>
        </w:rPr>
      </w:pPr>
      <w:r w:rsidRPr="00F93BD2">
        <w:rPr>
          <w:rFonts w:eastAsia="Times New Roman"/>
          <w:i/>
          <w:iCs/>
          <w:lang w:eastAsia="en-US"/>
        </w:rPr>
        <w:t>Recalling</w:t>
      </w:r>
      <w:r w:rsidRPr="00F93BD2">
        <w:rPr>
          <w:rFonts w:eastAsia="Times New Roman"/>
          <w:lang w:eastAsia="en-US"/>
        </w:rPr>
        <w:t xml:space="preserve"> Article 13, paragraph 5, of the Kyoto Protocol,</w:t>
      </w:r>
    </w:p>
    <w:p w14:paraId="0C3E0062" w14:textId="07BAACAF" w:rsidR="009F490A" w:rsidRPr="00F93BD2" w:rsidRDefault="009F490A" w:rsidP="004A0F26">
      <w:pPr>
        <w:suppressAutoHyphens w:val="0"/>
        <w:spacing w:after="120" w:line="240" w:lineRule="auto"/>
        <w:ind w:left="1134" w:right="1134" w:firstLine="567"/>
        <w:jc w:val="both"/>
        <w:rPr>
          <w:rFonts w:eastAsia="Times New Roman"/>
          <w:lang w:eastAsia="en-US"/>
        </w:rPr>
      </w:pPr>
      <w:r w:rsidRPr="00F93BD2">
        <w:rPr>
          <w:rFonts w:eastAsia="Times New Roman"/>
          <w:i/>
          <w:iCs/>
          <w:lang w:eastAsia="en-US"/>
        </w:rPr>
        <w:t>Taking note</w:t>
      </w:r>
      <w:r w:rsidRPr="00F93BD2">
        <w:rPr>
          <w:rFonts w:eastAsia="Times New Roman"/>
          <w:lang w:eastAsia="en-US"/>
        </w:rPr>
        <w:t xml:space="preserve"> of decision </w:t>
      </w:r>
      <w:r w:rsidR="00C4675C" w:rsidRPr="00F93BD2">
        <w:rPr>
          <w:rFonts w:eastAsia="Times New Roman"/>
          <w:lang w:eastAsia="en-US"/>
        </w:rPr>
        <w:t>21</w:t>
      </w:r>
      <w:r w:rsidRPr="00F93BD2">
        <w:rPr>
          <w:rFonts w:eastAsia="Times New Roman"/>
          <w:lang w:eastAsia="en-US"/>
        </w:rPr>
        <w:t>/CP.23, in particular paragraph 1,</w:t>
      </w:r>
    </w:p>
    <w:p w14:paraId="41A160AE" w14:textId="77777777" w:rsidR="009F490A" w:rsidRPr="00F93BD2" w:rsidRDefault="009F490A" w:rsidP="004A0F26">
      <w:pPr>
        <w:suppressAutoHyphens w:val="0"/>
        <w:spacing w:after="120" w:line="240" w:lineRule="auto"/>
        <w:ind w:left="1134" w:right="1134" w:firstLine="567"/>
        <w:jc w:val="both"/>
        <w:rPr>
          <w:rFonts w:eastAsia="Times New Roman"/>
          <w:lang w:eastAsia="en-US"/>
        </w:rPr>
      </w:pPr>
      <w:r w:rsidRPr="00F93BD2">
        <w:rPr>
          <w:rFonts w:eastAsia="Times New Roman"/>
          <w:i/>
          <w:iCs/>
          <w:lang w:eastAsia="en-US"/>
        </w:rPr>
        <w:t>Having considered</w:t>
      </w:r>
      <w:r w:rsidRPr="00F93BD2">
        <w:rPr>
          <w:rFonts w:eastAsia="Times New Roman"/>
          <w:lang w:eastAsia="en-US"/>
        </w:rPr>
        <w:t xml:space="preserve"> the proposed programme budget for the biennium 2018–2019 submitted by the Executive Secretary,</w:t>
      </w:r>
      <w:r w:rsidRPr="00F93BD2">
        <w:rPr>
          <w:rFonts w:eastAsia="Times New Roman"/>
          <w:sz w:val="18"/>
          <w:szCs w:val="18"/>
          <w:vertAlign w:val="superscript"/>
          <w:lang w:eastAsia="en-US"/>
        </w:rPr>
        <w:footnoteReference w:id="19"/>
      </w:r>
    </w:p>
    <w:p w14:paraId="6706CC13" w14:textId="6B8052A8" w:rsidR="009F490A" w:rsidRPr="00F93BD2" w:rsidRDefault="00C148B2" w:rsidP="00C148B2">
      <w:pPr>
        <w:pStyle w:val="RegSingleTxtG"/>
        <w:numPr>
          <w:ilvl w:val="0"/>
          <w:numId w:val="0"/>
        </w:numPr>
        <w:ind w:left="1134"/>
        <w:rPr>
          <w:lang w:eastAsia="en-US"/>
        </w:rPr>
      </w:pPr>
      <w:r w:rsidRPr="00F93BD2">
        <w:rPr>
          <w:lang w:eastAsia="en-US"/>
        </w:rPr>
        <w:t>1.</w:t>
      </w:r>
      <w:r w:rsidRPr="00F93BD2">
        <w:rPr>
          <w:lang w:eastAsia="en-US"/>
        </w:rPr>
        <w:tab/>
      </w:r>
      <w:r w:rsidR="009F490A" w:rsidRPr="00F93BD2">
        <w:rPr>
          <w:i/>
          <w:lang w:eastAsia="en-US"/>
        </w:rPr>
        <w:t>Endorses</w:t>
      </w:r>
      <w:r w:rsidR="009F490A" w:rsidRPr="00F93BD2">
        <w:rPr>
          <w:lang w:eastAsia="en-US"/>
        </w:rPr>
        <w:t xml:space="preserve"> decision </w:t>
      </w:r>
      <w:r w:rsidR="00C4675C" w:rsidRPr="00F93BD2">
        <w:rPr>
          <w:lang w:eastAsia="en-US"/>
        </w:rPr>
        <w:t>21</w:t>
      </w:r>
      <w:r w:rsidR="009F490A" w:rsidRPr="00F93BD2">
        <w:rPr>
          <w:lang w:eastAsia="en-US"/>
        </w:rPr>
        <w:t>/CP.23 on the programme budget for the biennium 2018–2019 as it applies to the Kyoto Protocol;</w:t>
      </w:r>
    </w:p>
    <w:p w14:paraId="0ACFDF14" w14:textId="200B45C5" w:rsidR="009F490A" w:rsidRPr="00F93BD2" w:rsidRDefault="00C148B2" w:rsidP="00C148B2">
      <w:pPr>
        <w:pStyle w:val="RegSingleTxtG"/>
        <w:numPr>
          <w:ilvl w:val="0"/>
          <w:numId w:val="0"/>
        </w:numPr>
        <w:tabs>
          <w:tab w:val="left" w:pos="568"/>
        </w:tabs>
        <w:ind w:left="1134"/>
        <w:rPr>
          <w:lang w:eastAsia="en-US"/>
        </w:rPr>
      </w:pPr>
      <w:r w:rsidRPr="00F93BD2">
        <w:rPr>
          <w:lang w:eastAsia="en-US"/>
        </w:rPr>
        <w:t>2.</w:t>
      </w:r>
      <w:r w:rsidRPr="00F93BD2">
        <w:rPr>
          <w:lang w:eastAsia="en-US"/>
        </w:rPr>
        <w:tab/>
      </w:r>
      <w:r w:rsidR="009F490A" w:rsidRPr="00F93BD2">
        <w:rPr>
          <w:i/>
          <w:lang w:eastAsia="en-US"/>
        </w:rPr>
        <w:t>Adopts</w:t>
      </w:r>
      <w:r w:rsidR="009F490A" w:rsidRPr="00F93BD2">
        <w:rPr>
          <w:lang w:eastAsia="en-US"/>
        </w:rPr>
        <w:t xml:space="preserve"> the indicative scale of contributions for 2018 and 2019 contained in the annex, covering 15.0 per cent of the indicative contributions specified in table 1 of decision </w:t>
      </w:r>
      <w:r w:rsidR="00553296" w:rsidRPr="00F93BD2">
        <w:rPr>
          <w:lang w:eastAsia="en-US"/>
        </w:rPr>
        <w:t>21</w:t>
      </w:r>
      <w:r w:rsidR="009F490A" w:rsidRPr="00F93BD2">
        <w:rPr>
          <w:lang w:eastAsia="en-US"/>
        </w:rPr>
        <w:t>/CP.23;</w:t>
      </w:r>
      <w:r w:rsidR="00553296" w:rsidRPr="00F93BD2" w:rsidDel="00553296">
        <w:rPr>
          <w:sz w:val="18"/>
          <w:vertAlign w:val="superscript"/>
          <w:lang w:eastAsia="en-US"/>
        </w:rPr>
        <w:t xml:space="preserve"> </w:t>
      </w:r>
    </w:p>
    <w:p w14:paraId="63ADC480" w14:textId="365CC556" w:rsidR="009F490A" w:rsidRPr="00F93BD2" w:rsidRDefault="00C148B2" w:rsidP="00C148B2">
      <w:pPr>
        <w:pStyle w:val="RegSingleTxtG"/>
        <w:numPr>
          <w:ilvl w:val="0"/>
          <w:numId w:val="0"/>
        </w:numPr>
        <w:tabs>
          <w:tab w:val="left" w:pos="568"/>
        </w:tabs>
        <w:ind w:left="1134"/>
        <w:rPr>
          <w:lang w:eastAsia="en-US"/>
        </w:rPr>
      </w:pPr>
      <w:r w:rsidRPr="00F93BD2">
        <w:rPr>
          <w:lang w:eastAsia="en-US"/>
        </w:rPr>
        <w:t>3.</w:t>
      </w:r>
      <w:r w:rsidRPr="00F93BD2">
        <w:rPr>
          <w:lang w:eastAsia="en-US"/>
        </w:rPr>
        <w:tab/>
      </w:r>
      <w:r w:rsidR="009F490A" w:rsidRPr="00F93BD2">
        <w:rPr>
          <w:i/>
          <w:lang w:eastAsia="en-US"/>
        </w:rPr>
        <w:t>Invites</w:t>
      </w:r>
      <w:r w:rsidR="009F490A" w:rsidRPr="00F93BD2">
        <w:rPr>
          <w:lang w:eastAsia="en-US"/>
        </w:rPr>
        <w:t xml:space="preserve"> all Parties to the Kyoto Protocol to note that contributions to the core budget are due on 1 January of each year in accordance with paragraph 8(b) of the financial procedures</w:t>
      </w:r>
      <w:r w:rsidR="009F490A" w:rsidRPr="00F93BD2">
        <w:rPr>
          <w:rFonts w:eastAsia="Times New Roman"/>
          <w:lang w:eastAsia="en-US"/>
        </w:rPr>
        <w:t xml:space="preserve"> for the Conference of the Parties, its subsidiary bodies and the secretariat</w:t>
      </w:r>
      <w:r w:rsidR="009F490A" w:rsidRPr="00F93BD2">
        <w:rPr>
          <w:lang w:eastAsia="en-US"/>
        </w:rPr>
        <w:t>,</w:t>
      </w:r>
      <w:r w:rsidR="009F490A" w:rsidRPr="00F93BD2">
        <w:rPr>
          <w:sz w:val="18"/>
          <w:vertAlign w:val="superscript"/>
          <w:lang w:eastAsia="en-US"/>
        </w:rPr>
        <w:footnoteReference w:id="20"/>
      </w:r>
      <w:r w:rsidR="009F490A" w:rsidRPr="00F93BD2">
        <w:rPr>
          <w:lang w:eastAsia="en-US"/>
        </w:rPr>
        <w:t xml:space="preserve"> and to pay promptly and in full for each of the years 2018 and 2019 the contributions required to finance the approved expenditures set out in decision </w:t>
      </w:r>
      <w:r w:rsidR="00553296" w:rsidRPr="00F93BD2">
        <w:rPr>
          <w:lang w:eastAsia="en-US"/>
        </w:rPr>
        <w:t>21</w:t>
      </w:r>
      <w:r w:rsidR="009F490A" w:rsidRPr="00F93BD2">
        <w:rPr>
          <w:lang w:eastAsia="en-US"/>
        </w:rPr>
        <w:t>/CP.23;</w:t>
      </w:r>
      <w:r w:rsidR="00553296" w:rsidRPr="00F93BD2" w:rsidDel="00553296">
        <w:rPr>
          <w:sz w:val="18"/>
          <w:vertAlign w:val="superscript"/>
          <w:lang w:eastAsia="en-US"/>
        </w:rPr>
        <w:t xml:space="preserve"> </w:t>
      </w:r>
    </w:p>
    <w:p w14:paraId="1C585238" w14:textId="031421AE" w:rsidR="009F490A" w:rsidRPr="00F93BD2" w:rsidRDefault="00C148B2" w:rsidP="00C148B2">
      <w:pPr>
        <w:pStyle w:val="RegSingleTxtG"/>
        <w:numPr>
          <w:ilvl w:val="0"/>
          <w:numId w:val="0"/>
        </w:numPr>
        <w:tabs>
          <w:tab w:val="left" w:pos="568"/>
        </w:tabs>
        <w:ind w:left="1134"/>
        <w:rPr>
          <w:lang w:eastAsia="en-US"/>
        </w:rPr>
      </w:pPr>
      <w:r w:rsidRPr="00F93BD2">
        <w:rPr>
          <w:lang w:eastAsia="en-US"/>
        </w:rPr>
        <w:t>4.</w:t>
      </w:r>
      <w:r w:rsidRPr="00F93BD2">
        <w:rPr>
          <w:lang w:eastAsia="en-US"/>
        </w:rPr>
        <w:tab/>
      </w:r>
      <w:r w:rsidR="009F490A" w:rsidRPr="00F93BD2">
        <w:rPr>
          <w:i/>
          <w:lang w:eastAsia="en-US"/>
        </w:rPr>
        <w:t>Takes note</w:t>
      </w:r>
      <w:r w:rsidR="009F490A" w:rsidRPr="00F93BD2">
        <w:rPr>
          <w:lang w:eastAsia="en-US"/>
        </w:rPr>
        <w:t xml:space="preserve"> of the financing requirements for the clean development mechanism and joint implementation proposed by the Executive Board of the clean development mechanism and the Joint Implementation Supervisory Committee, respectively. </w:t>
      </w:r>
    </w:p>
    <w:p w14:paraId="03570185" w14:textId="492E6B28" w:rsidR="009F490A" w:rsidRPr="00F93BD2" w:rsidRDefault="009F490A" w:rsidP="009F490A"/>
    <w:p w14:paraId="3BE1F042" w14:textId="77777777" w:rsidR="009F490A" w:rsidRPr="00F93BD2" w:rsidRDefault="009F490A" w:rsidP="009F490A">
      <w:pPr>
        <w:sectPr w:rsidR="009F490A" w:rsidRPr="00F93BD2" w:rsidSect="00B7462C">
          <w:headerReference w:type="even" r:id="rId39"/>
          <w:headerReference w:type="default" r:id="rId40"/>
          <w:footerReference w:type="even" r:id="rId41"/>
          <w:footerReference w:type="default" r:id="rId42"/>
          <w:headerReference w:type="first" r:id="rId43"/>
          <w:footerReference w:type="first" r:id="rId44"/>
          <w:footnotePr>
            <w:numRestart w:val="eachSect"/>
          </w:footnotePr>
          <w:pgSz w:w="11906" w:h="16838" w:code="9"/>
          <w:pgMar w:top="1418" w:right="1134" w:bottom="1134" w:left="1134" w:header="851" w:footer="567" w:gutter="0"/>
          <w:cols w:space="708"/>
          <w:docGrid w:linePitch="360"/>
        </w:sectPr>
      </w:pPr>
    </w:p>
    <w:p w14:paraId="65CADC81" w14:textId="511D5A3E" w:rsidR="009F490A" w:rsidRPr="00F93BD2" w:rsidRDefault="009F490A" w:rsidP="009F490A">
      <w:pPr>
        <w:keepNext/>
        <w:keepLines/>
        <w:tabs>
          <w:tab w:val="right" w:pos="851"/>
        </w:tabs>
        <w:suppressAutoHyphens w:val="0"/>
        <w:spacing w:before="360" w:after="240" w:line="300" w:lineRule="exact"/>
        <w:ind w:left="1134" w:right="1134" w:hanging="1134"/>
        <w:rPr>
          <w:rFonts w:eastAsia="MS Mincho"/>
          <w:b/>
          <w:sz w:val="28"/>
          <w:lang w:eastAsia="de-DE"/>
        </w:rPr>
      </w:pPr>
      <w:r w:rsidRPr="00F93BD2">
        <w:rPr>
          <w:rFonts w:eastAsia="MS Mincho"/>
          <w:b/>
          <w:sz w:val="28"/>
          <w:lang w:eastAsia="de-DE"/>
        </w:rPr>
        <w:lastRenderedPageBreak/>
        <w:t>Annex</w:t>
      </w:r>
    </w:p>
    <w:p w14:paraId="327A3A79" w14:textId="768DEF1F" w:rsidR="009F490A" w:rsidRPr="00F93BD2" w:rsidRDefault="004C604C" w:rsidP="004A0F26">
      <w:pPr>
        <w:pStyle w:val="HChG"/>
      </w:pPr>
      <w:r w:rsidRPr="00F93BD2">
        <w:tab/>
      </w:r>
      <w:r w:rsidRPr="00F93BD2">
        <w:tab/>
      </w:r>
      <w:r w:rsidR="009F490A" w:rsidRPr="00F93BD2">
        <w:t>Indicative scale of contributions from Parties to the Kyoto Protocol for the biennium 2018–2019</w:t>
      </w:r>
    </w:p>
    <w:p w14:paraId="29903B95" w14:textId="77777777" w:rsidR="00391595" w:rsidRPr="00F93BD2" w:rsidRDefault="00391595" w:rsidP="00391595">
      <w:pPr>
        <w:jc w:val="right"/>
      </w:pPr>
      <w:r w:rsidRPr="00F93BD2">
        <w:t>[English only]</w:t>
      </w:r>
    </w:p>
    <w:p w14:paraId="1E8C14E0" w14:textId="0CFBA85E" w:rsidR="00391595" w:rsidRPr="00F93BD2" w:rsidRDefault="00391595" w:rsidP="004A0F26"/>
    <w:tbl>
      <w:tblPr>
        <w:tblW w:w="5000" w:type="pct"/>
        <w:tblBorders>
          <w:top w:val="single" w:sz="4" w:space="0" w:color="auto"/>
        </w:tblBorders>
        <w:tblLayout w:type="fixed"/>
        <w:tblCellMar>
          <w:left w:w="0" w:type="dxa"/>
          <w:right w:w="0" w:type="dxa"/>
        </w:tblCellMar>
        <w:tblLook w:val="0000" w:firstRow="0" w:lastRow="0" w:firstColumn="0" w:lastColumn="0" w:noHBand="0" w:noVBand="0"/>
      </w:tblPr>
      <w:tblGrid>
        <w:gridCol w:w="3295"/>
        <w:gridCol w:w="2134"/>
        <w:gridCol w:w="2161"/>
        <w:gridCol w:w="2161"/>
      </w:tblGrid>
      <w:tr w:rsidR="009F490A" w:rsidRPr="00F93BD2" w14:paraId="2C285D12" w14:textId="77777777" w:rsidTr="004A0F26">
        <w:trPr>
          <w:trHeight w:val="240"/>
          <w:tblHeader/>
        </w:trPr>
        <w:tc>
          <w:tcPr>
            <w:tcW w:w="1690" w:type="pct"/>
            <w:tcBorders>
              <w:top w:val="single" w:sz="4" w:space="0" w:color="auto"/>
              <w:bottom w:val="single" w:sz="12" w:space="0" w:color="auto"/>
            </w:tcBorders>
            <w:shd w:val="clear" w:color="auto" w:fill="auto"/>
            <w:noWrap/>
            <w:vAlign w:val="bottom"/>
          </w:tcPr>
          <w:p w14:paraId="202D3717" w14:textId="1F7161B7" w:rsidR="009F490A" w:rsidRPr="00F93BD2" w:rsidRDefault="009F490A" w:rsidP="00550391">
            <w:pPr>
              <w:suppressAutoHyphens w:val="0"/>
              <w:spacing w:before="80" w:after="80" w:line="200" w:lineRule="exact"/>
              <w:rPr>
                <w:rFonts w:eastAsia="Arial Unicode MS"/>
                <w:bCs/>
                <w:i/>
                <w:sz w:val="16"/>
                <w:szCs w:val="18"/>
                <w:lang w:eastAsia="de-DE"/>
              </w:rPr>
            </w:pPr>
            <w:r w:rsidRPr="00F93BD2">
              <w:rPr>
                <w:rFonts w:eastAsia="MS Mincho"/>
                <w:bCs/>
                <w:i/>
                <w:sz w:val="16"/>
                <w:szCs w:val="18"/>
                <w:lang w:eastAsia="de-DE"/>
              </w:rPr>
              <w:t xml:space="preserve">Party </w:t>
            </w:r>
          </w:p>
        </w:tc>
        <w:tc>
          <w:tcPr>
            <w:tcW w:w="1094" w:type="pct"/>
            <w:tcBorders>
              <w:top w:val="single" w:sz="4" w:space="0" w:color="auto"/>
              <w:bottom w:val="single" w:sz="12" w:space="0" w:color="auto"/>
            </w:tcBorders>
            <w:shd w:val="clear" w:color="auto" w:fill="auto"/>
            <w:tcMar>
              <w:right w:w="113" w:type="dxa"/>
            </w:tcMar>
            <w:vAlign w:val="bottom"/>
          </w:tcPr>
          <w:p w14:paraId="01A73C1C" w14:textId="77777777" w:rsidR="009F490A" w:rsidRPr="00F93BD2" w:rsidRDefault="009F490A" w:rsidP="00550391">
            <w:pPr>
              <w:suppressAutoHyphens w:val="0"/>
              <w:spacing w:before="80" w:after="80" w:line="200" w:lineRule="exact"/>
              <w:ind w:left="113" w:right="85"/>
              <w:jc w:val="right"/>
              <w:rPr>
                <w:rFonts w:eastAsia="Arial Unicode MS"/>
                <w:bCs/>
                <w:i/>
                <w:sz w:val="16"/>
                <w:szCs w:val="18"/>
                <w:lang w:eastAsia="de-DE"/>
              </w:rPr>
            </w:pPr>
            <w:r w:rsidRPr="00F93BD2">
              <w:rPr>
                <w:rFonts w:eastAsia="MS Mincho"/>
                <w:bCs/>
                <w:i/>
                <w:sz w:val="16"/>
                <w:szCs w:val="18"/>
                <w:lang w:eastAsia="de-DE"/>
              </w:rPr>
              <w:t>United Nations scale of assessments for 2018</w:t>
            </w:r>
          </w:p>
        </w:tc>
        <w:tc>
          <w:tcPr>
            <w:tcW w:w="1108" w:type="pct"/>
            <w:tcBorders>
              <w:top w:val="single" w:sz="4" w:space="0" w:color="auto"/>
              <w:bottom w:val="single" w:sz="12" w:space="0" w:color="auto"/>
            </w:tcBorders>
            <w:shd w:val="clear" w:color="auto" w:fill="auto"/>
            <w:tcMar>
              <w:right w:w="113" w:type="dxa"/>
            </w:tcMar>
            <w:vAlign w:val="bottom"/>
          </w:tcPr>
          <w:p w14:paraId="07B9ADFB" w14:textId="77777777" w:rsidR="009F490A" w:rsidRPr="00F93BD2" w:rsidRDefault="009F490A" w:rsidP="00550391">
            <w:pPr>
              <w:suppressAutoHyphens w:val="0"/>
              <w:spacing w:before="80" w:after="80" w:line="200" w:lineRule="exact"/>
              <w:ind w:left="113" w:right="85"/>
              <w:jc w:val="right"/>
              <w:rPr>
                <w:rFonts w:eastAsia="Arial Unicode MS"/>
                <w:bCs/>
                <w:i/>
                <w:sz w:val="16"/>
                <w:szCs w:val="18"/>
                <w:lang w:eastAsia="de-DE"/>
              </w:rPr>
            </w:pPr>
            <w:r w:rsidRPr="00F93BD2">
              <w:rPr>
                <w:rFonts w:eastAsia="MS Mincho"/>
                <w:bCs/>
                <w:i/>
                <w:sz w:val="16"/>
                <w:szCs w:val="18"/>
                <w:lang w:eastAsia="de-DE"/>
              </w:rPr>
              <w:t xml:space="preserve">Kyoto Protocol adjusted </w:t>
            </w:r>
            <w:r w:rsidRPr="00F93BD2">
              <w:rPr>
                <w:rFonts w:eastAsia="MS Mincho"/>
                <w:bCs/>
                <w:i/>
                <w:sz w:val="16"/>
                <w:szCs w:val="18"/>
                <w:lang w:eastAsia="de-DE"/>
              </w:rPr>
              <w:br/>
              <w:t>scale for 2018</w:t>
            </w:r>
          </w:p>
        </w:tc>
        <w:tc>
          <w:tcPr>
            <w:tcW w:w="1108" w:type="pct"/>
            <w:tcBorders>
              <w:top w:val="single" w:sz="4" w:space="0" w:color="auto"/>
              <w:bottom w:val="single" w:sz="12" w:space="0" w:color="auto"/>
            </w:tcBorders>
            <w:shd w:val="clear" w:color="auto" w:fill="auto"/>
            <w:tcMar>
              <w:right w:w="113" w:type="dxa"/>
            </w:tcMar>
            <w:vAlign w:val="bottom"/>
          </w:tcPr>
          <w:p w14:paraId="79542550" w14:textId="77777777" w:rsidR="009F490A" w:rsidRPr="00F93BD2" w:rsidRDefault="009F490A" w:rsidP="00550391">
            <w:pPr>
              <w:suppressAutoHyphens w:val="0"/>
              <w:spacing w:before="80" w:after="80" w:line="200" w:lineRule="exact"/>
              <w:ind w:left="113" w:right="85"/>
              <w:jc w:val="right"/>
              <w:rPr>
                <w:rFonts w:eastAsia="Arial Unicode MS"/>
                <w:bCs/>
                <w:i/>
                <w:sz w:val="16"/>
                <w:szCs w:val="18"/>
                <w:lang w:eastAsia="de-DE"/>
              </w:rPr>
            </w:pPr>
            <w:r w:rsidRPr="00F93BD2">
              <w:rPr>
                <w:rFonts w:eastAsia="MS Mincho"/>
                <w:bCs/>
                <w:i/>
                <w:sz w:val="16"/>
                <w:szCs w:val="18"/>
                <w:lang w:eastAsia="de-DE"/>
              </w:rPr>
              <w:t xml:space="preserve">Kyoto Protocol adjusted </w:t>
            </w:r>
            <w:r w:rsidRPr="00F93BD2">
              <w:rPr>
                <w:rFonts w:eastAsia="MS Mincho"/>
                <w:bCs/>
                <w:i/>
                <w:sz w:val="16"/>
                <w:szCs w:val="18"/>
                <w:lang w:eastAsia="de-DE"/>
              </w:rPr>
              <w:br/>
              <w:t>scale for 2019</w:t>
            </w:r>
          </w:p>
        </w:tc>
      </w:tr>
      <w:tr w:rsidR="009F490A" w:rsidRPr="00F93BD2" w14:paraId="419F6A9D" w14:textId="77777777" w:rsidTr="004A0F26">
        <w:trPr>
          <w:trHeight w:val="240"/>
        </w:trPr>
        <w:tc>
          <w:tcPr>
            <w:tcW w:w="1690" w:type="pct"/>
            <w:tcBorders>
              <w:top w:val="single" w:sz="12" w:space="0" w:color="auto"/>
            </w:tcBorders>
            <w:shd w:val="clear" w:color="auto" w:fill="auto"/>
            <w:noWrap/>
            <w:vAlign w:val="center"/>
          </w:tcPr>
          <w:p w14:paraId="23874618"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Afghanistan</w:t>
            </w:r>
          </w:p>
        </w:tc>
        <w:tc>
          <w:tcPr>
            <w:tcW w:w="1094" w:type="pct"/>
            <w:tcBorders>
              <w:top w:val="single" w:sz="12" w:space="0" w:color="auto"/>
            </w:tcBorders>
            <w:shd w:val="clear" w:color="auto" w:fill="auto"/>
            <w:noWrap/>
            <w:tcMar>
              <w:right w:w="113" w:type="dxa"/>
            </w:tcMar>
            <w:vAlign w:val="center"/>
          </w:tcPr>
          <w:p w14:paraId="1798D64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0.006</w:t>
            </w:r>
          </w:p>
        </w:tc>
        <w:tc>
          <w:tcPr>
            <w:tcW w:w="1108" w:type="pct"/>
            <w:tcBorders>
              <w:top w:val="single" w:sz="12" w:space="0" w:color="auto"/>
            </w:tcBorders>
            <w:shd w:val="clear" w:color="auto" w:fill="auto"/>
            <w:noWrap/>
            <w:tcMar>
              <w:right w:w="113" w:type="dxa"/>
            </w:tcMar>
            <w:vAlign w:val="center"/>
          </w:tcPr>
          <w:p w14:paraId="5D61D15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0.008</w:t>
            </w:r>
          </w:p>
        </w:tc>
        <w:tc>
          <w:tcPr>
            <w:tcW w:w="1108" w:type="pct"/>
            <w:tcBorders>
              <w:top w:val="single" w:sz="12" w:space="0" w:color="auto"/>
            </w:tcBorders>
            <w:shd w:val="clear" w:color="auto" w:fill="auto"/>
            <w:noWrap/>
            <w:tcMar>
              <w:right w:w="113" w:type="dxa"/>
            </w:tcMar>
            <w:vAlign w:val="center"/>
          </w:tcPr>
          <w:p w14:paraId="0CA8C52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0.008</w:t>
            </w:r>
          </w:p>
        </w:tc>
      </w:tr>
      <w:tr w:rsidR="009F490A" w:rsidRPr="00F93BD2" w14:paraId="1BA8AC22" w14:textId="77777777" w:rsidTr="004A0F26">
        <w:trPr>
          <w:trHeight w:val="240"/>
        </w:trPr>
        <w:tc>
          <w:tcPr>
            <w:tcW w:w="1690" w:type="pct"/>
            <w:shd w:val="clear" w:color="auto" w:fill="auto"/>
            <w:noWrap/>
            <w:vAlign w:val="center"/>
          </w:tcPr>
          <w:p w14:paraId="1BC9EAE5"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Albania</w:t>
            </w:r>
          </w:p>
        </w:tc>
        <w:tc>
          <w:tcPr>
            <w:tcW w:w="1094" w:type="pct"/>
            <w:shd w:val="clear" w:color="auto" w:fill="auto"/>
            <w:noWrap/>
            <w:tcMar>
              <w:right w:w="113" w:type="dxa"/>
            </w:tcMar>
            <w:vAlign w:val="center"/>
          </w:tcPr>
          <w:p w14:paraId="2C450F3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0.008</w:t>
            </w:r>
          </w:p>
        </w:tc>
        <w:tc>
          <w:tcPr>
            <w:tcW w:w="1108" w:type="pct"/>
            <w:shd w:val="clear" w:color="auto" w:fill="auto"/>
            <w:noWrap/>
            <w:tcMar>
              <w:right w:w="113" w:type="dxa"/>
            </w:tcMar>
            <w:vAlign w:val="center"/>
          </w:tcPr>
          <w:p w14:paraId="7065510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0.010</w:t>
            </w:r>
          </w:p>
        </w:tc>
        <w:tc>
          <w:tcPr>
            <w:tcW w:w="1108" w:type="pct"/>
            <w:shd w:val="clear" w:color="auto" w:fill="auto"/>
            <w:noWrap/>
            <w:tcMar>
              <w:right w:w="113" w:type="dxa"/>
            </w:tcMar>
            <w:vAlign w:val="center"/>
          </w:tcPr>
          <w:p w14:paraId="79E32FA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0.010</w:t>
            </w:r>
          </w:p>
        </w:tc>
      </w:tr>
      <w:tr w:rsidR="009F490A" w:rsidRPr="00F93BD2" w14:paraId="31ECAD32" w14:textId="77777777" w:rsidTr="004A0F26">
        <w:trPr>
          <w:trHeight w:val="240"/>
        </w:trPr>
        <w:tc>
          <w:tcPr>
            <w:tcW w:w="1690" w:type="pct"/>
            <w:shd w:val="clear" w:color="auto" w:fill="auto"/>
            <w:noWrap/>
            <w:vAlign w:val="center"/>
          </w:tcPr>
          <w:p w14:paraId="30E05551"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Algeria</w:t>
            </w:r>
          </w:p>
        </w:tc>
        <w:tc>
          <w:tcPr>
            <w:tcW w:w="1094" w:type="pct"/>
            <w:shd w:val="clear" w:color="auto" w:fill="auto"/>
            <w:noWrap/>
            <w:tcMar>
              <w:right w:w="113" w:type="dxa"/>
            </w:tcMar>
            <w:vAlign w:val="center"/>
          </w:tcPr>
          <w:p w14:paraId="2935CA6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0.161</w:t>
            </w:r>
          </w:p>
        </w:tc>
        <w:tc>
          <w:tcPr>
            <w:tcW w:w="1108" w:type="pct"/>
            <w:shd w:val="clear" w:color="auto" w:fill="auto"/>
            <w:noWrap/>
            <w:tcMar>
              <w:right w:w="113" w:type="dxa"/>
            </w:tcMar>
            <w:vAlign w:val="center"/>
          </w:tcPr>
          <w:p w14:paraId="0FA2EAA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0.209</w:t>
            </w:r>
          </w:p>
        </w:tc>
        <w:tc>
          <w:tcPr>
            <w:tcW w:w="1108" w:type="pct"/>
            <w:shd w:val="clear" w:color="auto" w:fill="auto"/>
            <w:noWrap/>
            <w:tcMar>
              <w:right w:w="113" w:type="dxa"/>
            </w:tcMar>
            <w:vAlign w:val="center"/>
          </w:tcPr>
          <w:p w14:paraId="7810A73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0.209</w:t>
            </w:r>
          </w:p>
        </w:tc>
      </w:tr>
      <w:tr w:rsidR="009F490A" w:rsidRPr="00F93BD2" w14:paraId="1C92C402" w14:textId="77777777" w:rsidTr="004A0F26">
        <w:trPr>
          <w:trHeight w:val="240"/>
        </w:trPr>
        <w:tc>
          <w:tcPr>
            <w:tcW w:w="1690" w:type="pct"/>
            <w:shd w:val="clear" w:color="auto" w:fill="auto"/>
            <w:noWrap/>
            <w:vAlign w:val="center"/>
          </w:tcPr>
          <w:p w14:paraId="5FBD2F81"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Angola</w:t>
            </w:r>
          </w:p>
        </w:tc>
        <w:tc>
          <w:tcPr>
            <w:tcW w:w="1094" w:type="pct"/>
            <w:shd w:val="clear" w:color="auto" w:fill="auto"/>
            <w:noWrap/>
            <w:tcMar>
              <w:right w:w="113" w:type="dxa"/>
            </w:tcMar>
            <w:vAlign w:val="center"/>
          </w:tcPr>
          <w:p w14:paraId="77D4479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0.010</w:t>
            </w:r>
          </w:p>
        </w:tc>
        <w:tc>
          <w:tcPr>
            <w:tcW w:w="1108" w:type="pct"/>
            <w:shd w:val="clear" w:color="auto" w:fill="auto"/>
            <w:noWrap/>
            <w:tcMar>
              <w:right w:w="113" w:type="dxa"/>
            </w:tcMar>
            <w:vAlign w:val="center"/>
          </w:tcPr>
          <w:p w14:paraId="25CC7DD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0.013</w:t>
            </w:r>
          </w:p>
        </w:tc>
        <w:tc>
          <w:tcPr>
            <w:tcW w:w="1108" w:type="pct"/>
            <w:shd w:val="clear" w:color="auto" w:fill="auto"/>
            <w:noWrap/>
            <w:tcMar>
              <w:right w:w="113" w:type="dxa"/>
            </w:tcMar>
            <w:vAlign w:val="center"/>
          </w:tcPr>
          <w:p w14:paraId="3104B4A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0.013</w:t>
            </w:r>
          </w:p>
        </w:tc>
      </w:tr>
      <w:tr w:rsidR="009F490A" w:rsidRPr="00F93BD2" w14:paraId="054BA0D0" w14:textId="77777777" w:rsidTr="004A0F26">
        <w:trPr>
          <w:trHeight w:val="240"/>
        </w:trPr>
        <w:tc>
          <w:tcPr>
            <w:tcW w:w="1690" w:type="pct"/>
            <w:shd w:val="clear" w:color="auto" w:fill="auto"/>
            <w:noWrap/>
            <w:vAlign w:val="center"/>
          </w:tcPr>
          <w:p w14:paraId="45763EB1"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Antigua and Barbuda</w:t>
            </w:r>
          </w:p>
        </w:tc>
        <w:tc>
          <w:tcPr>
            <w:tcW w:w="1094" w:type="pct"/>
            <w:shd w:val="clear" w:color="auto" w:fill="auto"/>
            <w:noWrap/>
            <w:tcMar>
              <w:right w:w="113" w:type="dxa"/>
            </w:tcMar>
            <w:vAlign w:val="center"/>
          </w:tcPr>
          <w:p w14:paraId="644FEE7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0.002</w:t>
            </w:r>
          </w:p>
        </w:tc>
        <w:tc>
          <w:tcPr>
            <w:tcW w:w="1108" w:type="pct"/>
            <w:shd w:val="clear" w:color="auto" w:fill="auto"/>
            <w:noWrap/>
            <w:tcMar>
              <w:right w:w="113" w:type="dxa"/>
            </w:tcMar>
            <w:vAlign w:val="center"/>
          </w:tcPr>
          <w:p w14:paraId="697BD66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c>
          <w:tcPr>
            <w:tcW w:w="1108" w:type="pct"/>
            <w:shd w:val="clear" w:color="auto" w:fill="auto"/>
            <w:noWrap/>
            <w:tcMar>
              <w:right w:w="113" w:type="dxa"/>
            </w:tcMar>
            <w:vAlign w:val="center"/>
          </w:tcPr>
          <w:p w14:paraId="4EDCBD0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r>
      <w:tr w:rsidR="009F490A" w:rsidRPr="00F93BD2" w14:paraId="5D4484A0" w14:textId="77777777" w:rsidTr="004A0F26">
        <w:trPr>
          <w:trHeight w:val="240"/>
        </w:trPr>
        <w:tc>
          <w:tcPr>
            <w:tcW w:w="1690" w:type="pct"/>
            <w:shd w:val="clear" w:color="auto" w:fill="auto"/>
            <w:noWrap/>
            <w:vAlign w:val="center"/>
          </w:tcPr>
          <w:p w14:paraId="4165100C"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Argentina</w:t>
            </w:r>
          </w:p>
        </w:tc>
        <w:tc>
          <w:tcPr>
            <w:tcW w:w="1094" w:type="pct"/>
            <w:shd w:val="clear" w:color="auto" w:fill="auto"/>
            <w:noWrap/>
            <w:tcMar>
              <w:right w:w="113" w:type="dxa"/>
            </w:tcMar>
            <w:vAlign w:val="center"/>
          </w:tcPr>
          <w:p w14:paraId="5D2576F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0.892</w:t>
            </w:r>
          </w:p>
        </w:tc>
        <w:tc>
          <w:tcPr>
            <w:tcW w:w="1108" w:type="pct"/>
            <w:shd w:val="clear" w:color="auto" w:fill="auto"/>
            <w:noWrap/>
            <w:tcMar>
              <w:right w:w="113" w:type="dxa"/>
            </w:tcMar>
            <w:vAlign w:val="center"/>
          </w:tcPr>
          <w:p w14:paraId="015112E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1.159</w:t>
            </w:r>
          </w:p>
        </w:tc>
        <w:tc>
          <w:tcPr>
            <w:tcW w:w="1108" w:type="pct"/>
            <w:shd w:val="clear" w:color="auto" w:fill="auto"/>
            <w:noWrap/>
            <w:tcMar>
              <w:right w:w="113" w:type="dxa"/>
            </w:tcMar>
            <w:vAlign w:val="center"/>
          </w:tcPr>
          <w:p w14:paraId="1E4F24D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1.159</w:t>
            </w:r>
          </w:p>
        </w:tc>
      </w:tr>
      <w:tr w:rsidR="009F490A" w:rsidRPr="00F93BD2" w14:paraId="11C867B9" w14:textId="77777777" w:rsidTr="004A0F26">
        <w:trPr>
          <w:trHeight w:val="240"/>
        </w:trPr>
        <w:tc>
          <w:tcPr>
            <w:tcW w:w="1690" w:type="pct"/>
            <w:shd w:val="clear" w:color="auto" w:fill="auto"/>
            <w:noWrap/>
            <w:vAlign w:val="center"/>
          </w:tcPr>
          <w:p w14:paraId="28A0C887"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Armenia</w:t>
            </w:r>
          </w:p>
        </w:tc>
        <w:tc>
          <w:tcPr>
            <w:tcW w:w="1094" w:type="pct"/>
            <w:shd w:val="clear" w:color="auto" w:fill="auto"/>
            <w:noWrap/>
            <w:tcMar>
              <w:right w:w="113" w:type="dxa"/>
            </w:tcMar>
            <w:vAlign w:val="center"/>
          </w:tcPr>
          <w:p w14:paraId="3B39AF7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0.006</w:t>
            </w:r>
          </w:p>
        </w:tc>
        <w:tc>
          <w:tcPr>
            <w:tcW w:w="1108" w:type="pct"/>
            <w:shd w:val="clear" w:color="auto" w:fill="auto"/>
            <w:noWrap/>
            <w:tcMar>
              <w:right w:w="113" w:type="dxa"/>
            </w:tcMar>
            <w:vAlign w:val="center"/>
          </w:tcPr>
          <w:p w14:paraId="2F0D72E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0.008</w:t>
            </w:r>
          </w:p>
        </w:tc>
        <w:tc>
          <w:tcPr>
            <w:tcW w:w="1108" w:type="pct"/>
            <w:shd w:val="clear" w:color="auto" w:fill="auto"/>
            <w:noWrap/>
            <w:tcMar>
              <w:right w:w="113" w:type="dxa"/>
            </w:tcMar>
            <w:vAlign w:val="center"/>
          </w:tcPr>
          <w:p w14:paraId="31FEA9E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0.008</w:t>
            </w:r>
          </w:p>
        </w:tc>
      </w:tr>
      <w:tr w:rsidR="009F490A" w:rsidRPr="00F93BD2" w14:paraId="645690BE" w14:textId="77777777" w:rsidTr="004A0F26">
        <w:trPr>
          <w:trHeight w:val="240"/>
        </w:trPr>
        <w:tc>
          <w:tcPr>
            <w:tcW w:w="1690" w:type="pct"/>
            <w:shd w:val="clear" w:color="auto" w:fill="auto"/>
            <w:noWrap/>
            <w:vAlign w:val="center"/>
          </w:tcPr>
          <w:p w14:paraId="503FDA28"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Australia</w:t>
            </w:r>
          </w:p>
        </w:tc>
        <w:tc>
          <w:tcPr>
            <w:tcW w:w="1094" w:type="pct"/>
            <w:shd w:val="clear" w:color="auto" w:fill="auto"/>
            <w:noWrap/>
            <w:tcMar>
              <w:right w:w="113" w:type="dxa"/>
            </w:tcMar>
            <w:vAlign w:val="center"/>
          </w:tcPr>
          <w:p w14:paraId="3CA101F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2.337</w:t>
            </w:r>
          </w:p>
        </w:tc>
        <w:tc>
          <w:tcPr>
            <w:tcW w:w="1108" w:type="pct"/>
            <w:shd w:val="clear" w:color="auto" w:fill="auto"/>
            <w:noWrap/>
            <w:tcMar>
              <w:right w:w="113" w:type="dxa"/>
            </w:tcMar>
            <w:vAlign w:val="center"/>
          </w:tcPr>
          <w:p w14:paraId="07D5BEA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3.036</w:t>
            </w:r>
          </w:p>
        </w:tc>
        <w:tc>
          <w:tcPr>
            <w:tcW w:w="1108" w:type="pct"/>
            <w:shd w:val="clear" w:color="auto" w:fill="auto"/>
            <w:noWrap/>
            <w:tcMar>
              <w:right w:w="113" w:type="dxa"/>
            </w:tcMar>
            <w:vAlign w:val="center"/>
          </w:tcPr>
          <w:p w14:paraId="2E0080B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3.036</w:t>
            </w:r>
          </w:p>
        </w:tc>
      </w:tr>
      <w:tr w:rsidR="009F490A" w:rsidRPr="00F93BD2" w14:paraId="6374E8D0" w14:textId="77777777" w:rsidTr="004A0F26">
        <w:trPr>
          <w:trHeight w:val="240"/>
        </w:trPr>
        <w:tc>
          <w:tcPr>
            <w:tcW w:w="1690" w:type="pct"/>
            <w:shd w:val="clear" w:color="auto" w:fill="auto"/>
            <w:noWrap/>
            <w:vAlign w:val="center"/>
          </w:tcPr>
          <w:p w14:paraId="67FBC5ED"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Austria</w:t>
            </w:r>
          </w:p>
        </w:tc>
        <w:tc>
          <w:tcPr>
            <w:tcW w:w="1094" w:type="pct"/>
            <w:shd w:val="clear" w:color="auto" w:fill="auto"/>
            <w:noWrap/>
            <w:tcMar>
              <w:right w:w="113" w:type="dxa"/>
            </w:tcMar>
            <w:vAlign w:val="center"/>
          </w:tcPr>
          <w:p w14:paraId="40E50D6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0.720</w:t>
            </w:r>
          </w:p>
        </w:tc>
        <w:tc>
          <w:tcPr>
            <w:tcW w:w="1108" w:type="pct"/>
            <w:shd w:val="clear" w:color="auto" w:fill="auto"/>
            <w:noWrap/>
            <w:tcMar>
              <w:right w:w="113" w:type="dxa"/>
            </w:tcMar>
            <w:vAlign w:val="center"/>
          </w:tcPr>
          <w:p w14:paraId="2E412A3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0.935</w:t>
            </w:r>
          </w:p>
        </w:tc>
        <w:tc>
          <w:tcPr>
            <w:tcW w:w="1108" w:type="pct"/>
            <w:shd w:val="clear" w:color="auto" w:fill="auto"/>
            <w:noWrap/>
            <w:tcMar>
              <w:right w:w="113" w:type="dxa"/>
            </w:tcMar>
            <w:vAlign w:val="center"/>
          </w:tcPr>
          <w:p w14:paraId="14FDB0D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0.935</w:t>
            </w:r>
          </w:p>
        </w:tc>
      </w:tr>
      <w:tr w:rsidR="009F490A" w:rsidRPr="00F93BD2" w14:paraId="44C0F815" w14:textId="77777777" w:rsidTr="004A0F26">
        <w:trPr>
          <w:trHeight w:val="240"/>
        </w:trPr>
        <w:tc>
          <w:tcPr>
            <w:tcW w:w="1690" w:type="pct"/>
            <w:shd w:val="clear" w:color="auto" w:fill="auto"/>
            <w:noWrap/>
            <w:vAlign w:val="center"/>
          </w:tcPr>
          <w:p w14:paraId="171457D2"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Azerbaijan</w:t>
            </w:r>
          </w:p>
        </w:tc>
        <w:tc>
          <w:tcPr>
            <w:tcW w:w="1094" w:type="pct"/>
            <w:shd w:val="clear" w:color="auto" w:fill="auto"/>
            <w:noWrap/>
            <w:tcMar>
              <w:right w:w="113" w:type="dxa"/>
            </w:tcMar>
            <w:vAlign w:val="center"/>
          </w:tcPr>
          <w:p w14:paraId="0279C81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0.060</w:t>
            </w:r>
          </w:p>
        </w:tc>
        <w:tc>
          <w:tcPr>
            <w:tcW w:w="1108" w:type="pct"/>
            <w:shd w:val="clear" w:color="auto" w:fill="auto"/>
            <w:noWrap/>
            <w:tcMar>
              <w:right w:w="113" w:type="dxa"/>
            </w:tcMar>
            <w:vAlign w:val="center"/>
          </w:tcPr>
          <w:p w14:paraId="14FEDC8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0.078</w:t>
            </w:r>
          </w:p>
        </w:tc>
        <w:tc>
          <w:tcPr>
            <w:tcW w:w="1108" w:type="pct"/>
            <w:shd w:val="clear" w:color="auto" w:fill="auto"/>
            <w:noWrap/>
            <w:tcMar>
              <w:right w:w="113" w:type="dxa"/>
            </w:tcMar>
            <w:vAlign w:val="center"/>
          </w:tcPr>
          <w:p w14:paraId="105FC2C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0.078</w:t>
            </w:r>
          </w:p>
        </w:tc>
      </w:tr>
      <w:tr w:rsidR="009F490A" w:rsidRPr="00F93BD2" w14:paraId="1BA48A68" w14:textId="77777777" w:rsidTr="004A0F26">
        <w:trPr>
          <w:trHeight w:val="240"/>
        </w:trPr>
        <w:tc>
          <w:tcPr>
            <w:tcW w:w="1690" w:type="pct"/>
            <w:shd w:val="clear" w:color="auto" w:fill="auto"/>
            <w:noWrap/>
            <w:vAlign w:val="center"/>
          </w:tcPr>
          <w:p w14:paraId="39FA0DA7"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Bahamas</w:t>
            </w:r>
          </w:p>
        </w:tc>
        <w:tc>
          <w:tcPr>
            <w:tcW w:w="1094" w:type="pct"/>
            <w:shd w:val="clear" w:color="auto" w:fill="auto"/>
            <w:noWrap/>
            <w:tcMar>
              <w:right w:w="113" w:type="dxa"/>
            </w:tcMar>
            <w:vAlign w:val="center"/>
          </w:tcPr>
          <w:p w14:paraId="48EA993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0.014</w:t>
            </w:r>
          </w:p>
        </w:tc>
        <w:tc>
          <w:tcPr>
            <w:tcW w:w="1108" w:type="pct"/>
            <w:shd w:val="clear" w:color="auto" w:fill="auto"/>
            <w:noWrap/>
            <w:tcMar>
              <w:right w:w="113" w:type="dxa"/>
            </w:tcMar>
            <w:vAlign w:val="center"/>
          </w:tcPr>
          <w:p w14:paraId="6B04626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0.018</w:t>
            </w:r>
          </w:p>
        </w:tc>
        <w:tc>
          <w:tcPr>
            <w:tcW w:w="1108" w:type="pct"/>
            <w:shd w:val="clear" w:color="auto" w:fill="auto"/>
            <w:noWrap/>
            <w:tcMar>
              <w:right w:w="113" w:type="dxa"/>
            </w:tcMar>
            <w:vAlign w:val="center"/>
          </w:tcPr>
          <w:p w14:paraId="2240666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0.018</w:t>
            </w:r>
          </w:p>
        </w:tc>
      </w:tr>
      <w:tr w:rsidR="009F490A" w:rsidRPr="00F93BD2" w14:paraId="3E3FAAE6" w14:textId="77777777" w:rsidTr="004A0F26">
        <w:trPr>
          <w:trHeight w:val="240"/>
        </w:trPr>
        <w:tc>
          <w:tcPr>
            <w:tcW w:w="1690" w:type="pct"/>
            <w:shd w:val="clear" w:color="auto" w:fill="auto"/>
            <w:noWrap/>
            <w:vAlign w:val="center"/>
          </w:tcPr>
          <w:p w14:paraId="125E723A"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Bahrain</w:t>
            </w:r>
          </w:p>
        </w:tc>
        <w:tc>
          <w:tcPr>
            <w:tcW w:w="1094" w:type="pct"/>
            <w:shd w:val="clear" w:color="auto" w:fill="auto"/>
            <w:noWrap/>
            <w:tcMar>
              <w:right w:w="113" w:type="dxa"/>
            </w:tcMar>
            <w:vAlign w:val="center"/>
          </w:tcPr>
          <w:p w14:paraId="4C50E89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0.044</w:t>
            </w:r>
          </w:p>
        </w:tc>
        <w:tc>
          <w:tcPr>
            <w:tcW w:w="1108" w:type="pct"/>
            <w:shd w:val="clear" w:color="auto" w:fill="auto"/>
            <w:noWrap/>
            <w:tcMar>
              <w:right w:w="113" w:type="dxa"/>
            </w:tcMar>
            <w:vAlign w:val="center"/>
          </w:tcPr>
          <w:p w14:paraId="56F8F58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0.057</w:t>
            </w:r>
          </w:p>
        </w:tc>
        <w:tc>
          <w:tcPr>
            <w:tcW w:w="1108" w:type="pct"/>
            <w:shd w:val="clear" w:color="auto" w:fill="auto"/>
            <w:noWrap/>
            <w:tcMar>
              <w:right w:w="113" w:type="dxa"/>
            </w:tcMar>
            <w:vAlign w:val="center"/>
          </w:tcPr>
          <w:p w14:paraId="27F006C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0.057</w:t>
            </w:r>
          </w:p>
        </w:tc>
      </w:tr>
      <w:tr w:rsidR="009F490A" w:rsidRPr="00F93BD2" w14:paraId="7C172C1D" w14:textId="77777777" w:rsidTr="004A0F26">
        <w:trPr>
          <w:trHeight w:val="240"/>
        </w:trPr>
        <w:tc>
          <w:tcPr>
            <w:tcW w:w="1690" w:type="pct"/>
            <w:shd w:val="clear" w:color="auto" w:fill="auto"/>
            <w:noWrap/>
            <w:vAlign w:val="center"/>
          </w:tcPr>
          <w:p w14:paraId="2B8C0768"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Bangladesh</w:t>
            </w:r>
          </w:p>
        </w:tc>
        <w:tc>
          <w:tcPr>
            <w:tcW w:w="1094" w:type="pct"/>
            <w:shd w:val="clear" w:color="auto" w:fill="auto"/>
            <w:noWrap/>
            <w:tcMar>
              <w:right w:w="113" w:type="dxa"/>
            </w:tcMar>
            <w:vAlign w:val="center"/>
          </w:tcPr>
          <w:p w14:paraId="3604F00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0.010</w:t>
            </w:r>
          </w:p>
        </w:tc>
        <w:tc>
          <w:tcPr>
            <w:tcW w:w="1108" w:type="pct"/>
            <w:shd w:val="clear" w:color="auto" w:fill="auto"/>
            <w:noWrap/>
            <w:tcMar>
              <w:right w:w="113" w:type="dxa"/>
            </w:tcMar>
            <w:vAlign w:val="center"/>
          </w:tcPr>
          <w:p w14:paraId="767A29A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0.013</w:t>
            </w:r>
          </w:p>
        </w:tc>
        <w:tc>
          <w:tcPr>
            <w:tcW w:w="1108" w:type="pct"/>
            <w:shd w:val="clear" w:color="auto" w:fill="auto"/>
            <w:noWrap/>
            <w:tcMar>
              <w:right w:w="113" w:type="dxa"/>
            </w:tcMar>
            <w:vAlign w:val="center"/>
          </w:tcPr>
          <w:p w14:paraId="479D642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0.013</w:t>
            </w:r>
          </w:p>
        </w:tc>
      </w:tr>
      <w:tr w:rsidR="009F490A" w:rsidRPr="00F93BD2" w14:paraId="18579956" w14:textId="77777777" w:rsidTr="004A0F26">
        <w:trPr>
          <w:trHeight w:val="240"/>
        </w:trPr>
        <w:tc>
          <w:tcPr>
            <w:tcW w:w="1690" w:type="pct"/>
            <w:shd w:val="clear" w:color="auto" w:fill="auto"/>
            <w:noWrap/>
            <w:vAlign w:val="center"/>
          </w:tcPr>
          <w:p w14:paraId="2004447B"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Barbados</w:t>
            </w:r>
          </w:p>
        </w:tc>
        <w:tc>
          <w:tcPr>
            <w:tcW w:w="1094" w:type="pct"/>
            <w:shd w:val="clear" w:color="auto" w:fill="auto"/>
            <w:noWrap/>
            <w:tcMar>
              <w:right w:w="113" w:type="dxa"/>
            </w:tcMar>
            <w:vAlign w:val="center"/>
          </w:tcPr>
          <w:p w14:paraId="5EC3E48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0.007</w:t>
            </w:r>
          </w:p>
        </w:tc>
        <w:tc>
          <w:tcPr>
            <w:tcW w:w="1108" w:type="pct"/>
            <w:shd w:val="clear" w:color="auto" w:fill="auto"/>
            <w:noWrap/>
            <w:tcMar>
              <w:right w:w="113" w:type="dxa"/>
            </w:tcMar>
            <w:vAlign w:val="center"/>
          </w:tcPr>
          <w:p w14:paraId="1C239BB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0.009</w:t>
            </w:r>
          </w:p>
        </w:tc>
        <w:tc>
          <w:tcPr>
            <w:tcW w:w="1108" w:type="pct"/>
            <w:shd w:val="clear" w:color="auto" w:fill="auto"/>
            <w:noWrap/>
            <w:tcMar>
              <w:right w:w="113" w:type="dxa"/>
            </w:tcMar>
            <w:vAlign w:val="center"/>
          </w:tcPr>
          <w:p w14:paraId="1D1A631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0.009</w:t>
            </w:r>
          </w:p>
        </w:tc>
      </w:tr>
      <w:tr w:rsidR="009F490A" w:rsidRPr="00F93BD2" w14:paraId="5161392C" w14:textId="77777777" w:rsidTr="004A0F26">
        <w:trPr>
          <w:trHeight w:val="240"/>
        </w:trPr>
        <w:tc>
          <w:tcPr>
            <w:tcW w:w="1690" w:type="pct"/>
            <w:shd w:val="clear" w:color="auto" w:fill="auto"/>
            <w:noWrap/>
            <w:vAlign w:val="center"/>
          </w:tcPr>
          <w:p w14:paraId="73A22C04"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Belarus</w:t>
            </w:r>
          </w:p>
        </w:tc>
        <w:tc>
          <w:tcPr>
            <w:tcW w:w="1094" w:type="pct"/>
            <w:shd w:val="clear" w:color="auto" w:fill="auto"/>
            <w:noWrap/>
            <w:tcMar>
              <w:right w:w="113" w:type="dxa"/>
            </w:tcMar>
            <w:vAlign w:val="center"/>
          </w:tcPr>
          <w:p w14:paraId="2F7F830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0.056</w:t>
            </w:r>
          </w:p>
        </w:tc>
        <w:tc>
          <w:tcPr>
            <w:tcW w:w="1108" w:type="pct"/>
            <w:shd w:val="clear" w:color="auto" w:fill="auto"/>
            <w:noWrap/>
            <w:tcMar>
              <w:right w:w="113" w:type="dxa"/>
            </w:tcMar>
            <w:vAlign w:val="center"/>
          </w:tcPr>
          <w:p w14:paraId="49D1600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0.073</w:t>
            </w:r>
          </w:p>
        </w:tc>
        <w:tc>
          <w:tcPr>
            <w:tcW w:w="1108" w:type="pct"/>
            <w:shd w:val="clear" w:color="auto" w:fill="auto"/>
            <w:noWrap/>
            <w:tcMar>
              <w:right w:w="113" w:type="dxa"/>
            </w:tcMar>
            <w:vAlign w:val="center"/>
          </w:tcPr>
          <w:p w14:paraId="005ED6C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0.073</w:t>
            </w:r>
          </w:p>
        </w:tc>
      </w:tr>
      <w:tr w:rsidR="009F490A" w:rsidRPr="00F93BD2" w14:paraId="2FF5A046" w14:textId="77777777" w:rsidTr="004A0F26">
        <w:trPr>
          <w:trHeight w:val="240"/>
        </w:trPr>
        <w:tc>
          <w:tcPr>
            <w:tcW w:w="1690" w:type="pct"/>
            <w:shd w:val="clear" w:color="auto" w:fill="auto"/>
            <w:noWrap/>
            <w:vAlign w:val="center"/>
          </w:tcPr>
          <w:p w14:paraId="19DB3A62"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Belgium</w:t>
            </w:r>
          </w:p>
        </w:tc>
        <w:tc>
          <w:tcPr>
            <w:tcW w:w="1094" w:type="pct"/>
            <w:shd w:val="clear" w:color="auto" w:fill="auto"/>
            <w:noWrap/>
            <w:tcMar>
              <w:right w:w="113" w:type="dxa"/>
            </w:tcMar>
            <w:vAlign w:val="center"/>
          </w:tcPr>
          <w:p w14:paraId="0A5B8AF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0.885</w:t>
            </w:r>
          </w:p>
        </w:tc>
        <w:tc>
          <w:tcPr>
            <w:tcW w:w="1108" w:type="pct"/>
            <w:shd w:val="clear" w:color="auto" w:fill="auto"/>
            <w:noWrap/>
            <w:tcMar>
              <w:right w:w="113" w:type="dxa"/>
            </w:tcMar>
            <w:vAlign w:val="center"/>
          </w:tcPr>
          <w:p w14:paraId="74EEAC2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1.150</w:t>
            </w:r>
          </w:p>
        </w:tc>
        <w:tc>
          <w:tcPr>
            <w:tcW w:w="1108" w:type="pct"/>
            <w:shd w:val="clear" w:color="auto" w:fill="auto"/>
            <w:noWrap/>
            <w:tcMar>
              <w:right w:w="113" w:type="dxa"/>
            </w:tcMar>
            <w:vAlign w:val="center"/>
          </w:tcPr>
          <w:p w14:paraId="035005A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1.150</w:t>
            </w:r>
          </w:p>
        </w:tc>
      </w:tr>
      <w:tr w:rsidR="009F490A" w:rsidRPr="00F93BD2" w14:paraId="1FB9A7E8" w14:textId="77777777" w:rsidTr="004A0F26">
        <w:trPr>
          <w:trHeight w:val="240"/>
        </w:trPr>
        <w:tc>
          <w:tcPr>
            <w:tcW w:w="1690" w:type="pct"/>
            <w:shd w:val="clear" w:color="auto" w:fill="auto"/>
            <w:noWrap/>
            <w:vAlign w:val="center"/>
          </w:tcPr>
          <w:p w14:paraId="7D1277A4"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Belize</w:t>
            </w:r>
          </w:p>
        </w:tc>
        <w:tc>
          <w:tcPr>
            <w:tcW w:w="1094" w:type="pct"/>
            <w:shd w:val="clear" w:color="auto" w:fill="auto"/>
            <w:noWrap/>
            <w:tcMar>
              <w:right w:w="113" w:type="dxa"/>
            </w:tcMar>
            <w:vAlign w:val="center"/>
          </w:tcPr>
          <w:p w14:paraId="4884DA1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2BAFACF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0D8AC52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287C7587" w14:textId="77777777" w:rsidTr="004A0F26">
        <w:trPr>
          <w:trHeight w:val="240"/>
        </w:trPr>
        <w:tc>
          <w:tcPr>
            <w:tcW w:w="1690" w:type="pct"/>
            <w:shd w:val="clear" w:color="auto" w:fill="auto"/>
            <w:noWrap/>
            <w:vAlign w:val="center"/>
          </w:tcPr>
          <w:p w14:paraId="306B411B"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Benin</w:t>
            </w:r>
          </w:p>
        </w:tc>
        <w:tc>
          <w:tcPr>
            <w:tcW w:w="1094" w:type="pct"/>
            <w:shd w:val="clear" w:color="auto" w:fill="auto"/>
            <w:noWrap/>
            <w:tcMar>
              <w:right w:w="113" w:type="dxa"/>
            </w:tcMar>
            <w:vAlign w:val="center"/>
          </w:tcPr>
          <w:p w14:paraId="1DAD69C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c>
          <w:tcPr>
            <w:tcW w:w="1108" w:type="pct"/>
            <w:shd w:val="clear" w:color="auto" w:fill="auto"/>
            <w:noWrap/>
            <w:tcMar>
              <w:right w:w="113" w:type="dxa"/>
            </w:tcMar>
            <w:vAlign w:val="center"/>
          </w:tcPr>
          <w:p w14:paraId="20BF96E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c>
          <w:tcPr>
            <w:tcW w:w="1108" w:type="pct"/>
            <w:shd w:val="clear" w:color="auto" w:fill="auto"/>
            <w:noWrap/>
            <w:tcMar>
              <w:right w:w="113" w:type="dxa"/>
            </w:tcMar>
            <w:vAlign w:val="center"/>
          </w:tcPr>
          <w:p w14:paraId="710D5B8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r>
      <w:tr w:rsidR="009F490A" w:rsidRPr="00F93BD2" w14:paraId="6BA1F9F1" w14:textId="77777777" w:rsidTr="004A0F26">
        <w:trPr>
          <w:trHeight w:val="240"/>
        </w:trPr>
        <w:tc>
          <w:tcPr>
            <w:tcW w:w="1690" w:type="pct"/>
            <w:shd w:val="clear" w:color="auto" w:fill="auto"/>
            <w:noWrap/>
            <w:vAlign w:val="center"/>
          </w:tcPr>
          <w:p w14:paraId="49B573B7"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Bhutan</w:t>
            </w:r>
          </w:p>
        </w:tc>
        <w:tc>
          <w:tcPr>
            <w:tcW w:w="1094" w:type="pct"/>
            <w:shd w:val="clear" w:color="auto" w:fill="auto"/>
            <w:noWrap/>
            <w:tcMar>
              <w:right w:w="113" w:type="dxa"/>
            </w:tcMar>
            <w:vAlign w:val="center"/>
          </w:tcPr>
          <w:p w14:paraId="51250BB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1540772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6528DC8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50111BA5" w14:textId="77777777" w:rsidTr="004A0F26">
        <w:trPr>
          <w:trHeight w:val="240"/>
        </w:trPr>
        <w:tc>
          <w:tcPr>
            <w:tcW w:w="1690" w:type="pct"/>
            <w:shd w:val="clear" w:color="auto" w:fill="auto"/>
            <w:noWrap/>
            <w:vAlign w:val="center"/>
          </w:tcPr>
          <w:p w14:paraId="3FFE81E5"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Bolivia (Plurinational State of)</w:t>
            </w:r>
          </w:p>
        </w:tc>
        <w:tc>
          <w:tcPr>
            <w:tcW w:w="1094" w:type="pct"/>
            <w:shd w:val="clear" w:color="auto" w:fill="auto"/>
            <w:noWrap/>
            <w:tcMar>
              <w:right w:w="113" w:type="dxa"/>
            </w:tcMar>
            <w:vAlign w:val="center"/>
          </w:tcPr>
          <w:p w14:paraId="21CA050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0.012</w:t>
            </w:r>
          </w:p>
        </w:tc>
        <w:tc>
          <w:tcPr>
            <w:tcW w:w="1108" w:type="pct"/>
            <w:shd w:val="clear" w:color="auto" w:fill="auto"/>
            <w:noWrap/>
            <w:tcMar>
              <w:right w:w="113" w:type="dxa"/>
            </w:tcMar>
            <w:vAlign w:val="center"/>
          </w:tcPr>
          <w:p w14:paraId="5E2FF1C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0.016</w:t>
            </w:r>
          </w:p>
        </w:tc>
        <w:tc>
          <w:tcPr>
            <w:tcW w:w="1108" w:type="pct"/>
            <w:shd w:val="clear" w:color="auto" w:fill="auto"/>
            <w:noWrap/>
            <w:tcMar>
              <w:right w:w="113" w:type="dxa"/>
            </w:tcMar>
            <w:vAlign w:val="center"/>
          </w:tcPr>
          <w:p w14:paraId="705A378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0.016</w:t>
            </w:r>
          </w:p>
        </w:tc>
      </w:tr>
      <w:tr w:rsidR="009F490A" w:rsidRPr="00F93BD2" w14:paraId="1924A98C" w14:textId="77777777" w:rsidTr="004A0F26">
        <w:trPr>
          <w:trHeight w:val="240"/>
        </w:trPr>
        <w:tc>
          <w:tcPr>
            <w:tcW w:w="1690" w:type="pct"/>
            <w:shd w:val="clear" w:color="auto" w:fill="auto"/>
            <w:noWrap/>
            <w:vAlign w:val="center"/>
          </w:tcPr>
          <w:p w14:paraId="3B5E6E78"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Bosnia and Herzegovina</w:t>
            </w:r>
          </w:p>
        </w:tc>
        <w:tc>
          <w:tcPr>
            <w:tcW w:w="1094" w:type="pct"/>
            <w:shd w:val="clear" w:color="auto" w:fill="auto"/>
            <w:noWrap/>
            <w:tcMar>
              <w:right w:w="113" w:type="dxa"/>
            </w:tcMar>
            <w:vAlign w:val="center"/>
          </w:tcPr>
          <w:p w14:paraId="30C0D02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0.013</w:t>
            </w:r>
          </w:p>
        </w:tc>
        <w:tc>
          <w:tcPr>
            <w:tcW w:w="1108" w:type="pct"/>
            <w:shd w:val="clear" w:color="auto" w:fill="auto"/>
            <w:noWrap/>
            <w:tcMar>
              <w:right w:w="113" w:type="dxa"/>
            </w:tcMar>
            <w:vAlign w:val="center"/>
          </w:tcPr>
          <w:p w14:paraId="6FFE4AD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0.017</w:t>
            </w:r>
          </w:p>
        </w:tc>
        <w:tc>
          <w:tcPr>
            <w:tcW w:w="1108" w:type="pct"/>
            <w:shd w:val="clear" w:color="auto" w:fill="auto"/>
            <w:noWrap/>
            <w:tcMar>
              <w:right w:w="113" w:type="dxa"/>
            </w:tcMar>
            <w:vAlign w:val="center"/>
          </w:tcPr>
          <w:p w14:paraId="098A492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0.017</w:t>
            </w:r>
          </w:p>
        </w:tc>
      </w:tr>
      <w:tr w:rsidR="009F490A" w:rsidRPr="00F93BD2" w14:paraId="6C63EA7F" w14:textId="77777777" w:rsidTr="004A0F26">
        <w:trPr>
          <w:trHeight w:val="240"/>
        </w:trPr>
        <w:tc>
          <w:tcPr>
            <w:tcW w:w="1690" w:type="pct"/>
            <w:shd w:val="clear" w:color="auto" w:fill="auto"/>
            <w:noWrap/>
            <w:vAlign w:val="center"/>
          </w:tcPr>
          <w:p w14:paraId="2E890D91"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Botswana</w:t>
            </w:r>
          </w:p>
        </w:tc>
        <w:tc>
          <w:tcPr>
            <w:tcW w:w="1094" w:type="pct"/>
            <w:shd w:val="clear" w:color="auto" w:fill="auto"/>
            <w:noWrap/>
            <w:tcMar>
              <w:right w:w="113" w:type="dxa"/>
            </w:tcMar>
            <w:vAlign w:val="center"/>
          </w:tcPr>
          <w:p w14:paraId="5ADA45D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0.014</w:t>
            </w:r>
          </w:p>
        </w:tc>
        <w:tc>
          <w:tcPr>
            <w:tcW w:w="1108" w:type="pct"/>
            <w:shd w:val="clear" w:color="auto" w:fill="auto"/>
            <w:noWrap/>
            <w:tcMar>
              <w:right w:w="113" w:type="dxa"/>
            </w:tcMar>
            <w:vAlign w:val="center"/>
          </w:tcPr>
          <w:p w14:paraId="02B75FD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0.018</w:t>
            </w:r>
          </w:p>
        </w:tc>
        <w:tc>
          <w:tcPr>
            <w:tcW w:w="1108" w:type="pct"/>
            <w:shd w:val="clear" w:color="auto" w:fill="auto"/>
            <w:noWrap/>
            <w:tcMar>
              <w:right w:w="113" w:type="dxa"/>
            </w:tcMar>
            <w:vAlign w:val="center"/>
          </w:tcPr>
          <w:p w14:paraId="4FE3ACA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0.018</w:t>
            </w:r>
          </w:p>
        </w:tc>
      </w:tr>
      <w:tr w:rsidR="009F490A" w:rsidRPr="00F93BD2" w14:paraId="6F7F9B57" w14:textId="77777777" w:rsidTr="004A0F26">
        <w:trPr>
          <w:trHeight w:val="240"/>
        </w:trPr>
        <w:tc>
          <w:tcPr>
            <w:tcW w:w="1690" w:type="pct"/>
            <w:shd w:val="clear" w:color="auto" w:fill="auto"/>
            <w:noWrap/>
            <w:vAlign w:val="center"/>
          </w:tcPr>
          <w:p w14:paraId="5027FAD4"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Brazil</w:t>
            </w:r>
          </w:p>
        </w:tc>
        <w:tc>
          <w:tcPr>
            <w:tcW w:w="1094" w:type="pct"/>
            <w:shd w:val="clear" w:color="auto" w:fill="auto"/>
            <w:noWrap/>
            <w:tcMar>
              <w:right w:w="113" w:type="dxa"/>
            </w:tcMar>
            <w:vAlign w:val="center"/>
          </w:tcPr>
          <w:p w14:paraId="28CE780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3.823</w:t>
            </w:r>
          </w:p>
        </w:tc>
        <w:tc>
          <w:tcPr>
            <w:tcW w:w="1108" w:type="pct"/>
            <w:shd w:val="clear" w:color="auto" w:fill="auto"/>
            <w:noWrap/>
            <w:tcMar>
              <w:right w:w="113" w:type="dxa"/>
            </w:tcMar>
            <w:vAlign w:val="center"/>
          </w:tcPr>
          <w:p w14:paraId="13E046D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4.966</w:t>
            </w:r>
          </w:p>
        </w:tc>
        <w:tc>
          <w:tcPr>
            <w:tcW w:w="1108" w:type="pct"/>
            <w:shd w:val="clear" w:color="auto" w:fill="auto"/>
            <w:noWrap/>
            <w:tcMar>
              <w:right w:w="113" w:type="dxa"/>
            </w:tcMar>
            <w:vAlign w:val="center"/>
          </w:tcPr>
          <w:p w14:paraId="1E098D5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4.966</w:t>
            </w:r>
          </w:p>
        </w:tc>
      </w:tr>
      <w:tr w:rsidR="009F490A" w:rsidRPr="00F93BD2" w14:paraId="2E5E02F3" w14:textId="77777777" w:rsidTr="004A0F26">
        <w:trPr>
          <w:trHeight w:val="240"/>
        </w:trPr>
        <w:tc>
          <w:tcPr>
            <w:tcW w:w="1690" w:type="pct"/>
            <w:shd w:val="clear" w:color="auto" w:fill="auto"/>
            <w:noWrap/>
            <w:vAlign w:val="center"/>
          </w:tcPr>
          <w:p w14:paraId="0D7751EB"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Brunei Darussalam</w:t>
            </w:r>
          </w:p>
        </w:tc>
        <w:tc>
          <w:tcPr>
            <w:tcW w:w="1094" w:type="pct"/>
            <w:shd w:val="clear" w:color="auto" w:fill="auto"/>
            <w:noWrap/>
            <w:tcMar>
              <w:right w:w="113" w:type="dxa"/>
            </w:tcMar>
            <w:vAlign w:val="center"/>
          </w:tcPr>
          <w:p w14:paraId="358E5AD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0.029</w:t>
            </w:r>
          </w:p>
        </w:tc>
        <w:tc>
          <w:tcPr>
            <w:tcW w:w="1108" w:type="pct"/>
            <w:shd w:val="clear" w:color="auto" w:fill="auto"/>
            <w:noWrap/>
            <w:tcMar>
              <w:right w:w="113" w:type="dxa"/>
            </w:tcMar>
            <w:vAlign w:val="center"/>
          </w:tcPr>
          <w:p w14:paraId="313FEC5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0.038</w:t>
            </w:r>
          </w:p>
        </w:tc>
        <w:tc>
          <w:tcPr>
            <w:tcW w:w="1108" w:type="pct"/>
            <w:shd w:val="clear" w:color="auto" w:fill="auto"/>
            <w:noWrap/>
            <w:tcMar>
              <w:right w:w="113" w:type="dxa"/>
            </w:tcMar>
            <w:vAlign w:val="center"/>
          </w:tcPr>
          <w:p w14:paraId="7C5A46E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0.038</w:t>
            </w:r>
          </w:p>
        </w:tc>
      </w:tr>
      <w:tr w:rsidR="009F490A" w:rsidRPr="00F93BD2" w14:paraId="56A403CF" w14:textId="77777777" w:rsidTr="004A0F26">
        <w:trPr>
          <w:trHeight w:val="240"/>
        </w:trPr>
        <w:tc>
          <w:tcPr>
            <w:tcW w:w="1690" w:type="pct"/>
            <w:shd w:val="clear" w:color="auto" w:fill="auto"/>
            <w:noWrap/>
            <w:vAlign w:val="center"/>
          </w:tcPr>
          <w:p w14:paraId="67A3FC9E"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Bulgaria</w:t>
            </w:r>
          </w:p>
        </w:tc>
        <w:tc>
          <w:tcPr>
            <w:tcW w:w="1094" w:type="pct"/>
            <w:shd w:val="clear" w:color="auto" w:fill="auto"/>
            <w:noWrap/>
            <w:tcMar>
              <w:right w:w="113" w:type="dxa"/>
            </w:tcMar>
            <w:vAlign w:val="center"/>
          </w:tcPr>
          <w:p w14:paraId="191F192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0.045</w:t>
            </w:r>
          </w:p>
        </w:tc>
        <w:tc>
          <w:tcPr>
            <w:tcW w:w="1108" w:type="pct"/>
            <w:shd w:val="clear" w:color="auto" w:fill="auto"/>
            <w:noWrap/>
            <w:tcMar>
              <w:right w:w="113" w:type="dxa"/>
            </w:tcMar>
            <w:vAlign w:val="center"/>
          </w:tcPr>
          <w:p w14:paraId="5914F29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0.058</w:t>
            </w:r>
          </w:p>
        </w:tc>
        <w:tc>
          <w:tcPr>
            <w:tcW w:w="1108" w:type="pct"/>
            <w:shd w:val="clear" w:color="auto" w:fill="auto"/>
            <w:noWrap/>
            <w:tcMar>
              <w:right w:w="113" w:type="dxa"/>
            </w:tcMar>
            <w:vAlign w:val="center"/>
          </w:tcPr>
          <w:p w14:paraId="13AC5E2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0.058</w:t>
            </w:r>
          </w:p>
        </w:tc>
      </w:tr>
      <w:tr w:rsidR="009F490A" w:rsidRPr="00F93BD2" w14:paraId="78F7A9B4" w14:textId="77777777" w:rsidTr="004A0F26">
        <w:trPr>
          <w:trHeight w:val="240"/>
        </w:trPr>
        <w:tc>
          <w:tcPr>
            <w:tcW w:w="1690" w:type="pct"/>
            <w:shd w:val="clear" w:color="auto" w:fill="auto"/>
            <w:noWrap/>
            <w:vAlign w:val="center"/>
          </w:tcPr>
          <w:p w14:paraId="6D3304A6"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Burkina Faso</w:t>
            </w:r>
          </w:p>
        </w:tc>
        <w:tc>
          <w:tcPr>
            <w:tcW w:w="1094" w:type="pct"/>
            <w:shd w:val="clear" w:color="auto" w:fill="auto"/>
            <w:noWrap/>
            <w:tcMar>
              <w:right w:w="113" w:type="dxa"/>
            </w:tcMar>
            <w:vAlign w:val="center"/>
          </w:tcPr>
          <w:p w14:paraId="5946361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c>
          <w:tcPr>
            <w:tcW w:w="1108" w:type="pct"/>
            <w:shd w:val="clear" w:color="auto" w:fill="auto"/>
            <w:noWrap/>
            <w:tcMar>
              <w:right w:w="113" w:type="dxa"/>
            </w:tcMar>
            <w:vAlign w:val="center"/>
          </w:tcPr>
          <w:p w14:paraId="7595C57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0.005</w:t>
            </w:r>
          </w:p>
        </w:tc>
        <w:tc>
          <w:tcPr>
            <w:tcW w:w="1108" w:type="pct"/>
            <w:shd w:val="clear" w:color="auto" w:fill="auto"/>
            <w:noWrap/>
            <w:tcMar>
              <w:right w:w="113" w:type="dxa"/>
            </w:tcMar>
            <w:vAlign w:val="center"/>
          </w:tcPr>
          <w:p w14:paraId="0DC5D13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0.005</w:t>
            </w:r>
          </w:p>
        </w:tc>
      </w:tr>
      <w:tr w:rsidR="009F490A" w:rsidRPr="00F93BD2" w14:paraId="38197598" w14:textId="77777777" w:rsidTr="004A0F26">
        <w:trPr>
          <w:trHeight w:val="240"/>
        </w:trPr>
        <w:tc>
          <w:tcPr>
            <w:tcW w:w="1690" w:type="pct"/>
            <w:shd w:val="clear" w:color="auto" w:fill="auto"/>
            <w:noWrap/>
            <w:vAlign w:val="center"/>
          </w:tcPr>
          <w:p w14:paraId="50365B38"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Burundi</w:t>
            </w:r>
          </w:p>
        </w:tc>
        <w:tc>
          <w:tcPr>
            <w:tcW w:w="1094" w:type="pct"/>
            <w:shd w:val="clear" w:color="auto" w:fill="auto"/>
            <w:noWrap/>
            <w:tcMar>
              <w:right w:w="113" w:type="dxa"/>
            </w:tcMar>
            <w:vAlign w:val="center"/>
          </w:tcPr>
          <w:p w14:paraId="505664D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1D682CE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408E8F3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5E739F18" w14:textId="77777777" w:rsidTr="004A0F26">
        <w:trPr>
          <w:trHeight w:val="240"/>
        </w:trPr>
        <w:tc>
          <w:tcPr>
            <w:tcW w:w="1690" w:type="pct"/>
            <w:shd w:val="clear" w:color="auto" w:fill="auto"/>
            <w:noWrap/>
            <w:vAlign w:val="center"/>
          </w:tcPr>
          <w:p w14:paraId="43C113AC"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Cabo Verde</w:t>
            </w:r>
          </w:p>
        </w:tc>
        <w:tc>
          <w:tcPr>
            <w:tcW w:w="1094" w:type="pct"/>
            <w:shd w:val="clear" w:color="auto" w:fill="auto"/>
            <w:noWrap/>
            <w:tcMar>
              <w:right w:w="113" w:type="dxa"/>
            </w:tcMar>
            <w:vAlign w:val="center"/>
          </w:tcPr>
          <w:p w14:paraId="611C83F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1DFEF2A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58AF76F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63B082B8" w14:textId="77777777" w:rsidTr="004A0F26">
        <w:trPr>
          <w:trHeight w:val="240"/>
        </w:trPr>
        <w:tc>
          <w:tcPr>
            <w:tcW w:w="1690" w:type="pct"/>
            <w:shd w:val="clear" w:color="auto" w:fill="auto"/>
            <w:noWrap/>
            <w:vAlign w:val="center"/>
          </w:tcPr>
          <w:p w14:paraId="14AB52DC"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Cambodia</w:t>
            </w:r>
          </w:p>
        </w:tc>
        <w:tc>
          <w:tcPr>
            <w:tcW w:w="1094" w:type="pct"/>
            <w:shd w:val="clear" w:color="auto" w:fill="auto"/>
            <w:noWrap/>
            <w:tcMar>
              <w:right w:w="113" w:type="dxa"/>
            </w:tcMar>
            <w:vAlign w:val="center"/>
          </w:tcPr>
          <w:p w14:paraId="0B966E0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c>
          <w:tcPr>
            <w:tcW w:w="1108" w:type="pct"/>
            <w:shd w:val="clear" w:color="auto" w:fill="auto"/>
            <w:noWrap/>
            <w:tcMar>
              <w:right w:w="113" w:type="dxa"/>
            </w:tcMar>
            <w:vAlign w:val="center"/>
          </w:tcPr>
          <w:p w14:paraId="2508E86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0.005</w:t>
            </w:r>
          </w:p>
        </w:tc>
        <w:tc>
          <w:tcPr>
            <w:tcW w:w="1108" w:type="pct"/>
            <w:shd w:val="clear" w:color="auto" w:fill="auto"/>
            <w:noWrap/>
            <w:tcMar>
              <w:right w:w="113" w:type="dxa"/>
            </w:tcMar>
            <w:vAlign w:val="center"/>
          </w:tcPr>
          <w:p w14:paraId="61C87EA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0.005</w:t>
            </w:r>
          </w:p>
        </w:tc>
      </w:tr>
      <w:tr w:rsidR="009F490A" w:rsidRPr="00F93BD2" w14:paraId="019EB164" w14:textId="77777777" w:rsidTr="004A0F26">
        <w:trPr>
          <w:trHeight w:val="240"/>
        </w:trPr>
        <w:tc>
          <w:tcPr>
            <w:tcW w:w="1690" w:type="pct"/>
            <w:shd w:val="clear" w:color="auto" w:fill="auto"/>
            <w:noWrap/>
            <w:vAlign w:val="center"/>
          </w:tcPr>
          <w:p w14:paraId="0593BED0"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Cameroon</w:t>
            </w:r>
          </w:p>
        </w:tc>
        <w:tc>
          <w:tcPr>
            <w:tcW w:w="1094" w:type="pct"/>
            <w:shd w:val="clear" w:color="auto" w:fill="auto"/>
            <w:noWrap/>
            <w:tcMar>
              <w:right w:w="113" w:type="dxa"/>
            </w:tcMar>
            <w:vAlign w:val="center"/>
          </w:tcPr>
          <w:p w14:paraId="100BEF9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0.010</w:t>
            </w:r>
          </w:p>
        </w:tc>
        <w:tc>
          <w:tcPr>
            <w:tcW w:w="1108" w:type="pct"/>
            <w:shd w:val="clear" w:color="auto" w:fill="auto"/>
            <w:noWrap/>
            <w:tcMar>
              <w:right w:w="113" w:type="dxa"/>
            </w:tcMar>
            <w:vAlign w:val="center"/>
          </w:tcPr>
          <w:p w14:paraId="34F3D01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0.013</w:t>
            </w:r>
          </w:p>
        </w:tc>
        <w:tc>
          <w:tcPr>
            <w:tcW w:w="1108" w:type="pct"/>
            <w:shd w:val="clear" w:color="auto" w:fill="auto"/>
            <w:noWrap/>
            <w:tcMar>
              <w:right w:w="113" w:type="dxa"/>
            </w:tcMar>
            <w:vAlign w:val="center"/>
          </w:tcPr>
          <w:p w14:paraId="0882165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0.013</w:t>
            </w:r>
          </w:p>
        </w:tc>
      </w:tr>
      <w:tr w:rsidR="009F490A" w:rsidRPr="00F93BD2" w14:paraId="38801A7B" w14:textId="77777777" w:rsidTr="004A0F26">
        <w:trPr>
          <w:trHeight w:val="240"/>
        </w:trPr>
        <w:tc>
          <w:tcPr>
            <w:tcW w:w="1690" w:type="pct"/>
            <w:shd w:val="clear" w:color="auto" w:fill="auto"/>
            <w:noWrap/>
            <w:vAlign w:val="center"/>
          </w:tcPr>
          <w:p w14:paraId="4007F0E4"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Central African Republic</w:t>
            </w:r>
          </w:p>
        </w:tc>
        <w:tc>
          <w:tcPr>
            <w:tcW w:w="1094" w:type="pct"/>
            <w:shd w:val="clear" w:color="auto" w:fill="auto"/>
            <w:noWrap/>
            <w:tcMar>
              <w:right w:w="113" w:type="dxa"/>
            </w:tcMar>
            <w:vAlign w:val="center"/>
          </w:tcPr>
          <w:p w14:paraId="0BB1311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27B4677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4EF2179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1C592EA6" w14:textId="77777777" w:rsidTr="004A0F26">
        <w:trPr>
          <w:trHeight w:val="240"/>
        </w:trPr>
        <w:tc>
          <w:tcPr>
            <w:tcW w:w="1690" w:type="pct"/>
            <w:shd w:val="clear" w:color="auto" w:fill="auto"/>
            <w:noWrap/>
            <w:vAlign w:val="center"/>
          </w:tcPr>
          <w:p w14:paraId="2584A89E"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Chad</w:t>
            </w:r>
          </w:p>
        </w:tc>
        <w:tc>
          <w:tcPr>
            <w:tcW w:w="1094" w:type="pct"/>
            <w:shd w:val="clear" w:color="auto" w:fill="auto"/>
            <w:noWrap/>
            <w:tcMar>
              <w:right w:w="113" w:type="dxa"/>
            </w:tcMar>
            <w:vAlign w:val="center"/>
          </w:tcPr>
          <w:p w14:paraId="6D45774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0.005</w:t>
            </w:r>
          </w:p>
        </w:tc>
        <w:tc>
          <w:tcPr>
            <w:tcW w:w="1108" w:type="pct"/>
            <w:shd w:val="clear" w:color="auto" w:fill="auto"/>
            <w:noWrap/>
            <w:tcMar>
              <w:right w:w="113" w:type="dxa"/>
            </w:tcMar>
            <w:vAlign w:val="center"/>
          </w:tcPr>
          <w:p w14:paraId="1CFD123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0.006</w:t>
            </w:r>
          </w:p>
        </w:tc>
        <w:tc>
          <w:tcPr>
            <w:tcW w:w="1108" w:type="pct"/>
            <w:shd w:val="clear" w:color="auto" w:fill="auto"/>
            <w:noWrap/>
            <w:tcMar>
              <w:right w:w="113" w:type="dxa"/>
            </w:tcMar>
            <w:vAlign w:val="center"/>
          </w:tcPr>
          <w:p w14:paraId="33B0AFE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0.006</w:t>
            </w:r>
          </w:p>
        </w:tc>
      </w:tr>
      <w:tr w:rsidR="009F490A" w:rsidRPr="00F93BD2" w14:paraId="08E772AA" w14:textId="77777777" w:rsidTr="004A0F26">
        <w:trPr>
          <w:trHeight w:val="240"/>
        </w:trPr>
        <w:tc>
          <w:tcPr>
            <w:tcW w:w="1690" w:type="pct"/>
            <w:shd w:val="clear" w:color="auto" w:fill="auto"/>
            <w:noWrap/>
            <w:vAlign w:val="center"/>
          </w:tcPr>
          <w:p w14:paraId="245F6834"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Chile</w:t>
            </w:r>
          </w:p>
        </w:tc>
        <w:tc>
          <w:tcPr>
            <w:tcW w:w="1094" w:type="pct"/>
            <w:shd w:val="clear" w:color="auto" w:fill="auto"/>
            <w:noWrap/>
            <w:tcMar>
              <w:right w:w="113" w:type="dxa"/>
            </w:tcMar>
            <w:vAlign w:val="center"/>
          </w:tcPr>
          <w:p w14:paraId="7B2D5AD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0.399</w:t>
            </w:r>
          </w:p>
        </w:tc>
        <w:tc>
          <w:tcPr>
            <w:tcW w:w="1108" w:type="pct"/>
            <w:shd w:val="clear" w:color="auto" w:fill="auto"/>
            <w:noWrap/>
            <w:tcMar>
              <w:right w:w="113" w:type="dxa"/>
            </w:tcMar>
            <w:vAlign w:val="center"/>
          </w:tcPr>
          <w:p w14:paraId="1602128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0.518</w:t>
            </w:r>
          </w:p>
        </w:tc>
        <w:tc>
          <w:tcPr>
            <w:tcW w:w="1108" w:type="pct"/>
            <w:shd w:val="clear" w:color="auto" w:fill="auto"/>
            <w:noWrap/>
            <w:tcMar>
              <w:right w:w="113" w:type="dxa"/>
            </w:tcMar>
            <w:vAlign w:val="center"/>
          </w:tcPr>
          <w:p w14:paraId="688D1EE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0.518</w:t>
            </w:r>
          </w:p>
        </w:tc>
      </w:tr>
      <w:tr w:rsidR="009F490A" w:rsidRPr="00F93BD2" w14:paraId="67B72480" w14:textId="77777777" w:rsidTr="004A0F26">
        <w:trPr>
          <w:trHeight w:val="240"/>
        </w:trPr>
        <w:tc>
          <w:tcPr>
            <w:tcW w:w="1690" w:type="pct"/>
            <w:shd w:val="clear" w:color="auto" w:fill="auto"/>
            <w:noWrap/>
            <w:vAlign w:val="center"/>
          </w:tcPr>
          <w:p w14:paraId="3226A911"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China</w:t>
            </w:r>
          </w:p>
        </w:tc>
        <w:tc>
          <w:tcPr>
            <w:tcW w:w="1094" w:type="pct"/>
            <w:shd w:val="clear" w:color="auto" w:fill="auto"/>
            <w:noWrap/>
            <w:tcMar>
              <w:right w:w="113" w:type="dxa"/>
            </w:tcMar>
            <w:vAlign w:val="center"/>
          </w:tcPr>
          <w:p w14:paraId="1030CBB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7.921</w:t>
            </w:r>
          </w:p>
        </w:tc>
        <w:tc>
          <w:tcPr>
            <w:tcW w:w="1108" w:type="pct"/>
            <w:shd w:val="clear" w:color="auto" w:fill="auto"/>
            <w:noWrap/>
            <w:tcMar>
              <w:right w:w="113" w:type="dxa"/>
            </w:tcMar>
            <w:vAlign w:val="center"/>
          </w:tcPr>
          <w:p w14:paraId="3B0308F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10.289</w:t>
            </w:r>
          </w:p>
        </w:tc>
        <w:tc>
          <w:tcPr>
            <w:tcW w:w="1108" w:type="pct"/>
            <w:shd w:val="clear" w:color="auto" w:fill="auto"/>
            <w:noWrap/>
            <w:tcMar>
              <w:right w:w="113" w:type="dxa"/>
            </w:tcMar>
            <w:vAlign w:val="center"/>
          </w:tcPr>
          <w:p w14:paraId="7E7BA00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10.289</w:t>
            </w:r>
          </w:p>
        </w:tc>
      </w:tr>
      <w:tr w:rsidR="009F490A" w:rsidRPr="00F93BD2" w14:paraId="3A4EBD7D" w14:textId="77777777" w:rsidTr="004A0F26">
        <w:trPr>
          <w:trHeight w:val="240"/>
        </w:trPr>
        <w:tc>
          <w:tcPr>
            <w:tcW w:w="1690" w:type="pct"/>
            <w:shd w:val="clear" w:color="auto" w:fill="auto"/>
            <w:noWrap/>
            <w:vAlign w:val="center"/>
          </w:tcPr>
          <w:p w14:paraId="78003B5B"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Colombia</w:t>
            </w:r>
          </w:p>
        </w:tc>
        <w:tc>
          <w:tcPr>
            <w:tcW w:w="1094" w:type="pct"/>
            <w:shd w:val="clear" w:color="auto" w:fill="auto"/>
            <w:noWrap/>
            <w:tcMar>
              <w:right w:w="113" w:type="dxa"/>
            </w:tcMar>
            <w:vAlign w:val="center"/>
          </w:tcPr>
          <w:p w14:paraId="3BF211B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0.322</w:t>
            </w:r>
          </w:p>
        </w:tc>
        <w:tc>
          <w:tcPr>
            <w:tcW w:w="1108" w:type="pct"/>
            <w:shd w:val="clear" w:color="auto" w:fill="auto"/>
            <w:noWrap/>
            <w:tcMar>
              <w:right w:w="113" w:type="dxa"/>
            </w:tcMar>
            <w:vAlign w:val="center"/>
          </w:tcPr>
          <w:p w14:paraId="509F46E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0.418</w:t>
            </w:r>
          </w:p>
        </w:tc>
        <w:tc>
          <w:tcPr>
            <w:tcW w:w="1108" w:type="pct"/>
            <w:shd w:val="clear" w:color="auto" w:fill="auto"/>
            <w:noWrap/>
            <w:tcMar>
              <w:right w:w="113" w:type="dxa"/>
            </w:tcMar>
            <w:vAlign w:val="center"/>
          </w:tcPr>
          <w:p w14:paraId="0970754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0.418</w:t>
            </w:r>
          </w:p>
        </w:tc>
      </w:tr>
      <w:tr w:rsidR="009F490A" w:rsidRPr="00F93BD2" w14:paraId="1AB7E9DF" w14:textId="77777777" w:rsidTr="004A0F26">
        <w:trPr>
          <w:trHeight w:val="240"/>
        </w:trPr>
        <w:tc>
          <w:tcPr>
            <w:tcW w:w="1690" w:type="pct"/>
            <w:shd w:val="clear" w:color="auto" w:fill="auto"/>
            <w:noWrap/>
            <w:vAlign w:val="center"/>
          </w:tcPr>
          <w:p w14:paraId="79C848D0"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Comoros</w:t>
            </w:r>
          </w:p>
        </w:tc>
        <w:tc>
          <w:tcPr>
            <w:tcW w:w="1094" w:type="pct"/>
            <w:shd w:val="clear" w:color="auto" w:fill="auto"/>
            <w:noWrap/>
            <w:tcMar>
              <w:right w:w="113" w:type="dxa"/>
            </w:tcMar>
            <w:vAlign w:val="center"/>
          </w:tcPr>
          <w:p w14:paraId="139E3CB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388AFFC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47837F5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31BFC5A0" w14:textId="77777777" w:rsidTr="004A0F26">
        <w:trPr>
          <w:trHeight w:val="240"/>
        </w:trPr>
        <w:tc>
          <w:tcPr>
            <w:tcW w:w="1690" w:type="pct"/>
            <w:shd w:val="clear" w:color="auto" w:fill="auto"/>
            <w:noWrap/>
            <w:vAlign w:val="center"/>
          </w:tcPr>
          <w:p w14:paraId="1C93C045"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Congo</w:t>
            </w:r>
          </w:p>
        </w:tc>
        <w:tc>
          <w:tcPr>
            <w:tcW w:w="1094" w:type="pct"/>
            <w:shd w:val="clear" w:color="auto" w:fill="auto"/>
            <w:noWrap/>
            <w:tcMar>
              <w:right w:w="113" w:type="dxa"/>
            </w:tcMar>
            <w:vAlign w:val="center"/>
          </w:tcPr>
          <w:p w14:paraId="6B43C9A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0.006</w:t>
            </w:r>
          </w:p>
        </w:tc>
        <w:tc>
          <w:tcPr>
            <w:tcW w:w="1108" w:type="pct"/>
            <w:shd w:val="clear" w:color="auto" w:fill="auto"/>
            <w:noWrap/>
            <w:tcMar>
              <w:right w:w="113" w:type="dxa"/>
            </w:tcMar>
            <w:vAlign w:val="center"/>
          </w:tcPr>
          <w:p w14:paraId="229B89B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0.008</w:t>
            </w:r>
          </w:p>
        </w:tc>
        <w:tc>
          <w:tcPr>
            <w:tcW w:w="1108" w:type="pct"/>
            <w:shd w:val="clear" w:color="auto" w:fill="auto"/>
            <w:noWrap/>
            <w:tcMar>
              <w:right w:w="113" w:type="dxa"/>
            </w:tcMar>
            <w:vAlign w:val="center"/>
          </w:tcPr>
          <w:p w14:paraId="43FF3C7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0.008</w:t>
            </w:r>
          </w:p>
        </w:tc>
      </w:tr>
      <w:tr w:rsidR="009F490A" w:rsidRPr="00F93BD2" w14:paraId="27B42895" w14:textId="77777777" w:rsidTr="004A0F26">
        <w:trPr>
          <w:trHeight w:val="240"/>
        </w:trPr>
        <w:tc>
          <w:tcPr>
            <w:tcW w:w="1690" w:type="pct"/>
            <w:shd w:val="clear" w:color="auto" w:fill="auto"/>
            <w:noWrap/>
            <w:vAlign w:val="center"/>
          </w:tcPr>
          <w:p w14:paraId="250D5289"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Cook Islands</w:t>
            </w:r>
          </w:p>
        </w:tc>
        <w:tc>
          <w:tcPr>
            <w:tcW w:w="1094" w:type="pct"/>
            <w:shd w:val="clear" w:color="auto" w:fill="auto"/>
            <w:noWrap/>
            <w:tcMar>
              <w:right w:w="113" w:type="dxa"/>
            </w:tcMar>
            <w:vAlign w:val="center"/>
          </w:tcPr>
          <w:p w14:paraId="0B240938" w14:textId="77777777" w:rsidR="009F490A" w:rsidRPr="00F93BD2" w:rsidRDefault="009F490A" w:rsidP="004A0F26">
            <w:pPr>
              <w:suppressAutoHyphens w:val="0"/>
              <w:spacing w:line="240" w:lineRule="auto"/>
              <w:jc w:val="right"/>
              <w:rPr>
                <w:rFonts w:eastAsia="MS Mincho"/>
                <w:color w:val="000000"/>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00826CB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26911A8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03D6246C" w14:textId="77777777" w:rsidTr="004A0F26">
        <w:trPr>
          <w:trHeight w:val="240"/>
        </w:trPr>
        <w:tc>
          <w:tcPr>
            <w:tcW w:w="1690" w:type="pct"/>
            <w:shd w:val="clear" w:color="auto" w:fill="auto"/>
            <w:noWrap/>
            <w:vAlign w:val="center"/>
          </w:tcPr>
          <w:p w14:paraId="45859231"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Costa Rica</w:t>
            </w:r>
          </w:p>
        </w:tc>
        <w:tc>
          <w:tcPr>
            <w:tcW w:w="1094" w:type="pct"/>
            <w:shd w:val="clear" w:color="auto" w:fill="auto"/>
            <w:noWrap/>
            <w:tcMar>
              <w:right w:w="113" w:type="dxa"/>
            </w:tcMar>
            <w:vAlign w:val="center"/>
          </w:tcPr>
          <w:p w14:paraId="30462A8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0.047</w:t>
            </w:r>
          </w:p>
        </w:tc>
        <w:tc>
          <w:tcPr>
            <w:tcW w:w="1108" w:type="pct"/>
            <w:shd w:val="clear" w:color="auto" w:fill="auto"/>
            <w:noWrap/>
            <w:tcMar>
              <w:right w:w="113" w:type="dxa"/>
            </w:tcMar>
            <w:vAlign w:val="center"/>
          </w:tcPr>
          <w:p w14:paraId="0EDA01D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0.061</w:t>
            </w:r>
          </w:p>
        </w:tc>
        <w:tc>
          <w:tcPr>
            <w:tcW w:w="1108" w:type="pct"/>
            <w:shd w:val="clear" w:color="auto" w:fill="auto"/>
            <w:noWrap/>
            <w:tcMar>
              <w:right w:w="113" w:type="dxa"/>
            </w:tcMar>
            <w:vAlign w:val="center"/>
          </w:tcPr>
          <w:p w14:paraId="5C85608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0.061</w:t>
            </w:r>
          </w:p>
        </w:tc>
      </w:tr>
      <w:tr w:rsidR="009F490A" w:rsidRPr="00F93BD2" w14:paraId="4B296039" w14:textId="77777777" w:rsidTr="004A0F26">
        <w:trPr>
          <w:trHeight w:val="240"/>
        </w:trPr>
        <w:tc>
          <w:tcPr>
            <w:tcW w:w="1690" w:type="pct"/>
            <w:shd w:val="clear" w:color="auto" w:fill="auto"/>
            <w:noWrap/>
            <w:vAlign w:val="center"/>
          </w:tcPr>
          <w:p w14:paraId="493FE7E0"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Côte d’Ivoire</w:t>
            </w:r>
          </w:p>
        </w:tc>
        <w:tc>
          <w:tcPr>
            <w:tcW w:w="1094" w:type="pct"/>
            <w:shd w:val="clear" w:color="auto" w:fill="auto"/>
            <w:noWrap/>
            <w:tcMar>
              <w:right w:w="113" w:type="dxa"/>
            </w:tcMar>
            <w:vAlign w:val="center"/>
          </w:tcPr>
          <w:p w14:paraId="33AF4F6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0.009</w:t>
            </w:r>
          </w:p>
        </w:tc>
        <w:tc>
          <w:tcPr>
            <w:tcW w:w="1108" w:type="pct"/>
            <w:shd w:val="clear" w:color="auto" w:fill="auto"/>
            <w:noWrap/>
            <w:tcMar>
              <w:right w:w="113" w:type="dxa"/>
            </w:tcMar>
            <w:vAlign w:val="center"/>
          </w:tcPr>
          <w:p w14:paraId="6785B96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0.012</w:t>
            </w:r>
          </w:p>
        </w:tc>
        <w:tc>
          <w:tcPr>
            <w:tcW w:w="1108" w:type="pct"/>
            <w:shd w:val="clear" w:color="auto" w:fill="auto"/>
            <w:noWrap/>
            <w:tcMar>
              <w:right w:w="113" w:type="dxa"/>
            </w:tcMar>
            <w:vAlign w:val="center"/>
          </w:tcPr>
          <w:p w14:paraId="1027350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0.012</w:t>
            </w:r>
          </w:p>
        </w:tc>
      </w:tr>
      <w:tr w:rsidR="009F490A" w:rsidRPr="00F93BD2" w14:paraId="5927B569" w14:textId="77777777" w:rsidTr="004A0F26">
        <w:trPr>
          <w:trHeight w:val="240"/>
        </w:trPr>
        <w:tc>
          <w:tcPr>
            <w:tcW w:w="1690" w:type="pct"/>
            <w:shd w:val="clear" w:color="auto" w:fill="auto"/>
            <w:noWrap/>
            <w:vAlign w:val="center"/>
          </w:tcPr>
          <w:p w14:paraId="0D5D4406"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Croatia</w:t>
            </w:r>
          </w:p>
        </w:tc>
        <w:tc>
          <w:tcPr>
            <w:tcW w:w="1094" w:type="pct"/>
            <w:shd w:val="clear" w:color="auto" w:fill="auto"/>
            <w:noWrap/>
            <w:tcMar>
              <w:right w:w="113" w:type="dxa"/>
            </w:tcMar>
            <w:vAlign w:val="center"/>
          </w:tcPr>
          <w:p w14:paraId="4E07617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0.099</w:t>
            </w:r>
          </w:p>
        </w:tc>
        <w:tc>
          <w:tcPr>
            <w:tcW w:w="1108" w:type="pct"/>
            <w:shd w:val="clear" w:color="auto" w:fill="auto"/>
            <w:noWrap/>
            <w:tcMar>
              <w:right w:w="113" w:type="dxa"/>
            </w:tcMar>
            <w:vAlign w:val="center"/>
          </w:tcPr>
          <w:p w14:paraId="0C31D59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0.129</w:t>
            </w:r>
          </w:p>
        </w:tc>
        <w:tc>
          <w:tcPr>
            <w:tcW w:w="1108" w:type="pct"/>
            <w:shd w:val="clear" w:color="auto" w:fill="auto"/>
            <w:noWrap/>
            <w:tcMar>
              <w:right w:w="113" w:type="dxa"/>
            </w:tcMar>
            <w:vAlign w:val="center"/>
          </w:tcPr>
          <w:p w14:paraId="6EDAC0E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0.129</w:t>
            </w:r>
          </w:p>
        </w:tc>
      </w:tr>
      <w:tr w:rsidR="009F490A" w:rsidRPr="00F93BD2" w14:paraId="215D55B6" w14:textId="77777777" w:rsidTr="004A0F26">
        <w:trPr>
          <w:trHeight w:val="240"/>
        </w:trPr>
        <w:tc>
          <w:tcPr>
            <w:tcW w:w="1690" w:type="pct"/>
            <w:shd w:val="clear" w:color="auto" w:fill="auto"/>
            <w:noWrap/>
            <w:vAlign w:val="center"/>
          </w:tcPr>
          <w:p w14:paraId="63676644"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Cuba</w:t>
            </w:r>
          </w:p>
        </w:tc>
        <w:tc>
          <w:tcPr>
            <w:tcW w:w="1094" w:type="pct"/>
            <w:shd w:val="clear" w:color="auto" w:fill="auto"/>
            <w:noWrap/>
            <w:tcMar>
              <w:right w:w="113" w:type="dxa"/>
            </w:tcMar>
            <w:vAlign w:val="center"/>
          </w:tcPr>
          <w:p w14:paraId="10CB38D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0.065</w:t>
            </w:r>
          </w:p>
        </w:tc>
        <w:tc>
          <w:tcPr>
            <w:tcW w:w="1108" w:type="pct"/>
            <w:shd w:val="clear" w:color="auto" w:fill="auto"/>
            <w:noWrap/>
            <w:tcMar>
              <w:right w:w="113" w:type="dxa"/>
            </w:tcMar>
            <w:vAlign w:val="center"/>
          </w:tcPr>
          <w:p w14:paraId="5F50466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0.084</w:t>
            </w:r>
          </w:p>
        </w:tc>
        <w:tc>
          <w:tcPr>
            <w:tcW w:w="1108" w:type="pct"/>
            <w:shd w:val="clear" w:color="auto" w:fill="auto"/>
            <w:noWrap/>
            <w:tcMar>
              <w:right w:w="113" w:type="dxa"/>
            </w:tcMar>
            <w:vAlign w:val="center"/>
          </w:tcPr>
          <w:p w14:paraId="25AAB7E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0.084</w:t>
            </w:r>
          </w:p>
        </w:tc>
      </w:tr>
      <w:tr w:rsidR="009F490A" w:rsidRPr="00F93BD2" w14:paraId="3C345EB5" w14:textId="77777777" w:rsidTr="004A0F26">
        <w:trPr>
          <w:trHeight w:val="240"/>
        </w:trPr>
        <w:tc>
          <w:tcPr>
            <w:tcW w:w="1690" w:type="pct"/>
            <w:shd w:val="clear" w:color="auto" w:fill="auto"/>
            <w:noWrap/>
            <w:vAlign w:val="center"/>
          </w:tcPr>
          <w:p w14:paraId="14ADDD38"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Cyprus</w:t>
            </w:r>
          </w:p>
        </w:tc>
        <w:tc>
          <w:tcPr>
            <w:tcW w:w="1094" w:type="pct"/>
            <w:shd w:val="clear" w:color="auto" w:fill="auto"/>
            <w:noWrap/>
            <w:tcMar>
              <w:right w:w="113" w:type="dxa"/>
            </w:tcMar>
            <w:vAlign w:val="center"/>
          </w:tcPr>
          <w:p w14:paraId="6D0C665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0.043</w:t>
            </w:r>
          </w:p>
        </w:tc>
        <w:tc>
          <w:tcPr>
            <w:tcW w:w="1108" w:type="pct"/>
            <w:shd w:val="clear" w:color="auto" w:fill="auto"/>
            <w:noWrap/>
            <w:tcMar>
              <w:right w:w="113" w:type="dxa"/>
            </w:tcMar>
            <w:vAlign w:val="center"/>
          </w:tcPr>
          <w:p w14:paraId="0FBFE06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0.056</w:t>
            </w:r>
          </w:p>
        </w:tc>
        <w:tc>
          <w:tcPr>
            <w:tcW w:w="1108" w:type="pct"/>
            <w:shd w:val="clear" w:color="auto" w:fill="auto"/>
            <w:noWrap/>
            <w:tcMar>
              <w:right w:w="113" w:type="dxa"/>
            </w:tcMar>
            <w:vAlign w:val="center"/>
          </w:tcPr>
          <w:p w14:paraId="4F1037A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0.056</w:t>
            </w:r>
          </w:p>
        </w:tc>
      </w:tr>
      <w:tr w:rsidR="009F490A" w:rsidRPr="00F93BD2" w14:paraId="16642568" w14:textId="77777777" w:rsidTr="004A0F26">
        <w:trPr>
          <w:trHeight w:val="240"/>
        </w:trPr>
        <w:tc>
          <w:tcPr>
            <w:tcW w:w="1690" w:type="pct"/>
            <w:shd w:val="clear" w:color="auto" w:fill="auto"/>
            <w:noWrap/>
            <w:vAlign w:val="center"/>
          </w:tcPr>
          <w:p w14:paraId="40221973"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Czechia</w:t>
            </w:r>
          </w:p>
        </w:tc>
        <w:tc>
          <w:tcPr>
            <w:tcW w:w="1094" w:type="pct"/>
            <w:shd w:val="clear" w:color="auto" w:fill="auto"/>
            <w:noWrap/>
            <w:tcMar>
              <w:right w:w="113" w:type="dxa"/>
            </w:tcMar>
            <w:vAlign w:val="center"/>
          </w:tcPr>
          <w:p w14:paraId="7737267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0.344</w:t>
            </w:r>
          </w:p>
        </w:tc>
        <w:tc>
          <w:tcPr>
            <w:tcW w:w="1108" w:type="pct"/>
            <w:shd w:val="clear" w:color="auto" w:fill="auto"/>
            <w:noWrap/>
            <w:tcMar>
              <w:right w:w="113" w:type="dxa"/>
            </w:tcMar>
            <w:vAlign w:val="center"/>
          </w:tcPr>
          <w:p w14:paraId="19CCA83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0.447</w:t>
            </w:r>
          </w:p>
        </w:tc>
        <w:tc>
          <w:tcPr>
            <w:tcW w:w="1108" w:type="pct"/>
            <w:shd w:val="clear" w:color="auto" w:fill="auto"/>
            <w:noWrap/>
            <w:tcMar>
              <w:right w:w="113" w:type="dxa"/>
            </w:tcMar>
            <w:vAlign w:val="center"/>
          </w:tcPr>
          <w:p w14:paraId="5B5CE90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0.447</w:t>
            </w:r>
          </w:p>
        </w:tc>
      </w:tr>
      <w:tr w:rsidR="009F490A" w:rsidRPr="00F93BD2" w14:paraId="25BF4311" w14:textId="77777777" w:rsidTr="004A0F26">
        <w:trPr>
          <w:trHeight w:val="240"/>
        </w:trPr>
        <w:tc>
          <w:tcPr>
            <w:tcW w:w="1690" w:type="pct"/>
            <w:shd w:val="clear" w:color="auto" w:fill="auto"/>
            <w:noWrap/>
            <w:vAlign w:val="center"/>
          </w:tcPr>
          <w:p w14:paraId="1AFBD04A"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Democratic People’s Republic of Korea</w:t>
            </w:r>
          </w:p>
        </w:tc>
        <w:tc>
          <w:tcPr>
            <w:tcW w:w="1094" w:type="pct"/>
            <w:shd w:val="clear" w:color="auto" w:fill="auto"/>
            <w:noWrap/>
            <w:tcMar>
              <w:right w:w="113" w:type="dxa"/>
            </w:tcMar>
            <w:vAlign w:val="center"/>
          </w:tcPr>
          <w:p w14:paraId="497261A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0.005</w:t>
            </w:r>
          </w:p>
        </w:tc>
        <w:tc>
          <w:tcPr>
            <w:tcW w:w="1108" w:type="pct"/>
            <w:shd w:val="clear" w:color="auto" w:fill="auto"/>
            <w:noWrap/>
            <w:tcMar>
              <w:right w:w="113" w:type="dxa"/>
            </w:tcMar>
            <w:vAlign w:val="center"/>
          </w:tcPr>
          <w:p w14:paraId="4418208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0.006</w:t>
            </w:r>
          </w:p>
        </w:tc>
        <w:tc>
          <w:tcPr>
            <w:tcW w:w="1108" w:type="pct"/>
            <w:shd w:val="clear" w:color="auto" w:fill="auto"/>
            <w:noWrap/>
            <w:tcMar>
              <w:right w:w="113" w:type="dxa"/>
            </w:tcMar>
            <w:vAlign w:val="center"/>
          </w:tcPr>
          <w:p w14:paraId="6CA58A8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0.006</w:t>
            </w:r>
          </w:p>
        </w:tc>
      </w:tr>
      <w:tr w:rsidR="009F490A" w:rsidRPr="00F93BD2" w14:paraId="6B03220A" w14:textId="77777777" w:rsidTr="004A0F26">
        <w:trPr>
          <w:trHeight w:val="240"/>
        </w:trPr>
        <w:tc>
          <w:tcPr>
            <w:tcW w:w="1690" w:type="pct"/>
            <w:shd w:val="clear" w:color="auto" w:fill="auto"/>
            <w:noWrap/>
            <w:vAlign w:val="center"/>
          </w:tcPr>
          <w:p w14:paraId="357CB2AD"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Democratic Republic of the Congo</w:t>
            </w:r>
          </w:p>
        </w:tc>
        <w:tc>
          <w:tcPr>
            <w:tcW w:w="1094" w:type="pct"/>
            <w:shd w:val="clear" w:color="auto" w:fill="auto"/>
            <w:noWrap/>
            <w:tcMar>
              <w:right w:w="113" w:type="dxa"/>
            </w:tcMar>
            <w:vAlign w:val="center"/>
          </w:tcPr>
          <w:p w14:paraId="0BDF65F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0.008</w:t>
            </w:r>
          </w:p>
        </w:tc>
        <w:tc>
          <w:tcPr>
            <w:tcW w:w="1108" w:type="pct"/>
            <w:shd w:val="clear" w:color="auto" w:fill="auto"/>
            <w:noWrap/>
            <w:tcMar>
              <w:right w:w="113" w:type="dxa"/>
            </w:tcMar>
            <w:vAlign w:val="center"/>
          </w:tcPr>
          <w:p w14:paraId="1457D41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0.010</w:t>
            </w:r>
          </w:p>
        </w:tc>
        <w:tc>
          <w:tcPr>
            <w:tcW w:w="1108" w:type="pct"/>
            <w:shd w:val="clear" w:color="auto" w:fill="auto"/>
            <w:noWrap/>
            <w:tcMar>
              <w:right w:w="113" w:type="dxa"/>
            </w:tcMar>
            <w:vAlign w:val="center"/>
          </w:tcPr>
          <w:p w14:paraId="0870D0B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0.010</w:t>
            </w:r>
          </w:p>
        </w:tc>
      </w:tr>
      <w:tr w:rsidR="009F490A" w:rsidRPr="00F93BD2" w14:paraId="3C373010" w14:textId="77777777" w:rsidTr="004A0F26">
        <w:trPr>
          <w:trHeight w:val="240"/>
        </w:trPr>
        <w:tc>
          <w:tcPr>
            <w:tcW w:w="1690" w:type="pct"/>
            <w:shd w:val="clear" w:color="auto" w:fill="auto"/>
            <w:noWrap/>
            <w:vAlign w:val="center"/>
          </w:tcPr>
          <w:p w14:paraId="723DD09E"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Denmark</w:t>
            </w:r>
          </w:p>
        </w:tc>
        <w:tc>
          <w:tcPr>
            <w:tcW w:w="1094" w:type="pct"/>
            <w:shd w:val="clear" w:color="auto" w:fill="auto"/>
            <w:noWrap/>
            <w:tcMar>
              <w:right w:w="113" w:type="dxa"/>
            </w:tcMar>
            <w:vAlign w:val="center"/>
          </w:tcPr>
          <w:p w14:paraId="4879285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0.584</w:t>
            </w:r>
          </w:p>
        </w:tc>
        <w:tc>
          <w:tcPr>
            <w:tcW w:w="1108" w:type="pct"/>
            <w:shd w:val="clear" w:color="auto" w:fill="auto"/>
            <w:noWrap/>
            <w:tcMar>
              <w:right w:w="113" w:type="dxa"/>
            </w:tcMar>
            <w:vAlign w:val="center"/>
          </w:tcPr>
          <w:p w14:paraId="6B0CB36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0.759</w:t>
            </w:r>
          </w:p>
        </w:tc>
        <w:tc>
          <w:tcPr>
            <w:tcW w:w="1108" w:type="pct"/>
            <w:shd w:val="clear" w:color="auto" w:fill="auto"/>
            <w:noWrap/>
            <w:tcMar>
              <w:right w:w="113" w:type="dxa"/>
            </w:tcMar>
            <w:vAlign w:val="center"/>
          </w:tcPr>
          <w:p w14:paraId="614C03B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0.759</w:t>
            </w:r>
          </w:p>
        </w:tc>
      </w:tr>
      <w:tr w:rsidR="009F490A" w:rsidRPr="00F93BD2" w14:paraId="339BB66E" w14:textId="77777777" w:rsidTr="004A0F26">
        <w:trPr>
          <w:trHeight w:val="240"/>
        </w:trPr>
        <w:tc>
          <w:tcPr>
            <w:tcW w:w="1690" w:type="pct"/>
            <w:shd w:val="clear" w:color="auto" w:fill="auto"/>
            <w:noWrap/>
            <w:vAlign w:val="center"/>
          </w:tcPr>
          <w:p w14:paraId="2C3BB293"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lastRenderedPageBreak/>
              <w:t>Djibouti</w:t>
            </w:r>
          </w:p>
        </w:tc>
        <w:tc>
          <w:tcPr>
            <w:tcW w:w="1094" w:type="pct"/>
            <w:shd w:val="clear" w:color="auto" w:fill="auto"/>
            <w:noWrap/>
            <w:tcMar>
              <w:right w:w="113" w:type="dxa"/>
            </w:tcMar>
            <w:vAlign w:val="center"/>
          </w:tcPr>
          <w:p w14:paraId="093E864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3EB2E3B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6FD759C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1045EA48" w14:textId="77777777" w:rsidTr="004A0F26">
        <w:trPr>
          <w:trHeight w:val="240"/>
        </w:trPr>
        <w:tc>
          <w:tcPr>
            <w:tcW w:w="1690" w:type="pct"/>
            <w:shd w:val="clear" w:color="auto" w:fill="auto"/>
            <w:noWrap/>
            <w:vAlign w:val="center"/>
          </w:tcPr>
          <w:p w14:paraId="77B2681C"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Dominica</w:t>
            </w:r>
          </w:p>
        </w:tc>
        <w:tc>
          <w:tcPr>
            <w:tcW w:w="1094" w:type="pct"/>
            <w:shd w:val="clear" w:color="auto" w:fill="auto"/>
            <w:noWrap/>
            <w:tcMar>
              <w:right w:w="113" w:type="dxa"/>
            </w:tcMar>
            <w:vAlign w:val="center"/>
          </w:tcPr>
          <w:p w14:paraId="1250E55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447A4B0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229D86B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49C61732" w14:textId="77777777" w:rsidTr="004A0F26">
        <w:trPr>
          <w:trHeight w:val="240"/>
        </w:trPr>
        <w:tc>
          <w:tcPr>
            <w:tcW w:w="1690" w:type="pct"/>
            <w:shd w:val="clear" w:color="auto" w:fill="auto"/>
            <w:noWrap/>
            <w:vAlign w:val="center"/>
          </w:tcPr>
          <w:p w14:paraId="653990CA"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Dominican Republic</w:t>
            </w:r>
          </w:p>
        </w:tc>
        <w:tc>
          <w:tcPr>
            <w:tcW w:w="1094" w:type="pct"/>
            <w:shd w:val="clear" w:color="auto" w:fill="auto"/>
            <w:noWrap/>
            <w:tcMar>
              <w:right w:w="113" w:type="dxa"/>
            </w:tcMar>
            <w:vAlign w:val="center"/>
          </w:tcPr>
          <w:p w14:paraId="6C747DE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0.046</w:t>
            </w:r>
          </w:p>
        </w:tc>
        <w:tc>
          <w:tcPr>
            <w:tcW w:w="1108" w:type="pct"/>
            <w:shd w:val="clear" w:color="auto" w:fill="auto"/>
            <w:noWrap/>
            <w:tcMar>
              <w:right w:w="113" w:type="dxa"/>
            </w:tcMar>
            <w:vAlign w:val="center"/>
          </w:tcPr>
          <w:p w14:paraId="4C0F160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0.060</w:t>
            </w:r>
          </w:p>
        </w:tc>
        <w:tc>
          <w:tcPr>
            <w:tcW w:w="1108" w:type="pct"/>
            <w:shd w:val="clear" w:color="auto" w:fill="auto"/>
            <w:noWrap/>
            <w:tcMar>
              <w:right w:w="113" w:type="dxa"/>
            </w:tcMar>
            <w:vAlign w:val="center"/>
          </w:tcPr>
          <w:p w14:paraId="79CD085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0.060</w:t>
            </w:r>
          </w:p>
        </w:tc>
      </w:tr>
      <w:tr w:rsidR="009F490A" w:rsidRPr="00F93BD2" w14:paraId="1D78EEB2" w14:textId="77777777" w:rsidTr="004A0F26">
        <w:trPr>
          <w:trHeight w:val="240"/>
        </w:trPr>
        <w:tc>
          <w:tcPr>
            <w:tcW w:w="1690" w:type="pct"/>
            <w:shd w:val="clear" w:color="auto" w:fill="auto"/>
            <w:noWrap/>
            <w:vAlign w:val="center"/>
          </w:tcPr>
          <w:p w14:paraId="4F74C37D"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Ecuador</w:t>
            </w:r>
          </w:p>
        </w:tc>
        <w:tc>
          <w:tcPr>
            <w:tcW w:w="1094" w:type="pct"/>
            <w:shd w:val="clear" w:color="auto" w:fill="auto"/>
            <w:noWrap/>
            <w:tcMar>
              <w:right w:w="113" w:type="dxa"/>
            </w:tcMar>
            <w:vAlign w:val="center"/>
          </w:tcPr>
          <w:p w14:paraId="4D7C629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0.067</w:t>
            </w:r>
          </w:p>
        </w:tc>
        <w:tc>
          <w:tcPr>
            <w:tcW w:w="1108" w:type="pct"/>
            <w:shd w:val="clear" w:color="auto" w:fill="auto"/>
            <w:noWrap/>
            <w:tcMar>
              <w:right w:w="113" w:type="dxa"/>
            </w:tcMar>
            <w:vAlign w:val="center"/>
          </w:tcPr>
          <w:p w14:paraId="37DED59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0.087</w:t>
            </w:r>
          </w:p>
        </w:tc>
        <w:tc>
          <w:tcPr>
            <w:tcW w:w="1108" w:type="pct"/>
            <w:shd w:val="clear" w:color="auto" w:fill="auto"/>
            <w:noWrap/>
            <w:tcMar>
              <w:right w:w="113" w:type="dxa"/>
            </w:tcMar>
            <w:vAlign w:val="center"/>
          </w:tcPr>
          <w:p w14:paraId="7AB56F3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0.087</w:t>
            </w:r>
          </w:p>
        </w:tc>
      </w:tr>
      <w:tr w:rsidR="009F490A" w:rsidRPr="00F93BD2" w14:paraId="46B1E420" w14:textId="77777777" w:rsidTr="004A0F26">
        <w:trPr>
          <w:trHeight w:val="240"/>
        </w:trPr>
        <w:tc>
          <w:tcPr>
            <w:tcW w:w="1690" w:type="pct"/>
            <w:shd w:val="clear" w:color="auto" w:fill="auto"/>
            <w:noWrap/>
            <w:vAlign w:val="center"/>
          </w:tcPr>
          <w:p w14:paraId="4369E86C"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Egypt</w:t>
            </w:r>
          </w:p>
        </w:tc>
        <w:tc>
          <w:tcPr>
            <w:tcW w:w="1094" w:type="pct"/>
            <w:shd w:val="clear" w:color="auto" w:fill="auto"/>
            <w:noWrap/>
            <w:tcMar>
              <w:right w:w="113" w:type="dxa"/>
            </w:tcMar>
            <w:vAlign w:val="center"/>
          </w:tcPr>
          <w:p w14:paraId="5106553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0.152</w:t>
            </w:r>
          </w:p>
        </w:tc>
        <w:tc>
          <w:tcPr>
            <w:tcW w:w="1108" w:type="pct"/>
            <w:shd w:val="clear" w:color="auto" w:fill="auto"/>
            <w:noWrap/>
            <w:tcMar>
              <w:right w:w="113" w:type="dxa"/>
            </w:tcMar>
            <w:vAlign w:val="center"/>
          </w:tcPr>
          <w:p w14:paraId="7AFF307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0.197</w:t>
            </w:r>
          </w:p>
        </w:tc>
        <w:tc>
          <w:tcPr>
            <w:tcW w:w="1108" w:type="pct"/>
            <w:shd w:val="clear" w:color="auto" w:fill="auto"/>
            <w:noWrap/>
            <w:tcMar>
              <w:right w:w="113" w:type="dxa"/>
            </w:tcMar>
            <w:vAlign w:val="center"/>
          </w:tcPr>
          <w:p w14:paraId="2AF2FBC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0.197</w:t>
            </w:r>
          </w:p>
        </w:tc>
      </w:tr>
      <w:tr w:rsidR="009F490A" w:rsidRPr="00F93BD2" w14:paraId="6FFC2854" w14:textId="77777777" w:rsidTr="004A0F26">
        <w:trPr>
          <w:trHeight w:val="240"/>
        </w:trPr>
        <w:tc>
          <w:tcPr>
            <w:tcW w:w="1690" w:type="pct"/>
            <w:shd w:val="clear" w:color="auto" w:fill="auto"/>
            <w:noWrap/>
            <w:vAlign w:val="center"/>
          </w:tcPr>
          <w:p w14:paraId="31896981"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El Salvador</w:t>
            </w:r>
          </w:p>
        </w:tc>
        <w:tc>
          <w:tcPr>
            <w:tcW w:w="1094" w:type="pct"/>
            <w:shd w:val="clear" w:color="auto" w:fill="auto"/>
            <w:noWrap/>
            <w:tcMar>
              <w:right w:w="113" w:type="dxa"/>
            </w:tcMar>
            <w:vAlign w:val="center"/>
          </w:tcPr>
          <w:p w14:paraId="7FA1577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0.014</w:t>
            </w:r>
          </w:p>
        </w:tc>
        <w:tc>
          <w:tcPr>
            <w:tcW w:w="1108" w:type="pct"/>
            <w:shd w:val="clear" w:color="auto" w:fill="auto"/>
            <w:noWrap/>
            <w:tcMar>
              <w:right w:w="113" w:type="dxa"/>
            </w:tcMar>
            <w:vAlign w:val="center"/>
          </w:tcPr>
          <w:p w14:paraId="6BA4AB9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0.018</w:t>
            </w:r>
          </w:p>
        </w:tc>
        <w:tc>
          <w:tcPr>
            <w:tcW w:w="1108" w:type="pct"/>
            <w:shd w:val="clear" w:color="auto" w:fill="auto"/>
            <w:noWrap/>
            <w:tcMar>
              <w:right w:w="113" w:type="dxa"/>
            </w:tcMar>
            <w:vAlign w:val="center"/>
          </w:tcPr>
          <w:p w14:paraId="2757D7B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0.018</w:t>
            </w:r>
          </w:p>
        </w:tc>
      </w:tr>
      <w:tr w:rsidR="009F490A" w:rsidRPr="00F93BD2" w14:paraId="47D80DD5" w14:textId="77777777" w:rsidTr="004A0F26">
        <w:trPr>
          <w:trHeight w:val="240"/>
        </w:trPr>
        <w:tc>
          <w:tcPr>
            <w:tcW w:w="1690" w:type="pct"/>
            <w:shd w:val="clear" w:color="auto" w:fill="auto"/>
            <w:noWrap/>
            <w:vAlign w:val="center"/>
          </w:tcPr>
          <w:p w14:paraId="37A400F9"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Equatorial Guinea</w:t>
            </w:r>
          </w:p>
        </w:tc>
        <w:tc>
          <w:tcPr>
            <w:tcW w:w="1094" w:type="pct"/>
            <w:shd w:val="clear" w:color="auto" w:fill="auto"/>
            <w:noWrap/>
            <w:tcMar>
              <w:right w:w="113" w:type="dxa"/>
            </w:tcMar>
            <w:vAlign w:val="center"/>
          </w:tcPr>
          <w:p w14:paraId="29C61E0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0.010</w:t>
            </w:r>
          </w:p>
        </w:tc>
        <w:tc>
          <w:tcPr>
            <w:tcW w:w="1108" w:type="pct"/>
            <w:shd w:val="clear" w:color="auto" w:fill="auto"/>
            <w:noWrap/>
            <w:tcMar>
              <w:right w:w="113" w:type="dxa"/>
            </w:tcMar>
            <w:vAlign w:val="center"/>
          </w:tcPr>
          <w:p w14:paraId="307A0C7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0.013</w:t>
            </w:r>
          </w:p>
        </w:tc>
        <w:tc>
          <w:tcPr>
            <w:tcW w:w="1108" w:type="pct"/>
            <w:shd w:val="clear" w:color="auto" w:fill="auto"/>
            <w:noWrap/>
            <w:tcMar>
              <w:right w:w="113" w:type="dxa"/>
            </w:tcMar>
            <w:vAlign w:val="center"/>
          </w:tcPr>
          <w:p w14:paraId="553E087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0.013</w:t>
            </w:r>
          </w:p>
        </w:tc>
      </w:tr>
      <w:tr w:rsidR="009F490A" w:rsidRPr="00F93BD2" w14:paraId="34444761" w14:textId="77777777" w:rsidTr="004A0F26">
        <w:trPr>
          <w:trHeight w:val="240"/>
        </w:trPr>
        <w:tc>
          <w:tcPr>
            <w:tcW w:w="1690" w:type="pct"/>
            <w:shd w:val="clear" w:color="auto" w:fill="auto"/>
            <w:noWrap/>
            <w:vAlign w:val="center"/>
          </w:tcPr>
          <w:p w14:paraId="4697723B"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Eritrea</w:t>
            </w:r>
          </w:p>
        </w:tc>
        <w:tc>
          <w:tcPr>
            <w:tcW w:w="1094" w:type="pct"/>
            <w:shd w:val="clear" w:color="auto" w:fill="auto"/>
            <w:noWrap/>
            <w:tcMar>
              <w:right w:w="113" w:type="dxa"/>
            </w:tcMar>
            <w:vAlign w:val="center"/>
          </w:tcPr>
          <w:p w14:paraId="3B0610B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72BBD05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2A34524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3E1069F4" w14:textId="77777777" w:rsidTr="004A0F26">
        <w:trPr>
          <w:trHeight w:val="240"/>
        </w:trPr>
        <w:tc>
          <w:tcPr>
            <w:tcW w:w="1690" w:type="pct"/>
            <w:shd w:val="clear" w:color="auto" w:fill="auto"/>
            <w:noWrap/>
            <w:vAlign w:val="center"/>
          </w:tcPr>
          <w:p w14:paraId="3A731DD2"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Estonia</w:t>
            </w:r>
          </w:p>
        </w:tc>
        <w:tc>
          <w:tcPr>
            <w:tcW w:w="1094" w:type="pct"/>
            <w:shd w:val="clear" w:color="auto" w:fill="auto"/>
            <w:noWrap/>
            <w:tcMar>
              <w:right w:w="113" w:type="dxa"/>
            </w:tcMar>
            <w:vAlign w:val="center"/>
          </w:tcPr>
          <w:p w14:paraId="6D4BC30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0.038</w:t>
            </w:r>
          </w:p>
        </w:tc>
        <w:tc>
          <w:tcPr>
            <w:tcW w:w="1108" w:type="pct"/>
            <w:shd w:val="clear" w:color="auto" w:fill="auto"/>
            <w:noWrap/>
            <w:tcMar>
              <w:right w:w="113" w:type="dxa"/>
            </w:tcMar>
            <w:vAlign w:val="center"/>
          </w:tcPr>
          <w:p w14:paraId="0E84BC4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0.049</w:t>
            </w:r>
          </w:p>
        </w:tc>
        <w:tc>
          <w:tcPr>
            <w:tcW w:w="1108" w:type="pct"/>
            <w:shd w:val="clear" w:color="auto" w:fill="auto"/>
            <w:noWrap/>
            <w:tcMar>
              <w:right w:w="113" w:type="dxa"/>
            </w:tcMar>
            <w:vAlign w:val="center"/>
          </w:tcPr>
          <w:p w14:paraId="1538C5F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0.049</w:t>
            </w:r>
          </w:p>
        </w:tc>
      </w:tr>
      <w:tr w:rsidR="009F490A" w:rsidRPr="00F93BD2" w14:paraId="34437848" w14:textId="77777777" w:rsidTr="004A0F26">
        <w:trPr>
          <w:trHeight w:val="240"/>
        </w:trPr>
        <w:tc>
          <w:tcPr>
            <w:tcW w:w="1690" w:type="pct"/>
            <w:shd w:val="clear" w:color="auto" w:fill="auto"/>
            <w:noWrap/>
            <w:vAlign w:val="center"/>
          </w:tcPr>
          <w:p w14:paraId="16BD96D3"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Ethiopia</w:t>
            </w:r>
          </w:p>
        </w:tc>
        <w:tc>
          <w:tcPr>
            <w:tcW w:w="1094" w:type="pct"/>
            <w:shd w:val="clear" w:color="auto" w:fill="auto"/>
            <w:noWrap/>
            <w:tcMar>
              <w:right w:w="113" w:type="dxa"/>
            </w:tcMar>
            <w:vAlign w:val="center"/>
          </w:tcPr>
          <w:p w14:paraId="024FE6B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0.010</w:t>
            </w:r>
          </w:p>
        </w:tc>
        <w:tc>
          <w:tcPr>
            <w:tcW w:w="1108" w:type="pct"/>
            <w:shd w:val="clear" w:color="auto" w:fill="auto"/>
            <w:noWrap/>
            <w:tcMar>
              <w:right w:w="113" w:type="dxa"/>
            </w:tcMar>
            <w:vAlign w:val="center"/>
          </w:tcPr>
          <w:p w14:paraId="4E518CB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0.013</w:t>
            </w:r>
          </w:p>
        </w:tc>
        <w:tc>
          <w:tcPr>
            <w:tcW w:w="1108" w:type="pct"/>
            <w:shd w:val="clear" w:color="auto" w:fill="auto"/>
            <w:noWrap/>
            <w:tcMar>
              <w:right w:w="113" w:type="dxa"/>
            </w:tcMar>
            <w:vAlign w:val="center"/>
          </w:tcPr>
          <w:p w14:paraId="2990D4E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0.013</w:t>
            </w:r>
          </w:p>
        </w:tc>
      </w:tr>
      <w:tr w:rsidR="009F490A" w:rsidRPr="00F93BD2" w14:paraId="0C2DEE9B" w14:textId="77777777" w:rsidTr="004A0F26">
        <w:trPr>
          <w:trHeight w:val="240"/>
        </w:trPr>
        <w:tc>
          <w:tcPr>
            <w:tcW w:w="1690" w:type="pct"/>
            <w:shd w:val="clear" w:color="auto" w:fill="auto"/>
            <w:noWrap/>
            <w:vAlign w:val="center"/>
          </w:tcPr>
          <w:p w14:paraId="1B6A3302"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European Union</w:t>
            </w:r>
          </w:p>
        </w:tc>
        <w:tc>
          <w:tcPr>
            <w:tcW w:w="1094" w:type="pct"/>
            <w:shd w:val="clear" w:color="auto" w:fill="auto"/>
            <w:noWrap/>
            <w:tcMar>
              <w:right w:w="113" w:type="dxa"/>
            </w:tcMar>
            <w:vAlign w:val="center"/>
          </w:tcPr>
          <w:p w14:paraId="543386D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2.500</w:t>
            </w:r>
          </w:p>
        </w:tc>
        <w:tc>
          <w:tcPr>
            <w:tcW w:w="1108" w:type="pct"/>
            <w:shd w:val="clear" w:color="auto" w:fill="auto"/>
            <w:noWrap/>
            <w:tcMar>
              <w:right w:w="113" w:type="dxa"/>
            </w:tcMar>
            <w:vAlign w:val="center"/>
          </w:tcPr>
          <w:p w14:paraId="57C8483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2.500</w:t>
            </w:r>
          </w:p>
        </w:tc>
        <w:tc>
          <w:tcPr>
            <w:tcW w:w="1108" w:type="pct"/>
            <w:shd w:val="clear" w:color="auto" w:fill="auto"/>
            <w:noWrap/>
            <w:tcMar>
              <w:right w:w="113" w:type="dxa"/>
            </w:tcMar>
            <w:vAlign w:val="center"/>
          </w:tcPr>
          <w:p w14:paraId="3987074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2.500</w:t>
            </w:r>
          </w:p>
        </w:tc>
      </w:tr>
      <w:tr w:rsidR="009F490A" w:rsidRPr="00F93BD2" w14:paraId="2FCA2F24" w14:textId="77777777" w:rsidTr="004A0F26">
        <w:trPr>
          <w:trHeight w:val="240"/>
        </w:trPr>
        <w:tc>
          <w:tcPr>
            <w:tcW w:w="1690" w:type="pct"/>
            <w:shd w:val="clear" w:color="auto" w:fill="auto"/>
            <w:noWrap/>
            <w:vAlign w:val="center"/>
          </w:tcPr>
          <w:p w14:paraId="5927674E"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Fiji</w:t>
            </w:r>
          </w:p>
        </w:tc>
        <w:tc>
          <w:tcPr>
            <w:tcW w:w="1094" w:type="pct"/>
            <w:shd w:val="clear" w:color="auto" w:fill="auto"/>
            <w:noWrap/>
            <w:tcMar>
              <w:right w:w="113" w:type="dxa"/>
            </w:tcMar>
            <w:vAlign w:val="center"/>
          </w:tcPr>
          <w:p w14:paraId="57B3019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c>
          <w:tcPr>
            <w:tcW w:w="1108" w:type="pct"/>
            <w:shd w:val="clear" w:color="auto" w:fill="auto"/>
            <w:noWrap/>
            <w:tcMar>
              <w:right w:w="113" w:type="dxa"/>
            </w:tcMar>
            <w:vAlign w:val="center"/>
          </w:tcPr>
          <w:p w14:paraId="0951BB8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c>
          <w:tcPr>
            <w:tcW w:w="1108" w:type="pct"/>
            <w:shd w:val="clear" w:color="auto" w:fill="auto"/>
            <w:noWrap/>
            <w:tcMar>
              <w:right w:w="113" w:type="dxa"/>
            </w:tcMar>
            <w:vAlign w:val="center"/>
          </w:tcPr>
          <w:p w14:paraId="1F94F00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r>
      <w:tr w:rsidR="009F490A" w:rsidRPr="00F93BD2" w14:paraId="1059D00A" w14:textId="77777777" w:rsidTr="004A0F26">
        <w:trPr>
          <w:trHeight w:val="240"/>
        </w:trPr>
        <w:tc>
          <w:tcPr>
            <w:tcW w:w="1690" w:type="pct"/>
            <w:shd w:val="clear" w:color="auto" w:fill="auto"/>
            <w:noWrap/>
            <w:vAlign w:val="center"/>
          </w:tcPr>
          <w:p w14:paraId="7A7F3AB0"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Finland</w:t>
            </w:r>
          </w:p>
        </w:tc>
        <w:tc>
          <w:tcPr>
            <w:tcW w:w="1094" w:type="pct"/>
            <w:shd w:val="clear" w:color="auto" w:fill="auto"/>
            <w:noWrap/>
            <w:tcMar>
              <w:right w:w="113" w:type="dxa"/>
            </w:tcMar>
            <w:vAlign w:val="center"/>
          </w:tcPr>
          <w:p w14:paraId="7DFB5E2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0.456</w:t>
            </w:r>
          </w:p>
        </w:tc>
        <w:tc>
          <w:tcPr>
            <w:tcW w:w="1108" w:type="pct"/>
            <w:shd w:val="clear" w:color="auto" w:fill="auto"/>
            <w:noWrap/>
            <w:tcMar>
              <w:right w:w="113" w:type="dxa"/>
            </w:tcMar>
            <w:vAlign w:val="center"/>
          </w:tcPr>
          <w:p w14:paraId="2F57234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0.592</w:t>
            </w:r>
          </w:p>
        </w:tc>
        <w:tc>
          <w:tcPr>
            <w:tcW w:w="1108" w:type="pct"/>
            <w:shd w:val="clear" w:color="auto" w:fill="auto"/>
            <w:noWrap/>
            <w:tcMar>
              <w:right w:w="113" w:type="dxa"/>
            </w:tcMar>
            <w:vAlign w:val="center"/>
          </w:tcPr>
          <w:p w14:paraId="3CF14E6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0.592</w:t>
            </w:r>
          </w:p>
        </w:tc>
      </w:tr>
      <w:tr w:rsidR="009F490A" w:rsidRPr="00F93BD2" w14:paraId="6E310159" w14:textId="77777777" w:rsidTr="004A0F26">
        <w:trPr>
          <w:trHeight w:val="240"/>
        </w:trPr>
        <w:tc>
          <w:tcPr>
            <w:tcW w:w="1690" w:type="pct"/>
            <w:shd w:val="clear" w:color="auto" w:fill="auto"/>
            <w:noWrap/>
            <w:vAlign w:val="center"/>
          </w:tcPr>
          <w:p w14:paraId="608EC475"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France</w:t>
            </w:r>
          </w:p>
        </w:tc>
        <w:tc>
          <w:tcPr>
            <w:tcW w:w="1094" w:type="pct"/>
            <w:shd w:val="clear" w:color="auto" w:fill="auto"/>
            <w:noWrap/>
            <w:tcMar>
              <w:right w:w="113" w:type="dxa"/>
            </w:tcMar>
            <w:vAlign w:val="center"/>
          </w:tcPr>
          <w:p w14:paraId="6013988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4.859</w:t>
            </w:r>
          </w:p>
        </w:tc>
        <w:tc>
          <w:tcPr>
            <w:tcW w:w="1108" w:type="pct"/>
            <w:shd w:val="clear" w:color="auto" w:fill="auto"/>
            <w:noWrap/>
            <w:tcMar>
              <w:right w:w="113" w:type="dxa"/>
            </w:tcMar>
            <w:vAlign w:val="center"/>
          </w:tcPr>
          <w:p w14:paraId="6ACEDBE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6.311</w:t>
            </w:r>
          </w:p>
        </w:tc>
        <w:tc>
          <w:tcPr>
            <w:tcW w:w="1108" w:type="pct"/>
            <w:shd w:val="clear" w:color="auto" w:fill="auto"/>
            <w:noWrap/>
            <w:tcMar>
              <w:right w:w="113" w:type="dxa"/>
            </w:tcMar>
            <w:vAlign w:val="center"/>
          </w:tcPr>
          <w:p w14:paraId="1CD68EC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6.311</w:t>
            </w:r>
          </w:p>
        </w:tc>
      </w:tr>
      <w:tr w:rsidR="009F490A" w:rsidRPr="00F93BD2" w14:paraId="27B9C020" w14:textId="77777777" w:rsidTr="004A0F26">
        <w:trPr>
          <w:trHeight w:val="240"/>
        </w:trPr>
        <w:tc>
          <w:tcPr>
            <w:tcW w:w="1690" w:type="pct"/>
            <w:shd w:val="clear" w:color="auto" w:fill="auto"/>
            <w:noWrap/>
            <w:vAlign w:val="center"/>
          </w:tcPr>
          <w:p w14:paraId="690D99FB"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Gabon</w:t>
            </w:r>
          </w:p>
        </w:tc>
        <w:tc>
          <w:tcPr>
            <w:tcW w:w="1094" w:type="pct"/>
            <w:shd w:val="clear" w:color="auto" w:fill="auto"/>
            <w:noWrap/>
            <w:tcMar>
              <w:right w:w="113" w:type="dxa"/>
            </w:tcMar>
            <w:vAlign w:val="center"/>
          </w:tcPr>
          <w:p w14:paraId="49D92CB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0.017</w:t>
            </w:r>
          </w:p>
        </w:tc>
        <w:tc>
          <w:tcPr>
            <w:tcW w:w="1108" w:type="pct"/>
            <w:shd w:val="clear" w:color="auto" w:fill="auto"/>
            <w:noWrap/>
            <w:tcMar>
              <w:right w:w="113" w:type="dxa"/>
            </w:tcMar>
            <w:vAlign w:val="center"/>
          </w:tcPr>
          <w:p w14:paraId="2B945B7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0.022</w:t>
            </w:r>
          </w:p>
        </w:tc>
        <w:tc>
          <w:tcPr>
            <w:tcW w:w="1108" w:type="pct"/>
            <w:shd w:val="clear" w:color="auto" w:fill="auto"/>
            <w:noWrap/>
            <w:tcMar>
              <w:right w:w="113" w:type="dxa"/>
            </w:tcMar>
            <w:vAlign w:val="center"/>
          </w:tcPr>
          <w:p w14:paraId="7585C3E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0.022</w:t>
            </w:r>
          </w:p>
        </w:tc>
      </w:tr>
      <w:tr w:rsidR="009F490A" w:rsidRPr="00F93BD2" w14:paraId="67FDC40D" w14:textId="77777777" w:rsidTr="004A0F26">
        <w:trPr>
          <w:trHeight w:val="240"/>
        </w:trPr>
        <w:tc>
          <w:tcPr>
            <w:tcW w:w="1690" w:type="pct"/>
            <w:shd w:val="clear" w:color="auto" w:fill="auto"/>
            <w:noWrap/>
            <w:vAlign w:val="center"/>
          </w:tcPr>
          <w:p w14:paraId="1C0C567B"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Gambia</w:t>
            </w:r>
          </w:p>
        </w:tc>
        <w:tc>
          <w:tcPr>
            <w:tcW w:w="1094" w:type="pct"/>
            <w:shd w:val="clear" w:color="auto" w:fill="auto"/>
            <w:noWrap/>
            <w:tcMar>
              <w:right w:w="113" w:type="dxa"/>
            </w:tcMar>
            <w:vAlign w:val="center"/>
          </w:tcPr>
          <w:p w14:paraId="205E71C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623F582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3326865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2D0FC8B3" w14:textId="77777777" w:rsidTr="004A0F26">
        <w:trPr>
          <w:trHeight w:val="240"/>
        </w:trPr>
        <w:tc>
          <w:tcPr>
            <w:tcW w:w="1690" w:type="pct"/>
            <w:shd w:val="clear" w:color="auto" w:fill="auto"/>
            <w:noWrap/>
            <w:vAlign w:val="center"/>
          </w:tcPr>
          <w:p w14:paraId="0D5702E3"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Georgia</w:t>
            </w:r>
          </w:p>
        </w:tc>
        <w:tc>
          <w:tcPr>
            <w:tcW w:w="1094" w:type="pct"/>
            <w:shd w:val="clear" w:color="auto" w:fill="auto"/>
            <w:noWrap/>
            <w:tcMar>
              <w:right w:w="113" w:type="dxa"/>
            </w:tcMar>
            <w:vAlign w:val="center"/>
          </w:tcPr>
          <w:p w14:paraId="5E1681F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0.008</w:t>
            </w:r>
          </w:p>
        </w:tc>
        <w:tc>
          <w:tcPr>
            <w:tcW w:w="1108" w:type="pct"/>
            <w:shd w:val="clear" w:color="auto" w:fill="auto"/>
            <w:noWrap/>
            <w:tcMar>
              <w:right w:w="113" w:type="dxa"/>
            </w:tcMar>
            <w:vAlign w:val="center"/>
          </w:tcPr>
          <w:p w14:paraId="2085208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0.010</w:t>
            </w:r>
          </w:p>
        </w:tc>
        <w:tc>
          <w:tcPr>
            <w:tcW w:w="1108" w:type="pct"/>
            <w:shd w:val="clear" w:color="auto" w:fill="auto"/>
            <w:noWrap/>
            <w:tcMar>
              <w:right w:w="113" w:type="dxa"/>
            </w:tcMar>
            <w:vAlign w:val="center"/>
          </w:tcPr>
          <w:p w14:paraId="2E3E74B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0.010</w:t>
            </w:r>
          </w:p>
        </w:tc>
      </w:tr>
      <w:tr w:rsidR="009F490A" w:rsidRPr="00F93BD2" w14:paraId="33BCDDBA" w14:textId="77777777" w:rsidTr="004A0F26">
        <w:trPr>
          <w:trHeight w:val="240"/>
        </w:trPr>
        <w:tc>
          <w:tcPr>
            <w:tcW w:w="1690" w:type="pct"/>
            <w:shd w:val="clear" w:color="auto" w:fill="auto"/>
            <w:noWrap/>
            <w:vAlign w:val="center"/>
          </w:tcPr>
          <w:p w14:paraId="5193546B"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Germany</w:t>
            </w:r>
          </w:p>
        </w:tc>
        <w:tc>
          <w:tcPr>
            <w:tcW w:w="1094" w:type="pct"/>
            <w:shd w:val="clear" w:color="auto" w:fill="auto"/>
            <w:noWrap/>
            <w:tcMar>
              <w:right w:w="113" w:type="dxa"/>
            </w:tcMar>
            <w:vAlign w:val="center"/>
          </w:tcPr>
          <w:p w14:paraId="1C1A5B1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6.389</w:t>
            </w:r>
          </w:p>
        </w:tc>
        <w:tc>
          <w:tcPr>
            <w:tcW w:w="1108" w:type="pct"/>
            <w:shd w:val="clear" w:color="auto" w:fill="auto"/>
            <w:noWrap/>
            <w:tcMar>
              <w:right w:w="113" w:type="dxa"/>
            </w:tcMar>
            <w:vAlign w:val="center"/>
          </w:tcPr>
          <w:p w14:paraId="3A2599D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8.299</w:t>
            </w:r>
          </w:p>
        </w:tc>
        <w:tc>
          <w:tcPr>
            <w:tcW w:w="1108" w:type="pct"/>
            <w:shd w:val="clear" w:color="auto" w:fill="auto"/>
            <w:noWrap/>
            <w:tcMar>
              <w:right w:w="113" w:type="dxa"/>
            </w:tcMar>
            <w:vAlign w:val="center"/>
          </w:tcPr>
          <w:p w14:paraId="4F8B72B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8.299</w:t>
            </w:r>
          </w:p>
        </w:tc>
      </w:tr>
      <w:tr w:rsidR="009F490A" w:rsidRPr="00F93BD2" w14:paraId="4E9F13FC" w14:textId="77777777" w:rsidTr="004A0F26">
        <w:trPr>
          <w:trHeight w:val="240"/>
        </w:trPr>
        <w:tc>
          <w:tcPr>
            <w:tcW w:w="1690" w:type="pct"/>
            <w:shd w:val="clear" w:color="auto" w:fill="auto"/>
            <w:noWrap/>
            <w:vAlign w:val="center"/>
          </w:tcPr>
          <w:p w14:paraId="6F92FD16"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Ghana</w:t>
            </w:r>
          </w:p>
        </w:tc>
        <w:tc>
          <w:tcPr>
            <w:tcW w:w="1094" w:type="pct"/>
            <w:shd w:val="clear" w:color="auto" w:fill="auto"/>
            <w:noWrap/>
            <w:tcMar>
              <w:right w:w="113" w:type="dxa"/>
            </w:tcMar>
            <w:vAlign w:val="center"/>
          </w:tcPr>
          <w:p w14:paraId="750430F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0.016</w:t>
            </w:r>
          </w:p>
        </w:tc>
        <w:tc>
          <w:tcPr>
            <w:tcW w:w="1108" w:type="pct"/>
            <w:shd w:val="clear" w:color="auto" w:fill="auto"/>
            <w:noWrap/>
            <w:tcMar>
              <w:right w:w="113" w:type="dxa"/>
            </w:tcMar>
            <w:vAlign w:val="center"/>
          </w:tcPr>
          <w:p w14:paraId="3CD8982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0.021</w:t>
            </w:r>
          </w:p>
        </w:tc>
        <w:tc>
          <w:tcPr>
            <w:tcW w:w="1108" w:type="pct"/>
            <w:shd w:val="clear" w:color="auto" w:fill="auto"/>
            <w:noWrap/>
            <w:tcMar>
              <w:right w:w="113" w:type="dxa"/>
            </w:tcMar>
            <w:vAlign w:val="center"/>
          </w:tcPr>
          <w:p w14:paraId="5C51F13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0.021</w:t>
            </w:r>
          </w:p>
        </w:tc>
      </w:tr>
      <w:tr w:rsidR="009F490A" w:rsidRPr="00F93BD2" w14:paraId="10C69146" w14:textId="77777777" w:rsidTr="004A0F26">
        <w:trPr>
          <w:trHeight w:val="240"/>
        </w:trPr>
        <w:tc>
          <w:tcPr>
            <w:tcW w:w="1690" w:type="pct"/>
            <w:shd w:val="clear" w:color="auto" w:fill="auto"/>
            <w:noWrap/>
            <w:vAlign w:val="center"/>
          </w:tcPr>
          <w:p w14:paraId="47CE77F3"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Greece</w:t>
            </w:r>
          </w:p>
        </w:tc>
        <w:tc>
          <w:tcPr>
            <w:tcW w:w="1094" w:type="pct"/>
            <w:shd w:val="clear" w:color="auto" w:fill="auto"/>
            <w:noWrap/>
            <w:tcMar>
              <w:right w:w="113" w:type="dxa"/>
            </w:tcMar>
            <w:vAlign w:val="center"/>
          </w:tcPr>
          <w:p w14:paraId="56DC711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0.471</w:t>
            </w:r>
          </w:p>
        </w:tc>
        <w:tc>
          <w:tcPr>
            <w:tcW w:w="1108" w:type="pct"/>
            <w:shd w:val="clear" w:color="auto" w:fill="auto"/>
            <w:noWrap/>
            <w:tcMar>
              <w:right w:w="113" w:type="dxa"/>
            </w:tcMar>
            <w:vAlign w:val="center"/>
          </w:tcPr>
          <w:p w14:paraId="61EBEBC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0.612</w:t>
            </w:r>
          </w:p>
        </w:tc>
        <w:tc>
          <w:tcPr>
            <w:tcW w:w="1108" w:type="pct"/>
            <w:shd w:val="clear" w:color="auto" w:fill="auto"/>
            <w:noWrap/>
            <w:tcMar>
              <w:right w:w="113" w:type="dxa"/>
            </w:tcMar>
            <w:vAlign w:val="center"/>
          </w:tcPr>
          <w:p w14:paraId="32C027E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0.612</w:t>
            </w:r>
          </w:p>
        </w:tc>
      </w:tr>
      <w:tr w:rsidR="009F490A" w:rsidRPr="00F93BD2" w14:paraId="218A2A1A" w14:textId="77777777" w:rsidTr="004A0F26">
        <w:trPr>
          <w:trHeight w:val="240"/>
        </w:trPr>
        <w:tc>
          <w:tcPr>
            <w:tcW w:w="1690" w:type="pct"/>
            <w:shd w:val="clear" w:color="auto" w:fill="auto"/>
            <w:noWrap/>
            <w:vAlign w:val="center"/>
          </w:tcPr>
          <w:p w14:paraId="2CBFD630"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Grenada</w:t>
            </w:r>
          </w:p>
        </w:tc>
        <w:tc>
          <w:tcPr>
            <w:tcW w:w="1094" w:type="pct"/>
            <w:shd w:val="clear" w:color="auto" w:fill="auto"/>
            <w:noWrap/>
            <w:tcMar>
              <w:right w:w="113" w:type="dxa"/>
            </w:tcMar>
            <w:vAlign w:val="center"/>
          </w:tcPr>
          <w:p w14:paraId="5688CC4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5911754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0DCD8C4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251829FE" w14:textId="77777777" w:rsidTr="004A0F26">
        <w:trPr>
          <w:trHeight w:val="240"/>
        </w:trPr>
        <w:tc>
          <w:tcPr>
            <w:tcW w:w="1690" w:type="pct"/>
            <w:shd w:val="clear" w:color="auto" w:fill="auto"/>
            <w:noWrap/>
            <w:vAlign w:val="center"/>
          </w:tcPr>
          <w:p w14:paraId="4C7DD96C"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Guatemala</w:t>
            </w:r>
          </w:p>
        </w:tc>
        <w:tc>
          <w:tcPr>
            <w:tcW w:w="1094" w:type="pct"/>
            <w:shd w:val="clear" w:color="auto" w:fill="auto"/>
            <w:noWrap/>
            <w:tcMar>
              <w:right w:w="113" w:type="dxa"/>
            </w:tcMar>
            <w:vAlign w:val="center"/>
          </w:tcPr>
          <w:p w14:paraId="130AE3F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0.028</w:t>
            </w:r>
          </w:p>
        </w:tc>
        <w:tc>
          <w:tcPr>
            <w:tcW w:w="1108" w:type="pct"/>
            <w:shd w:val="clear" w:color="auto" w:fill="auto"/>
            <w:noWrap/>
            <w:tcMar>
              <w:right w:w="113" w:type="dxa"/>
            </w:tcMar>
            <w:vAlign w:val="center"/>
          </w:tcPr>
          <w:p w14:paraId="23D9665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0.036</w:t>
            </w:r>
          </w:p>
        </w:tc>
        <w:tc>
          <w:tcPr>
            <w:tcW w:w="1108" w:type="pct"/>
            <w:shd w:val="clear" w:color="auto" w:fill="auto"/>
            <w:noWrap/>
            <w:tcMar>
              <w:right w:w="113" w:type="dxa"/>
            </w:tcMar>
            <w:vAlign w:val="center"/>
          </w:tcPr>
          <w:p w14:paraId="66389E2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0.036</w:t>
            </w:r>
          </w:p>
        </w:tc>
      </w:tr>
      <w:tr w:rsidR="009F490A" w:rsidRPr="00F93BD2" w14:paraId="19866068" w14:textId="77777777" w:rsidTr="004A0F26">
        <w:trPr>
          <w:trHeight w:val="240"/>
        </w:trPr>
        <w:tc>
          <w:tcPr>
            <w:tcW w:w="1690" w:type="pct"/>
            <w:shd w:val="clear" w:color="auto" w:fill="auto"/>
            <w:noWrap/>
            <w:vAlign w:val="center"/>
          </w:tcPr>
          <w:p w14:paraId="2B0FB75D"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Guinea</w:t>
            </w:r>
          </w:p>
        </w:tc>
        <w:tc>
          <w:tcPr>
            <w:tcW w:w="1094" w:type="pct"/>
            <w:shd w:val="clear" w:color="auto" w:fill="auto"/>
            <w:noWrap/>
            <w:tcMar>
              <w:right w:w="113" w:type="dxa"/>
            </w:tcMar>
            <w:vAlign w:val="center"/>
          </w:tcPr>
          <w:p w14:paraId="14FA263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0.002</w:t>
            </w:r>
          </w:p>
        </w:tc>
        <w:tc>
          <w:tcPr>
            <w:tcW w:w="1108" w:type="pct"/>
            <w:shd w:val="clear" w:color="auto" w:fill="auto"/>
            <w:noWrap/>
            <w:tcMar>
              <w:right w:w="113" w:type="dxa"/>
            </w:tcMar>
            <w:vAlign w:val="center"/>
          </w:tcPr>
          <w:p w14:paraId="5B98744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c>
          <w:tcPr>
            <w:tcW w:w="1108" w:type="pct"/>
            <w:shd w:val="clear" w:color="auto" w:fill="auto"/>
            <w:noWrap/>
            <w:tcMar>
              <w:right w:w="113" w:type="dxa"/>
            </w:tcMar>
            <w:vAlign w:val="center"/>
          </w:tcPr>
          <w:p w14:paraId="02B29EE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r>
      <w:tr w:rsidR="009F490A" w:rsidRPr="00F93BD2" w14:paraId="5626A961" w14:textId="77777777" w:rsidTr="004A0F26">
        <w:trPr>
          <w:trHeight w:val="240"/>
        </w:trPr>
        <w:tc>
          <w:tcPr>
            <w:tcW w:w="1690" w:type="pct"/>
            <w:shd w:val="clear" w:color="auto" w:fill="auto"/>
            <w:noWrap/>
            <w:vAlign w:val="center"/>
          </w:tcPr>
          <w:p w14:paraId="532D2583"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Guinea-Bissau</w:t>
            </w:r>
          </w:p>
        </w:tc>
        <w:tc>
          <w:tcPr>
            <w:tcW w:w="1094" w:type="pct"/>
            <w:shd w:val="clear" w:color="auto" w:fill="auto"/>
            <w:noWrap/>
            <w:tcMar>
              <w:right w:w="113" w:type="dxa"/>
            </w:tcMar>
            <w:vAlign w:val="center"/>
          </w:tcPr>
          <w:p w14:paraId="0604F81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07AF757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7139EC2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3B7A4E11" w14:textId="77777777" w:rsidTr="004A0F26">
        <w:trPr>
          <w:trHeight w:val="240"/>
        </w:trPr>
        <w:tc>
          <w:tcPr>
            <w:tcW w:w="1690" w:type="pct"/>
            <w:shd w:val="clear" w:color="auto" w:fill="auto"/>
            <w:noWrap/>
            <w:vAlign w:val="center"/>
          </w:tcPr>
          <w:p w14:paraId="243CD411"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Guyana</w:t>
            </w:r>
          </w:p>
        </w:tc>
        <w:tc>
          <w:tcPr>
            <w:tcW w:w="1094" w:type="pct"/>
            <w:shd w:val="clear" w:color="auto" w:fill="auto"/>
            <w:noWrap/>
            <w:tcMar>
              <w:right w:w="113" w:type="dxa"/>
            </w:tcMar>
            <w:vAlign w:val="center"/>
          </w:tcPr>
          <w:p w14:paraId="4CA0643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0.002</w:t>
            </w:r>
          </w:p>
        </w:tc>
        <w:tc>
          <w:tcPr>
            <w:tcW w:w="1108" w:type="pct"/>
            <w:shd w:val="clear" w:color="auto" w:fill="auto"/>
            <w:noWrap/>
            <w:tcMar>
              <w:right w:w="113" w:type="dxa"/>
            </w:tcMar>
            <w:vAlign w:val="center"/>
          </w:tcPr>
          <w:p w14:paraId="4032971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c>
          <w:tcPr>
            <w:tcW w:w="1108" w:type="pct"/>
            <w:shd w:val="clear" w:color="auto" w:fill="auto"/>
            <w:noWrap/>
            <w:tcMar>
              <w:right w:w="113" w:type="dxa"/>
            </w:tcMar>
            <w:vAlign w:val="center"/>
          </w:tcPr>
          <w:p w14:paraId="6FDAE46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r>
      <w:tr w:rsidR="009F490A" w:rsidRPr="00F93BD2" w14:paraId="027489E1" w14:textId="77777777" w:rsidTr="004A0F26">
        <w:trPr>
          <w:trHeight w:val="240"/>
        </w:trPr>
        <w:tc>
          <w:tcPr>
            <w:tcW w:w="1690" w:type="pct"/>
            <w:shd w:val="clear" w:color="auto" w:fill="auto"/>
            <w:noWrap/>
            <w:vAlign w:val="center"/>
          </w:tcPr>
          <w:p w14:paraId="5E11B0A0"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Haiti</w:t>
            </w:r>
          </w:p>
        </w:tc>
        <w:tc>
          <w:tcPr>
            <w:tcW w:w="1094" w:type="pct"/>
            <w:shd w:val="clear" w:color="auto" w:fill="auto"/>
            <w:noWrap/>
            <w:tcMar>
              <w:right w:w="113" w:type="dxa"/>
            </w:tcMar>
            <w:vAlign w:val="center"/>
          </w:tcPr>
          <w:p w14:paraId="67B1CAC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c>
          <w:tcPr>
            <w:tcW w:w="1108" w:type="pct"/>
            <w:shd w:val="clear" w:color="auto" w:fill="auto"/>
            <w:noWrap/>
            <w:tcMar>
              <w:right w:w="113" w:type="dxa"/>
            </w:tcMar>
            <w:vAlign w:val="center"/>
          </w:tcPr>
          <w:p w14:paraId="2ABD40A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c>
          <w:tcPr>
            <w:tcW w:w="1108" w:type="pct"/>
            <w:shd w:val="clear" w:color="auto" w:fill="auto"/>
            <w:noWrap/>
            <w:tcMar>
              <w:right w:w="113" w:type="dxa"/>
            </w:tcMar>
            <w:vAlign w:val="center"/>
          </w:tcPr>
          <w:p w14:paraId="396568D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r>
      <w:tr w:rsidR="009F490A" w:rsidRPr="00F93BD2" w14:paraId="138516CE" w14:textId="77777777" w:rsidTr="004A0F26">
        <w:trPr>
          <w:trHeight w:val="240"/>
        </w:trPr>
        <w:tc>
          <w:tcPr>
            <w:tcW w:w="1690" w:type="pct"/>
            <w:shd w:val="clear" w:color="auto" w:fill="auto"/>
            <w:noWrap/>
            <w:vAlign w:val="center"/>
          </w:tcPr>
          <w:p w14:paraId="4BDA3AEE"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Honduras</w:t>
            </w:r>
          </w:p>
        </w:tc>
        <w:tc>
          <w:tcPr>
            <w:tcW w:w="1094" w:type="pct"/>
            <w:shd w:val="clear" w:color="auto" w:fill="auto"/>
            <w:noWrap/>
            <w:tcMar>
              <w:right w:w="113" w:type="dxa"/>
            </w:tcMar>
            <w:vAlign w:val="center"/>
          </w:tcPr>
          <w:p w14:paraId="0E138D2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0.008</w:t>
            </w:r>
          </w:p>
        </w:tc>
        <w:tc>
          <w:tcPr>
            <w:tcW w:w="1108" w:type="pct"/>
            <w:shd w:val="clear" w:color="auto" w:fill="auto"/>
            <w:noWrap/>
            <w:tcMar>
              <w:right w:w="113" w:type="dxa"/>
            </w:tcMar>
            <w:vAlign w:val="center"/>
          </w:tcPr>
          <w:p w14:paraId="1F1B406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0.010</w:t>
            </w:r>
          </w:p>
        </w:tc>
        <w:tc>
          <w:tcPr>
            <w:tcW w:w="1108" w:type="pct"/>
            <w:shd w:val="clear" w:color="auto" w:fill="auto"/>
            <w:noWrap/>
            <w:tcMar>
              <w:right w:w="113" w:type="dxa"/>
            </w:tcMar>
            <w:vAlign w:val="center"/>
          </w:tcPr>
          <w:p w14:paraId="738369F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0.010</w:t>
            </w:r>
          </w:p>
        </w:tc>
      </w:tr>
      <w:tr w:rsidR="009F490A" w:rsidRPr="00F93BD2" w14:paraId="511CD626" w14:textId="77777777" w:rsidTr="004A0F26">
        <w:trPr>
          <w:trHeight w:val="240"/>
        </w:trPr>
        <w:tc>
          <w:tcPr>
            <w:tcW w:w="1690" w:type="pct"/>
            <w:shd w:val="clear" w:color="auto" w:fill="auto"/>
            <w:noWrap/>
            <w:vAlign w:val="center"/>
          </w:tcPr>
          <w:p w14:paraId="73C889DD"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Hungary</w:t>
            </w:r>
          </w:p>
        </w:tc>
        <w:tc>
          <w:tcPr>
            <w:tcW w:w="1094" w:type="pct"/>
            <w:shd w:val="clear" w:color="auto" w:fill="auto"/>
            <w:noWrap/>
            <w:tcMar>
              <w:right w:w="113" w:type="dxa"/>
            </w:tcMar>
            <w:vAlign w:val="center"/>
          </w:tcPr>
          <w:p w14:paraId="6F5DE9D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0.161</w:t>
            </w:r>
          </w:p>
        </w:tc>
        <w:tc>
          <w:tcPr>
            <w:tcW w:w="1108" w:type="pct"/>
            <w:shd w:val="clear" w:color="auto" w:fill="auto"/>
            <w:noWrap/>
            <w:tcMar>
              <w:right w:w="113" w:type="dxa"/>
            </w:tcMar>
            <w:vAlign w:val="center"/>
          </w:tcPr>
          <w:p w14:paraId="00E1591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0.209</w:t>
            </w:r>
          </w:p>
        </w:tc>
        <w:tc>
          <w:tcPr>
            <w:tcW w:w="1108" w:type="pct"/>
            <w:shd w:val="clear" w:color="auto" w:fill="auto"/>
            <w:noWrap/>
            <w:tcMar>
              <w:right w:w="113" w:type="dxa"/>
            </w:tcMar>
            <w:vAlign w:val="center"/>
          </w:tcPr>
          <w:p w14:paraId="60239BC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0.209</w:t>
            </w:r>
          </w:p>
        </w:tc>
      </w:tr>
      <w:tr w:rsidR="009F490A" w:rsidRPr="00F93BD2" w14:paraId="718B1289" w14:textId="77777777" w:rsidTr="004A0F26">
        <w:trPr>
          <w:trHeight w:val="240"/>
        </w:trPr>
        <w:tc>
          <w:tcPr>
            <w:tcW w:w="1690" w:type="pct"/>
            <w:shd w:val="clear" w:color="auto" w:fill="auto"/>
            <w:noWrap/>
            <w:vAlign w:val="center"/>
          </w:tcPr>
          <w:p w14:paraId="5A504A77"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Iceland</w:t>
            </w:r>
          </w:p>
        </w:tc>
        <w:tc>
          <w:tcPr>
            <w:tcW w:w="1094" w:type="pct"/>
            <w:shd w:val="clear" w:color="auto" w:fill="auto"/>
            <w:noWrap/>
            <w:tcMar>
              <w:right w:w="113" w:type="dxa"/>
            </w:tcMar>
            <w:vAlign w:val="center"/>
          </w:tcPr>
          <w:p w14:paraId="5545AF3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0.023</w:t>
            </w:r>
          </w:p>
        </w:tc>
        <w:tc>
          <w:tcPr>
            <w:tcW w:w="1108" w:type="pct"/>
            <w:shd w:val="clear" w:color="auto" w:fill="auto"/>
            <w:noWrap/>
            <w:tcMar>
              <w:right w:w="113" w:type="dxa"/>
            </w:tcMar>
            <w:vAlign w:val="center"/>
          </w:tcPr>
          <w:p w14:paraId="6D5EBD3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0.030</w:t>
            </w:r>
          </w:p>
        </w:tc>
        <w:tc>
          <w:tcPr>
            <w:tcW w:w="1108" w:type="pct"/>
            <w:shd w:val="clear" w:color="auto" w:fill="auto"/>
            <w:noWrap/>
            <w:tcMar>
              <w:right w:w="113" w:type="dxa"/>
            </w:tcMar>
            <w:vAlign w:val="center"/>
          </w:tcPr>
          <w:p w14:paraId="668E060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0.030</w:t>
            </w:r>
          </w:p>
        </w:tc>
      </w:tr>
      <w:tr w:rsidR="009F490A" w:rsidRPr="00F93BD2" w14:paraId="5D9A58AC" w14:textId="77777777" w:rsidTr="004A0F26">
        <w:trPr>
          <w:trHeight w:val="240"/>
        </w:trPr>
        <w:tc>
          <w:tcPr>
            <w:tcW w:w="1690" w:type="pct"/>
            <w:shd w:val="clear" w:color="auto" w:fill="auto"/>
            <w:noWrap/>
            <w:vAlign w:val="center"/>
          </w:tcPr>
          <w:p w14:paraId="7F530E99"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India</w:t>
            </w:r>
          </w:p>
        </w:tc>
        <w:tc>
          <w:tcPr>
            <w:tcW w:w="1094" w:type="pct"/>
            <w:shd w:val="clear" w:color="auto" w:fill="auto"/>
            <w:noWrap/>
            <w:tcMar>
              <w:right w:w="113" w:type="dxa"/>
            </w:tcMar>
            <w:vAlign w:val="center"/>
          </w:tcPr>
          <w:p w14:paraId="3063F51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0.737</w:t>
            </w:r>
          </w:p>
        </w:tc>
        <w:tc>
          <w:tcPr>
            <w:tcW w:w="1108" w:type="pct"/>
            <w:shd w:val="clear" w:color="auto" w:fill="auto"/>
            <w:noWrap/>
            <w:tcMar>
              <w:right w:w="113" w:type="dxa"/>
            </w:tcMar>
            <w:vAlign w:val="center"/>
          </w:tcPr>
          <w:p w14:paraId="05BEA11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0.957</w:t>
            </w:r>
          </w:p>
        </w:tc>
        <w:tc>
          <w:tcPr>
            <w:tcW w:w="1108" w:type="pct"/>
            <w:shd w:val="clear" w:color="auto" w:fill="auto"/>
            <w:noWrap/>
            <w:tcMar>
              <w:right w:w="113" w:type="dxa"/>
            </w:tcMar>
            <w:vAlign w:val="center"/>
          </w:tcPr>
          <w:p w14:paraId="7D37B7F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0.957</w:t>
            </w:r>
          </w:p>
        </w:tc>
      </w:tr>
      <w:tr w:rsidR="009F490A" w:rsidRPr="00F93BD2" w14:paraId="129451C1" w14:textId="77777777" w:rsidTr="004A0F26">
        <w:trPr>
          <w:trHeight w:val="240"/>
        </w:trPr>
        <w:tc>
          <w:tcPr>
            <w:tcW w:w="1690" w:type="pct"/>
            <w:shd w:val="clear" w:color="auto" w:fill="auto"/>
            <w:noWrap/>
            <w:vAlign w:val="center"/>
          </w:tcPr>
          <w:p w14:paraId="0548B0C1"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Indonesia</w:t>
            </w:r>
          </w:p>
        </w:tc>
        <w:tc>
          <w:tcPr>
            <w:tcW w:w="1094" w:type="pct"/>
            <w:shd w:val="clear" w:color="auto" w:fill="auto"/>
            <w:noWrap/>
            <w:tcMar>
              <w:right w:w="113" w:type="dxa"/>
            </w:tcMar>
            <w:vAlign w:val="center"/>
          </w:tcPr>
          <w:p w14:paraId="50B18FA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0.504</w:t>
            </w:r>
          </w:p>
        </w:tc>
        <w:tc>
          <w:tcPr>
            <w:tcW w:w="1108" w:type="pct"/>
            <w:shd w:val="clear" w:color="auto" w:fill="auto"/>
            <w:noWrap/>
            <w:tcMar>
              <w:right w:w="113" w:type="dxa"/>
            </w:tcMar>
            <w:vAlign w:val="center"/>
          </w:tcPr>
          <w:p w14:paraId="46E1456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0.655</w:t>
            </w:r>
          </w:p>
        </w:tc>
        <w:tc>
          <w:tcPr>
            <w:tcW w:w="1108" w:type="pct"/>
            <w:shd w:val="clear" w:color="auto" w:fill="auto"/>
            <w:noWrap/>
            <w:tcMar>
              <w:right w:w="113" w:type="dxa"/>
            </w:tcMar>
            <w:vAlign w:val="center"/>
          </w:tcPr>
          <w:p w14:paraId="4B302F5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0.655</w:t>
            </w:r>
          </w:p>
        </w:tc>
      </w:tr>
      <w:tr w:rsidR="009F490A" w:rsidRPr="00F93BD2" w14:paraId="4BB96030" w14:textId="77777777" w:rsidTr="004A0F26">
        <w:trPr>
          <w:trHeight w:val="240"/>
        </w:trPr>
        <w:tc>
          <w:tcPr>
            <w:tcW w:w="1690" w:type="pct"/>
            <w:shd w:val="clear" w:color="auto" w:fill="auto"/>
            <w:noWrap/>
            <w:vAlign w:val="center"/>
          </w:tcPr>
          <w:p w14:paraId="5F112158"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Iran (Islamic Republic of)</w:t>
            </w:r>
          </w:p>
        </w:tc>
        <w:tc>
          <w:tcPr>
            <w:tcW w:w="1094" w:type="pct"/>
            <w:shd w:val="clear" w:color="auto" w:fill="auto"/>
            <w:noWrap/>
            <w:tcMar>
              <w:right w:w="113" w:type="dxa"/>
            </w:tcMar>
            <w:vAlign w:val="center"/>
          </w:tcPr>
          <w:p w14:paraId="2F390AB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0.471</w:t>
            </w:r>
          </w:p>
        </w:tc>
        <w:tc>
          <w:tcPr>
            <w:tcW w:w="1108" w:type="pct"/>
            <w:shd w:val="clear" w:color="auto" w:fill="auto"/>
            <w:noWrap/>
            <w:tcMar>
              <w:right w:w="113" w:type="dxa"/>
            </w:tcMar>
            <w:vAlign w:val="center"/>
          </w:tcPr>
          <w:p w14:paraId="3A5C7E2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0.612</w:t>
            </w:r>
          </w:p>
        </w:tc>
        <w:tc>
          <w:tcPr>
            <w:tcW w:w="1108" w:type="pct"/>
            <w:shd w:val="clear" w:color="auto" w:fill="auto"/>
            <w:noWrap/>
            <w:tcMar>
              <w:right w:w="113" w:type="dxa"/>
            </w:tcMar>
            <w:vAlign w:val="center"/>
          </w:tcPr>
          <w:p w14:paraId="09603AB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0.612</w:t>
            </w:r>
          </w:p>
        </w:tc>
      </w:tr>
      <w:tr w:rsidR="009F490A" w:rsidRPr="00F93BD2" w14:paraId="207C6219" w14:textId="77777777" w:rsidTr="004A0F26">
        <w:trPr>
          <w:trHeight w:val="240"/>
        </w:trPr>
        <w:tc>
          <w:tcPr>
            <w:tcW w:w="1690" w:type="pct"/>
            <w:shd w:val="clear" w:color="auto" w:fill="auto"/>
            <w:noWrap/>
            <w:vAlign w:val="center"/>
          </w:tcPr>
          <w:p w14:paraId="21ABE5E2"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Iraq</w:t>
            </w:r>
          </w:p>
        </w:tc>
        <w:tc>
          <w:tcPr>
            <w:tcW w:w="1094" w:type="pct"/>
            <w:shd w:val="clear" w:color="auto" w:fill="auto"/>
            <w:noWrap/>
            <w:tcMar>
              <w:right w:w="113" w:type="dxa"/>
            </w:tcMar>
            <w:vAlign w:val="center"/>
          </w:tcPr>
          <w:p w14:paraId="5A9EDDC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0.129</w:t>
            </w:r>
          </w:p>
        </w:tc>
        <w:tc>
          <w:tcPr>
            <w:tcW w:w="1108" w:type="pct"/>
            <w:shd w:val="clear" w:color="auto" w:fill="auto"/>
            <w:noWrap/>
            <w:tcMar>
              <w:right w:w="113" w:type="dxa"/>
            </w:tcMar>
            <w:vAlign w:val="center"/>
          </w:tcPr>
          <w:p w14:paraId="1BAEEA7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0.168</w:t>
            </w:r>
          </w:p>
        </w:tc>
        <w:tc>
          <w:tcPr>
            <w:tcW w:w="1108" w:type="pct"/>
            <w:shd w:val="clear" w:color="auto" w:fill="auto"/>
            <w:noWrap/>
            <w:tcMar>
              <w:right w:w="113" w:type="dxa"/>
            </w:tcMar>
            <w:vAlign w:val="center"/>
          </w:tcPr>
          <w:p w14:paraId="2066BD6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0.168</w:t>
            </w:r>
          </w:p>
        </w:tc>
      </w:tr>
      <w:tr w:rsidR="009F490A" w:rsidRPr="00F93BD2" w14:paraId="7D3DDC1C" w14:textId="77777777" w:rsidTr="004A0F26">
        <w:trPr>
          <w:trHeight w:val="240"/>
        </w:trPr>
        <w:tc>
          <w:tcPr>
            <w:tcW w:w="1690" w:type="pct"/>
            <w:shd w:val="clear" w:color="auto" w:fill="auto"/>
            <w:noWrap/>
            <w:vAlign w:val="center"/>
          </w:tcPr>
          <w:p w14:paraId="5ECC1878"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Ireland</w:t>
            </w:r>
          </w:p>
        </w:tc>
        <w:tc>
          <w:tcPr>
            <w:tcW w:w="1094" w:type="pct"/>
            <w:shd w:val="clear" w:color="auto" w:fill="auto"/>
            <w:noWrap/>
            <w:tcMar>
              <w:right w:w="113" w:type="dxa"/>
            </w:tcMar>
            <w:vAlign w:val="center"/>
          </w:tcPr>
          <w:p w14:paraId="56D3A70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0.335</w:t>
            </w:r>
          </w:p>
        </w:tc>
        <w:tc>
          <w:tcPr>
            <w:tcW w:w="1108" w:type="pct"/>
            <w:shd w:val="clear" w:color="auto" w:fill="auto"/>
            <w:noWrap/>
            <w:tcMar>
              <w:right w:w="113" w:type="dxa"/>
            </w:tcMar>
            <w:vAlign w:val="center"/>
          </w:tcPr>
          <w:p w14:paraId="10BCC0C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0.435</w:t>
            </w:r>
          </w:p>
        </w:tc>
        <w:tc>
          <w:tcPr>
            <w:tcW w:w="1108" w:type="pct"/>
            <w:shd w:val="clear" w:color="auto" w:fill="auto"/>
            <w:noWrap/>
            <w:tcMar>
              <w:right w:w="113" w:type="dxa"/>
            </w:tcMar>
            <w:vAlign w:val="center"/>
          </w:tcPr>
          <w:p w14:paraId="343C02A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0.435</w:t>
            </w:r>
          </w:p>
        </w:tc>
      </w:tr>
      <w:tr w:rsidR="009F490A" w:rsidRPr="00F93BD2" w14:paraId="346AAE4B" w14:textId="77777777" w:rsidTr="004A0F26">
        <w:trPr>
          <w:trHeight w:val="240"/>
        </w:trPr>
        <w:tc>
          <w:tcPr>
            <w:tcW w:w="1690" w:type="pct"/>
            <w:shd w:val="clear" w:color="auto" w:fill="auto"/>
            <w:noWrap/>
            <w:vAlign w:val="center"/>
          </w:tcPr>
          <w:p w14:paraId="49322784"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Israel</w:t>
            </w:r>
          </w:p>
        </w:tc>
        <w:tc>
          <w:tcPr>
            <w:tcW w:w="1094" w:type="pct"/>
            <w:shd w:val="clear" w:color="auto" w:fill="auto"/>
            <w:noWrap/>
            <w:tcMar>
              <w:right w:w="113" w:type="dxa"/>
            </w:tcMar>
            <w:vAlign w:val="center"/>
          </w:tcPr>
          <w:p w14:paraId="2422CAD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0.430</w:t>
            </w:r>
          </w:p>
        </w:tc>
        <w:tc>
          <w:tcPr>
            <w:tcW w:w="1108" w:type="pct"/>
            <w:shd w:val="clear" w:color="auto" w:fill="auto"/>
            <w:noWrap/>
            <w:tcMar>
              <w:right w:w="113" w:type="dxa"/>
            </w:tcMar>
            <w:vAlign w:val="center"/>
          </w:tcPr>
          <w:p w14:paraId="65CC9CC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0.559</w:t>
            </w:r>
          </w:p>
        </w:tc>
        <w:tc>
          <w:tcPr>
            <w:tcW w:w="1108" w:type="pct"/>
            <w:shd w:val="clear" w:color="auto" w:fill="auto"/>
            <w:noWrap/>
            <w:tcMar>
              <w:right w:w="113" w:type="dxa"/>
            </w:tcMar>
            <w:vAlign w:val="center"/>
          </w:tcPr>
          <w:p w14:paraId="75A7761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0.559</w:t>
            </w:r>
          </w:p>
        </w:tc>
      </w:tr>
      <w:tr w:rsidR="009F490A" w:rsidRPr="00F93BD2" w14:paraId="3CAB0405" w14:textId="77777777" w:rsidTr="004A0F26">
        <w:trPr>
          <w:trHeight w:val="240"/>
        </w:trPr>
        <w:tc>
          <w:tcPr>
            <w:tcW w:w="1690" w:type="pct"/>
            <w:shd w:val="clear" w:color="auto" w:fill="auto"/>
            <w:noWrap/>
            <w:vAlign w:val="center"/>
          </w:tcPr>
          <w:p w14:paraId="7BAD4DFB"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Italy</w:t>
            </w:r>
          </w:p>
        </w:tc>
        <w:tc>
          <w:tcPr>
            <w:tcW w:w="1094" w:type="pct"/>
            <w:shd w:val="clear" w:color="auto" w:fill="auto"/>
            <w:noWrap/>
            <w:tcMar>
              <w:right w:w="113" w:type="dxa"/>
            </w:tcMar>
            <w:vAlign w:val="center"/>
          </w:tcPr>
          <w:p w14:paraId="4295951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3.748</w:t>
            </w:r>
          </w:p>
        </w:tc>
        <w:tc>
          <w:tcPr>
            <w:tcW w:w="1108" w:type="pct"/>
            <w:shd w:val="clear" w:color="auto" w:fill="auto"/>
            <w:noWrap/>
            <w:tcMar>
              <w:right w:w="113" w:type="dxa"/>
            </w:tcMar>
            <w:vAlign w:val="center"/>
          </w:tcPr>
          <w:p w14:paraId="7F8647F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4.868</w:t>
            </w:r>
          </w:p>
        </w:tc>
        <w:tc>
          <w:tcPr>
            <w:tcW w:w="1108" w:type="pct"/>
            <w:shd w:val="clear" w:color="auto" w:fill="auto"/>
            <w:noWrap/>
            <w:tcMar>
              <w:right w:w="113" w:type="dxa"/>
            </w:tcMar>
            <w:vAlign w:val="center"/>
          </w:tcPr>
          <w:p w14:paraId="5D846F3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4.868</w:t>
            </w:r>
          </w:p>
        </w:tc>
      </w:tr>
      <w:tr w:rsidR="009F490A" w:rsidRPr="00F93BD2" w14:paraId="532D7DC8" w14:textId="77777777" w:rsidTr="004A0F26">
        <w:trPr>
          <w:trHeight w:val="240"/>
        </w:trPr>
        <w:tc>
          <w:tcPr>
            <w:tcW w:w="1690" w:type="pct"/>
            <w:shd w:val="clear" w:color="auto" w:fill="auto"/>
            <w:noWrap/>
            <w:vAlign w:val="center"/>
          </w:tcPr>
          <w:p w14:paraId="07C5FD66"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Jamaica</w:t>
            </w:r>
          </w:p>
        </w:tc>
        <w:tc>
          <w:tcPr>
            <w:tcW w:w="1094" w:type="pct"/>
            <w:shd w:val="clear" w:color="auto" w:fill="auto"/>
            <w:noWrap/>
            <w:tcMar>
              <w:right w:w="113" w:type="dxa"/>
            </w:tcMar>
            <w:vAlign w:val="center"/>
          </w:tcPr>
          <w:p w14:paraId="5196F3C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0.009</w:t>
            </w:r>
          </w:p>
        </w:tc>
        <w:tc>
          <w:tcPr>
            <w:tcW w:w="1108" w:type="pct"/>
            <w:shd w:val="clear" w:color="auto" w:fill="auto"/>
            <w:noWrap/>
            <w:tcMar>
              <w:right w:w="113" w:type="dxa"/>
            </w:tcMar>
            <w:vAlign w:val="center"/>
          </w:tcPr>
          <w:p w14:paraId="27128B8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0.012</w:t>
            </w:r>
          </w:p>
        </w:tc>
        <w:tc>
          <w:tcPr>
            <w:tcW w:w="1108" w:type="pct"/>
            <w:shd w:val="clear" w:color="auto" w:fill="auto"/>
            <w:noWrap/>
            <w:tcMar>
              <w:right w:w="113" w:type="dxa"/>
            </w:tcMar>
            <w:vAlign w:val="center"/>
          </w:tcPr>
          <w:p w14:paraId="0D7EC3E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0.012</w:t>
            </w:r>
          </w:p>
        </w:tc>
      </w:tr>
      <w:tr w:rsidR="009F490A" w:rsidRPr="00F93BD2" w14:paraId="68D94C69" w14:textId="77777777" w:rsidTr="004A0F26">
        <w:trPr>
          <w:trHeight w:val="240"/>
        </w:trPr>
        <w:tc>
          <w:tcPr>
            <w:tcW w:w="1690" w:type="pct"/>
            <w:shd w:val="clear" w:color="auto" w:fill="auto"/>
            <w:noWrap/>
            <w:vAlign w:val="center"/>
          </w:tcPr>
          <w:p w14:paraId="133F42D7"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Japan</w:t>
            </w:r>
          </w:p>
        </w:tc>
        <w:tc>
          <w:tcPr>
            <w:tcW w:w="1094" w:type="pct"/>
            <w:shd w:val="clear" w:color="auto" w:fill="auto"/>
            <w:noWrap/>
            <w:tcMar>
              <w:right w:w="113" w:type="dxa"/>
            </w:tcMar>
            <w:vAlign w:val="center"/>
          </w:tcPr>
          <w:p w14:paraId="7CF3FC2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9.680</w:t>
            </w:r>
          </w:p>
        </w:tc>
        <w:tc>
          <w:tcPr>
            <w:tcW w:w="1108" w:type="pct"/>
            <w:shd w:val="clear" w:color="auto" w:fill="auto"/>
            <w:noWrap/>
            <w:tcMar>
              <w:right w:w="113" w:type="dxa"/>
            </w:tcMar>
            <w:vAlign w:val="center"/>
          </w:tcPr>
          <w:p w14:paraId="371C8FE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12.573</w:t>
            </w:r>
          </w:p>
        </w:tc>
        <w:tc>
          <w:tcPr>
            <w:tcW w:w="1108" w:type="pct"/>
            <w:shd w:val="clear" w:color="auto" w:fill="auto"/>
            <w:noWrap/>
            <w:tcMar>
              <w:right w:w="113" w:type="dxa"/>
            </w:tcMar>
            <w:vAlign w:val="center"/>
          </w:tcPr>
          <w:p w14:paraId="5DC8510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12.573</w:t>
            </w:r>
          </w:p>
        </w:tc>
      </w:tr>
      <w:tr w:rsidR="009F490A" w:rsidRPr="00F93BD2" w14:paraId="493FD06F" w14:textId="77777777" w:rsidTr="004A0F26">
        <w:trPr>
          <w:trHeight w:val="240"/>
        </w:trPr>
        <w:tc>
          <w:tcPr>
            <w:tcW w:w="1690" w:type="pct"/>
            <w:shd w:val="clear" w:color="auto" w:fill="auto"/>
            <w:noWrap/>
            <w:vAlign w:val="center"/>
          </w:tcPr>
          <w:p w14:paraId="7355544C"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Jordan</w:t>
            </w:r>
          </w:p>
        </w:tc>
        <w:tc>
          <w:tcPr>
            <w:tcW w:w="1094" w:type="pct"/>
            <w:shd w:val="clear" w:color="auto" w:fill="auto"/>
            <w:noWrap/>
            <w:tcMar>
              <w:right w:w="113" w:type="dxa"/>
            </w:tcMar>
            <w:vAlign w:val="center"/>
          </w:tcPr>
          <w:p w14:paraId="2B8FE6F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0.020</w:t>
            </w:r>
          </w:p>
        </w:tc>
        <w:tc>
          <w:tcPr>
            <w:tcW w:w="1108" w:type="pct"/>
            <w:shd w:val="clear" w:color="auto" w:fill="auto"/>
            <w:noWrap/>
            <w:tcMar>
              <w:right w:w="113" w:type="dxa"/>
            </w:tcMar>
            <w:vAlign w:val="center"/>
          </w:tcPr>
          <w:p w14:paraId="4A9D49A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0.026</w:t>
            </w:r>
          </w:p>
        </w:tc>
        <w:tc>
          <w:tcPr>
            <w:tcW w:w="1108" w:type="pct"/>
            <w:shd w:val="clear" w:color="auto" w:fill="auto"/>
            <w:noWrap/>
            <w:tcMar>
              <w:right w:w="113" w:type="dxa"/>
            </w:tcMar>
            <w:vAlign w:val="center"/>
          </w:tcPr>
          <w:p w14:paraId="0F1F926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0.026</w:t>
            </w:r>
          </w:p>
        </w:tc>
      </w:tr>
      <w:tr w:rsidR="009F490A" w:rsidRPr="00F93BD2" w14:paraId="7A752E75" w14:textId="77777777" w:rsidTr="004A0F26">
        <w:trPr>
          <w:trHeight w:val="240"/>
        </w:trPr>
        <w:tc>
          <w:tcPr>
            <w:tcW w:w="1690" w:type="pct"/>
            <w:shd w:val="clear" w:color="auto" w:fill="auto"/>
            <w:noWrap/>
            <w:vAlign w:val="center"/>
          </w:tcPr>
          <w:p w14:paraId="302BFE74"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Kazakhstan</w:t>
            </w:r>
          </w:p>
        </w:tc>
        <w:tc>
          <w:tcPr>
            <w:tcW w:w="1094" w:type="pct"/>
            <w:shd w:val="clear" w:color="auto" w:fill="auto"/>
            <w:noWrap/>
            <w:tcMar>
              <w:right w:w="113" w:type="dxa"/>
            </w:tcMar>
            <w:vAlign w:val="center"/>
          </w:tcPr>
          <w:p w14:paraId="22CD709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0.191</w:t>
            </w:r>
          </w:p>
        </w:tc>
        <w:tc>
          <w:tcPr>
            <w:tcW w:w="1108" w:type="pct"/>
            <w:shd w:val="clear" w:color="auto" w:fill="auto"/>
            <w:noWrap/>
            <w:tcMar>
              <w:right w:w="113" w:type="dxa"/>
            </w:tcMar>
            <w:vAlign w:val="center"/>
          </w:tcPr>
          <w:p w14:paraId="3E6569D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0.248</w:t>
            </w:r>
          </w:p>
        </w:tc>
        <w:tc>
          <w:tcPr>
            <w:tcW w:w="1108" w:type="pct"/>
            <w:shd w:val="clear" w:color="auto" w:fill="auto"/>
            <w:noWrap/>
            <w:tcMar>
              <w:right w:w="113" w:type="dxa"/>
            </w:tcMar>
            <w:vAlign w:val="center"/>
          </w:tcPr>
          <w:p w14:paraId="539AF35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0.248</w:t>
            </w:r>
          </w:p>
        </w:tc>
      </w:tr>
      <w:tr w:rsidR="009F490A" w:rsidRPr="00F93BD2" w14:paraId="299DA426" w14:textId="77777777" w:rsidTr="004A0F26">
        <w:trPr>
          <w:trHeight w:val="240"/>
        </w:trPr>
        <w:tc>
          <w:tcPr>
            <w:tcW w:w="1690" w:type="pct"/>
            <w:shd w:val="clear" w:color="auto" w:fill="auto"/>
            <w:noWrap/>
            <w:vAlign w:val="center"/>
          </w:tcPr>
          <w:p w14:paraId="7C843C01"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Kenya</w:t>
            </w:r>
          </w:p>
        </w:tc>
        <w:tc>
          <w:tcPr>
            <w:tcW w:w="1094" w:type="pct"/>
            <w:shd w:val="clear" w:color="auto" w:fill="auto"/>
            <w:noWrap/>
            <w:tcMar>
              <w:right w:w="113" w:type="dxa"/>
            </w:tcMar>
            <w:vAlign w:val="center"/>
          </w:tcPr>
          <w:p w14:paraId="77FEFC2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0.018</w:t>
            </w:r>
          </w:p>
        </w:tc>
        <w:tc>
          <w:tcPr>
            <w:tcW w:w="1108" w:type="pct"/>
            <w:shd w:val="clear" w:color="auto" w:fill="auto"/>
            <w:noWrap/>
            <w:tcMar>
              <w:right w:w="113" w:type="dxa"/>
            </w:tcMar>
            <w:vAlign w:val="center"/>
          </w:tcPr>
          <w:p w14:paraId="0C1C65D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0.023</w:t>
            </w:r>
          </w:p>
        </w:tc>
        <w:tc>
          <w:tcPr>
            <w:tcW w:w="1108" w:type="pct"/>
            <w:shd w:val="clear" w:color="auto" w:fill="auto"/>
            <w:noWrap/>
            <w:tcMar>
              <w:right w:w="113" w:type="dxa"/>
            </w:tcMar>
            <w:vAlign w:val="center"/>
          </w:tcPr>
          <w:p w14:paraId="387CDFA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0.023</w:t>
            </w:r>
          </w:p>
        </w:tc>
      </w:tr>
      <w:tr w:rsidR="009F490A" w:rsidRPr="00F93BD2" w14:paraId="5A0BFCF7" w14:textId="77777777" w:rsidTr="004A0F26">
        <w:trPr>
          <w:trHeight w:val="240"/>
        </w:trPr>
        <w:tc>
          <w:tcPr>
            <w:tcW w:w="1690" w:type="pct"/>
            <w:shd w:val="clear" w:color="auto" w:fill="auto"/>
            <w:noWrap/>
            <w:vAlign w:val="center"/>
          </w:tcPr>
          <w:p w14:paraId="1FAF1767"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Kiribati</w:t>
            </w:r>
          </w:p>
        </w:tc>
        <w:tc>
          <w:tcPr>
            <w:tcW w:w="1094" w:type="pct"/>
            <w:shd w:val="clear" w:color="auto" w:fill="auto"/>
            <w:noWrap/>
            <w:tcMar>
              <w:right w:w="113" w:type="dxa"/>
            </w:tcMar>
            <w:vAlign w:val="center"/>
          </w:tcPr>
          <w:p w14:paraId="1B219CD7" w14:textId="77777777" w:rsidR="009F490A" w:rsidRPr="00F93BD2" w:rsidRDefault="009F490A" w:rsidP="004A0F26">
            <w:pPr>
              <w:suppressAutoHyphens w:val="0"/>
              <w:spacing w:line="240" w:lineRule="auto"/>
              <w:jc w:val="right"/>
              <w:rPr>
                <w:rFonts w:eastAsia="MS Mincho"/>
                <w:color w:val="000000"/>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738AB67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2B864B8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1E9C69C3" w14:textId="77777777" w:rsidTr="004A0F26">
        <w:trPr>
          <w:trHeight w:val="240"/>
        </w:trPr>
        <w:tc>
          <w:tcPr>
            <w:tcW w:w="1690" w:type="pct"/>
            <w:shd w:val="clear" w:color="auto" w:fill="auto"/>
            <w:noWrap/>
            <w:vAlign w:val="center"/>
          </w:tcPr>
          <w:p w14:paraId="18F46CCB"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Kuwait</w:t>
            </w:r>
          </w:p>
        </w:tc>
        <w:tc>
          <w:tcPr>
            <w:tcW w:w="1094" w:type="pct"/>
            <w:shd w:val="clear" w:color="auto" w:fill="auto"/>
            <w:noWrap/>
            <w:tcMar>
              <w:right w:w="113" w:type="dxa"/>
            </w:tcMar>
            <w:vAlign w:val="center"/>
          </w:tcPr>
          <w:p w14:paraId="73FE722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0.285</w:t>
            </w:r>
          </w:p>
        </w:tc>
        <w:tc>
          <w:tcPr>
            <w:tcW w:w="1108" w:type="pct"/>
            <w:shd w:val="clear" w:color="auto" w:fill="auto"/>
            <w:noWrap/>
            <w:tcMar>
              <w:right w:w="113" w:type="dxa"/>
            </w:tcMar>
            <w:vAlign w:val="center"/>
          </w:tcPr>
          <w:p w14:paraId="036E03C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0.370</w:t>
            </w:r>
          </w:p>
        </w:tc>
        <w:tc>
          <w:tcPr>
            <w:tcW w:w="1108" w:type="pct"/>
            <w:shd w:val="clear" w:color="auto" w:fill="auto"/>
            <w:noWrap/>
            <w:tcMar>
              <w:right w:w="113" w:type="dxa"/>
            </w:tcMar>
            <w:vAlign w:val="center"/>
          </w:tcPr>
          <w:p w14:paraId="2E94D42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0.370</w:t>
            </w:r>
          </w:p>
        </w:tc>
      </w:tr>
      <w:tr w:rsidR="009F490A" w:rsidRPr="00F93BD2" w14:paraId="3AD5E968" w14:textId="77777777" w:rsidTr="004A0F26">
        <w:trPr>
          <w:trHeight w:val="240"/>
        </w:trPr>
        <w:tc>
          <w:tcPr>
            <w:tcW w:w="1690" w:type="pct"/>
            <w:shd w:val="clear" w:color="auto" w:fill="auto"/>
            <w:noWrap/>
            <w:vAlign w:val="center"/>
          </w:tcPr>
          <w:p w14:paraId="71922625"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Kyrgyzstan</w:t>
            </w:r>
          </w:p>
        </w:tc>
        <w:tc>
          <w:tcPr>
            <w:tcW w:w="1094" w:type="pct"/>
            <w:shd w:val="clear" w:color="auto" w:fill="auto"/>
            <w:noWrap/>
            <w:tcMar>
              <w:right w:w="113" w:type="dxa"/>
            </w:tcMar>
            <w:vAlign w:val="center"/>
          </w:tcPr>
          <w:p w14:paraId="0ECE3E2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0.002</w:t>
            </w:r>
          </w:p>
        </w:tc>
        <w:tc>
          <w:tcPr>
            <w:tcW w:w="1108" w:type="pct"/>
            <w:shd w:val="clear" w:color="auto" w:fill="auto"/>
            <w:noWrap/>
            <w:tcMar>
              <w:right w:w="113" w:type="dxa"/>
            </w:tcMar>
            <w:vAlign w:val="center"/>
          </w:tcPr>
          <w:p w14:paraId="1932F01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c>
          <w:tcPr>
            <w:tcW w:w="1108" w:type="pct"/>
            <w:shd w:val="clear" w:color="auto" w:fill="auto"/>
            <w:noWrap/>
            <w:tcMar>
              <w:right w:w="113" w:type="dxa"/>
            </w:tcMar>
            <w:vAlign w:val="center"/>
          </w:tcPr>
          <w:p w14:paraId="5230F28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r>
      <w:tr w:rsidR="009F490A" w:rsidRPr="00F93BD2" w14:paraId="11A3ED65" w14:textId="77777777" w:rsidTr="004A0F26">
        <w:trPr>
          <w:trHeight w:val="240"/>
        </w:trPr>
        <w:tc>
          <w:tcPr>
            <w:tcW w:w="1690" w:type="pct"/>
            <w:shd w:val="clear" w:color="auto" w:fill="auto"/>
            <w:noWrap/>
            <w:vAlign w:val="center"/>
          </w:tcPr>
          <w:p w14:paraId="3B6820FC"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Lao People’s Democratic Republic</w:t>
            </w:r>
          </w:p>
        </w:tc>
        <w:tc>
          <w:tcPr>
            <w:tcW w:w="1094" w:type="pct"/>
            <w:shd w:val="clear" w:color="auto" w:fill="auto"/>
            <w:noWrap/>
            <w:tcMar>
              <w:right w:w="113" w:type="dxa"/>
            </w:tcMar>
            <w:vAlign w:val="center"/>
          </w:tcPr>
          <w:p w14:paraId="24C6341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c>
          <w:tcPr>
            <w:tcW w:w="1108" w:type="pct"/>
            <w:shd w:val="clear" w:color="auto" w:fill="auto"/>
            <w:noWrap/>
            <w:tcMar>
              <w:right w:w="113" w:type="dxa"/>
            </w:tcMar>
            <w:vAlign w:val="center"/>
          </w:tcPr>
          <w:p w14:paraId="62C960A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c>
          <w:tcPr>
            <w:tcW w:w="1108" w:type="pct"/>
            <w:shd w:val="clear" w:color="auto" w:fill="auto"/>
            <w:noWrap/>
            <w:tcMar>
              <w:right w:w="113" w:type="dxa"/>
            </w:tcMar>
            <w:vAlign w:val="center"/>
          </w:tcPr>
          <w:p w14:paraId="628E8C2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r>
      <w:tr w:rsidR="009F490A" w:rsidRPr="00F93BD2" w14:paraId="59EE98C1" w14:textId="77777777" w:rsidTr="004A0F26">
        <w:trPr>
          <w:trHeight w:val="240"/>
        </w:trPr>
        <w:tc>
          <w:tcPr>
            <w:tcW w:w="1690" w:type="pct"/>
            <w:shd w:val="clear" w:color="auto" w:fill="auto"/>
            <w:noWrap/>
            <w:vAlign w:val="center"/>
          </w:tcPr>
          <w:p w14:paraId="58D6EFC4"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Latvia</w:t>
            </w:r>
          </w:p>
        </w:tc>
        <w:tc>
          <w:tcPr>
            <w:tcW w:w="1094" w:type="pct"/>
            <w:shd w:val="clear" w:color="auto" w:fill="auto"/>
            <w:noWrap/>
            <w:tcMar>
              <w:right w:w="113" w:type="dxa"/>
            </w:tcMar>
            <w:vAlign w:val="center"/>
          </w:tcPr>
          <w:p w14:paraId="48B9154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0.050</w:t>
            </w:r>
          </w:p>
        </w:tc>
        <w:tc>
          <w:tcPr>
            <w:tcW w:w="1108" w:type="pct"/>
            <w:shd w:val="clear" w:color="auto" w:fill="auto"/>
            <w:noWrap/>
            <w:tcMar>
              <w:right w:w="113" w:type="dxa"/>
            </w:tcMar>
            <w:vAlign w:val="center"/>
          </w:tcPr>
          <w:p w14:paraId="7F7163C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0.065</w:t>
            </w:r>
          </w:p>
        </w:tc>
        <w:tc>
          <w:tcPr>
            <w:tcW w:w="1108" w:type="pct"/>
            <w:shd w:val="clear" w:color="auto" w:fill="auto"/>
            <w:noWrap/>
            <w:tcMar>
              <w:right w:w="113" w:type="dxa"/>
            </w:tcMar>
            <w:vAlign w:val="center"/>
          </w:tcPr>
          <w:p w14:paraId="3C0D011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0.065</w:t>
            </w:r>
          </w:p>
        </w:tc>
      </w:tr>
      <w:tr w:rsidR="009F490A" w:rsidRPr="00F93BD2" w14:paraId="060A087B" w14:textId="77777777" w:rsidTr="004A0F26">
        <w:trPr>
          <w:trHeight w:val="240"/>
        </w:trPr>
        <w:tc>
          <w:tcPr>
            <w:tcW w:w="1690" w:type="pct"/>
            <w:shd w:val="clear" w:color="auto" w:fill="auto"/>
            <w:noWrap/>
            <w:vAlign w:val="center"/>
          </w:tcPr>
          <w:p w14:paraId="31670B11"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Lebanon</w:t>
            </w:r>
          </w:p>
        </w:tc>
        <w:tc>
          <w:tcPr>
            <w:tcW w:w="1094" w:type="pct"/>
            <w:shd w:val="clear" w:color="auto" w:fill="auto"/>
            <w:noWrap/>
            <w:tcMar>
              <w:right w:w="113" w:type="dxa"/>
            </w:tcMar>
            <w:vAlign w:val="center"/>
          </w:tcPr>
          <w:p w14:paraId="592054A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0.046</w:t>
            </w:r>
          </w:p>
        </w:tc>
        <w:tc>
          <w:tcPr>
            <w:tcW w:w="1108" w:type="pct"/>
            <w:shd w:val="clear" w:color="auto" w:fill="auto"/>
            <w:noWrap/>
            <w:tcMar>
              <w:right w:w="113" w:type="dxa"/>
            </w:tcMar>
            <w:vAlign w:val="center"/>
          </w:tcPr>
          <w:p w14:paraId="485D785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0.060</w:t>
            </w:r>
          </w:p>
        </w:tc>
        <w:tc>
          <w:tcPr>
            <w:tcW w:w="1108" w:type="pct"/>
            <w:shd w:val="clear" w:color="auto" w:fill="auto"/>
            <w:noWrap/>
            <w:tcMar>
              <w:right w:w="113" w:type="dxa"/>
            </w:tcMar>
            <w:vAlign w:val="center"/>
          </w:tcPr>
          <w:p w14:paraId="44DDA4D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0.060</w:t>
            </w:r>
          </w:p>
        </w:tc>
      </w:tr>
      <w:tr w:rsidR="009F490A" w:rsidRPr="00F93BD2" w14:paraId="2BEDFC04" w14:textId="77777777" w:rsidTr="004A0F26">
        <w:trPr>
          <w:trHeight w:val="240"/>
        </w:trPr>
        <w:tc>
          <w:tcPr>
            <w:tcW w:w="1690" w:type="pct"/>
            <w:shd w:val="clear" w:color="auto" w:fill="auto"/>
            <w:noWrap/>
            <w:vAlign w:val="center"/>
          </w:tcPr>
          <w:p w14:paraId="49F3FC86"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Lesotho</w:t>
            </w:r>
          </w:p>
        </w:tc>
        <w:tc>
          <w:tcPr>
            <w:tcW w:w="1094" w:type="pct"/>
            <w:shd w:val="clear" w:color="auto" w:fill="auto"/>
            <w:noWrap/>
            <w:tcMar>
              <w:right w:w="113" w:type="dxa"/>
            </w:tcMar>
            <w:vAlign w:val="center"/>
          </w:tcPr>
          <w:p w14:paraId="302B701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0D7883F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636B717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618F442C" w14:textId="77777777" w:rsidTr="004A0F26">
        <w:trPr>
          <w:trHeight w:val="240"/>
        </w:trPr>
        <w:tc>
          <w:tcPr>
            <w:tcW w:w="1690" w:type="pct"/>
            <w:shd w:val="clear" w:color="auto" w:fill="auto"/>
            <w:noWrap/>
            <w:vAlign w:val="center"/>
          </w:tcPr>
          <w:p w14:paraId="63E9E7FD"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Liberia</w:t>
            </w:r>
          </w:p>
        </w:tc>
        <w:tc>
          <w:tcPr>
            <w:tcW w:w="1094" w:type="pct"/>
            <w:shd w:val="clear" w:color="auto" w:fill="auto"/>
            <w:noWrap/>
            <w:tcMar>
              <w:right w:w="113" w:type="dxa"/>
            </w:tcMar>
            <w:vAlign w:val="center"/>
          </w:tcPr>
          <w:p w14:paraId="1F75BA2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0272B9C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064D610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1B39A9CE" w14:textId="77777777" w:rsidTr="004A0F26">
        <w:trPr>
          <w:trHeight w:val="240"/>
        </w:trPr>
        <w:tc>
          <w:tcPr>
            <w:tcW w:w="1690" w:type="pct"/>
            <w:shd w:val="clear" w:color="auto" w:fill="auto"/>
            <w:noWrap/>
            <w:vAlign w:val="center"/>
          </w:tcPr>
          <w:p w14:paraId="50373087"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Libya</w:t>
            </w:r>
          </w:p>
        </w:tc>
        <w:tc>
          <w:tcPr>
            <w:tcW w:w="1094" w:type="pct"/>
            <w:shd w:val="clear" w:color="auto" w:fill="auto"/>
            <w:noWrap/>
            <w:tcMar>
              <w:right w:w="113" w:type="dxa"/>
            </w:tcMar>
            <w:vAlign w:val="center"/>
          </w:tcPr>
          <w:p w14:paraId="704D92D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0.125</w:t>
            </w:r>
          </w:p>
        </w:tc>
        <w:tc>
          <w:tcPr>
            <w:tcW w:w="1108" w:type="pct"/>
            <w:shd w:val="clear" w:color="auto" w:fill="auto"/>
            <w:noWrap/>
            <w:tcMar>
              <w:right w:w="113" w:type="dxa"/>
            </w:tcMar>
            <w:vAlign w:val="center"/>
          </w:tcPr>
          <w:p w14:paraId="6B064BB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0.162</w:t>
            </w:r>
          </w:p>
        </w:tc>
        <w:tc>
          <w:tcPr>
            <w:tcW w:w="1108" w:type="pct"/>
            <w:shd w:val="clear" w:color="auto" w:fill="auto"/>
            <w:noWrap/>
            <w:tcMar>
              <w:right w:w="113" w:type="dxa"/>
            </w:tcMar>
            <w:vAlign w:val="center"/>
          </w:tcPr>
          <w:p w14:paraId="6B93ABF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0.162</w:t>
            </w:r>
          </w:p>
        </w:tc>
      </w:tr>
      <w:tr w:rsidR="009F490A" w:rsidRPr="00F93BD2" w14:paraId="0A04F71A" w14:textId="77777777" w:rsidTr="004A0F26">
        <w:trPr>
          <w:trHeight w:val="240"/>
        </w:trPr>
        <w:tc>
          <w:tcPr>
            <w:tcW w:w="1690" w:type="pct"/>
            <w:shd w:val="clear" w:color="auto" w:fill="auto"/>
            <w:noWrap/>
            <w:vAlign w:val="center"/>
          </w:tcPr>
          <w:p w14:paraId="0E3413CA"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Liechtenstein</w:t>
            </w:r>
          </w:p>
        </w:tc>
        <w:tc>
          <w:tcPr>
            <w:tcW w:w="1094" w:type="pct"/>
            <w:shd w:val="clear" w:color="auto" w:fill="auto"/>
            <w:noWrap/>
            <w:tcMar>
              <w:right w:w="113" w:type="dxa"/>
            </w:tcMar>
            <w:vAlign w:val="center"/>
          </w:tcPr>
          <w:p w14:paraId="7EE7D89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0.007</w:t>
            </w:r>
          </w:p>
        </w:tc>
        <w:tc>
          <w:tcPr>
            <w:tcW w:w="1108" w:type="pct"/>
            <w:shd w:val="clear" w:color="auto" w:fill="auto"/>
            <w:noWrap/>
            <w:tcMar>
              <w:right w:w="113" w:type="dxa"/>
            </w:tcMar>
            <w:vAlign w:val="center"/>
          </w:tcPr>
          <w:p w14:paraId="1F6CF92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0.009</w:t>
            </w:r>
          </w:p>
        </w:tc>
        <w:tc>
          <w:tcPr>
            <w:tcW w:w="1108" w:type="pct"/>
            <w:shd w:val="clear" w:color="auto" w:fill="auto"/>
            <w:noWrap/>
            <w:tcMar>
              <w:right w:w="113" w:type="dxa"/>
            </w:tcMar>
            <w:vAlign w:val="center"/>
          </w:tcPr>
          <w:p w14:paraId="329E9D4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0.009</w:t>
            </w:r>
          </w:p>
        </w:tc>
      </w:tr>
      <w:tr w:rsidR="009F490A" w:rsidRPr="00F93BD2" w14:paraId="76AAAF7A" w14:textId="77777777" w:rsidTr="004A0F26">
        <w:trPr>
          <w:trHeight w:val="240"/>
        </w:trPr>
        <w:tc>
          <w:tcPr>
            <w:tcW w:w="1690" w:type="pct"/>
            <w:shd w:val="clear" w:color="auto" w:fill="auto"/>
            <w:noWrap/>
            <w:vAlign w:val="center"/>
          </w:tcPr>
          <w:p w14:paraId="7B886467"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Lithuania</w:t>
            </w:r>
          </w:p>
        </w:tc>
        <w:tc>
          <w:tcPr>
            <w:tcW w:w="1094" w:type="pct"/>
            <w:shd w:val="clear" w:color="auto" w:fill="auto"/>
            <w:noWrap/>
            <w:tcMar>
              <w:right w:w="113" w:type="dxa"/>
            </w:tcMar>
            <w:vAlign w:val="center"/>
          </w:tcPr>
          <w:p w14:paraId="3A80B9F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0.072</w:t>
            </w:r>
          </w:p>
        </w:tc>
        <w:tc>
          <w:tcPr>
            <w:tcW w:w="1108" w:type="pct"/>
            <w:shd w:val="clear" w:color="auto" w:fill="auto"/>
            <w:noWrap/>
            <w:tcMar>
              <w:right w:w="113" w:type="dxa"/>
            </w:tcMar>
            <w:vAlign w:val="center"/>
          </w:tcPr>
          <w:p w14:paraId="776AAD4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0.094</w:t>
            </w:r>
          </w:p>
        </w:tc>
        <w:tc>
          <w:tcPr>
            <w:tcW w:w="1108" w:type="pct"/>
            <w:shd w:val="clear" w:color="auto" w:fill="auto"/>
            <w:noWrap/>
            <w:tcMar>
              <w:right w:w="113" w:type="dxa"/>
            </w:tcMar>
            <w:vAlign w:val="center"/>
          </w:tcPr>
          <w:p w14:paraId="5285EB8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0.094</w:t>
            </w:r>
          </w:p>
        </w:tc>
      </w:tr>
      <w:tr w:rsidR="009F490A" w:rsidRPr="00F93BD2" w14:paraId="080FA792" w14:textId="77777777" w:rsidTr="004A0F26">
        <w:trPr>
          <w:trHeight w:val="240"/>
        </w:trPr>
        <w:tc>
          <w:tcPr>
            <w:tcW w:w="1690" w:type="pct"/>
            <w:shd w:val="clear" w:color="auto" w:fill="auto"/>
            <w:noWrap/>
            <w:vAlign w:val="center"/>
          </w:tcPr>
          <w:p w14:paraId="0D1AD60E"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Luxembourg</w:t>
            </w:r>
          </w:p>
        </w:tc>
        <w:tc>
          <w:tcPr>
            <w:tcW w:w="1094" w:type="pct"/>
            <w:shd w:val="clear" w:color="auto" w:fill="auto"/>
            <w:noWrap/>
            <w:tcMar>
              <w:right w:w="113" w:type="dxa"/>
            </w:tcMar>
            <w:vAlign w:val="center"/>
          </w:tcPr>
          <w:p w14:paraId="59929EF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0.064</w:t>
            </w:r>
          </w:p>
        </w:tc>
        <w:tc>
          <w:tcPr>
            <w:tcW w:w="1108" w:type="pct"/>
            <w:shd w:val="clear" w:color="auto" w:fill="auto"/>
            <w:noWrap/>
            <w:tcMar>
              <w:right w:w="113" w:type="dxa"/>
            </w:tcMar>
            <w:vAlign w:val="center"/>
          </w:tcPr>
          <w:p w14:paraId="68E864C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0.083</w:t>
            </w:r>
          </w:p>
        </w:tc>
        <w:tc>
          <w:tcPr>
            <w:tcW w:w="1108" w:type="pct"/>
            <w:shd w:val="clear" w:color="auto" w:fill="auto"/>
            <w:noWrap/>
            <w:tcMar>
              <w:right w:w="113" w:type="dxa"/>
            </w:tcMar>
            <w:vAlign w:val="center"/>
          </w:tcPr>
          <w:p w14:paraId="36702A3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0.083</w:t>
            </w:r>
          </w:p>
        </w:tc>
      </w:tr>
      <w:tr w:rsidR="009F490A" w:rsidRPr="00F93BD2" w14:paraId="66E191FE" w14:textId="77777777" w:rsidTr="004A0F26">
        <w:trPr>
          <w:trHeight w:val="240"/>
        </w:trPr>
        <w:tc>
          <w:tcPr>
            <w:tcW w:w="1690" w:type="pct"/>
            <w:shd w:val="clear" w:color="auto" w:fill="auto"/>
            <w:noWrap/>
            <w:vAlign w:val="center"/>
          </w:tcPr>
          <w:p w14:paraId="5B9C32A0"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Madagascar</w:t>
            </w:r>
          </w:p>
        </w:tc>
        <w:tc>
          <w:tcPr>
            <w:tcW w:w="1094" w:type="pct"/>
            <w:shd w:val="clear" w:color="auto" w:fill="auto"/>
            <w:noWrap/>
            <w:tcMar>
              <w:right w:w="113" w:type="dxa"/>
            </w:tcMar>
            <w:vAlign w:val="center"/>
          </w:tcPr>
          <w:p w14:paraId="124F12D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c>
          <w:tcPr>
            <w:tcW w:w="1108" w:type="pct"/>
            <w:shd w:val="clear" w:color="auto" w:fill="auto"/>
            <w:noWrap/>
            <w:tcMar>
              <w:right w:w="113" w:type="dxa"/>
            </w:tcMar>
            <w:vAlign w:val="center"/>
          </w:tcPr>
          <w:p w14:paraId="7E93BA5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c>
          <w:tcPr>
            <w:tcW w:w="1108" w:type="pct"/>
            <w:shd w:val="clear" w:color="auto" w:fill="auto"/>
            <w:noWrap/>
            <w:tcMar>
              <w:right w:w="113" w:type="dxa"/>
            </w:tcMar>
            <w:vAlign w:val="center"/>
          </w:tcPr>
          <w:p w14:paraId="045FB64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r>
      <w:tr w:rsidR="009F490A" w:rsidRPr="00F93BD2" w14:paraId="4764C040" w14:textId="77777777" w:rsidTr="004A0F26">
        <w:trPr>
          <w:trHeight w:val="240"/>
        </w:trPr>
        <w:tc>
          <w:tcPr>
            <w:tcW w:w="1690" w:type="pct"/>
            <w:shd w:val="clear" w:color="auto" w:fill="auto"/>
            <w:noWrap/>
            <w:vAlign w:val="center"/>
          </w:tcPr>
          <w:p w14:paraId="76AABE4C"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Malawi</w:t>
            </w:r>
          </w:p>
        </w:tc>
        <w:tc>
          <w:tcPr>
            <w:tcW w:w="1094" w:type="pct"/>
            <w:shd w:val="clear" w:color="auto" w:fill="auto"/>
            <w:noWrap/>
            <w:tcMar>
              <w:right w:w="113" w:type="dxa"/>
            </w:tcMar>
            <w:vAlign w:val="center"/>
          </w:tcPr>
          <w:p w14:paraId="0F53619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0.002</w:t>
            </w:r>
          </w:p>
        </w:tc>
        <w:tc>
          <w:tcPr>
            <w:tcW w:w="1108" w:type="pct"/>
            <w:shd w:val="clear" w:color="auto" w:fill="auto"/>
            <w:noWrap/>
            <w:tcMar>
              <w:right w:w="113" w:type="dxa"/>
            </w:tcMar>
            <w:vAlign w:val="center"/>
          </w:tcPr>
          <w:p w14:paraId="0CD2F08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c>
          <w:tcPr>
            <w:tcW w:w="1108" w:type="pct"/>
            <w:shd w:val="clear" w:color="auto" w:fill="auto"/>
            <w:noWrap/>
            <w:tcMar>
              <w:right w:w="113" w:type="dxa"/>
            </w:tcMar>
            <w:vAlign w:val="center"/>
          </w:tcPr>
          <w:p w14:paraId="1362911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r>
      <w:tr w:rsidR="009F490A" w:rsidRPr="00F93BD2" w14:paraId="2D860929" w14:textId="77777777" w:rsidTr="004A0F26">
        <w:trPr>
          <w:trHeight w:val="240"/>
        </w:trPr>
        <w:tc>
          <w:tcPr>
            <w:tcW w:w="1690" w:type="pct"/>
            <w:shd w:val="clear" w:color="auto" w:fill="auto"/>
            <w:noWrap/>
            <w:vAlign w:val="center"/>
          </w:tcPr>
          <w:p w14:paraId="7F30271F"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Malaysia</w:t>
            </w:r>
          </w:p>
        </w:tc>
        <w:tc>
          <w:tcPr>
            <w:tcW w:w="1094" w:type="pct"/>
            <w:shd w:val="clear" w:color="auto" w:fill="auto"/>
            <w:noWrap/>
            <w:tcMar>
              <w:right w:w="113" w:type="dxa"/>
            </w:tcMar>
            <w:vAlign w:val="center"/>
          </w:tcPr>
          <w:p w14:paraId="7559C23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0.322</w:t>
            </w:r>
          </w:p>
        </w:tc>
        <w:tc>
          <w:tcPr>
            <w:tcW w:w="1108" w:type="pct"/>
            <w:shd w:val="clear" w:color="auto" w:fill="auto"/>
            <w:noWrap/>
            <w:tcMar>
              <w:right w:w="113" w:type="dxa"/>
            </w:tcMar>
            <w:vAlign w:val="center"/>
          </w:tcPr>
          <w:p w14:paraId="0F7D0F8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0.418</w:t>
            </w:r>
          </w:p>
        </w:tc>
        <w:tc>
          <w:tcPr>
            <w:tcW w:w="1108" w:type="pct"/>
            <w:shd w:val="clear" w:color="auto" w:fill="auto"/>
            <w:noWrap/>
            <w:tcMar>
              <w:right w:w="113" w:type="dxa"/>
            </w:tcMar>
            <w:vAlign w:val="center"/>
          </w:tcPr>
          <w:p w14:paraId="4BCA5E0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0.418</w:t>
            </w:r>
          </w:p>
        </w:tc>
      </w:tr>
      <w:tr w:rsidR="009F490A" w:rsidRPr="00F93BD2" w14:paraId="16FC26C2" w14:textId="77777777" w:rsidTr="004A0F26">
        <w:trPr>
          <w:trHeight w:val="240"/>
        </w:trPr>
        <w:tc>
          <w:tcPr>
            <w:tcW w:w="1690" w:type="pct"/>
            <w:shd w:val="clear" w:color="auto" w:fill="auto"/>
            <w:noWrap/>
            <w:vAlign w:val="center"/>
          </w:tcPr>
          <w:p w14:paraId="0A1A42D7"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Maldives</w:t>
            </w:r>
          </w:p>
        </w:tc>
        <w:tc>
          <w:tcPr>
            <w:tcW w:w="1094" w:type="pct"/>
            <w:shd w:val="clear" w:color="auto" w:fill="auto"/>
            <w:noWrap/>
            <w:tcMar>
              <w:right w:w="113" w:type="dxa"/>
            </w:tcMar>
            <w:vAlign w:val="center"/>
          </w:tcPr>
          <w:p w14:paraId="2C82D68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0.002</w:t>
            </w:r>
          </w:p>
        </w:tc>
        <w:tc>
          <w:tcPr>
            <w:tcW w:w="1108" w:type="pct"/>
            <w:shd w:val="clear" w:color="auto" w:fill="auto"/>
            <w:noWrap/>
            <w:tcMar>
              <w:right w:w="113" w:type="dxa"/>
            </w:tcMar>
            <w:vAlign w:val="center"/>
          </w:tcPr>
          <w:p w14:paraId="326C90C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c>
          <w:tcPr>
            <w:tcW w:w="1108" w:type="pct"/>
            <w:shd w:val="clear" w:color="auto" w:fill="auto"/>
            <w:noWrap/>
            <w:tcMar>
              <w:right w:w="113" w:type="dxa"/>
            </w:tcMar>
            <w:vAlign w:val="center"/>
          </w:tcPr>
          <w:p w14:paraId="09FBABD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r>
      <w:tr w:rsidR="009F490A" w:rsidRPr="00F93BD2" w14:paraId="18EF71C5" w14:textId="77777777" w:rsidTr="004A0F26">
        <w:trPr>
          <w:trHeight w:val="240"/>
        </w:trPr>
        <w:tc>
          <w:tcPr>
            <w:tcW w:w="1690" w:type="pct"/>
            <w:shd w:val="clear" w:color="auto" w:fill="auto"/>
            <w:noWrap/>
            <w:vAlign w:val="center"/>
          </w:tcPr>
          <w:p w14:paraId="6267972C"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lastRenderedPageBreak/>
              <w:t>Mali</w:t>
            </w:r>
          </w:p>
        </w:tc>
        <w:tc>
          <w:tcPr>
            <w:tcW w:w="1094" w:type="pct"/>
            <w:shd w:val="clear" w:color="auto" w:fill="auto"/>
            <w:noWrap/>
            <w:tcMar>
              <w:right w:w="113" w:type="dxa"/>
            </w:tcMar>
            <w:vAlign w:val="center"/>
          </w:tcPr>
          <w:p w14:paraId="3B1F63C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c>
          <w:tcPr>
            <w:tcW w:w="1108" w:type="pct"/>
            <w:shd w:val="clear" w:color="auto" w:fill="auto"/>
            <w:noWrap/>
            <w:tcMar>
              <w:right w:w="113" w:type="dxa"/>
            </w:tcMar>
            <w:vAlign w:val="center"/>
          </w:tcPr>
          <w:p w14:paraId="3E42A4C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c>
          <w:tcPr>
            <w:tcW w:w="1108" w:type="pct"/>
            <w:shd w:val="clear" w:color="auto" w:fill="auto"/>
            <w:noWrap/>
            <w:tcMar>
              <w:right w:w="113" w:type="dxa"/>
            </w:tcMar>
            <w:vAlign w:val="center"/>
          </w:tcPr>
          <w:p w14:paraId="1DB7381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r>
      <w:tr w:rsidR="009F490A" w:rsidRPr="00F93BD2" w14:paraId="66F1CB42" w14:textId="77777777" w:rsidTr="004A0F26">
        <w:trPr>
          <w:trHeight w:val="240"/>
        </w:trPr>
        <w:tc>
          <w:tcPr>
            <w:tcW w:w="1690" w:type="pct"/>
            <w:shd w:val="clear" w:color="auto" w:fill="auto"/>
            <w:noWrap/>
            <w:vAlign w:val="center"/>
          </w:tcPr>
          <w:p w14:paraId="34EC5AE0"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Malta</w:t>
            </w:r>
          </w:p>
        </w:tc>
        <w:tc>
          <w:tcPr>
            <w:tcW w:w="1094" w:type="pct"/>
            <w:shd w:val="clear" w:color="auto" w:fill="auto"/>
            <w:noWrap/>
            <w:tcMar>
              <w:right w:w="113" w:type="dxa"/>
            </w:tcMar>
            <w:vAlign w:val="center"/>
          </w:tcPr>
          <w:p w14:paraId="6A6701B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0.016</w:t>
            </w:r>
          </w:p>
        </w:tc>
        <w:tc>
          <w:tcPr>
            <w:tcW w:w="1108" w:type="pct"/>
            <w:shd w:val="clear" w:color="auto" w:fill="auto"/>
            <w:noWrap/>
            <w:tcMar>
              <w:right w:w="113" w:type="dxa"/>
            </w:tcMar>
            <w:vAlign w:val="center"/>
          </w:tcPr>
          <w:p w14:paraId="0CB9A81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0.021</w:t>
            </w:r>
          </w:p>
        </w:tc>
        <w:tc>
          <w:tcPr>
            <w:tcW w:w="1108" w:type="pct"/>
            <w:shd w:val="clear" w:color="auto" w:fill="auto"/>
            <w:noWrap/>
            <w:tcMar>
              <w:right w:w="113" w:type="dxa"/>
            </w:tcMar>
            <w:vAlign w:val="center"/>
          </w:tcPr>
          <w:p w14:paraId="49734A2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0.021</w:t>
            </w:r>
          </w:p>
        </w:tc>
      </w:tr>
      <w:tr w:rsidR="009F490A" w:rsidRPr="00F93BD2" w14:paraId="3D7C1C36" w14:textId="77777777" w:rsidTr="004A0F26">
        <w:trPr>
          <w:trHeight w:val="240"/>
        </w:trPr>
        <w:tc>
          <w:tcPr>
            <w:tcW w:w="1690" w:type="pct"/>
            <w:shd w:val="clear" w:color="auto" w:fill="auto"/>
            <w:noWrap/>
            <w:vAlign w:val="center"/>
          </w:tcPr>
          <w:p w14:paraId="650F892D"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Marshall Islands</w:t>
            </w:r>
          </w:p>
        </w:tc>
        <w:tc>
          <w:tcPr>
            <w:tcW w:w="1094" w:type="pct"/>
            <w:shd w:val="clear" w:color="auto" w:fill="auto"/>
            <w:noWrap/>
            <w:tcMar>
              <w:right w:w="113" w:type="dxa"/>
            </w:tcMar>
            <w:vAlign w:val="center"/>
          </w:tcPr>
          <w:p w14:paraId="200E7A4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667519E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3570A52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5830292B" w14:textId="77777777" w:rsidTr="004A0F26">
        <w:trPr>
          <w:trHeight w:val="240"/>
        </w:trPr>
        <w:tc>
          <w:tcPr>
            <w:tcW w:w="1690" w:type="pct"/>
            <w:shd w:val="clear" w:color="auto" w:fill="auto"/>
            <w:noWrap/>
            <w:vAlign w:val="center"/>
          </w:tcPr>
          <w:p w14:paraId="5D531E0E"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Mauritania</w:t>
            </w:r>
          </w:p>
        </w:tc>
        <w:tc>
          <w:tcPr>
            <w:tcW w:w="1094" w:type="pct"/>
            <w:shd w:val="clear" w:color="auto" w:fill="auto"/>
            <w:noWrap/>
            <w:tcMar>
              <w:right w:w="113" w:type="dxa"/>
            </w:tcMar>
            <w:vAlign w:val="center"/>
          </w:tcPr>
          <w:p w14:paraId="58B4E22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0.002</w:t>
            </w:r>
          </w:p>
        </w:tc>
        <w:tc>
          <w:tcPr>
            <w:tcW w:w="1108" w:type="pct"/>
            <w:shd w:val="clear" w:color="auto" w:fill="auto"/>
            <w:noWrap/>
            <w:tcMar>
              <w:right w:w="113" w:type="dxa"/>
            </w:tcMar>
            <w:vAlign w:val="center"/>
          </w:tcPr>
          <w:p w14:paraId="2E545DD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c>
          <w:tcPr>
            <w:tcW w:w="1108" w:type="pct"/>
            <w:shd w:val="clear" w:color="auto" w:fill="auto"/>
            <w:noWrap/>
            <w:tcMar>
              <w:right w:w="113" w:type="dxa"/>
            </w:tcMar>
            <w:vAlign w:val="center"/>
          </w:tcPr>
          <w:p w14:paraId="75A1B88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r>
      <w:tr w:rsidR="009F490A" w:rsidRPr="00F93BD2" w14:paraId="277769FB" w14:textId="77777777" w:rsidTr="004A0F26">
        <w:trPr>
          <w:trHeight w:val="240"/>
        </w:trPr>
        <w:tc>
          <w:tcPr>
            <w:tcW w:w="1690" w:type="pct"/>
            <w:shd w:val="clear" w:color="auto" w:fill="auto"/>
            <w:noWrap/>
            <w:vAlign w:val="center"/>
          </w:tcPr>
          <w:p w14:paraId="4AA83DA6"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Mauritius</w:t>
            </w:r>
          </w:p>
        </w:tc>
        <w:tc>
          <w:tcPr>
            <w:tcW w:w="1094" w:type="pct"/>
            <w:shd w:val="clear" w:color="auto" w:fill="auto"/>
            <w:noWrap/>
            <w:tcMar>
              <w:right w:w="113" w:type="dxa"/>
            </w:tcMar>
            <w:vAlign w:val="center"/>
          </w:tcPr>
          <w:p w14:paraId="3351D9C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0.012</w:t>
            </w:r>
          </w:p>
        </w:tc>
        <w:tc>
          <w:tcPr>
            <w:tcW w:w="1108" w:type="pct"/>
            <w:shd w:val="clear" w:color="auto" w:fill="auto"/>
            <w:noWrap/>
            <w:tcMar>
              <w:right w:w="113" w:type="dxa"/>
            </w:tcMar>
            <w:vAlign w:val="center"/>
          </w:tcPr>
          <w:p w14:paraId="661C844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0.016</w:t>
            </w:r>
          </w:p>
        </w:tc>
        <w:tc>
          <w:tcPr>
            <w:tcW w:w="1108" w:type="pct"/>
            <w:shd w:val="clear" w:color="auto" w:fill="auto"/>
            <w:noWrap/>
            <w:tcMar>
              <w:right w:w="113" w:type="dxa"/>
            </w:tcMar>
            <w:vAlign w:val="center"/>
          </w:tcPr>
          <w:p w14:paraId="6F0B819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0.016</w:t>
            </w:r>
          </w:p>
        </w:tc>
      </w:tr>
      <w:tr w:rsidR="009F490A" w:rsidRPr="00F93BD2" w14:paraId="60565934" w14:textId="77777777" w:rsidTr="004A0F26">
        <w:trPr>
          <w:trHeight w:val="240"/>
        </w:trPr>
        <w:tc>
          <w:tcPr>
            <w:tcW w:w="1690" w:type="pct"/>
            <w:shd w:val="clear" w:color="auto" w:fill="auto"/>
            <w:noWrap/>
            <w:vAlign w:val="center"/>
          </w:tcPr>
          <w:p w14:paraId="2B2979DB"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Mexico</w:t>
            </w:r>
          </w:p>
        </w:tc>
        <w:tc>
          <w:tcPr>
            <w:tcW w:w="1094" w:type="pct"/>
            <w:shd w:val="clear" w:color="auto" w:fill="auto"/>
            <w:noWrap/>
            <w:tcMar>
              <w:right w:w="113" w:type="dxa"/>
            </w:tcMar>
            <w:vAlign w:val="center"/>
          </w:tcPr>
          <w:p w14:paraId="71349ED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1.435</w:t>
            </w:r>
          </w:p>
        </w:tc>
        <w:tc>
          <w:tcPr>
            <w:tcW w:w="1108" w:type="pct"/>
            <w:shd w:val="clear" w:color="auto" w:fill="auto"/>
            <w:noWrap/>
            <w:tcMar>
              <w:right w:w="113" w:type="dxa"/>
            </w:tcMar>
            <w:vAlign w:val="center"/>
          </w:tcPr>
          <w:p w14:paraId="0ABDDD7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1.864</w:t>
            </w:r>
          </w:p>
        </w:tc>
        <w:tc>
          <w:tcPr>
            <w:tcW w:w="1108" w:type="pct"/>
            <w:shd w:val="clear" w:color="auto" w:fill="auto"/>
            <w:noWrap/>
            <w:tcMar>
              <w:right w:w="113" w:type="dxa"/>
            </w:tcMar>
            <w:vAlign w:val="center"/>
          </w:tcPr>
          <w:p w14:paraId="30E51B5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1.864</w:t>
            </w:r>
          </w:p>
        </w:tc>
      </w:tr>
      <w:tr w:rsidR="009F490A" w:rsidRPr="00F93BD2" w14:paraId="7CF26EC0" w14:textId="77777777" w:rsidTr="004A0F26">
        <w:trPr>
          <w:trHeight w:val="240"/>
        </w:trPr>
        <w:tc>
          <w:tcPr>
            <w:tcW w:w="1690" w:type="pct"/>
            <w:shd w:val="clear" w:color="auto" w:fill="auto"/>
            <w:noWrap/>
            <w:vAlign w:val="center"/>
          </w:tcPr>
          <w:p w14:paraId="6BA90B1C"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Micronesia (Federated States of)</w:t>
            </w:r>
          </w:p>
        </w:tc>
        <w:tc>
          <w:tcPr>
            <w:tcW w:w="1094" w:type="pct"/>
            <w:shd w:val="clear" w:color="auto" w:fill="auto"/>
            <w:noWrap/>
            <w:tcMar>
              <w:right w:w="113" w:type="dxa"/>
            </w:tcMar>
            <w:vAlign w:val="center"/>
          </w:tcPr>
          <w:p w14:paraId="4F1C2E9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0734A67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09E3A30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41C75F04" w14:textId="77777777" w:rsidTr="004A0F26">
        <w:trPr>
          <w:trHeight w:val="240"/>
        </w:trPr>
        <w:tc>
          <w:tcPr>
            <w:tcW w:w="1690" w:type="pct"/>
            <w:shd w:val="clear" w:color="auto" w:fill="auto"/>
            <w:noWrap/>
            <w:vAlign w:val="center"/>
          </w:tcPr>
          <w:p w14:paraId="7B8FBDD2"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Monaco</w:t>
            </w:r>
          </w:p>
        </w:tc>
        <w:tc>
          <w:tcPr>
            <w:tcW w:w="1094" w:type="pct"/>
            <w:shd w:val="clear" w:color="auto" w:fill="auto"/>
            <w:noWrap/>
            <w:tcMar>
              <w:right w:w="113" w:type="dxa"/>
            </w:tcMar>
            <w:vAlign w:val="center"/>
          </w:tcPr>
          <w:p w14:paraId="54722E1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0.010</w:t>
            </w:r>
          </w:p>
        </w:tc>
        <w:tc>
          <w:tcPr>
            <w:tcW w:w="1108" w:type="pct"/>
            <w:shd w:val="clear" w:color="auto" w:fill="auto"/>
            <w:noWrap/>
            <w:tcMar>
              <w:right w:w="113" w:type="dxa"/>
            </w:tcMar>
            <w:vAlign w:val="center"/>
          </w:tcPr>
          <w:p w14:paraId="3B5E9AC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0.013</w:t>
            </w:r>
          </w:p>
        </w:tc>
        <w:tc>
          <w:tcPr>
            <w:tcW w:w="1108" w:type="pct"/>
            <w:shd w:val="clear" w:color="auto" w:fill="auto"/>
            <w:noWrap/>
            <w:tcMar>
              <w:right w:w="113" w:type="dxa"/>
            </w:tcMar>
            <w:vAlign w:val="center"/>
          </w:tcPr>
          <w:p w14:paraId="37653C4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0.013</w:t>
            </w:r>
          </w:p>
        </w:tc>
      </w:tr>
      <w:tr w:rsidR="009F490A" w:rsidRPr="00F93BD2" w14:paraId="04E89FA2" w14:textId="77777777" w:rsidTr="004A0F26">
        <w:trPr>
          <w:trHeight w:val="240"/>
        </w:trPr>
        <w:tc>
          <w:tcPr>
            <w:tcW w:w="1690" w:type="pct"/>
            <w:shd w:val="clear" w:color="auto" w:fill="auto"/>
            <w:noWrap/>
            <w:vAlign w:val="center"/>
          </w:tcPr>
          <w:p w14:paraId="1894FEC3"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Mongolia</w:t>
            </w:r>
          </w:p>
        </w:tc>
        <w:tc>
          <w:tcPr>
            <w:tcW w:w="1094" w:type="pct"/>
            <w:shd w:val="clear" w:color="auto" w:fill="auto"/>
            <w:noWrap/>
            <w:tcMar>
              <w:right w:w="113" w:type="dxa"/>
            </w:tcMar>
            <w:vAlign w:val="center"/>
          </w:tcPr>
          <w:p w14:paraId="26FE3E4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0.005</w:t>
            </w:r>
          </w:p>
        </w:tc>
        <w:tc>
          <w:tcPr>
            <w:tcW w:w="1108" w:type="pct"/>
            <w:shd w:val="clear" w:color="auto" w:fill="auto"/>
            <w:noWrap/>
            <w:tcMar>
              <w:right w:w="113" w:type="dxa"/>
            </w:tcMar>
            <w:vAlign w:val="center"/>
          </w:tcPr>
          <w:p w14:paraId="02A90A6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0.006</w:t>
            </w:r>
          </w:p>
        </w:tc>
        <w:tc>
          <w:tcPr>
            <w:tcW w:w="1108" w:type="pct"/>
            <w:shd w:val="clear" w:color="auto" w:fill="auto"/>
            <w:noWrap/>
            <w:tcMar>
              <w:right w:w="113" w:type="dxa"/>
            </w:tcMar>
            <w:vAlign w:val="center"/>
          </w:tcPr>
          <w:p w14:paraId="2A0109F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0.006</w:t>
            </w:r>
          </w:p>
        </w:tc>
      </w:tr>
      <w:tr w:rsidR="009F490A" w:rsidRPr="00F93BD2" w14:paraId="56BE1131" w14:textId="77777777" w:rsidTr="004A0F26">
        <w:trPr>
          <w:trHeight w:val="240"/>
        </w:trPr>
        <w:tc>
          <w:tcPr>
            <w:tcW w:w="1690" w:type="pct"/>
            <w:shd w:val="clear" w:color="auto" w:fill="auto"/>
            <w:noWrap/>
            <w:vAlign w:val="center"/>
          </w:tcPr>
          <w:p w14:paraId="6B40ABDE"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Montenegro</w:t>
            </w:r>
          </w:p>
        </w:tc>
        <w:tc>
          <w:tcPr>
            <w:tcW w:w="1094" w:type="pct"/>
            <w:shd w:val="clear" w:color="auto" w:fill="auto"/>
            <w:noWrap/>
            <w:tcMar>
              <w:right w:w="113" w:type="dxa"/>
            </w:tcMar>
            <w:vAlign w:val="center"/>
          </w:tcPr>
          <w:p w14:paraId="2B0E4F5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c>
          <w:tcPr>
            <w:tcW w:w="1108" w:type="pct"/>
            <w:shd w:val="clear" w:color="auto" w:fill="auto"/>
            <w:noWrap/>
            <w:tcMar>
              <w:right w:w="113" w:type="dxa"/>
            </w:tcMar>
            <w:vAlign w:val="center"/>
          </w:tcPr>
          <w:p w14:paraId="5F05D76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0.005</w:t>
            </w:r>
          </w:p>
        </w:tc>
        <w:tc>
          <w:tcPr>
            <w:tcW w:w="1108" w:type="pct"/>
            <w:shd w:val="clear" w:color="auto" w:fill="auto"/>
            <w:noWrap/>
            <w:tcMar>
              <w:right w:w="113" w:type="dxa"/>
            </w:tcMar>
            <w:vAlign w:val="center"/>
          </w:tcPr>
          <w:p w14:paraId="7E246ED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0.005</w:t>
            </w:r>
          </w:p>
        </w:tc>
      </w:tr>
      <w:tr w:rsidR="009F490A" w:rsidRPr="00F93BD2" w14:paraId="01641038" w14:textId="77777777" w:rsidTr="004A0F26">
        <w:trPr>
          <w:trHeight w:val="240"/>
        </w:trPr>
        <w:tc>
          <w:tcPr>
            <w:tcW w:w="1690" w:type="pct"/>
            <w:shd w:val="clear" w:color="auto" w:fill="auto"/>
            <w:noWrap/>
            <w:vAlign w:val="center"/>
          </w:tcPr>
          <w:p w14:paraId="54A656D9"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Morocco</w:t>
            </w:r>
          </w:p>
        </w:tc>
        <w:tc>
          <w:tcPr>
            <w:tcW w:w="1094" w:type="pct"/>
            <w:shd w:val="clear" w:color="auto" w:fill="auto"/>
            <w:noWrap/>
            <w:tcMar>
              <w:right w:w="113" w:type="dxa"/>
            </w:tcMar>
            <w:vAlign w:val="center"/>
          </w:tcPr>
          <w:p w14:paraId="0C5E98B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0.054</w:t>
            </w:r>
          </w:p>
        </w:tc>
        <w:tc>
          <w:tcPr>
            <w:tcW w:w="1108" w:type="pct"/>
            <w:shd w:val="clear" w:color="auto" w:fill="auto"/>
            <w:noWrap/>
            <w:tcMar>
              <w:right w:w="113" w:type="dxa"/>
            </w:tcMar>
            <w:vAlign w:val="center"/>
          </w:tcPr>
          <w:p w14:paraId="2414EB0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0.070</w:t>
            </w:r>
          </w:p>
        </w:tc>
        <w:tc>
          <w:tcPr>
            <w:tcW w:w="1108" w:type="pct"/>
            <w:shd w:val="clear" w:color="auto" w:fill="auto"/>
            <w:noWrap/>
            <w:tcMar>
              <w:right w:w="113" w:type="dxa"/>
            </w:tcMar>
            <w:vAlign w:val="center"/>
          </w:tcPr>
          <w:p w14:paraId="51889FB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0.070</w:t>
            </w:r>
          </w:p>
        </w:tc>
      </w:tr>
      <w:tr w:rsidR="009F490A" w:rsidRPr="00F93BD2" w14:paraId="0EF1D63D" w14:textId="77777777" w:rsidTr="004A0F26">
        <w:trPr>
          <w:trHeight w:val="240"/>
        </w:trPr>
        <w:tc>
          <w:tcPr>
            <w:tcW w:w="1690" w:type="pct"/>
            <w:shd w:val="clear" w:color="auto" w:fill="auto"/>
            <w:noWrap/>
            <w:vAlign w:val="center"/>
          </w:tcPr>
          <w:p w14:paraId="76CED48F"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Mozambique</w:t>
            </w:r>
          </w:p>
        </w:tc>
        <w:tc>
          <w:tcPr>
            <w:tcW w:w="1094" w:type="pct"/>
            <w:shd w:val="clear" w:color="auto" w:fill="auto"/>
            <w:noWrap/>
            <w:tcMar>
              <w:right w:w="113" w:type="dxa"/>
            </w:tcMar>
            <w:vAlign w:val="center"/>
          </w:tcPr>
          <w:p w14:paraId="77BD763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c>
          <w:tcPr>
            <w:tcW w:w="1108" w:type="pct"/>
            <w:shd w:val="clear" w:color="auto" w:fill="auto"/>
            <w:noWrap/>
            <w:tcMar>
              <w:right w:w="113" w:type="dxa"/>
            </w:tcMar>
            <w:vAlign w:val="center"/>
          </w:tcPr>
          <w:p w14:paraId="3A6C587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0.005</w:t>
            </w:r>
          </w:p>
        </w:tc>
        <w:tc>
          <w:tcPr>
            <w:tcW w:w="1108" w:type="pct"/>
            <w:shd w:val="clear" w:color="auto" w:fill="auto"/>
            <w:noWrap/>
            <w:tcMar>
              <w:right w:w="113" w:type="dxa"/>
            </w:tcMar>
            <w:vAlign w:val="center"/>
          </w:tcPr>
          <w:p w14:paraId="698ADA9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0.005</w:t>
            </w:r>
          </w:p>
        </w:tc>
      </w:tr>
      <w:tr w:rsidR="009F490A" w:rsidRPr="00F93BD2" w14:paraId="0E3A636C" w14:textId="77777777" w:rsidTr="004A0F26">
        <w:trPr>
          <w:trHeight w:val="240"/>
        </w:trPr>
        <w:tc>
          <w:tcPr>
            <w:tcW w:w="1690" w:type="pct"/>
            <w:shd w:val="clear" w:color="auto" w:fill="auto"/>
            <w:noWrap/>
            <w:vAlign w:val="center"/>
          </w:tcPr>
          <w:p w14:paraId="6EB498C8"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Myanmar</w:t>
            </w:r>
          </w:p>
        </w:tc>
        <w:tc>
          <w:tcPr>
            <w:tcW w:w="1094" w:type="pct"/>
            <w:shd w:val="clear" w:color="auto" w:fill="auto"/>
            <w:noWrap/>
            <w:tcMar>
              <w:right w:w="113" w:type="dxa"/>
            </w:tcMar>
            <w:vAlign w:val="center"/>
          </w:tcPr>
          <w:p w14:paraId="21561A7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0.010</w:t>
            </w:r>
          </w:p>
        </w:tc>
        <w:tc>
          <w:tcPr>
            <w:tcW w:w="1108" w:type="pct"/>
            <w:shd w:val="clear" w:color="auto" w:fill="auto"/>
            <w:noWrap/>
            <w:tcMar>
              <w:right w:w="113" w:type="dxa"/>
            </w:tcMar>
            <w:vAlign w:val="center"/>
          </w:tcPr>
          <w:p w14:paraId="7F41C04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0.013</w:t>
            </w:r>
          </w:p>
        </w:tc>
        <w:tc>
          <w:tcPr>
            <w:tcW w:w="1108" w:type="pct"/>
            <w:shd w:val="clear" w:color="auto" w:fill="auto"/>
            <w:noWrap/>
            <w:tcMar>
              <w:right w:w="113" w:type="dxa"/>
            </w:tcMar>
            <w:vAlign w:val="center"/>
          </w:tcPr>
          <w:p w14:paraId="1879A84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0.013</w:t>
            </w:r>
          </w:p>
        </w:tc>
      </w:tr>
      <w:tr w:rsidR="009F490A" w:rsidRPr="00F93BD2" w14:paraId="4987A8F0" w14:textId="77777777" w:rsidTr="004A0F26">
        <w:trPr>
          <w:trHeight w:val="240"/>
        </w:trPr>
        <w:tc>
          <w:tcPr>
            <w:tcW w:w="1690" w:type="pct"/>
            <w:shd w:val="clear" w:color="auto" w:fill="auto"/>
            <w:noWrap/>
            <w:vAlign w:val="center"/>
          </w:tcPr>
          <w:p w14:paraId="7104EAB7"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Namibia</w:t>
            </w:r>
          </w:p>
        </w:tc>
        <w:tc>
          <w:tcPr>
            <w:tcW w:w="1094" w:type="pct"/>
            <w:shd w:val="clear" w:color="auto" w:fill="auto"/>
            <w:noWrap/>
            <w:tcMar>
              <w:right w:w="113" w:type="dxa"/>
            </w:tcMar>
            <w:vAlign w:val="center"/>
          </w:tcPr>
          <w:p w14:paraId="64AD6F6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0.010</w:t>
            </w:r>
          </w:p>
        </w:tc>
        <w:tc>
          <w:tcPr>
            <w:tcW w:w="1108" w:type="pct"/>
            <w:shd w:val="clear" w:color="auto" w:fill="auto"/>
            <w:noWrap/>
            <w:tcMar>
              <w:right w:w="113" w:type="dxa"/>
            </w:tcMar>
            <w:vAlign w:val="center"/>
          </w:tcPr>
          <w:p w14:paraId="6C98C00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0.013</w:t>
            </w:r>
          </w:p>
        </w:tc>
        <w:tc>
          <w:tcPr>
            <w:tcW w:w="1108" w:type="pct"/>
            <w:shd w:val="clear" w:color="auto" w:fill="auto"/>
            <w:noWrap/>
            <w:tcMar>
              <w:right w:w="113" w:type="dxa"/>
            </w:tcMar>
            <w:vAlign w:val="center"/>
          </w:tcPr>
          <w:p w14:paraId="3B0BAA0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0.013</w:t>
            </w:r>
          </w:p>
        </w:tc>
      </w:tr>
      <w:tr w:rsidR="009F490A" w:rsidRPr="00F93BD2" w14:paraId="6D51F938" w14:textId="77777777" w:rsidTr="004A0F26">
        <w:trPr>
          <w:trHeight w:val="240"/>
        </w:trPr>
        <w:tc>
          <w:tcPr>
            <w:tcW w:w="1690" w:type="pct"/>
            <w:shd w:val="clear" w:color="auto" w:fill="auto"/>
            <w:noWrap/>
            <w:vAlign w:val="center"/>
          </w:tcPr>
          <w:p w14:paraId="7468CE75"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Nauru</w:t>
            </w:r>
          </w:p>
        </w:tc>
        <w:tc>
          <w:tcPr>
            <w:tcW w:w="1094" w:type="pct"/>
            <w:shd w:val="clear" w:color="auto" w:fill="auto"/>
            <w:noWrap/>
            <w:tcMar>
              <w:right w:w="113" w:type="dxa"/>
            </w:tcMar>
            <w:vAlign w:val="center"/>
          </w:tcPr>
          <w:p w14:paraId="73C56572" w14:textId="77777777" w:rsidR="009F490A" w:rsidRPr="00F93BD2" w:rsidRDefault="009F490A" w:rsidP="004A0F26">
            <w:pPr>
              <w:suppressAutoHyphens w:val="0"/>
              <w:spacing w:line="240" w:lineRule="auto"/>
              <w:jc w:val="right"/>
              <w:rPr>
                <w:rFonts w:eastAsia="MS Mincho"/>
                <w:color w:val="000000"/>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76D1CBD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6986A41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2A7AEFF0" w14:textId="77777777" w:rsidTr="004A0F26">
        <w:trPr>
          <w:trHeight w:val="240"/>
        </w:trPr>
        <w:tc>
          <w:tcPr>
            <w:tcW w:w="1690" w:type="pct"/>
            <w:shd w:val="clear" w:color="auto" w:fill="auto"/>
            <w:noWrap/>
            <w:vAlign w:val="center"/>
          </w:tcPr>
          <w:p w14:paraId="7CD2C4A3"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Nepal</w:t>
            </w:r>
          </w:p>
        </w:tc>
        <w:tc>
          <w:tcPr>
            <w:tcW w:w="1094" w:type="pct"/>
            <w:shd w:val="clear" w:color="auto" w:fill="auto"/>
            <w:noWrap/>
            <w:tcMar>
              <w:right w:w="113" w:type="dxa"/>
            </w:tcMar>
            <w:vAlign w:val="center"/>
          </w:tcPr>
          <w:p w14:paraId="3CCEA59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0.006</w:t>
            </w:r>
          </w:p>
        </w:tc>
        <w:tc>
          <w:tcPr>
            <w:tcW w:w="1108" w:type="pct"/>
            <w:shd w:val="clear" w:color="auto" w:fill="auto"/>
            <w:noWrap/>
            <w:tcMar>
              <w:right w:w="113" w:type="dxa"/>
            </w:tcMar>
            <w:vAlign w:val="center"/>
          </w:tcPr>
          <w:p w14:paraId="5EB4506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0.008</w:t>
            </w:r>
          </w:p>
        </w:tc>
        <w:tc>
          <w:tcPr>
            <w:tcW w:w="1108" w:type="pct"/>
            <w:shd w:val="clear" w:color="auto" w:fill="auto"/>
            <w:noWrap/>
            <w:tcMar>
              <w:right w:w="113" w:type="dxa"/>
            </w:tcMar>
            <w:vAlign w:val="center"/>
          </w:tcPr>
          <w:p w14:paraId="467C52A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0.008</w:t>
            </w:r>
          </w:p>
        </w:tc>
      </w:tr>
      <w:tr w:rsidR="009F490A" w:rsidRPr="00F93BD2" w14:paraId="36C58252" w14:textId="77777777" w:rsidTr="004A0F26">
        <w:trPr>
          <w:trHeight w:val="240"/>
        </w:trPr>
        <w:tc>
          <w:tcPr>
            <w:tcW w:w="1690" w:type="pct"/>
            <w:shd w:val="clear" w:color="auto" w:fill="auto"/>
            <w:noWrap/>
            <w:vAlign w:val="center"/>
          </w:tcPr>
          <w:p w14:paraId="495390EB"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Netherlands</w:t>
            </w:r>
          </w:p>
        </w:tc>
        <w:tc>
          <w:tcPr>
            <w:tcW w:w="1094" w:type="pct"/>
            <w:shd w:val="clear" w:color="auto" w:fill="auto"/>
            <w:noWrap/>
            <w:tcMar>
              <w:right w:w="113" w:type="dxa"/>
            </w:tcMar>
            <w:vAlign w:val="center"/>
          </w:tcPr>
          <w:p w14:paraId="25EB733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1.482</w:t>
            </w:r>
          </w:p>
        </w:tc>
        <w:tc>
          <w:tcPr>
            <w:tcW w:w="1108" w:type="pct"/>
            <w:shd w:val="clear" w:color="auto" w:fill="auto"/>
            <w:noWrap/>
            <w:tcMar>
              <w:right w:w="113" w:type="dxa"/>
            </w:tcMar>
            <w:vAlign w:val="center"/>
          </w:tcPr>
          <w:p w14:paraId="54AF074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1.925</w:t>
            </w:r>
          </w:p>
        </w:tc>
        <w:tc>
          <w:tcPr>
            <w:tcW w:w="1108" w:type="pct"/>
            <w:shd w:val="clear" w:color="auto" w:fill="auto"/>
            <w:noWrap/>
            <w:tcMar>
              <w:right w:w="113" w:type="dxa"/>
            </w:tcMar>
            <w:vAlign w:val="center"/>
          </w:tcPr>
          <w:p w14:paraId="59B6040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1.925</w:t>
            </w:r>
          </w:p>
        </w:tc>
      </w:tr>
      <w:tr w:rsidR="009F490A" w:rsidRPr="00F93BD2" w14:paraId="0DF8C6BD" w14:textId="77777777" w:rsidTr="004A0F26">
        <w:trPr>
          <w:trHeight w:val="240"/>
        </w:trPr>
        <w:tc>
          <w:tcPr>
            <w:tcW w:w="1690" w:type="pct"/>
            <w:shd w:val="clear" w:color="auto" w:fill="auto"/>
            <w:noWrap/>
            <w:vAlign w:val="center"/>
          </w:tcPr>
          <w:p w14:paraId="52254E58"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New Zealand</w:t>
            </w:r>
          </w:p>
        </w:tc>
        <w:tc>
          <w:tcPr>
            <w:tcW w:w="1094" w:type="pct"/>
            <w:shd w:val="clear" w:color="auto" w:fill="auto"/>
            <w:noWrap/>
            <w:tcMar>
              <w:right w:w="113" w:type="dxa"/>
            </w:tcMar>
            <w:vAlign w:val="center"/>
          </w:tcPr>
          <w:p w14:paraId="7C3B558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0.268</w:t>
            </w:r>
          </w:p>
        </w:tc>
        <w:tc>
          <w:tcPr>
            <w:tcW w:w="1108" w:type="pct"/>
            <w:shd w:val="clear" w:color="auto" w:fill="auto"/>
            <w:noWrap/>
            <w:tcMar>
              <w:right w:w="113" w:type="dxa"/>
            </w:tcMar>
            <w:vAlign w:val="center"/>
          </w:tcPr>
          <w:p w14:paraId="0B4D8B9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0.348</w:t>
            </w:r>
          </w:p>
        </w:tc>
        <w:tc>
          <w:tcPr>
            <w:tcW w:w="1108" w:type="pct"/>
            <w:shd w:val="clear" w:color="auto" w:fill="auto"/>
            <w:noWrap/>
            <w:tcMar>
              <w:right w:w="113" w:type="dxa"/>
            </w:tcMar>
            <w:vAlign w:val="center"/>
          </w:tcPr>
          <w:p w14:paraId="38F0EE7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0.348</w:t>
            </w:r>
          </w:p>
        </w:tc>
      </w:tr>
      <w:tr w:rsidR="009F490A" w:rsidRPr="00F93BD2" w14:paraId="79905367" w14:textId="77777777" w:rsidTr="004A0F26">
        <w:trPr>
          <w:trHeight w:val="240"/>
        </w:trPr>
        <w:tc>
          <w:tcPr>
            <w:tcW w:w="1690" w:type="pct"/>
            <w:shd w:val="clear" w:color="auto" w:fill="auto"/>
            <w:noWrap/>
            <w:vAlign w:val="center"/>
          </w:tcPr>
          <w:p w14:paraId="1BECF809"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Nicaragua</w:t>
            </w:r>
          </w:p>
        </w:tc>
        <w:tc>
          <w:tcPr>
            <w:tcW w:w="1094" w:type="pct"/>
            <w:shd w:val="clear" w:color="auto" w:fill="auto"/>
            <w:noWrap/>
            <w:tcMar>
              <w:right w:w="113" w:type="dxa"/>
            </w:tcMar>
            <w:vAlign w:val="center"/>
          </w:tcPr>
          <w:p w14:paraId="6CF42DA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c>
          <w:tcPr>
            <w:tcW w:w="1108" w:type="pct"/>
            <w:shd w:val="clear" w:color="auto" w:fill="auto"/>
            <w:noWrap/>
            <w:tcMar>
              <w:right w:w="113" w:type="dxa"/>
            </w:tcMar>
            <w:vAlign w:val="center"/>
          </w:tcPr>
          <w:p w14:paraId="6E8895A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0.005</w:t>
            </w:r>
          </w:p>
        </w:tc>
        <w:tc>
          <w:tcPr>
            <w:tcW w:w="1108" w:type="pct"/>
            <w:shd w:val="clear" w:color="auto" w:fill="auto"/>
            <w:noWrap/>
            <w:tcMar>
              <w:right w:w="113" w:type="dxa"/>
            </w:tcMar>
            <w:vAlign w:val="center"/>
          </w:tcPr>
          <w:p w14:paraId="08E2A2E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0.005</w:t>
            </w:r>
          </w:p>
        </w:tc>
      </w:tr>
      <w:tr w:rsidR="009F490A" w:rsidRPr="00F93BD2" w14:paraId="70A7DD8C" w14:textId="77777777" w:rsidTr="004A0F26">
        <w:trPr>
          <w:trHeight w:val="240"/>
        </w:trPr>
        <w:tc>
          <w:tcPr>
            <w:tcW w:w="1690" w:type="pct"/>
            <w:shd w:val="clear" w:color="auto" w:fill="auto"/>
            <w:noWrap/>
            <w:vAlign w:val="center"/>
          </w:tcPr>
          <w:p w14:paraId="30DC8E4E"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Niger</w:t>
            </w:r>
          </w:p>
        </w:tc>
        <w:tc>
          <w:tcPr>
            <w:tcW w:w="1094" w:type="pct"/>
            <w:shd w:val="clear" w:color="auto" w:fill="auto"/>
            <w:noWrap/>
            <w:tcMar>
              <w:right w:w="113" w:type="dxa"/>
            </w:tcMar>
            <w:vAlign w:val="center"/>
          </w:tcPr>
          <w:p w14:paraId="184C11C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0.002</w:t>
            </w:r>
          </w:p>
        </w:tc>
        <w:tc>
          <w:tcPr>
            <w:tcW w:w="1108" w:type="pct"/>
            <w:shd w:val="clear" w:color="auto" w:fill="auto"/>
            <w:noWrap/>
            <w:tcMar>
              <w:right w:w="113" w:type="dxa"/>
            </w:tcMar>
            <w:vAlign w:val="center"/>
          </w:tcPr>
          <w:p w14:paraId="395348D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c>
          <w:tcPr>
            <w:tcW w:w="1108" w:type="pct"/>
            <w:shd w:val="clear" w:color="auto" w:fill="auto"/>
            <w:noWrap/>
            <w:tcMar>
              <w:right w:w="113" w:type="dxa"/>
            </w:tcMar>
            <w:vAlign w:val="center"/>
          </w:tcPr>
          <w:p w14:paraId="4B1E9E3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r>
      <w:tr w:rsidR="009F490A" w:rsidRPr="00F93BD2" w14:paraId="3F9C59A3" w14:textId="77777777" w:rsidTr="004A0F26">
        <w:trPr>
          <w:trHeight w:val="240"/>
        </w:trPr>
        <w:tc>
          <w:tcPr>
            <w:tcW w:w="1690" w:type="pct"/>
            <w:shd w:val="clear" w:color="auto" w:fill="auto"/>
            <w:noWrap/>
            <w:vAlign w:val="center"/>
          </w:tcPr>
          <w:p w14:paraId="72EB2796"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Nigeria</w:t>
            </w:r>
          </w:p>
        </w:tc>
        <w:tc>
          <w:tcPr>
            <w:tcW w:w="1094" w:type="pct"/>
            <w:shd w:val="clear" w:color="auto" w:fill="auto"/>
            <w:noWrap/>
            <w:tcMar>
              <w:right w:w="113" w:type="dxa"/>
            </w:tcMar>
            <w:vAlign w:val="center"/>
          </w:tcPr>
          <w:p w14:paraId="425A9CB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0.209</w:t>
            </w:r>
          </w:p>
        </w:tc>
        <w:tc>
          <w:tcPr>
            <w:tcW w:w="1108" w:type="pct"/>
            <w:shd w:val="clear" w:color="auto" w:fill="auto"/>
            <w:noWrap/>
            <w:tcMar>
              <w:right w:w="113" w:type="dxa"/>
            </w:tcMar>
            <w:vAlign w:val="center"/>
          </w:tcPr>
          <w:p w14:paraId="293A7EE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0.271</w:t>
            </w:r>
          </w:p>
        </w:tc>
        <w:tc>
          <w:tcPr>
            <w:tcW w:w="1108" w:type="pct"/>
            <w:shd w:val="clear" w:color="auto" w:fill="auto"/>
            <w:noWrap/>
            <w:tcMar>
              <w:right w:w="113" w:type="dxa"/>
            </w:tcMar>
            <w:vAlign w:val="center"/>
          </w:tcPr>
          <w:p w14:paraId="44244C9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0.271</w:t>
            </w:r>
          </w:p>
        </w:tc>
      </w:tr>
      <w:tr w:rsidR="009F490A" w:rsidRPr="00F93BD2" w14:paraId="1B878872" w14:textId="77777777" w:rsidTr="004A0F26">
        <w:trPr>
          <w:trHeight w:val="240"/>
        </w:trPr>
        <w:tc>
          <w:tcPr>
            <w:tcW w:w="1690" w:type="pct"/>
            <w:shd w:val="clear" w:color="auto" w:fill="auto"/>
            <w:noWrap/>
            <w:vAlign w:val="center"/>
          </w:tcPr>
          <w:p w14:paraId="6C278EF0"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Niue</w:t>
            </w:r>
          </w:p>
        </w:tc>
        <w:tc>
          <w:tcPr>
            <w:tcW w:w="1094" w:type="pct"/>
            <w:shd w:val="clear" w:color="auto" w:fill="auto"/>
            <w:noWrap/>
            <w:tcMar>
              <w:right w:w="113" w:type="dxa"/>
            </w:tcMar>
            <w:vAlign w:val="center"/>
          </w:tcPr>
          <w:p w14:paraId="44A38D64" w14:textId="77777777" w:rsidR="009F490A" w:rsidRPr="00F93BD2" w:rsidRDefault="009F490A" w:rsidP="004A0F26">
            <w:pPr>
              <w:suppressAutoHyphens w:val="0"/>
              <w:spacing w:line="240" w:lineRule="auto"/>
              <w:jc w:val="right"/>
              <w:rPr>
                <w:rFonts w:eastAsia="MS Mincho"/>
                <w:color w:val="000000"/>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5174071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6B40444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2DA7949C" w14:textId="77777777" w:rsidTr="004A0F26">
        <w:trPr>
          <w:trHeight w:val="240"/>
        </w:trPr>
        <w:tc>
          <w:tcPr>
            <w:tcW w:w="1690" w:type="pct"/>
            <w:shd w:val="clear" w:color="auto" w:fill="auto"/>
            <w:noWrap/>
            <w:vAlign w:val="center"/>
          </w:tcPr>
          <w:p w14:paraId="398A499E"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Norway</w:t>
            </w:r>
          </w:p>
        </w:tc>
        <w:tc>
          <w:tcPr>
            <w:tcW w:w="1094" w:type="pct"/>
            <w:shd w:val="clear" w:color="auto" w:fill="auto"/>
            <w:noWrap/>
            <w:tcMar>
              <w:right w:w="113" w:type="dxa"/>
            </w:tcMar>
            <w:vAlign w:val="center"/>
          </w:tcPr>
          <w:p w14:paraId="093701D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0.849</w:t>
            </w:r>
          </w:p>
        </w:tc>
        <w:tc>
          <w:tcPr>
            <w:tcW w:w="1108" w:type="pct"/>
            <w:shd w:val="clear" w:color="auto" w:fill="auto"/>
            <w:noWrap/>
            <w:tcMar>
              <w:right w:w="113" w:type="dxa"/>
            </w:tcMar>
            <w:vAlign w:val="center"/>
          </w:tcPr>
          <w:p w14:paraId="1E4DC3D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1.103</w:t>
            </w:r>
          </w:p>
        </w:tc>
        <w:tc>
          <w:tcPr>
            <w:tcW w:w="1108" w:type="pct"/>
            <w:shd w:val="clear" w:color="auto" w:fill="auto"/>
            <w:noWrap/>
            <w:tcMar>
              <w:right w:w="113" w:type="dxa"/>
            </w:tcMar>
            <w:vAlign w:val="center"/>
          </w:tcPr>
          <w:p w14:paraId="285DB2F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1.103</w:t>
            </w:r>
          </w:p>
        </w:tc>
      </w:tr>
      <w:tr w:rsidR="009F490A" w:rsidRPr="00F93BD2" w14:paraId="15C128F8" w14:textId="77777777" w:rsidTr="004A0F26">
        <w:trPr>
          <w:trHeight w:val="240"/>
        </w:trPr>
        <w:tc>
          <w:tcPr>
            <w:tcW w:w="1690" w:type="pct"/>
            <w:shd w:val="clear" w:color="auto" w:fill="auto"/>
            <w:noWrap/>
            <w:vAlign w:val="center"/>
          </w:tcPr>
          <w:p w14:paraId="10FCE736"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Oman</w:t>
            </w:r>
          </w:p>
        </w:tc>
        <w:tc>
          <w:tcPr>
            <w:tcW w:w="1094" w:type="pct"/>
            <w:shd w:val="clear" w:color="auto" w:fill="auto"/>
            <w:noWrap/>
            <w:tcMar>
              <w:right w:w="113" w:type="dxa"/>
            </w:tcMar>
            <w:vAlign w:val="center"/>
          </w:tcPr>
          <w:p w14:paraId="513EC17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0.113</w:t>
            </w:r>
          </w:p>
        </w:tc>
        <w:tc>
          <w:tcPr>
            <w:tcW w:w="1108" w:type="pct"/>
            <w:shd w:val="clear" w:color="auto" w:fill="auto"/>
            <w:noWrap/>
            <w:tcMar>
              <w:right w:w="113" w:type="dxa"/>
            </w:tcMar>
            <w:vAlign w:val="center"/>
          </w:tcPr>
          <w:p w14:paraId="6F9174B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0.147</w:t>
            </w:r>
          </w:p>
        </w:tc>
        <w:tc>
          <w:tcPr>
            <w:tcW w:w="1108" w:type="pct"/>
            <w:shd w:val="clear" w:color="auto" w:fill="auto"/>
            <w:noWrap/>
            <w:tcMar>
              <w:right w:w="113" w:type="dxa"/>
            </w:tcMar>
            <w:vAlign w:val="center"/>
          </w:tcPr>
          <w:p w14:paraId="3A381D1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0.147</w:t>
            </w:r>
          </w:p>
        </w:tc>
      </w:tr>
      <w:tr w:rsidR="009F490A" w:rsidRPr="00F93BD2" w14:paraId="66063DB1" w14:textId="77777777" w:rsidTr="004A0F26">
        <w:trPr>
          <w:trHeight w:val="240"/>
        </w:trPr>
        <w:tc>
          <w:tcPr>
            <w:tcW w:w="1690" w:type="pct"/>
            <w:shd w:val="clear" w:color="auto" w:fill="auto"/>
            <w:noWrap/>
            <w:vAlign w:val="center"/>
          </w:tcPr>
          <w:p w14:paraId="2E4D6040"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Pakistan</w:t>
            </w:r>
          </w:p>
        </w:tc>
        <w:tc>
          <w:tcPr>
            <w:tcW w:w="1094" w:type="pct"/>
            <w:shd w:val="clear" w:color="auto" w:fill="auto"/>
            <w:noWrap/>
            <w:tcMar>
              <w:right w:w="113" w:type="dxa"/>
            </w:tcMar>
            <w:vAlign w:val="center"/>
          </w:tcPr>
          <w:p w14:paraId="69724CE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0.093</w:t>
            </w:r>
          </w:p>
        </w:tc>
        <w:tc>
          <w:tcPr>
            <w:tcW w:w="1108" w:type="pct"/>
            <w:shd w:val="clear" w:color="auto" w:fill="auto"/>
            <w:noWrap/>
            <w:tcMar>
              <w:right w:w="113" w:type="dxa"/>
            </w:tcMar>
            <w:vAlign w:val="center"/>
          </w:tcPr>
          <w:p w14:paraId="60FCB84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0.121</w:t>
            </w:r>
          </w:p>
        </w:tc>
        <w:tc>
          <w:tcPr>
            <w:tcW w:w="1108" w:type="pct"/>
            <w:shd w:val="clear" w:color="auto" w:fill="auto"/>
            <w:noWrap/>
            <w:tcMar>
              <w:right w:w="113" w:type="dxa"/>
            </w:tcMar>
            <w:vAlign w:val="center"/>
          </w:tcPr>
          <w:p w14:paraId="5A36090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0.121</w:t>
            </w:r>
          </w:p>
        </w:tc>
      </w:tr>
      <w:tr w:rsidR="009F490A" w:rsidRPr="00F93BD2" w14:paraId="5907E736" w14:textId="77777777" w:rsidTr="004A0F26">
        <w:trPr>
          <w:trHeight w:val="240"/>
        </w:trPr>
        <w:tc>
          <w:tcPr>
            <w:tcW w:w="1690" w:type="pct"/>
            <w:shd w:val="clear" w:color="auto" w:fill="auto"/>
            <w:noWrap/>
            <w:vAlign w:val="center"/>
          </w:tcPr>
          <w:p w14:paraId="1879A6D0"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Palau</w:t>
            </w:r>
          </w:p>
        </w:tc>
        <w:tc>
          <w:tcPr>
            <w:tcW w:w="1094" w:type="pct"/>
            <w:shd w:val="clear" w:color="auto" w:fill="auto"/>
            <w:noWrap/>
            <w:tcMar>
              <w:right w:w="113" w:type="dxa"/>
            </w:tcMar>
            <w:vAlign w:val="center"/>
          </w:tcPr>
          <w:p w14:paraId="0E01488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62489AD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1669199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066FF785" w14:textId="77777777" w:rsidTr="004A0F26">
        <w:trPr>
          <w:trHeight w:val="240"/>
        </w:trPr>
        <w:tc>
          <w:tcPr>
            <w:tcW w:w="1690" w:type="pct"/>
            <w:shd w:val="clear" w:color="auto" w:fill="auto"/>
            <w:noWrap/>
            <w:vAlign w:val="center"/>
          </w:tcPr>
          <w:p w14:paraId="1F3DDA49"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Panama</w:t>
            </w:r>
          </w:p>
        </w:tc>
        <w:tc>
          <w:tcPr>
            <w:tcW w:w="1094" w:type="pct"/>
            <w:shd w:val="clear" w:color="auto" w:fill="auto"/>
            <w:noWrap/>
            <w:tcMar>
              <w:right w:w="113" w:type="dxa"/>
            </w:tcMar>
            <w:vAlign w:val="center"/>
          </w:tcPr>
          <w:p w14:paraId="22EBE9E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0.034</w:t>
            </w:r>
          </w:p>
        </w:tc>
        <w:tc>
          <w:tcPr>
            <w:tcW w:w="1108" w:type="pct"/>
            <w:shd w:val="clear" w:color="auto" w:fill="auto"/>
            <w:noWrap/>
            <w:tcMar>
              <w:right w:w="113" w:type="dxa"/>
            </w:tcMar>
            <w:vAlign w:val="center"/>
          </w:tcPr>
          <w:p w14:paraId="4F7A06E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0.044</w:t>
            </w:r>
          </w:p>
        </w:tc>
        <w:tc>
          <w:tcPr>
            <w:tcW w:w="1108" w:type="pct"/>
            <w:shd w:val="clear" w:color="auto" w:fill="auto"/>
            <w:noWrap/>
            <w:tcMar>
              <w:right w:w="113" w:type="dxa"/>
            </w:tcMar>
            <w:vAlign w:val="center"/>
          </w:tcPr>
          <w:p w14:paraId="1767DC0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0.044</w:t>
            </w:r>
          </w:p>
        </w:tc>
      </w:tr>
      <w:tr w:rsidR="009F490A" w:rsidRPr="00F93BD2" w14:paraId="7819482A" w14:textId="77777777" w:rsidTr="004A0F26">
        <w:trPr>
          <w:trHeight w:val="240"/>
        </w:trPr>
        <w:tc>
          <w:tcPr>
            <w:tcW w:w="1690" w:type="pct"/>
            <w:shd w:val="clear" w:color="auto" w:fill="auto"/>
            <w:noWrap/>
            <w:vAlign w:val="center"/>
          </w:tcPr>
          <w:p w14:paraId="1077650A"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Papua New Guinea</w:t>
            </w:r>
          </w:p>
        </w:tc>
        <w:tc>
          <w:tcPr>
            <w:tcW w:w="1094" w:type="pct"/>
            <w:shd w:val="clear" w:color="auto" w:fill="auto"/>
            <w:noWrap/>
            <w:tcMar>
              <w:right w:w="113" w:type="dxa"/>
            </w:tcMar>
            <w:vAlign w:val="center"/>
          </w:tcPr>
          <w:p w14:paraId="4F6BDB3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c>
          <w:tcPr>
            <w:tcW w:w="1108" w:type="pct"/>
            <w:shd w:val="clear" w:color="auto" w:fill="auto"/>
            <w:noWrap/>
            <w:tcMar>
              <w:right w:w="113" w:type="dxa"/>
            </w:tcMar>
            <w:vAlign w:val="center"/>
          </w:tcPr>
          <w:p w14:paraId="77C4C73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0.005</w:t>
            </w:r>
          </w:p>
        </w:tc>
        <w:tc>
          <w:tcPr>
            <w:tcW w:w="1108" w:type="pct"/>
            <w:shd w:val="clear" w:color="auto" w:fill="auto"/>
            <w:noWrap/>
            <w:tcMar>
              <w:right w:w="113" w:type="dxa"/>
            </w:tcMar>
            <w:vAlign w:val="center"/>
          </w:tcPr>
          <w:p w14:paraId="531C19D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0.005</w:t>
            </w:r>
          </w:p>
        </w:tc>
      </w:tr>
      <w:tr w:rsidR="009F490A" w:rsidRPr="00F93BD2" w14:paraId="4D987812" w14:textId="77777777" w:rsidTr="004A0F26">
        <w:trPr>
          <w:trHeight w:val="240"/>
        </w:trPr>
        <w:tc>
          <w:tcPr>
            <w:tcW w:w="1690" w:type="pct"/>
            <w:shd w:val="clear" w:color="auto" w:fill="auto"/>
            <w:noWrap/>
            <w:vAlign w:val="center"/>
          </w:tcPr>
          <w:p w14:paraId="7CF27062"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Paraguay</w:t>
            </w:r>
          </w:p>
        </w:tc>
        <w:tc>
          <w:tcPr>
            <w:tcW w:w="1094" w:type="pct"/>
            <w:shd w:val="clear" w:color="auto" w:fill="auto"/>
            <w:noWrap/>
            <w:tcMar>
              <w:right w:w="113" w:type="dxa"/>
            </w:tcMar>
            <w:vAlign w:val="center"/>
          </w:tcPr>
          <w:p w14:paraId="7BCE6CF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0.014</w:t>
            </w:r>
          </w:p>
        </w:tc>
        <w:tc>
          <w:tcPr>
            <w:tcW w:w="1108" w:type="pct"/>
            <w:shd w:val="clear" w:color="auto" w:fill="auto"/>
            <w:noWrap/>
            <w:tcMar>
              <w:right w:w="113" w:type="dxa"/>
            </w:tcMar>
            <w:vAlign w:val="center"/>
          </w:tcPr>
          <w:p w14:paraId="39381CD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0.018</w:t>
            </w:r>
          </w:p>
        </w:tc>
        <w:tc>
          <w:tcPr>
            <w:tcW w:w="1108" w:type="pct"/>
            <w:shd w:val="clear" w:color="auto" w:fill="auto"/>
            <w:noWrap/>
            <w:tcMar>
              <w:right w:w="113" w:type="dxa"/>
            </w:tcMar>
            <w:vAlign w:val="center"/>
          </w:tcPr>
          <w:p w14:paraId="38B6885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0.018</w:t>
            </w:r>
          </w:p>
        </w:tc>
      </w:tr>
      <w:tr w:rsidR="009F490A" w:rsidRPr="00F93BD2" w14:paraId="324B3E7A" w14:textId="77777777" w:rsidTr="004A0F26">
        <w:trPr>
          <w:trHeight w:val="240"/>
        </w:trPr>
        <w:tc>
          <w:tcPr>
            <w:tcW w:w="1690" w:type="pct"/>
            <w:shd w:val="clear" w:color="auto" w:fill="auto"/>
            <w:noWrap/>
            <w:vAlign w:val="center"/>
          </w:tcPr>
          <w:p w14:paraId="6D4332E9"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Peru</w:t>
            </w:r>
          </w:p>
        </w:tc>
        <w:tc>
          <w:tcPr>
            <w:tcW w:w="1094" w:type="pct"/>
            <w:shd w:val="clear" w:color="auto" w:fill="auto"/>
            <w:noWrap/>
            <w:tcMar>
              <w:right w:w="113" w:type="dxa"/>
            </w:tcMar>
            <w:vAlign w:val="center"/>
          </w:tcPr>
          <w:p w14:paraId="460515D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0.136</w:t>
            </w:r>
          </w:p>
        </w:tc>
        <w:tc>
          <w:tcPr>
            <w:tcW w:w="1108" w:type="pct"/>
            <w:shd w:val="clear" w:color="auto" w:fill="auto"/>
            <w:noWrap/>
            <w:tcMar>
              <w:right w:w="113" w:type="dxa"/>
            </w:tcMar>
            <w:vAlign w:val="center"/>
          </w:tcPr>
          <w:p w14:paraId="4C22F8D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0.177</w:t>
            </w:r>
          </w:p>
        </w:tc>
        <w:tc>
          <w:tcPr>
            <w:tcW w:w="1108" w:type="pct"/>
            <w:shd w:val="clear" w:color="auto" w:fill="auto"/>
            <w:noWrap/>
            <w:tcMar>
              <w:right w:w="113" w:type="dxa"/>
            </w:tcMar>
            <w:vAlign w:val="center"/>
          </w:tcPr>
          <w:p w14:paraId="74B080D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0.177</w:t>
            </w:r>
          </w:p>
        </w:tc>
      </w:tr>
      <w:tr w:rsidR="009F490A" w:rsidRPr="00F93BD2" w14:paraId="0A9D7BA4" w14:textId="77777777" w:rsidTr="004A0F26">
        <w:trPr>
          <w:trHeight w:val="240"/>
        </w:trPr>
        <w:tc>
          <w:tcPr>
            <w:tcW w:w="1690" w:type="pct"/>
            <w:shd w:val="clear" w:color="auto" w:fill="auto"/>
            <w:noWrap/>
            <w:vAlign w:val="center"/>
          </w:tcPr>
          <w:p w14:paraId="0BA892BC"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Philippines</w:t>
            </w:r>
          </w:p>
        </w:tc>
        <w:tc>
          <w:tcPr>
            <w:tcW w:w="1094" w:type="pct"/>
            <w:shd w:val="clear" w:color="auto" w:fill="auto"/>
            <w:noWrap/>
            <w:tcMar>
              <w:right w:w="113" w:type="dxa"/>
            </w:tcMar>
            <w:vAlign w:val="center"/>
          </w:tcPr>
          <w:p w14:paraId="5D11E38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0.165</w:t>
            </w:r>
          </w:p>
        </w:tc>
        <w:tc>
          <w:tcPr>
            <w:tcW w:w="1108" w:type="pct"/>
            <w:shd w:val="clear" w:color="auto" w:fill="auto"/>
            <w:noWrap/>
            <w:tcMar>
              <w:right w:w="113" w:type="dxa"/>
            </w:tcMar>
            <w:vAlign w:val="center"/>
          </w:tcPr>
          <w:p w14:paraId="12538D5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0.214</w:t>
            </w:r>
          </w:p>
        </w:tc>
        <w:tc>
          <w:tcPr>
            <w:tcW w:w="1108" w:type="pct"/>
            <w:shd w:val="clear" w:color="auto" w:fill="auto"/>
            <w:noWrap/>
            <w:tcMar>
              <w:right w:w="113" w:type="dxa"/>
            </w:tcMar>
            <w:vAlign w:val="center"/>
          </w:tcPr>
          <w:p w14:paraId="2A61F26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0.214</w:t>
            </w:r>
          </w:p>
        </w:tc>
      </w:tr>
      <w:tr w:rsidR="009F490A" w:rsidRPr="00F93BD2" w14:paraId="6D4558BA" w14:textId="77777777" w:rsidTr="004A0F26">
        <w:trPr>
          <w:trHeight w:val="240"/>
        </w:trPr>
        <w:tc>
          <w:tcPr>
            <w:tcW w:w="1690" w:type="pct"/>
            <w:shd w:val="clear" w:color="auto" w:fill="auto"/>
            <w:noWrap/>
            <w:vAlign w:val="center"/>
          </w:tcPr>
          <w:p w14:paraId="569CFFB8"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Poland</w:t>
            </w:r>
          </w:p>
        </w:tc>
        <w:tc>
          <w:tcPr>
            <w:tcW w:w="1094" w:type="pct"/>
            <w:shd w:val="clear" w:color="auto" w:fill="auto"/>
            <w:noWrap/>
            <w:tcMar>
              <w:right w:w="113" w:type="dxa"/>
            </w:tcMar>
            <w:vAlign w:val="center"/>
          </w:tcPr>
          <w:p w14:paraId="600B181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0.841</w:t>
            </w:r>
          </w:p>
        </w:tc>
        <w:tc>
          <w:tcPr>
            <w:tcW w:w="1108" w:type="pct"/>
            <w:shd w:val="clear" w:color="auto" w:fill="auto"/>
            <w:noWrap/>
            <w:tcMar>
              <w:right w:w="113" w:type="dxa"/>
            </w:tcMar>
            <w:vAlign w:val="center"/>
          </w:tcPr>
          <w:p w14:paraId="24A76FC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1.092</w:t>
            </w:r>
          </w:p>
        </w:tc>
        <w:tc>
          <w:tcPr>
            <w:tcW w:w="1108" w:type="pct"/>
            <w:shd w:val="clear" w:color="auto" w:fill="auto"/>
            <w:noWrap/>
            <w:tcMar>
              <w:right w:w="113" w:type="dxa"/>
            </w:tcMar>
            <w:vAlign w:val="center"/>
          </w:tcPr>
          <w:p w14:paraId="4677640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1.092</w:t>
            </w:r>
          </w:p>
        </w:tc>
      </w:tr>
      <w:tr w:rsidR="009F490A" w:rsidRPr="00F93BD2" w14:paraId="7B03231D" w14:textId="77777777" w:rsidTr="004A0F26">
        <w:trPr>
          <w:trHeight w:val="240"/>
        </w:trPr>
        <w:tc>
          <w:tcPr>
            <w:tcW w:w="1690" w:type="pct"/>
            <w:shd w:val="clear" w:color="auto" w:fill="auto"/>
            <w:noWrap/>
            <w:vAlign w:val="center"/>
          </w:tcPr>
          <w:p w14:paraId="1869BEE6"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Portugal</w:t>
            </w:r>
          </w:p>
        </w:tc>
        <w:tc>
          <w:tcPr>
            <w:tcW w:w="1094" w:type="pct"/>
            <w:shd w:val="clear" w:color="auto" w:fill="auto"/>
            <w:noWrap/>
            <w:tcMar>
              <w:right w:w="113" w:type="dxa"/>
            </w:tcMar>
            <w:vAlign w:val="center"/>
          </w:tcPr>
          <w:p w14:paraId="2BCD439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0.392</w:t>
            </w:r>
          </w:p>
        </w:tc>
        <w:tc>
          <w:tcPr>
            <w:tcW w:w="1108" w:type="pct"/>
            <w:shd w:val="clear" w:color="auto" w:fill="auto"/>
            <w:noWrap/>
            <w:tcMar>
              <w:right w:w="113" w:type="dxa"/>
            </w:tcMar>
            <w:vAlign w:val="center"/>
          </w:tcPr>
          <w:p w14:paraId="7CA7B18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0.509</w:t>
            </w:r>
          </w:p>
        </w:tc>
        <w:tc>
          <w:tcPr>
            <w:tcW w:w="1108" w:type="pct"/>
            <w:shd w:val="clear" w:color="auto" w:fill="auto"/>
            <w:noWrap/>
            <w:tcMar>
              <w:right w:w="113" w:type="dxa"/>
            </w:tcMar>
            <w:vAlign w:val="center"/>
          </w:tcPr>
          <w:p w14:paraId="4851890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0.509</w:t>
            </w:r>
          </w:p>
        </w:tc>
      </w:tr>
      <w:tr w:rsidR="009F490A" w:rsidRPr="00F93BD2" w14:paraId="01A23B3A" w14:textId="77777777" w:rsidTr="004A0F26">
        <w:trPr>
          <w:trHeight w:val="240"/>
        </w:trPr>
        <w:tc>
          <w:tcPr>
            <w:tcW w:w="1690" w:type="pct"/>
            <w:shd w:val="clear" w:color="auto" w:fill="auto"/>
            <w:noWrap/>
            <w:vAlign w:val="center"/>
          </w:tcPr>
          <w:p w14:paraId="4267119C"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Qatar</w:t>
            </w:r>
          </w:p>
        </w:tc>
        <w:tc>
          <w:tcPr>
            <w:tcW w:w="1094" w:type="pct"/>
            <w:shd w:val="clear" w:color="auto" w:fill="auto"/>
            <w:noWrap/>
            <w:tcMar>
              <w:right w:w="113" w:type="dxa"/>
            </w:tcMar>
            <w:vAlign w:val="center"/>
          </w:tcPr>
          <w:p w14:paraId="071B741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0.269</w:t>
            </w:r>
          </w:p>
        </w:tc>
        <w:tc>
          <w:tcPr>
            <w:tcW w:w="1108" w:type="pct"/>
            <w:shd w:val="clear" w:color="auto" w:fill="auto"/>
            <w:noWrap/>
            <w:tcMar>
              <w:right w:w="113" w:type="dxa"/>
            </w:tcMar>
            <w:vAlign w:val="center"/>
          </w:tcPr>
          <w:p w14:paraId="4341C88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0.349</w:t>
            </w:r>
          </w:p>
        </w:tc>
        <w:tc>
          <w:tcPr>
            <w:tcW w:w="1108" w:type="pct"/>
            <w:shd w:val="clear" w:color="auto" w:fill="auto"/>
            <w:noWrap/>
            <w:tcMar>
              <w:right w:w="113" w:type="dxa"/>
            </w:tcMar>
            <w:vAlign w:val="center"/>
          </w:tcPr>
          <w:p w14:paraId="4DB7075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0.349</w:t>
            </w:r>
          </w:p>
        </w:tc>
      </w:tr>
      <w:tr w:rsidR="009F490A" w:rsidRPr="00F93BD2" w14:paraId="44347D1E" w14:textId="77777777" w:rsidTr="004A0F26">
        <w:trPr>
          <w:trHeight w:val="240"/>
        </w:trPr>
        <w:tc>
          <w:tcPr>
            <w:tcW w:w="1690" w:type="pct"/>
            <w:shd w:val="clear" w:color="auto" w:fill="auto"/>
            <w:noWrap/>
            <w:vAlign w:val="center"/>
          </w:tcPr>
          <w:p w14:paraId="47C6DBA3"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Republic of Korea</w:t>
            </w:r>
          </w:p>
        </w:tc>
        <w:tc>
          <w:tcPr>
            <w:tcW w:w="1094" w:type="pct"/>
            <w:shd w:val="clear" w:color="auto" w:fill="auto"/>
            <w:noWrap/>
            <w:tcMar>
              <w:right w:w="113" w:type="dxa"/>
            </w:tcMar>
            <w:vAlign w:val="center"/>
          </w:tcPr>
          <w:p w14:paraId="32E4E59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2.039</w:t>
            </w:r>
          </w:p>
        </w:tc>
        <w:tc>
          <w:tcPr>
            <w:tcW w:w="1108" w:type="pct"/>
            <w:shd w:val="clear" w:color="auto" w:fill="auto"/>
            <w:noWrap/>
            <w:tcMar>
              <w:right w:w="113" w:type="dxa"/>
            </w:tcMar>
            <w:vAlign w:val="center"/>
          </w:tcPr>
          <w:p w14:paraId="1247B97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2.648</w:t>
            </w:r>
          </w:p>
        </w:tc>
        <w:tc>
          <w:tcPr>
            <w:tcW w:w="1108" w:type="pct"/>
            <w:shd w:val="clear" w:color="auto" w:fill="auto"/>
            <w:noWrap/>
            <w:tcMar>
              <w:right w:w="113" w:type="dxa"/>
            </w:tcMar>
            <w:vAlign w:val="center"/>
          </w:tcPr>
          <w:p w14:paraId="64A25F7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2.648</w:t>
            </w:r>
          </w:p>
        </w:tc>
      </w:tr>
      <w:tr w:rsidR="009F490A" w:rsidRPr="00F93BD2" w14:paraId="30EB5C9E" w14:textId="77777777" w:rsidTr="004A0F26">
        <w:trPr>
          <w:trHeight w:val="240"/>
        </w:trPr>
        <w:tc>
          <w:tcPr>
            <w:tcW w:w="1690" w:type="pct"/>
            <w:shd w:val="clear" w:color="auto" w:fill="auto"/>
            <w:noWrap/>
            <w:vAlign w:val="center"/>
          </w:tcPr>
          <w:p w14:paraId="2CB0C689"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Republic of Moldova</w:t>
            </w:r>
          </w:p>
        </w:tc>
        <w:tc>
          <w:tcPr>
            <w:tcW w:w="1094" w:type="pct"/>
            <w:shd w:val="clear" w:color="auto" w:fill="auto"/>
            <w:noWrap/>
            <w:tcMar>
              <w:right w:w="113" w:type="dxa"/>
            </w:tcMar>
            <w:vAlign w:val="center"/>
          </w:tcPr>
          <w:p w14:paraId="14BD390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c>
          <w:tcPr>
            <w:tcW w:w="1108" w:type="pct"/>
            <w:shd w:val="clear" w:color="auto" w:fill="auto"/>
            <w:noWrap/>
            <w:tcMar>
              <w:right w:w="113" w:type="dxa"/>
            </w:tcMar>
            <w:vAlign w:val="center"/>
          </w:tcPr>
          <w:p w14:paraId="3A42AC4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0.005</w:t>
            </w:r>
          </w:p>
        </w:tc>
        <w:tc>
          <w:tcPr>
            <w:tcW w:w="1108" w:type="pct"/>
            <w:shd w:val="clear" w:color="auto" w:fill="auto"/>
            <w:noWrap/>
            <w:tcMar>
              <w:right w:w="113" w:type="dxa"/>
            </w:tcMar>
            <w:vAlign w:val="center"/>
          </w:tcPr>
          <w:p w14:paraId="2AD7B94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0.005</w:t>
            </w:r>
          </w:p>
        </w:tc>
      </w:tr>
      <w:tr w:rsidR="009F490A" w:rsidRPr="00F93BD2" w14:paraId="20474477" w14:textId="77777777" w:rsidTr="004A0F26">
        <w:trPr>
          <w:trHeight w:val="240"/>
        </w:trPr>
        <w:tc>
          <w:tcPr>
            <w:tcW w:w="1690" w:type="pct"/>
            <w:shd w:val="clear" w:color="auto" w:fill="auto"/>
            <w:noWrap/>
            <w:vAlign w:val="center"/>
          </w:tcPr>
          <w:p w14:paraId="504CD6FD"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Romania</w:t>
            </w:r>
          </w:p>
        </w:tc>
        <w:tc>
          <w:tcPr>
            <w:tcW w:w="1094" w:type="pct"/>
            <w:shd w:val="clear" w:color="auto" w:fill="auto"/>
            <w:noWrap/>
            <w:tcMar>
              <w:right w:w="113" w:type="dxa"/>
            </w:tcMar>
            <w:vAlign w:val="center"/>
          </w:tcPr>
          <w:p w14:paraId="2EE08D9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0.184</w:t>
            </w:r>
          </w:p>
        </w:tc>
        <w:tc>
          <w:tcPr>
            <w:tcW w:w="1108" w:type="pct"/>
            <w:shd w:val="clear" w:color="auto" w:fill="auto"/>
            <w:noWrap/>
            <w:tcMar>
              <w:right w:w="113" w:type="dxa"/>
            </w:tcMar>
            <w:vAlign w:val="center"/>
          </w:tcPr>
          <w:p w14:paraId="77A49FF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0.239</w:t>
            </w:r>
          </w:p>
        </w:tc>
        <w:tc>
          <w:tcPr>
            <w:tcW w:w="1108" w:type="pct"/>
            <w:shd w:val="clear" w:color="auto" w:fill="auto"/>
            <w:noWrap/>
            <w:tcMar>
              <w:right w:w="113" w:type="dxa"/>
            </w:tcMar>
            <w:vAlign w:val="center"/>
          </w:tcPr>
          <w:p w14:paraId="019A875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0.239</w:t>
            </w:r>
          </w:p>
        </w:tc>
      </w:tr>
      <w:tr w:rsidR="009F490A" w:rsidRPr="00F93BD2" w14:paraId="7597C134" w14:textId="77777777" w:rsidTr="004A0F26">
        <w:trPr>
          <w:trHeight w:val="240"/>
        </w:trPr>
        <w:tc>
          <w:tcPr>
            <w:tcW w:w="1690" w:type="pct"/>
            <w:shd w:val="clear" w:color="auto" w:fill="auto"/>
            <w:noWrap/>
            <w:vAlign w:val="center"/>
          </w:tcPr>
          <w:p w14:paraId="691A489E"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Russian Federation</w:t>
            </w:r>
          </w:p>
        </w:tc>
        <w:tc>
          <w:tcPr>
            <w:tcW w:w="1094" w:type="pct"/>
            <w:shd w:val="clear" w:color="auto" w:fill="auto"/>
            <w:noWrap/>
            <w:tcMar>
              <w:right w:w="113" w:type="dxa"/>
            </w:tcMar>
            <w:vAlign w:val="center"/>
          </w:tcPr>
          <w:p w14:paraId="3060D45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3.088</w:t>
            </w:r>
          </w:p>
        </w:tc>
        <w:tc>
          <w:tcPr>
            <w:tcW w:w="1108" w:type="pct"/>
            <w:shd w:val="clear" w:color="auto" w:fill="auto"/>
            <w:noWrap/>
            <w:tcMar>
              <w:right w:w="113" w:type="dxa"/>
            </w:tcMar>
            <w:vAlign w:val="center"/>
          </w:tcPr>
          <w:p w14:paraId="0DBFD8C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4.011</w:t>
            </w:r>
          </w:p>
        </w:tc>
        <w:tc>
          <w:tcPr>
            <w:tcW w:w="1108" w:type="pct"/>
            <w:shd w:val="clear" w:color="auto" w:fill="auto"/>
            <w:noWrap/>
            <w:tcMar>
              <w:right w:w="113" w:type="dxa"/>
            </w:tcMar>
            <w:vAlign w:val="center"/>
          </w:tcPr>
          <w:p w14:paraId="13EC918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4.011</w:t>
            </w:r>
          </w:p>
        </w:tc>
      </w:tr>
      <w:tr w:rsidR="009F490A" w:rsidRPr="00F93BD2" w14:paraId="4E8C615A" w14:textId="77777777" w:rsidTr="004A0F26">
        <w:trPr>
          <w:trHeight w:val="240"/>
        </w:trPr>
        <w:tc>
          <w:tcPr>
            <w:tcW w:w="1690" w:type="pct"/>
            <w:shd w:val="clear" w:color="auto" w:fill="auto"/>
            <w:noWrap/>
            <w:vAlign w:val="center"/>
          </w:tcPr>
          <w:p w14:paraId="59DBEDF0"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Rwanda</w:t>
            </w:r>
          </w:p>
        </w:tc>
        <w:tc>
          <w:tcPr>
            <w:tcW w:w="1094" w:type="pct"/>
            <w:shd w:val="clear" w:color="auto" w:fill="auto"/>
            <w:noWrap/>
            <w:tcMar>
              <w:right w:w="113" w:type="dxa"/>
            </w:tcMar>
            <w:vAlign w:val="center"/>
          </w:tcPr>
          <w:p w14:paraId="6543E86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0.002</w:t>
            </w:r>
          </w:p>
        </w:tc>
        <w:tc>
          <w:tcPr>
            <w:tcW w:w="1108" w:type="pct"/>
            <w:shd w:val="clear" w:color="auto" w:fill="auto"/>
            <w:noWrap/>
            <w:tcMar>
              <w:right w:w="113" w:type="dxa"/>
            </w:tcMar>
            <w:vAlign w:val="center"/>
          </w:tcPr>
          <w:p w14:paraId="7936A30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c>
          <w:tcPr>
            <w:tcW w:w="1108" w:type="pct"/>
            <w:shd w:val="clear" w:color="auto" w:fill="auto"/>
            <w:noWrap/>
            <w:tcMar>
              <w:right w:w="113" w:type="dxa"/>
            </w:tcMar>
            <w:vAlign w:val="center"/>
          </w:tcPr>
          <w:p w14:paraId="401A5DC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r>
      <w:tr w:rsidR="009F490A" w:rsidRPr="00F93BD2" w14:paraId="3F56C812" w14:textId="77777777" w:rsidTr="004A0F26">
        <w:trPr>
          <w:trHeight w:val="240"/>
        </w:trPr>
        <w:tc>
          <w:tcPr>
            <w:tcW w:w="1690" w:type="pct"/>
            <w:shd w:val="clear" w:color="auto" w:fill="auto"/>
            <w:noWrap/>
            <w:vAlign w:val="center"/>
          </w:tcPr>
          <w:p w14:paraId="7A7F8D2A"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Saint Kitts and Nevis</w:t>
            </w:r>
          </w:p>
        </w:tc>
        <w:tc>
          <w:tcPr>
            <w:tcW w:w="1094" w:type="pct"/>
            <w:shd w:val="clear" w:color="auto" w:fill="auto"/>
            <w:noWrap/>
            <w:tcMar>
              <w:right w:w="113" w:type="dxa"/>
            </w:tcMar>
            <w:vAlign w:val="center"/>
          </w:tcPr>
          <w:p w14:paraId="0A576B7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56C15FC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538563E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0E00E8FA" w14:textId="77777777" w:rsidTr="004A0F26">
        <w:trPr>
          <w:trHeight w:val="240"/>
        </w:trPr>
        <w:tc>
          <w:tcPr>
            <w:tcW w:w="1690" w:type="pct"/>
            <w:shd w:val="clear" w:color="auto" w:fill="auto"/>
            <w:noWrap/>
            <w:vAlign w:val="center"/>
          </w:tcPr>
          <w:p w14:paraId="7F463FFD"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Saint Lucia</w:t>
            </w:r>
          </w:p>
        </w:tc>
        <w:tc>
          <w:tcPr>
            <w:tcW w:w="1094" w:type="pct"/>
            <w:shd w:val="clear" w:color="auto" w:fill="auto"/>
            <w:noWrap/>
            <w:tcMar>
              <w:right w:w="113" w:type="dxa"/>
            </w:tcMar>
            <w:vAlign w:val="center"/>
          </w:tcPr>
          <w:p w14:paraId="4511CAD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56A0672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62A278C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258EFAA7" w14:textId="77777777" w:rsidTr="004A0F26">
        <w:trPr>
          <w:trHeight w:val="240"/>
        </w:trPr>
        <w:tc>
          <w:tcPr>
            <w:tcW w:w="1690" w:type="pct"/>
            <w:shd w:val="clear" w:color="auto" w:fill="auto"/>
            <w:noWrap/>
            <w:vAlign w:val="center"/>
          </w:tcPr>
          <w:p w14:paraId="53F68181"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Saint Vincent and the Grenadines</w:t>
            </w:r>
          </w:p>
        </w:tc>
        <w:tc>
          <w:tcPr>
            <w:tcW w:w="1094" w:type="pct"/>
            <w:shd w:val="clear" w:color="auto" w:fill="auto"/>
            <w:noWrap/>
            <w:tcMar>
              <w:right w:w="113" w:type="dxa"/>
            </w:tcMar>
            <w:vAlign w:val="center"/>
          </w:tcPr>
          <w:p w14:paraId="32D3250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69405E5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6570703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7EE0684A" w14:textId="77777777" w:rsidTr="004A0F26">
        <w:trPr>
          <w:trHeight w:val="240"/>
        </w:trPr>
        <w:tc>
          <w:tcPr>
            <w:tcW w:w="1690" w:type="pct"/>
            <w:shd w:val="clear" w:color="auto" w:fill="auto"/>
            <w:noWrap/>
            <w:vAlign w:val="center"/>
          </w:tcPr>
          <w:p w14:paraId="7932A35E"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Samoa</w:t>
            </w:r>
          </w:p>
        </w:tc>
        <w:tc>
          <w:tcPr>
            <w:tcW w:w="1094" w:type="pct"/>
            <w:shd w:val="clear" w:color="auto" w:fill="auto"/>
            <w:noWrap/>
            <w:tcMar>
              <w:right w:w="113" w:type="dxa"/>
            </w:tcMar>
            <w:vAlign w:val="center"/>
          </w:tcPr>
          <w:p w14:paraId="26B2510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21DB210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6E8EFF2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36E2F5FD" w14:textId="77777777" w:rsidTr="004A0F26">
        <w:trPr>
          <w:trHeight w:val="240"/>
        </w:trPr>
        <w:tc>
          <w:tcPr>
            <w:tcW w:w="1690" w:type="pct"/>
            <w:shd w:val="clear" w:color="auto" w:fill="auto"/>
            <w:noWrap/>
            <w:vAlign w:val="center"/>
          </w:tcPr>
          <w:p w14:paraId="020DE456"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San Marino</w:t>
            </w:r>
          </w:p>
        </w:tc>
        <w:tc>
          <w:tcPr>
            <w:tcW w:w="1094" w:type="pct"/>
            <w:shd w:val="clear" w:color="auto" w:fill="auto"/>
            <w:noWrap/>
            <w:tcMar>
              <w:right w:w="113" w:type="dxa"/>
            </w:tcMar>
            <w:vAlign w:val="center"/>
          </w:tcPr>
          <w:p w14:paraId="69FD57A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c>
          <w:tcPr>
            <w:tcW w:w="1108" w:type="pct"/>
            <w:shd w:val="clear" w:color="auto" w:fill="auto"/>
            <w:noWrap/>
            <w:tcMar>
              <w:right w:w="113" w:type="dxa"/>
            </w:tcMar>
            <w:vAlign w:val="center"/>
          </w:tcPr>
          <w:p w14:paraId="3719C75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c>
          <w:tcPr>
            <w:tcW w:w="1108" w:type="pct"/>
            <w:shd w:val="clear" w:color="auto" w:fill="auto"/>
            <w:noWrap/>
            <w:tcMar>
              <w:right w:w="113" w:type="dxa"/>
            </w:tcMar>
            <w:vAlign w:val="center"/>
          </w:tcPr>
          <w:p w14:paraId="7302361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r>
      <w:tr w:rsidR="009F490A" w:rsidRPr="00F93BD2" w14:paraId="3EC84827" w14:textId="77777777" w:rsidTr="004A0F26">
        <w:trPr>
          <w:trHeight w:val="240"/>
        </w:trPr>
        <w:tc>
          <w:tcPr>
            <w:tcW w:w="1690" w:type="pct"/>
            <w:shd w:val="clear" w:color="auto" w:fill="auto"/>
            <w:noWrap/>
            <w:vAlign w:val="center"/>
          </w:tcPr>
          <w:p w14:paraId="3C03C3B3"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Sao Tome and Principe</w:t>
            </w:r>
          </w:p>
        </w:tc>
        <w:tc>
          <w:tcPr>
            <w:tcW w:w="1094" w:type="pct"/>
            <w:shd w:val="clear" w:color="auto" w:fill="auto"/>
            <w:noWrap/>
            <w:tcMar>
              <w:right w:w="113" w:type="dxa"/>
            </w:tcMar>
            <w:vAlign w:val="center"/>
          </w:tcPr>
          <w:p w14:paraId="77778D3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4071FD2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7009B09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0F58A6AA" w14:textId="77777777" w:rsidTr="004A0F26">
        <w:trPr>
          <w:trHeight w:val="240"/>
        </w:trPr>
        <w:tc>
          <w:tcPr>
            <w:tcW w:w="1690" w:type="pct"/>
            <w:shd w:val="clear" w:color="auto" w:fill="auto"/>
            <w:noWrap/>
            <w:vAlign w:val="center"/>
          </w:tcPr>
          <w:p w14:paraId="2484DC1B"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Saudi Arabia</w:t>
            </w:r>
          </w:p>
        </w:tc>
        <w:tc>
          <w:tcPr>
            <w:tcW w:w="1094" w:type="pct"/>
            <w:shd w:val="clear" w:color="auto" w:fill="auto"/>
            <w:noWrap/>
            <w:tcMar>
              <w:right w:w="113" w:type="dxa"/>
            </w:tcMar>
            <w:vAlign w:val="center"/>
          </w:tcPr>
          <w:p w14:paraId="17FCCCC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1.146</w:t>
            </w:r>
          </w:p>
        </w:tc>
        <w:tc>
          <w:tcPr>
            <w:tcW w:w="1108" w:type="pct"/>
            <w:shd w:val="clear" w:color="auto" w:fill="auto"/>
            <w:noWrap/>
            <w:tcMar>
              <w:right w:w="113" w:type="dxa"/>
            </w:tcMar>
            <w:vAlign w:val="center"/>
          </w:tcPr>
          <w:p w14:paraId="5848C76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1.489</w:t>
            </w:r>
          </w:p>
        </w:tc>
        <w:tc>
          <w:tcPr>
            <w:tcW w:w="1108" w:type="pct"/>
            <w:shd w:val="clear" w:color="auto" w:fill="auto"/>
            <w:noWrap/>
            <w:tcMar>
              <w:right w:w="113" w:type="dxa"/>
            </w:tcMar>
            <w:vAlign w:val="center"/>
          </w:tcPr>
          <w:p w14:paraId="7B15D35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1.489</w:t>
            </w:r>
          </w:p>
        </w:tc>
      </w:tr>
      <w:tr w:rsidR="009F490A" w:rsidRPr="00F93BD2" w14:paraId="28B20C35" w14:textId="77777777" w:rsidTr="004A0F26">
        <w:trPr>
          <w:trHeight w:val="240"/>
        </w:trPr>
        <w:tc>
          <w:tcPr>
            <w:tcW w:w="1690" w:type="pct"/>
            <w:shd w:val="clear" w:color="auto" w:fill="auto"/>
            <w:noWrap/>
            <w:vAlign w:val="center"/>
          </w:tcPr>
          <w:p w14:paraId="56FE924F"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Senegal</w:t>
            </w:r>
          </w:p>
        </w:tc>
        <w:tc>
          <w:tcPr>
            <w:tcW w:w="1094" w:type="pct"/>
            <w:shd w:val="clear" w:color="auto" w:fill="auto"/>
            <w:noWrap/>
            <w:tcMar>
              <w:right w:w="113" w:type="dxa"/>
            </w:tcMar>
            <w:vAlign w:val="center"/>
          </w:tcPr>
          <w:p w14:paraId="7F3FD6A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0.005</w:t>
            </w:r>
          </w:p>
        </w:tc>
        <w:tc>
          <w:tcPr>
            <w:tcW w:w="1108" w:type="pct"/>
            <w:shd w:val="clear" w:color="auto" w:fill="auto"/>
            <w:noWrap/>
            <w:tcMar>
              <w:right w:w="113" w:type="dxa"/>
            </w:tcMar>
            <w:vAlign w:val="center"/>
          </w:tcPr>
          <w:p w14:paraId="4F1A014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0.006</w:t>
            </w:r>
          </w:p>
        </w:tc>
        <w:tc>
          <w:tcPr>
            <w:tcW w:w="1108" w:type="pct"/>
            <w:shd w:val="clear" w:color="auto" w:fill="auto"/>
            <w:noWrap/>
            <w:tcMar>
              <w:right w:w="113" w:type="dxa"/>
            </w:tcMar>
            <w:vAlign w:val="center"/>
          </w:tcPr>
          <w:p w14:paraId="33B1024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0.006</w:t>
            </w:r>
          </w:p>
        </w:tc>
      </w:tr>
      <w:tr w:rsidR="009F490A" w:rsidRPr="00F93BD2" w14:paraId="75A6E38D" w14:textId="77777777" w:rsidTr="004A0F26">
        <w:trPr>
          <w:trHeight w:val="240"/>
        </w:trPr>
        <w:tc>
          <w:tcPr>
            <w:tcW w:w="1690" w:type="pct"/>
            <w:shd w:val="clear" w:color="auto" w:fill="auto"/>
            <w:noWrap/>
            <w:vAlign w:val="center"/>
          </w:tcPr>
          <w:p w14:paraId="518B04A0"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Serbia</w:t>
            </w:r>
          </w:p>
        </w:tc>
        <w:tc>
          <w:tcPr>
            <w:tcW w:w="1094" w:type="pct"/>
            <w:shd w:val="clear" w:color="auto" w:fill="auto"/>
            <w:noWrap/>
            <w:tcMar>
              <w:right w:w="113" w:type="dxa"/>
            </w:tcMar>
            <w:vAlign w:val="center"/>
          </w:tcPr>
          <w:p w14:paraId="5D3D50E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0.032</w:t>
            </w:r>
          </w:p>
        </w:tc>
        <w:tc>
          <w:tcPr>
            <w:tcW w:w="1108" w:type="pct"/>
            <w:shd w:val="clear" w:color="auto" w:fill="auto"/>
            <w:noWrap/>
            <w:tcMar>
              <w:right w:w="113" w:type="dxa"/>
            </w:tcMar>
            <w:vAlign w:val="center"/>
          </w:tcPr>
          <w:p w14:paraId="1454B10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0.042</w:t>
            </w:r>
          </w:p>
        </w:tc>
        <w:tc>
          <w:tcPr>
            <w:tcW w:w="1108" w:type="pct"/>
            <w:shd w:val="clear" w:color="auto" w:fill="auto"/>
            <w:noWrap/>
            <w:tcMar>
              <w:right w:w="113" w:type="dxa"/>
            </w:tcMar>
            <w:vAlign w:val="center"/>
          </w:tcPr>
          <w:p w14:paraId="1017A1C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0.042</w:t>
            </w:r>
          </w:p>
        </w:tc>
      </w:tr>
      <w:tr w:rsidR="009F490A" w:rsidRPr="00F93BD2" w14:paraId="0DF9A0EE" w14:textId="77777777" w:rsidTr="004A0F26">
        <w:trPr>
          <w:trHeight w:val="240"/>
        </w:trPr>
        <w:tc>
          <w:tcPr>
            <w:tcW w:w="1690" w:type="pct"/>
            <w:shd w:val="clear" w:color="auto" w:fill="auto"/>
            <w:noWrap/>
            <w:vAlign w:val="center"/>
          </w:tcPr>
          <w:p w14:paraId="1E748D43"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Seychelles</w:t>
            </w:r>
          </w:p>
        </w:tc>
        <w:tc>
          <w:tcPr>
            <w:tcW w:w="1094" w:type="pct"/>
            <w:shd w:val="clear" w:color="auto" w:fill="auto"/>
            <w:noWrap/>
            <w:tcMar>
              <w:right w:w="113" w:type="dxa"/>
            </w:tcMar>
            <w:vAlign w:val="center"/>
          </w:tcPr>
          <w:p w14:paraId="785C12B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7F45D17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3482837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7B5805DF" w14:textId="77777777" w:rsidTr="004A0F26">
        <w:trPr>
          <w:trHeight w:val="240"/>
        </w:trPr>
        <w:tc>
          <w:tcPr>
            <w:tcW w:w="1690" w:type="pct"/>
            <w:shd w:val="clear" w:color="auto" w:fill="auto"/>
            <w:noWrap/>
            <w:vAlign w:val="center"/>
          </w:tcPr>
          <w:p w14:paraId="3C9F8F3F"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Sierra Leone</w:t>
            </w:r>
          </w:p>
        </w:tc>
        <w:tc>
          <w:tcPr>
            <w:tcW w:w="1094" w:type="pct"/>
            <w:shd w:val="clear" w:color="auto" w:fill="auto"/>
            <w:noWrap/>
            <w:tcMar>
              <w:right w:w="113" w:type="dxa"/>
            </w:tcMar>
            <w:vAlign w:val="center"/>
          </w:tcPr>
          <w:p w14:paraId="504733F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56A22B0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265A902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15006EA6" w14:textId="77777777" w:rsidTr="004A0F26">
        <w:trPr>
          <w:trHeight w:val="240"/>
        </w:trPr>
        <w:tc>
          <w:tcPr>
            <w:tcW w:w="1690" w:type="pct"/>
            <w:shd w:val="clear" w:color="auto" w:fill="auto"/>
            <w:noWrap/>
            <w:vAlign w:val="center"/>
          </w:tcPr>
          <w:p w14:paraId="7AE62B94"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Singapore</w:t>
            </w:r>
          </w:p>
        </w:tc>
        <w:tc>
          <w:tcPr>
            <w:tcW w:w="1094" w:type="pct"/>
            <w:shd w:val="clear" w:color="auto" w:fill="auto"/>
            <w:noWrap/>
            <w:tcMar>
              <w:right w:w="113" w:type="dxa"/>
            </w:tcMar>
            <w:vAlign w:val="center"/>
          </w:tcPr>
          <w:p w14:paraId="6B22B86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0.447</w:t>
            </w:r>
          </w:p>
        </w:tc>
        <w:tc>
          <w:tcPr>
            <w:tcW w:w="1108" w:type="pct"/>
            <w:shd w:val="clear" w:color="auto" w:fill="auto"/>
            <w:noWrap/>
            <w:tcMar>
              <w:right w:w="113" w:type="dxa"/>
            </w:tcMar>
            <w:vAlign w:val="center"/>
          </w:tcPr>
          <w:p w14:paraId="2E0A7B4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0.581</w:t>
            </w:r>
          </w:p>
        </w:tc>
        <w:tc>
          <w:tcPr>
            <w:tcW w:w="1108" w:type="pct"/>
            <w:shd w:val="clear" w:color="auto" w:fill="auto"/>
            <w:noWrap/>
            <w:tcMar>
              <w:right w:w="113" w:type="dxa"/>
            </w:tcMar>
            <w:vAlign w:val="center"/>
          </w:tcPr>
          <w:p w14:paraId="63281D7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0.581</w:t>
            </w:r>
          </w:p>
        </w:tc>
      </w:tr>
      <w:tr w:rsidR="009F490A" w:rsidRPr="00F93BD2" w14:paraId="28D044BD" w14:textId="77777777" w:rsidTr="004A0F26">
        <w:trPr>
          <w:trHeight w:val="240"/>
        </w:trPr>
        <w:tc>
          <w:tcPr>
            <w:tcW w:w="1690" w:type="pct"/>
            <w:shd w:val="clear" w:color="auto" w:fill="auto"/>
            <w:noWrap/>
            <w:vAlign w:val="center"/>
          </w:tcPr>
          <w:p w14:paraId="4CA1A428"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Slovakia</w:t>
            </w:r>
          </w:p>
        </w:tc>
        <w:tc>
          <w:tcPr>
            <w:tcW w:w="1094" w:type="pct"/>
            <w:shd w:val="clear" w:color="auto" w:fill="auto"/>
            <w:noWrap/>
            <w:tcMar>
              <w:right w:w="113" w:type="dxa"/>
            </w:tcMar>
            <w:vAlign w:val="center"/>
          </w:tcPr>
          <w:p w14:paraId="702361C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0.160</w:t>
            </w:r>
          </w:p>
        </w:tc>
        <w:tc>
          <w:tcPr>
            <w:tcW w:w="1108" w:type="pct"/>
            <w:shd w:val="clear" w:color="auto" w:fill="auto"/>
            <w:noWrap/>
            <w:tcMar>
              <w:right w:w="113" w:type="dxa"/>
            </w:tcMar>
            <w:vAlign w:val="center"/>
          </w:tcPr>
          <w:p w14:paraId="186BFC6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0.208</w:t>
            </w:r>
          </w:p>
        </w:tc>
        <w:tc>
          <w:tcPr>
            <w:tcW w:w="1108" w:type="pct"/>
            <w:shd w:val="clear" w:color="auto" w:fill="auto"/>
            <w:noWrap/>
            <w:tcMar>
              <w:right w:w="113" w:type="dxa"/>
            </w:tcMar>
            <w:vAlign w:val="center"/>
          </w:tcPr>
          <w:p w14:paraId="01BF73F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0.208</w:t>
            </w:r>
          </w:p>
        </w:tc>
      </w:tr>
      <w:tr w:rsidR="009F490A" w:rsidRPr="00F93BD2" w14:paraId="0A377115" w14:textId="77777777" w:rsidTr="004A0F26">
        <w:trPr>
          <w:trHeight w:val="240"/>
        </w:trPr>
        <w:tc>
          <w:tcPr>
            <w:tcW w:w="1690" w:type="pct"/>
            <w:shd w:val="clear" w:color="auto" w:fill="auto"/>
            <w:noWrap/>
            <w:vAlign w:val="center"/>
          </w:tcPr>
          <w:p w14:paraId="58E9CC1F"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Slovenia</w:t>
            </w:r>
          </w:p>
        </w:tc>
        <w:tc>
          <w:tcPr>
            <w:tcW w:w="1094" w:type="pct"/>
            <w:shd w:val="clear" w:color="auto" w:fill="auto"/>
            <w:noWrap/>
            <w:tcMar>
              <w:right w:w="113" w:type="dxa"/>
            </w:tcMar>
            <w:vAlign w:val="center"/>
          </w:tcPr>
          <w:p w14:paraId="1C489A5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0.084</w:t>
            </w:r>
          </w:p>
        </w:tc>
        <w:tc>
          <w:tcPr>
            <w:tcW w:w="1108" w:type="pct"/>
            <w:shd w:val="clear" w:color="auto" w:fill="auto"/>
            <w:noWrap/>
            <w:tcMar>
              <w:right w:w="113" w:type="dxa"/>
            </w:tcMar>
            <w:vAlign w:val="center"/>
          </w:tcPr>
          <w:p w14:paraId="2856476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0.109</w:t>
            </w:r>
          </w:p>
        </w:tc>
        <w:tc>
          <w:tcPr>
            <w:tcW w:w="1108" w:type="pct"/>
            <w:shd w:val="clear" w:color="auto" w:fill="auto"/>
            <w:noWrap/>
            <w:tcMar>
              <w:right w:w="113" w:type="dxa"/>
            </w:tcMar>
            <w:vAlign w:val="center"/>
          </w:tcPr>
          <w:p w14:paraId="10FE636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0.109</w:t>
            </w:r>
          </w:p>
        </w:tc>
      </w:tr>
      <w:tr w:rsidR="009F490A" w:rsidRPr="00F93BD2" w14:paraId="18FB45CD" w14:textId="77777777" w:rsidTr="004A0F26">
        <w:trPr>
          <w:trHeight w:val="240"/>
        </w:trPr>
        <w:tc>
          <w:tcPr>
            <w:tcW w:w="1690" w:type="pct"/>
            <w:shd w:val="clear" w:color="auto" w:fill="auto"/>
            <w:noWrap/>
            <w:vAlign w:val="center"/>
          </w:tcPr>
          <w:p w14:paraId="0BF9FB3D"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Solomon Islands</w:t>
            </w:r>
          </w:p>
        </w:tc>
        <w:tc>
          <w:tcPr>
            <w:tcW w:w="1094" w:type="pct"/>
            <w:shd w:val="clear" w:color="auto" w:fill="auto"/>
            <w:noWrap/>
            <w:tcMar>
              <w:right w:w="113" w:type="dxa"/>
            </w:tcMar>
            <w:vAlign w:val="center"/>
          </w:tcPr>
          <w:p w14:paraId="1028070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6AA1CC3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5C252B4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50925FD1" w14:textId="77777777" w:rsidTr="004A0F26">
        <w:trPr>
          <w:trHeight w:val="240"/>
        </w:trPr>
        <w:tc>
          <w:tcPr>
            <w:tcW w:w="1690" w:type="pct"/>
            <w:shd w:val="clear" w:color="auto" w:fill="auto"/>
            <w:noWrap/>
            <w:vAlign w:val="center"/>
          </w:tcPr>
          <w:p w14:paraId="7AB1839D"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Somalia</w:t>
            </w:r>
          </w:p>
        </w:tc>
        <w:tc>
          <w:tcPr>
            <w:tcW w:w="1094" w:type="pct"/>
            <w:shd w:val="clear" w:color="auto" w:fill="auto"/>
            <w:noWrap/>
            <w:tcMar>
              <w:right w:w="113" w:type="dxa"/>
            </w:tcMar>
            <w:vAlign w:val="center"/>
          </w:tcPr>
          <w:p w14:paraId="07131C7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0336DF0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6B16464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5E05A8D8" w14:textId="77777777" w:rsidTr="004A0F26">
        <w:trPr>
          <w:trHeight w:val="240"/>
        </w:trPr>
        <w:tc>
          <w:tcPr>
            <w:tcW w:w="1690" w:type="pct"/>
            <w:shd w:val="clear" w:color="auto" w:fill="auto"/>
            <w:noWrap/>
            <w:vAlign w:val="center"/>
          </w:tcPr>
          <w:p w14:paraId="1A72BFDA"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South Africa</w:t>
            </w:r>
          </w:p>
        </w:tc>
        <w:tc>
          <w:tcPr>
            <w:tcW w:w="1094" w:type="pct"/>
            <w:shd w:val="clear" w:color="auto" w:fill="auto"/>
            <w:noWrap/>
            <w:tcMar>
              <w:right w:w="113" w:type="dxa"/>
            </w:tcMar>
            <w:vAlign w:val="center"/>
          </w:tcPr>
          <w:p w14:paraId="3F36C96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0.364</w:t>
            </w:r>
          </w:p>
        </w:tc>
        <w:tc>
          <w:tcPr>
            <w:tcW w:w="1108" w:type="pct"/>
            <w:shd w:val="clear" w:color="auto" w:fill="auto"/>
            <w:noWrap/>
            <w:tcMar>
              <w:right w:w="113" w:type="dxa"/>
            </w:tcMar>
            <w:vAlign w:val="center"/>
          </w:tcPr>
          <w:p w14:paraId="33D8C7D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0.473</w:t>
            </w:r>
          </w:p>
        </w:tc>
        <w:tc>
          <w:tcPr>
            <w:tcW w:w="1108" w:type="pct"/>
            <w:shd w:val="clear" w:color="auto" w:fill="auto"/>
            <w:noWrap/>
            <w:tcMar>
              <w:right w:w="113" w:type="dxa"/>
            </w:tcMar>
            <w:vAlign w:val="center"/>
          </w:tcPr>
          <w:p w14:paraId="1E7733A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0.473</w:t>
            </w:r>
          </w:p>
        </w:tc>
      </w:tr>
      <w:tr w:rsidR="009F490A" w:rsidRPr="00F93BD2" w14:paraId="591026C5" w14:textId="77777777" w:rsidTr="004A0F26">
        <w:trPr>
          <w:trHeight w:val="240"/>
        </w:trPr>
        <w:tc>
          <w:tcPr>
            <w:tcW w:w="1690" w:type="pct"/>
            <w:shd w:val="clear" w:color="auto" w:fill="auto"/>
            <w:noWrap/>
            <w:vAlign w:val="center"/>
          </w:tcPr>
          <w:p w14:paraId="1A2B4721"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Spain</w:t>
            </w:r>
          </w:p>
        </w:tc>
        <w:tc>
          <w:tcPr>
            <w:tcW w:w="1094" w:type="pct"/>
            <w:shd w:val="clear" w:color="auto" w:fill="auto"/>
            <w:noWrap/>
            <w:tcMar>
              <w:right w:w="113" w:type="dxa"/>
            </w:tcMar>
            <w:vAlign w:val="center"/>
          </w:tcPr>
          <w:p w14:paraId="09547C9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2.443</w:t>
            </w:r>
          </w:p>
        </w:tc>
        <w:tc>
          <w:tcPr>
            <w:tcW w:w="1108" w:type="pct"/>
            <w:shd w:val="clear" w:color="auto" w:fill="auto"/>
            <w:noWrap/>
            <w:tcMar>
              <w:right w:w="113" w:type="dxa"/>
            </w:tcMar>
            <w:vAlign w:val="center"/>
          </w:tcPr>
          <w:p w14:paraId="093D01F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3.865</w:t>
            </w:r>
          </w:p>
        </w:tc>
        <w:tc>
          <w:tcPr>
            <w:tcW w:w="1108" w:type="pct"/>
            <w:shd w:val="clear" w:color="auto" w:fill="auto"/>
            <w:noWrap/>
            <w:tcMar>
              <w:right w:w="113" w:type="dxa"/>
            </w:tcMar>
            <w:vAlign w:val="center"/>
          </w:tcPr>
          <w:p w14:paraId="0480B79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3.865</w:t>
            </w:r>
          </w:p>
        </w:tc>
      </w:tr>
      <w:tr w:rsidR="009F490A" w:rsidRPr="00F93BD2" w14:paraId="78353261" w14:textId="77777777" w:rsidTr="004A0F26">
        <w:trPr>
          <w:trHeight w:val="240"/>
        </w:trPr>
        <w:tc>
          <w:tcPr>
            <w:tcW w:w="1690" w:type="pct"/>
            <w:shd w:val="clear" w:color="auto" w:fill="auto"/>
            <w:noWrap/>
            <w:vAlign w:val="center"/>
          </w:tcPr>
          <w:p w14:paraId="5BAC4AA0"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lastRenderedPageBreak/>
              <w:t>Sri Lanka</w:t>
            </w:r>
          </w:p>
        </w:tc>
        <w:tc>
          <w:tcPr>
            <w:tcW w:w="1094" w:type="pct"/>
            <w:shd w:val="clear" w:color="auto" w:fill="auto"/>
            <w:noWrap/>
            <w:tcMar>
              <w:right w:w="113" w:type="dxa"/>
            </w:tcMar>
            <w:vAlign w:val="center"/>
          </w:tcPr>
          <w:p w14:paraId="7BB7CE0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0.031</w:t>
            </w:r>
          </w:p>
        </w:tc>
        <w:tc>
          <w:tcPr>
            <w:tcW w:w="1108" w:type="pct"/>
            <w:shd w:val="clear" w:color="auto" w:fill="auto"/>
            <w:noWrap/>
            <w:tcMar>
              <w:right w:w="113" w:type="dxa"/>
            </w:tcMar>
            <w:vAlign w:val="center"/>
          </w:tcPr>
          <w:p w14:paraId="55674CE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3.173</w:t>
            </w:r>
          </w:p>
        </w:tc>
        <w:tc>
          <w:tcPr>
            <w:tcW w:w="1108" w:type="pct"/>
            <w:shd w:val="clear" w:color="auto" w:fill="auto"/>
            <w:noWrap/>
            <w:tcMar>
              <w:right w:w="113" w:type="dxa"/>
            </w:tcMar>
            <w:vAlign w:val="center"/>
          </w:tcPr>
          <w:p w14:paraId="76FD8DC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3.173</w:t>
            </w:r>
          </w:p>
        </w:tc>
      </w:tr>
      <w:tr w:rsidR="009F490A" w:rsidRPr="00F93BD2" w14:paraId="021A8C78" w14:textId="77777777" w:rsidTr="004A0F26">
        <w:trPr>
          <w:trHeight w:val="240"/>
        </w:trPr>
        <w:tc>
          <w:tcPr>
            <w:tcW w:w="1690" w:type="pct"/>
            <w:shd w:val="clear" w:color="auto" w:fill="auto"/>
            <w:noWrap/>
            <w:vAlign w:val="center"/>
          </w:tcPr>
          <w:p w14:paraId="2BDAB5D7"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Sudan</w:t>
            </w:r>
          </w:p>
        </w:tc>
        <w:tc>
          <w:tcPr>
            <w:tcW w:w="1094" w:type="pct"/>
            <w:shd w:val="clear" w:color="auto" w:fill="auto"/>
            <w:noWrap/>
            <w:tcMar>
              <w:right w:w="113" w:type="dxa"/>
            </w:tcMar>
            <w:vAlign w:val="center"/>
          </w:tcPr>
          <w:p w14:paraId="007EC3A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0.010</w:t>
            </w:r>
          </w:p>
        </w:tc>
        <w:tc>
          <w:tcPr>
            <w:tcW w:w="1108" w:type="pct"/>
            <w:shd w:val="clear" w:color="auto" w:fill="auto"/>
            <w:noWrap/>
            <w:tcMar>
              <w:right w:w="113" w:type="dxa"/>
            </w:tcMar>
            <w:vAlign w:val="center"/>
          </w:tcPr>
          <w:p w14:paraId="1A24F9F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0.013</w:t>
            </w:r>
          </w:p>
        </w:tc>
        <w:tc>
          <w:tcPr>
            <w:tcW w:w="1108" w:type="pct"/>
            <w:shd w:val="clear" w:color="auto" w:fill="auto"/>
            <w:noWrap/>
            <w:tcMar>
              <w:right w:w="113" w:type="dxa"/>
            </w:tcMar>
            <w:vAlign w:val="center"/>
          </w:tcPr>
          <w:p w14:paraId="1796753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0.013</w:t>
            </w:r>
          </w:p>
        </w:tc>
      </w:tr>
      <w:tr w:rsidR="009F490A" w:rsidRPr="00F93BD2" w14:paraId="6A83657D" w14:textId="77777777" w:rsidTr="004A0F26">
        <w:trPr>
          <w:trHeight w:val="240"/>
        </w:trPr>
        <w:tc>
          <w:tcPr>
            <w:tcW w:w="1690" w:type="pct"/>
            <w:shd w:val="clear" w:color="auto" w:fill="auto"/>
            <w:noWrap/>
            <w:vAlign w:val="center"/>
          </w:tcPr>
          <w:p w14:paraId="4F8B8124"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Suriname</w:t>
            </w:r>
          </w:p>
        </w:tc>
        <w:tc>
          <w:tcPr>
            <w:tcW w:w="1094" w:type="pct"/>
            <w:shd w:val="clear" w:color="auto" w:fill="auto"/>
            <w:noWrap/>
            <w:tcMar>
              <w:right w:w="113" w:type="dxa"/>
            </w:tcMar>
            <w:vAlign w:val="center"/>
          </w:tcPr>
          <w:p w14:paraId="35E6245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0.006</w:t>
            </w:r>
          </w:p>
        </w:tc>
        <w:tc>
          <w:tcPr>
            <w:tcW w:w="1108" w:type="pct"/>
            <w:shd w:val="clear" w:color="auto" w:fill="auto"/>
            <w:noWrap/>
            <w:tcMar>
              <w:right w:w="113" w:type="dxa"/>
            </w:tcMar>
            <w:vAlign w:val="center"/>
          </w:tcPr>
          <w:p w14:paraId="590D507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0.008</w:t>
            </w:r>
          </w:p>
        </w:tc>
        <w:tc>
          <w:tcPr>
            <w:tcW w:w="1108" w:type="pct"/>
            <w:shd w:val="clear" w:color="auto" w:fill="auto"/>
            <w:noWrap/>
            <w:tcMar>
              <w:right w:w="113" w:type="dxa"/>
            </w:tcMar>
            <w:vAlign w:val="center"/>
          </w:tcPr>
          <w:p w14:paraId="6ED4887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0.008</w:t>
            </w:r>
          </w:p>
        </w:tc>
      </w:tr>
      <w:tr w:rsidR="009F490A" w:rsidRPr="00F93BD2" w14:paraId="7EBBF7C5" w14:textId="77777777" w:rsidTr="004A0F26">
        <w:trPr>
          <w:trHeight w:val="240"/>
        </w:trPr>
        <w:tc>
          <w:tcPr>
            <w:tcW w:w="1690" w:type="pct"/>
            <w:shd w:val="clear" w:color="auto" w:fill="auto"/>
            <w:noWrap/>
            <w:vAlign w:val="center"/>
          </w:tcPr>
          <w:p w14:paraId="4DD951CA"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Swaziland</w:t>
            </w:r>
          </w:p>
        </w:tc>
        <w:tc>
          <w:tcPr>
            <w:tcW w:w="1094" w:type="pct"/>
            <w:shd w:val="clear" w:color="auto" w:fill="auto"/>
            <w:noWrap/>
            <w:tcMar>
              <w:right w:w="113" w:type="dxa"/>
            </w:tcMar>
            <w:vAlign w:val="center"/>
          </w:tcPr>
          <w:p w14:paraId="2523830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0.002</w:t>
            </w:r>
          </w:p>
        </w:tc>
        <w:tc>
          <w:tcPr>
            <w:tcW w:w="1108" w:type="pct"/>
            <w:shd w:val="clear" w:color="auto" w:fill="auto"/>
            <w:noWrap/>
            <w:tcMar>
              <w:right w:w="113" w:type="dxa"/>
            </w:tcMar>
            <w:vAlign w:val="center"/>
          </w:tcPr>
          <w:p w14:paraId="5E65A84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c>
          <w:tcPr>
            <w:tcW w:w="1108" w:type="pct"/>
            <w:shd w:val="clear" w:color="auto" w:fill="auto"/>
            <w:noWrap/>
            <w:tcMar>
              <w:right w:w="113" w:type="dxa"/>
            </w:tcMar>
            <w:vAlign w:val="center"/>
          </w:tcPr>
          <w:p w14:paraId="7CF5DA1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r>
      <w:tr w:rsidR="009F490A" w:rsidRPr="00F93BD2" w14:paraId="43D1CAB6" w14:textId="77777777" w:rsidTr="004A0F26">
        <w:trPr>
          <w:trHeight w:val="240"/>
        </w:trPr>
        <w:tc>
          <w:tcPr>
            <w:tcW w:w="1690" w:type="pct"/>
            <w:shd w:val="clear" w:color="auto" w:fill="auto"/>
            <w:noWrap/>
            <w:vAlign w:val="center"/>
          </w:tcPr>
          <w:p w14:paraId="0C1D3DED"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Sweden</w:t>
            </w:r>
          </w:p>
        </w:tc>
        <w:tc>
          <w:tcPr>
            <w:tcW w:w="1094" w:type="pct"/>
            <w:shd w:val="clear" w:color="auto" w:fill="auto"/>
            <w:noWrap/>
            <w:tcMar>
              <w:right w:w="113" w:type="dxa"/>
            </w:tcMar>
            <w:vAlign w:val="center"/>
          </w:tcPr>
          <w:p w14:paraId="58DD5C3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0.956</w:t>
            </w:r>
          </w:p>
        </w:tc>
        <w:tc>
          <w:tcPr>
            <w:tcW w:w="1108" w:type="pct"/>
            <w:shd w:val="clear" w:color="auto" w:fill="auto"/>
            <w:noWrap/>
            <w:tcMar>
              <w:right w:w="113" w:type="dxa"/>
            </w:tcMar>
            <w:vAlign w:val="center"/>
          </w:tcPr>
          <w:p w14:paraId="3F28009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1.242</w:t>
            </w:r>
          </w:p>
        </w:tc>
        <w:tc>
          <w:tcPr>
            <w:tcW w:w="1108" w:type="pct"/>
            <w:shd w:val="clear" w:color="auto" w:fill="auto"/>
            <w:noWrap/>
            <w:tcMar>
              <w:right w:w="113" w:type="dxa"/>
            </w:tcMar>
            <w:vAlign w:val="center"/>
          </w:tcPr>
          <w:p w14:paraId="7CAAE9A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1.242</w:t>
            </w:r>
          </w:p>
        </w:tc>
      </w:tr>
      <w:tr w:rsidR="009F490A" w:rsidRPr="00F93BD2" w14:paraId="03112758" w14:textId="77777777" w:rsidTr="004A0F26">
        <w:trPr>
          <w:trHeight w:val="240"/>
        </w:trPr>
        <w:tc>
          <w:tcPr>
            <w:tcW w:w="1690" w:type="pct"/>
            <w:shd w:val="clear" w:color="auto" w:fill="auto"/>
            <w:noWrap/>
            <w:vAlign w:val="center"/>
          </w:tcPr>
          <w:p w14:paraId="625A8075"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Switzerland</w:t>
            </w:r>
          </w:p>
        </w:tc>
        <w:tc>
          <w:tcPr>
            <w:tcW w:w="1094" w:type="pct"/>
            <w:shd w:val="clear" w:color="auto" w:fill="auto"/>
            <w:noWrap/>
            <w:tcMar>
              <w:right w:w="113" w:type="dxa"/>
            </w:tcMar>
            <w:vAlign w:val="center"/>
          </w:tcPr>
          <w:p w14:paraId="44FEE843" w14:textId="77777777" w:rsidR="009F490A" w:rsidRPr="00F93BD2" w:rsidRDefault="009F490A" w:rsidP="004A0F26">
            <w:pPr>
              <w:suppressAutoHyphens w:val="0"/>
              <w:spacing w:line="240" w:lineRule="auto"/>
              <w:jc w:val="right"/>
              <w:rPr>
                <w:rFonts w:eastAsia="MS Mincho"/>
                <w:color w:val="000000"/>
                <w:sz w:val="18"/>
                <w:szCs w:val="18"/>
                <w:lang w:eastAsia="de-DE"/>
              </w:rPr>
            </w:pPr>
            <w:r w:rsidRPr="00F93BD2">
              <w:rPr>
                <w:rFonts w:eastAsia="MS Mincho"/>
                <w:sz w:val="18"/>
                <w:szCs w:val="18"/>
                <w:lang w:eastAsia="de-DE"/>
              </w:rPr>
              <w:t>1.140</w:t>
            </w:r>
          </w:p>
        </w:tc>
        <w:tc>
          <w:tcPr>
            <w:tcW w:w="1108" w:type="pct"/>
            <w:shd w:val="clear" w:color="auto" w:fill="auto"/>
            <w:noWrap/>
            <w:tcMar>
              <w:right w:w="113" w:type="dxa"/>
            </w:tcMar>
            <w:vAlign w:val="center"/>
          </w:tcPr>
          <w:p w14:paraId="0221316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1.481</w:t>
            </w:r>
          </w:p>
        </w:tc>
        <w:tc>
          <w:tcPr>
            <w:tcW w:w="1108" w:type="pct"/>
            <w:shd w:val="clear" w:color="auto" w:fill="auto"/>
            <w:noWrap/>
            <w:tcMar>
              <w:right w:w="113" w:type="dxa"/>
            </w:tcMar>
            <w:vAlign w:val="center"/>
          </w:tcPr>
          <w:p w14:paraId="4E71E95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1.481</w:t>
            </w:r>
          </w:p>
        </w:tc>
      </w:tr>
      <w:tr w:rsidR="009F490A" w:rsidRPr="00F93BD2" w14:paraId="6FED4A53" w14:textId="77777777" w:rsidTr="004A0F26">
        <w:trPr>
          <w:trHeight w:val="240"/>
        </w:trPr>
        <w:tc>
          <w:tcPr>
            <w:tcW w:w="1690" w:type="pct"/>
            <w:shd w:val="clear" w:color="auto" w:fill="auto"/>
            <w:noWrap/>
            <w:vAlign w:val="center"/>
          </w:tcPr>
          <w:p w14:paraId="441F0DB2"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Syrian Arab Republic</w:t>
            </w:r>
          </w:p>
        </w:tc>
        <w:tc>
          <w:tcPr>
            <w:tcW w:w="1094" w:type="pct"/>
            <w:shd w:val="clear" w:color="auto" w:fill="auto"/>
            <w:noWrap/>
            <w:tcMar>
              <w:right w:w="113" w:type="dxa"/>
            </w:tcMar>
            <w:vAlign w:val="center"/>
          </w:tcPr>
          <w:p w14:paraId="765D3E6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0.024</w:t>
            </w:r>
          </w:p>
        </w:tc>
        <w:tc>
          <w:tcPr>
            <w:tcW w:w="1108" w:type="pct"/>
            <w:shd w:val="clear" w:color="auto" w:fill="auto"/>
            <w:noWrap/>
            <w:tcMar>
              <w:right w:w="113" w:type="dxa"/>
            </w:tcMar>
            <w:vAlign w:val="center"/>
          </w:tcPr>
          <w:p w14:paraId="722F027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0.031</w:t>
            </w:r>
          </w:p>
        </w:tc>
        <w:tc>
          <w:tcPr>
            <w:tcW w:w="1108" w:type="pct"/>
            <w:shd w:val="clear" w:color="auto" w:fill="auto"/>
            <w:noWrap/>
            <w:tcMar>
              <w:right w:w="113" w:type="dxa"/>
            </w:tcMar>
            <w:vAlign w:val="center"/>
          </w:tcPr>
          <w:p w14:paraId="107EEA4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0.031</w:t>
            </w:r>
          </w:p>
        </w:tc>
      </w:tr>
      <w:tr w:rsidR="009F490A" w:rsidRPr="00F93BD2" w14:paraId="08E74E08" w14:textId="77777777" w:rsidTr="004A0F26">
        <w:trPr>
          <w:trHeight w:val="240"/>
        </w:trPr>
        <w:tc>
          <w:tcPr>
            <w:tcW w:w="1690" w:type="pct"/>
            <w:shd w:val="clear" w:color="auto" w:fill="auto"/>
            <w:noWrap/>
            <w:vAlign w:val="center"/>
          </w:tcPr>
          <w:p w14:paraId="7D495161"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Tajikistan</w:t>
            </w:r>
          </w:p>
        </w:tc>
        <w:tc>
          <w:tcPr>
            <w:tcW w:w="1094" w:type="pct"/>
            <w:shd w:val="clear" w:color="auto" w:fill="auto"/>
            <w:noWrap/>
            <w:tcMar>
              <w:right w:w="113" w:type="dxa"/>
            </w:tcMar>
            <w:vAlign w:val="center"/>
          </w:tcPr>
          <w:p w14:paraId="00C3E09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c>
          <w:tcPr>
            <w:tcW w:w="1108" w:type="pct"/>
            <w:shd w:val="clear" w:color="auto" w:fill="auto"/>
            <w:noWrap/>
            <w:tcMar>
              <w:right w:w="113" w:type="dxa"/>
            </w:tcMar>
            <w:vAlign w:val="center"/>
          </w:tcPr>
          <w:p w14:paraId="758AC48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0.005</w:t>
            </w:r>
          </w:p>
        </w:tc>
        <w:tc>
          <w:tcPr>
            <w:tcW w:w="1108" w:type="pct"/>
            <w:shd w:val="clear" w:color="auto" w:fill="auto"/>
            <w:noWrap/>
            <w:tcMar>
              <w:right w:w="113" w:type="dxa"/>
            </w:tcMar>
            <w:vAlign w:val="center"/>
          </w:tcPr>
          <w:p w14:paraId="67A3906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0.005</w:t>
            </w:r>
          </w:p>
        </w:tc>
      </w:tr>
      <w:tr w:rsidR="009F490A" w:rsidRPr="00F93BD2" w14:paraId="2C1EE91E" w14:textId="77777777" w:rsidTr="004A0F26">
        <w:trPr>
          <w:trHeight w:val="240"/>
        </w:trPr>
        <w:tc>
          <w:tcPr>
            <w:tcW w:w="1690" w:type="pct"/>
            <w:shd w:val="clear" w:color="auto" w:fill="auto"/>
            <w:noWrap/>
            <w:vAlign w:val="center"/>
          </w:tcPr>
          <w:p w14:paraId="2CA94C7E"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Thailand</w:t>
            </w:r>
          </w:p>
        </w:tc>
        <w:tc>
          <w:tcPr>
            <w:tcW w:w="1094" w:type="pct"/>
            <w:shd w:val="clear" w:color="auto" w:fill="auto"/>
            <w:noWrap/>
            <w:tcMar>
              <w:right w:w="113" w:type="dxa"/>
            </w:tcMar>
            <w:vAlign w:val="center"/>
          </w:tcPr>
          <w:p w14:paraId="75E8517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0.291</w:t>
            </w:r>
          </w:p>
        </w:tc>
        <w:tc>
          <w:tcPr>
            <w:tcW w:w="1108" w:type="pct"/>
            <w:shd w:val="clear" w:color="auto" w:fill="auto"/>
            <w:noWrap/>
            <w:tcMar>
              <w:right w:w="113" w:type="dxa"/>
            </w:tcMar>
            <w:vAlign w:val="center"/>
          </w:tcPr>
          <w:p w14:paraId="6C8A3E4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0.378</w:t>
            </w:r>
          </w:p>
        </w:tc>
        <w:tc>
          <w:tcPr>
            <w:tcW w:w="1108" w:type="pct"/>
            <w:shd w:val="clear" w:color="auto" w:fill="auto"/>
            <w:noWrap/>
            <w:tcMar>
              <w:right w:w="113" w:type="dxa"/>
            </w:tcMar>
            <w:vAlign w:val="center"/>
          </w:tcPr>
          <w:p w14:paraId="0E85551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0.378</w:t>
            </w:r>
          </w:p>
        </w:tc>
      </w:tr>
      <w:tr w:rsidR="009F490A" w:rsidRPr="00F93BD2" w14:paraId="124FFDA6" w14:textId="77777777" w:rsidTr="004A0F26">
        <w:trPr>
          <w:trHeight w:val="240"/>
        </w:trPr>
        <w:tc>
          <w:tcPr>
            <w:tcW w:w="1690" w:type="pct"/>
            <w:shd w:val="clear" w:color="auto" w:fill="auto"/>
            <w:noWrap/>
            <w:vAlign w:val="center"/>
          </w:tcPr>
          <w:p w14:paraId="38E1E47D"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The former Yugoslav Republic of Macedonia</w:t>
            </w:r>
          </w:p>
        </w:tc>
        <w:tc>
          <w:tcPr>
            <w:tcW w:w="1094" w:type="pct"/>
            <w:shd w:val="clear" w:color="auto" w:fill="auto"/>
            <w:noWrap/>
            <w:tcMar>
              <w:right w:w="113" w:type="dxa"/>
            </w:tcMar>
            <w:vAlign w:val="center"/>
          </w:tcPr>
          <w:p w14:paraId="4D0758E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0.007</w:t>
            </w:r>
          </w:p>
        </w:tc>
        <w:tc>
          <w:tcPr>
            <w:tcW w:w="1108" w:type="pct"/>
            <w:shd w:val="clear" w:color="auto" w:fill="auto"/>
            <w:noWrap/>
            <w:tcMar>
              <w:right w:w="113" w:type="dxa"/>
            </w:tcMar>
            <w:vAlign w:val="center"/>
          </w:tcPr>
          <w:p w14:paraId="2DEAEA1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0.009</w:t>
            </w:r>
          </w:p>
        </w:tc>
        <w:tc>
          <w:tcPr>
            <w:tcW w:w="1108" w:type="pct"/>
            <w:shd w:val="clear" w:color="auto" w:fill="auto"/>
            <w:noWrap/>
            <w:tcMar>
              <w:right w:w="113" w:type="dxa"/>
            </w:tcMar>
            <w:vAlign w:val="center"/>
          </w:tcPr>
          <w:p w14:paraId="282443F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0.009</w:t>
            </w:r>
          </w:p>
        </w:tc>
      </w:tr>
      <w:tr w:rsidR="009F490A" w:rsidRPr="00F93BD2" w14:paraId="38A645C0" w14:textId="77777777" w:rsidTr="004A0F26">
        <w:trPr>
          <w:trHeight w:val="240"/>
        </w:trPr>
        <w:tc>
          <w:tcPr>
            <w:tcW w:w="1690" w:type="pct"/>
            <w:shd w:val="clear" w:color="auto" w:fill="auto"/>
            <w:noWrap/>
            <w:vAlign w:val="center"/>
          </w:tcPr>
          <w:p w14:paraId="21C29582"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Timor-Leste</w:t>
            </w:r>
          </w:p>
        </w:tc>
        <w:tc>
          <w:tcPr>
            <w:tcW w:w="1094" w:type="pct"/>
            <w:shd w:val="clear" w:color="auto" w:fill="auto"/>
            <w:noWrap/>
            <w:tcMar>
              <w:right w:w="113" w:type="dxa"/>
            </w:tcMar>
            <w:vAlign w:val="center"/>
          </w:tcPr>
          <w:p w14:paraId="40EE6BA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0.003</w:t>
            </w:r>
          </w:p>
        </w:tc>
        <w:tc>
          <w:tcPr>
            <w:tcW w:w="1108" w:type="pct"/>
            <w:shd w:val="clear" w:color="auto" w:fill="auto"/>
            <w:noWrap/>
            <w:tcMar>
              <w:right w:w="113" w:type="dxa"/>
            </w:tcMar>
            <w:vAlign w:val="center"/>
          </w:tcPr>
          <w:p w14:paraId="15A4ADD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c>
          <w:tcPr>
            <w:tcW w:w="1108" w:type="pct"/>
            <w:shd w:val="clear" w:color="auto" w:fill="auto"/>
            <w:noWrap/>
            <w:tcMar>
              <w:right w:w="113" w:type="dxa"/>
            </w:tcMar>
            <w:vAlign w:val="center"/>
          </w:tcPr>
          <w:p w14:paraId="69AD4E6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r>
      <w:tr w:rsidR="009F490A" w:rsidRPr="00F93BD2" w14:paraId="58199737" w14:textId="77777777" w:rsidTr="004A0F26">
        <w:trPr>
          <w:trHeight w:val="240"/>
        </w:trPr>
        <w:tc>
          <w:tcPr>
            <w:tcW w:w="1690" w:type="pct"/>
            <w:shd w:val="clear" w:color="auto" w:fill="auto"/>
            <w:noWrap/>
            <w:vAlign w:val="center"/>
          </w:tcPr>
          <w:p w14:paraId="5DCE9949"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Togo</w:t>
            </w:r>
          </w:p>
        </w:tc>
        <w:tc>
          <w:tcPr>
            <w:tcW w:w="1094" w:type="pct"/>
            <w:shd w:val="clear" w:color="auto" w:fill="auto"/>
            <w:noWrap/>
            <w:tcMar>
              <w:right w:w="113" w:type="dxa"/>
            </w:tcMar>
            <w:vAlign w:val="center"/>
          </w:tcPr>
          <w:p w14:paraId="59DB6AB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519B0A6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43EC377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4B9BCE8E" w14:textId="77777777" w:rsidTr="004A0F26">
        <w:trPr>
          <w:trHeight w:val="240"/>
        </w:trPr>
        <w:tc>
          <w:tcPr>
            <w:tcW w:w="1690" w:type="pct"/>
            <w:shd w:val="clear" w:color="auto" w:fill="auto"/>
            <w:noWrap/>
            <w:vAlign w:val="center"/>
          </w:tcPr>
          <w:p w14:paraId="68CB0CE4"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Tonga</w:t>
            </w:r>
          </w:p>
        </w:tc>
        <w:tc>
          <w:tcPr>
            <w:tcW w:w="1094" w:type="pct"/>
            <w:shd w:val="clear" w:color="auto" w:fill="auto"/>
            <w:noWrap/>
            <w:tcMar>
              <w:right w:w="113" w:type="dxa"/>
            </w:tcMar>
            <w:vAlign w:val="center"/>
          </w:tcPr>
          <w:p w14:paraId="50BA86F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1ED82FB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66AB104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66B38AA8" w14:textId="77777777" w:rsidTr="004A0F26">
        <w:trPr>
          <w:trHeight w:val="240"/>
        </w:trPr>
        <w:tc>
          <w:tcPr>
            <w:tcW w:w="1690" w:type="pct"/>
            <w:shd w:val="clear" w:color="auto" w:fill="auto"/>
            <w:noWrap/>
            <w:vAlign w:val="center"/>
          </w:tcPr>
          <w:p w14:paraId="334FECDC"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Trinidad and Tobago</w:t>
            </w:r>
          </w:p>
        </w:tc>
        <w:tc>
          <w:tcPr>
            <w:tcW w:w="1094" w:type="pct"/>
            <w:shd w:val="clear" w:color="auto" w:fill="auto"/>
            <w:noWrap/>
            <w:tcMar>
              <w:right w:w="113" w:type="dxa"/>
            </w:tcMar>
            <w:vAlign w:val="center"/>
          </w:tcPr>
          <w:p w14:paraId="1C3E948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0.034</w:t>
            </w:r>
          </w:p>
        </w:tc>
        <w:tc>
          <w:tcPr>
            <w:tcW w:w="1108" w:type="pct"/>
            <w:shd w:val="clear" w:color="auto" w:fill="auto"/>
            <w:noWrap/>
            <w:tcMar>
              <w:right w:w="113" w:type="dxa"/>
            </w:tcMar>
            <w:vAlign w:val="center"/>
          </w:tcPr>
          <w:p w14:paraId="27D3F7E0"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0.044</w:t>
            </w:r>
          </w:p>
        </w:tc>
        <w:tc>
          <w:tcPr>
            <w:tcW w:w="1108" w:type="pct"/>
            <w:shd w:val="clear" w:color="auto" w:fill="auto"/>
            <w:noWrap/>
            <w:tcMar>
              <w:right w:w="113" w:type="dxa"/>
            </w:tcMar>
            <w:vAlign w:val="center"/>
          </w:tcPr>
          <w:p w14:paraId="09D90C2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0.044</w:t>
            </w:r>
          </w:p>
        </w:tc>
      </w:tr>
      <w:tr w:rsidR="009F490A" w:rsidRPr="00F93BD2" w14:paraId="6F723DDD" w14:textId="77777777" w:rsidTr="004A0F26">
        <w:trPr>
          <w:trHeight w:val="240"/>
        </w:trPr>
        <w:tc>
          <w:tcPr>
            <w:tcW w:w="1690" w:type="pct"/>
            <w:shd w:val="clear" w:color="auto" w:fill="auto"/>
            <w:noWrap/>
            <w:vAlign w:val="center"/>
          </w:tcPr>
          <w:p w14:paraId="10DB371C"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Tunisia</w:t>
            </w:r>
          </w:p>
        </w:tc>
        <w:tc>
          <w:tcPr>
            <w:tcW w:w="1094" w:type="pct"/>
            <w:shd w:val="clear" w:color="auto" w:fill="auto"/>
            <w:noWrap/>
            <w:tcMar>
              <w:right w:w="113" w:type="dxa"/>
            </w:tcMar>
            <w:vAlign w:val="center"/>
          </w:tcPr>
          <w:p w14:paraId="44DDEC1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0.028</w:t>
            </w:r>
          </w:p>
        </w:tc>
        <w:tc>
          <w:tcPr>
            <w:tcW w:w="1108" w:type="pct"/>
            <w:shd w:val="clear" w:color="auto" w:fill="auto"/>
            <w:noWrap/>
            <w:tcMar>
              <w:right w:w="113" w:type="dxa"/>
            </w:tcMar>
            <w:vAlign w:val="center"/>
          </w:tcPr>
          <w:p w14:paraId="10B7DE3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0.036</w:t>
            </w:r>
          </w:p>
        </w:tc>
        <w:tc>
          <w:tcPr>
            <w:tcW w:w="1108" w:type="pct"/>
            <w:shd w:val="clear" w:color="auto" w:fill="auto"/>
            <w:noWrap/>
            <w:tcMar>
              <w:right w:w="113" w:type="dxa"/>
            </w:tcMar>
            <w:vAlign w:val="center"/>
          </w:tcPr>
          <w:p w14:paraId="78D3C67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0.036</w:t>
            </w:r>
          </w:p>
        </w:tc>
      </w:tr>
      <w:tr w:rsidR="009F490A" w:rsidRPr="00F93BD2" w14:paraId="40499B76" w14:textId="77777777" w:rsidTr="004A0F26">
        <w:trPr>
          <w:trHeight w:val="240"/>
        </w:trPr>
        <w:tc>
          <w:tcPr>
            <w:tcW w:w="1690" w:type="pct"/>
            <w:shd w:val="clear" w:color="auto" w:fill="auto"/>
            <w:noWrap/>
            <w:vAlign w:val="center"/>
          </w:tcPr>
          <w:p w14:paraId="0CBC37C2"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Turkey</w:t>
            </w:r>
          </w:p>
        </w:tc>
        <w:tc>
          <w:tcPr>
            <w:tcW w:w="1094" w:type="pct"/>
            <w:shd w:val="clear" w:color="auto" w:fill="auto"/>
            <w:noWrap/>
            <w:tcMar>
              <w:right w:w="113" w:type="dxa"/>
            </w:tcMar>
            <w:vAlign w:val="center"/>
          </w:tcPr>
          <w:p w14:paraId="2BB3B35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1.018</w:t>
            </w:r>
          </w:p>
        </w:tc>
        <w:tc>
          <w:tcPr>
            <w:tcW w:w="1108" w:type="pct"/>
            <w:shd w:val="clear" w:color="auto" w:fill="auto"/>
            <w:noWrap/>
            <w:tcMar>
              <w:right w:w="113" w:type="dxa"/>
            </w:tcMar>
            <w:vAlign w:val="center"/>
          </w:tcPr>
          <w:p w14:paraId="27F2F9D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1.322</w:t>
            </w:r>
          </w:p>
        </w:tc>
        <w:tc>
          <w:tcPr>
            <w:tcW w:w="1108" w:type="pct"/>
            <w:shd w:val="clear" w:color="auto" w:fill="auto"/>
            <w:noWrap/>
            <w:tcMar>
              <w:right w:w="113" w:type="dxa"/>
            </w:tcMar>
            <w:vAlign w:val="center"/>
          </w:tcPr>
          <w:p w14:paraId="2F67E85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1.322</w:t>
            </w:r>
          </w:p>
        </w:tc>
      </w:tr>
      <w:tr w:rsidR="009F490A" w:rsidRPr="00F93BD2" w14:paraId="63B07E8B" w14:textId="77777777" w:rsidTr="004A0F26">
        <w:trPr>
          <w:trHeight w:val="240"/>
        </w:trPr>
        <w:tc>
          <w:tcPr>
            <w:tcW w:w="1690" w:type="pct"/>
            <w:shd w:val="clear" w:color="auto" w:fill="auto"/>
            <w:noWrap/>
            <w:vAlign w:val="center"/>
          </w:tcPr>
          <w:p w14:paraId="62DDE4BE"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Turkmenistan</w:t>
            </w:r>
          </w:p>
        </w:tc>
        <w:tc>
          <w:tcPr>
            <w:tcW w:w="1094" w:type="pct"/>
            <w:shd w:val="clear" w:color="auto" w:fill="auto"/>
            <w:noWrap/>
            <w:tcMar>
              <w:right w:w="113" w:type="dxa"/>
            </w:tcMar>
            <w:vAlign w:val="center"/>
          </w:tcPr>
          <w:p w14:paraId="759D35EC"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0.026</w:t>
            </w:r>
          </w:p>
        </w:tc>
        <w:tc>
          <w:tcPr>
            <w:tcW w:w="1108" w:type="pct"/>
            <w:shd w:val="clear" w:color="auto" w:fill="auto"/>
            <w:noWrap/>
            <w:tcMar>
              <w:right w:w="113" w:type="dxa"/>
            </w:tcMar>
            <w:vAlign w:val="center"/>
          </w:tcPr>
          <w:p w14:paraId="2B2A83F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0.034</w:t>
            </w:r>
          </w:p>
        </w:tc>
        <w:tc>
          <w:tcPr>
            <w:tcW w:w="1108" w:type="pct"/>
            <w:shd w:val="clear" w:color="auto" w:fill="auto"/>
            <w:noWrap/>
            <w:tcMar>
              <w:right w:w="113" w:type="dxa"/>
            </w:tcMar>
            <w:vAlign w:val="center"/>
          </w:tcPr>
          <w:p w14:paraId="19155D7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0.034</w:t>
            </w:r>
          </w:p>
        </w:tc>
      </w:tr>
      <w:tr w:rsidR="009F490A" w:rsidRPr="00F93BD2" w14:paraId="6084DAEE" w14:textId="77777777" w:rsidTr="004A0F26">
        <w:trPr>
          <w:trHeight w:val="240"/>
        </w:trPr>
        <w:tc>
          <w:tcPr>
            <w:tcW w:w="1690" w:type="pct"/>
            <w:shd w:val="clear" w:color="auto" w:fill="auto"/>
            <w:noWrap/>
            <w:vAlign w:val="center"/>
          </w:tcPr>
          <w:p w14:paraId="04F37730"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Tuvalu</w:t>
            </w:r>
          </w:p>
        </w:tc>
        <w:tc>
          <w:tcPr>
            <w:tcW w:w="1094" w:type="pct"/>
            <w:shd w:val="clear" w:color="auto" w:fill="auto"/>
            <w:noWrap/>
            <w:tcMar>
              <w:right w:w="113" w:type="dxa"/>
            </w:tcMar>
            <w:vAlign w:val="center"/>
          </w:tcPr>
          <w:p w14:paraId="0B301401" w14:textId="77777777" w:rsidR="009F490A" w:rsidRPr="00F93BD2" w:rsidRDefault="009F490A" w:rsidP="004A0F26">
            <w:pPr>
              <w:suppressAutoHyphens w:val="0"/>
              <w:spacing w:line="240" w:lineRule="auto"/>
              <w:jc w:val="right"/>
              <w:rPr>
                <w:rFonts w:eastAsia="MS Mincho"/>
                <w:color w:val="000000"/>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4E7C1A3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0A0798F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5EE38CCF" w14:textId="77777777" w:rsidTr="004A0F26">
        <w:trPr>
          <w:trHeight w:val="240"/>
        </w:trPr>
        <w:tc>
          <w:tcPr>
            <w:tcW w:w="1690" w:type="pct"/>
            <w:shd w:val="clear" w:color="auto" w:fill="auto"/>
            <w:noWrap/>
            <w:vAlign w:val="center"/>
          </w:tcPr>
          <w:p w14:paraId="63CFBF11"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Uganda</w:t>
            </w:r>
          </w:p>
        </w:tc>
        <w:tc>
          <w:tcPr>
            <w:tcW w:w="1094" w:type="pct"/>
            <w:shd w:val="clear" w:color="auto" w:fill="auto"/>
            <w:noWrap/>
            <w:tcMar>
              <w:right w:w="113" w:type="dxa"/>
            </w:tcMar>
            <w:vAlign w:val="center"/>
          </w:tcPr>
          <w:p w14:paraId="33E1CA8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0.009</w:t>
            </w:r>
          </w:p>
        </w:tc>
        <w:tc>
          <w:tcPr>
            <w:tcW w:w="1108" w:type="pct"/>
            <w:shd w:val="clear" w:color="auto" w:fill="auto"/>
            <w:noWrap/>
            <w:tcMar>
              <w:right w:w="113" w:type="dxa"/>
            </w:tcMar>
            <w:vAlign w:val="center"/>
          </w:tcPr>
          <w:p w14:paraId="7822ED8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0.012</w:t>
            </w:r>
          </w:p>
        </w:tc>
        <w:tc>
          <w:tcPr>
            <w:tcW w:w="1108" w:type="pct"/>
            <w:shd w:val="clear" w:color="auto" w:fill="auto"/>
            <w:noWrap/>
            <w:tcMar>
              <w:right w:w="113" w:type="dxa"/>
            </w:tcMar>
            <w:vAlign w:val="center"/>
          </w:tcPr>
          <w:p w14:paraId="6EFF9AD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0.012</w:t>
            </w:r>
          </w:p>
        </w:tc>
      </w:tr>
      <w:tr w:rsidR="009F490A" w:rsidRPr="00F93BD2" w14:paraId="25557E0B" w14:textId="77777777" w:rsidTr="004A0F26">
        <w:trPr>
          <w:trHeight w:val="240"/>
        </w:trPr>
        <w:tc>
          <w:tcPr>
            <w:tcW w:w="1690" w:type="pct"/>
            <w:shd w:val="clear" w:color="auto" w:fill="auto"/>
            <w:noWrap/>
            <w:vAlign w:val="center"/>
          </w:tcPr>
          <w:p w14:paraId="5A9DBA4A"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Ukraine</w:t>
            </w:r>
          </w:p>
        </w:tc>
        <w:tc>
          <w:tcPr>
            <w:tcW w:w="1094" w:type="pct"/>
            <w:shd w:val="clear" w:color="auto" w:fill="auto"/>
            <w:noWrap/>
            <w:tcMar>
              <w:right w:w="113" w:type="dxa"/>
            </w:tcMar>
            <w:vAlign w:val="center"/>
          </w:tcPr>
          <w:p w14:paraId="7000819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0.103</w:t>
            </w:r>
          </w:p>
        </w:tc>
        <w:tc>
          <w:tcPr>
            <w:tcW w:w="1108" w:type="pct"/>
            <w:shd w:val="clear" w:color="auto" w:fill="auto"/>
            <w:noWrap/>
            <w:tcMar>
              <w:right w:w="113" w:type="dxa"/>
            </w:tcMar>
            <w:vAlign w:val="center"/>
          </w:tcPr>
          <w:p w14:paraId="5E78A6D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0.134</w:t>
            </w:r>
          </w:p>
        </w:tc>
        <w:tc>
          <w:tcPr>
            <w:tcW w:w="1108" w:type="pct"/>
            <w:shd w:val="clear" w:color="auto" w:fill="auto"/>
            <w:noWrap/>
            <w:tcMar>
              <w:right w:w="113" w:type="dxa"/>
            </w:tcMar>
            <w:vAlign w:val="center"/>
          </w:tcPr>
          <w:p w14:paraId="55A490D7"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0.134</w:t>
            </w:r>
          </w:p>
        </w:tc>
      </w:tr>
      <w:tr w:rsidR="009F490A" w:rsidRPr="00F93BD2" w14:paraId="339D5BF6" w14:textId="77777777" w:rsidTr="004A0F26">
        <w:trPr>
          <w:trHeight w:val="240"/>
        </w:trPr>
        <w:tc>
          <w:tcPr>
            <w:tcW w:w="1690" w:type="pct"/>
            <w:shd w:val="clear" w:color="auto" w:fill="auto"/>
            <w:noWrap/>
            <w:vAlign w:val="center"/>
          </w:tcPr>
          <w:p w14:paraId="5BD14216"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United Arab Emirates</w:t>
            </w:r>
          </w:p>
        </w:tc>
        <w:tc>
          <w:tcPr>
            <w:tcW w:w="1094" w:type="pct"/>
            <w:shd w:val="clear" w:color="auto" w:fill="auto"/>
            <w:noWrap/>
            <w:tcMar>
              <w:right w:w="113" w:type="dxa"/>
            </w:tcMar>
            <w:vAlign w:val="center"/>
          </w:tcPr>
          <w:p w14:paraId="05E13AE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0.604</w:t>
            </w:r>
          </w:p>
        </w:tc>
        <w:tc>
          <w:tcPr>
            <w:tcW w:w="1108" w:type="pct"/>
            <w:shd w:val="clear" w:color="auto" w:fill="auto"/>
            <w:noWrap/>
            <w:tcMar>
              <w:right w:w="113" w:type="dxa"/>
            </w:tcMar>
            <w:vAlign w:val="center"/>
          </w:tcPr>
          <w:p w14:paraId="2C9CB15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0.785</w:t>
            </w:r>
          </w:p>
        </w:tc>
        <w:tc>
          <w:tcPr>
            <w:tcW w:w="1108" w:type="pct"/>
            <w:shd w:val="clear" w:color="auto" w:fill="auto"/>
            <w:noWrap/>
            <w:tcMar>
              <w:right w:w="113" w:type="dxa"/>
            </w:tcMar>
            <w:vAlign w:val="center"/>
          </w:tcPr>
          <w:p w14:paraId="124D1EA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0.785</w:t>
            </w:r>
          </w:p>
        </w:tc>
      </w:tr>
      <w:tr w:rsidR="009F490A" w:rsidRPr="00F93BD2" w14:paraId="4A8E4E37" w14:textId="77777777" w:rsidTr="004A0F26">
        <w:trPr>
          <w:trHeight w:val="240"/>
        </w:trPr>
        <w:tc>
          <w:tcPr>
            <w:tcW w:w="1690" w:type="pct"/>
            <w:shd w:val="clear" w:color="auto" w:fill="auto"/>
            <w:noWrap/>
            <w:vAlign w:val="center"/>
          </w:tcPr>
          <w:p w14:paraId="36DDB2CD"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United Kingdom of Great Britain and Northern Ireland</w:t>
            </w:r>
          </w:p>
        </w:tc>
        <w:tc>
          <w:tcPr>
            <w:tcW w:w="1094" w:type="pct"/>
            <w:shd w:val="clear" w:color="auto" w:fill="auto"/>
            <w:noWrap/>
            <w:tcMar>
              <w:right w:w="113" w:type="dxa"/>
            </w:tcMar>
            <w:vAlign w:val="center"/>
          </w:tcPr>
          <w:p w14:paraId="7221326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4.463</w:t>
            </w:r>
          </w:p>
        </w:tc>
        <w:tc>
          <w:tcPr>
            <w:tcW w:w="1108" w:type="pct"/>
            <w:shd w:val="clear" w:color="auto" w:fill="auto"/>
            <w:noWrap/>
            <w:tcMar>
              <w:right w:w="113" w:type="dxa"/>
            </w:tcMar>
            <w:vAlign w:val="center"/>
          </w:tcPr>
          <w:p w14:paraId="7E982BC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5.797</w:t>
            </w:r>
          </w:p>
        </w:tc>
        <w:tc>
          <w:tcPr>
            <w:tcW w:w="1108" w:type="pct"/>
            <w:shd w:val="clear" w:color="auto" w:fill="auto"/>
            <w:noWrap/>
            <w:tcMar>
              <w:right w:w="113" w:type="dxa"/>
            </w:tcMar>
            <w:vAlign w:val="center"/>
          </w:tcPr>
          <w:p w14:paraId="2ED55E4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5.797</w:t>
            </w:r>
          </w:p>
        </w:tc>
      </w:tr>
      <w:tr w:rsidR="009F490A" w:rsidRPr="00F93BD2" w14:paraId="164E78A5" w14:textId="77777777" w:rsidTr="004A0F26">
        <w:trPr>
          <w:trHeight w:val="240"/>
        </w:trPr>
        <w:tc>
          <w:tcPr>
            <w:tcW w:w="1690" w:type="pct"/>
            <w:shd w:val="clear" w:color="auto" w:fill="auto"/>
            <w:noWrap/>
            <w:vAlign w:val="center"/>
          </w:tcPr>
          <w:p w14:paraId="505B62F4"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United Republic of Tanzania</w:t>
            </w:r>
          </w:p>
        </w:tc>
        <w:tc>
          <w:tcPr>
            <w:tcW w:w="1094" w:type="pct"/>
            <w:shd w:val="clear" w:color="auto" w:fill="auto"/>
            <w:noWrap/>
            <w:tcMar>
              <w:right w:w="113" w:type="dxa"/>
            </w:tcMar>
            <w:vAlign w:val="center"/>
          </w:tcPr>
          <w:p w14:paraId="5CF015B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0.010</w:t>
            </w:r>
          </w:p>
        </w:tc>
        <w:tc>
          <w:tcPr>
            <w:tcW w:w="1108" w:type="pct"/>
            <w:shd w:val="clear" w:color="auto" w:fill="auto"/>
            <w:noWrap/>
            <w:tcMar>
              <w:right w:w="113" w:type="dxa"/>
            </w:tcMar>
            <w:vAlign w:val="center"/>
          </w:tcPr>
          <w:p w14:paraId="017DD69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0.013</w:t>
            </w:r>
          </w:p>
        </w:tc>
        <w:tc>
          <w:tcPr>
            <w:tcW w:w="1108" w:type="pct"/>
            <w:shd w:val="clear" w:color="auto" w:fill="auto"/>
            <w:noWrap/>
            <w:tcMar>
              <w:right w:w="113" w:type="dxa"/>
            </w:tcMar>
            <w:vAlign w:val="center"/>
          </w:tcPr>
          <w:p w14:paraId="539F034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0.013</w:t>
            </w:r>
          </w:p>
        </w:tc>
      </w:tr>
      <w:tr w:rsidR="009F490A" w:rsidRPr="00F93BD2" w14:paraId="321F8ABD" w14:textId="77777777" w:rsidTr="004A0F26">
        <w:trPr>
          <w:trHeight w:val="240"/>
        </w:trPr>
        <w:tc>
          <w:tcPr>
            <w:tcW w:w="1690" w:type="pct"/>
            <w:shd w:val="clear" w:color="auto" w:fill="auto"/>
            <w:noWrap/>
            <w:vAlign w:val="center"/>
          </w:tcPr>
          <w:p w14:paraId="5B76FE73"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Uruguay</w:t>
            </w:r>
          </w:p>
        </w:tc>
        <w:tc>
          <w:tcPr>
            <w:tcW w:w="1094" w:type="pct"/>
            <w:shd w:val="clear" w:color="auto" w:fill="auto"/>
            <w:noWrap/>
            <w:tcMar>
              <w:right w:w="113" w:type="dxa"/>
            </w:tcMar>
            <w:vAlign w:val="center"/>
          </w:tcPr>
          <w:p w14:paraId="7F0C579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0.079</w:t>
            </w:r>
          </w:p>
        </w:tc>
        <w:tc>
          <w:tcPr>
            <w:tcW w:w="1108" w:type="pct"/>
            <w:shd w:val="clear" w:color="auto" w:fill="auto"/>
            <w:noWrap/>
            <w:tcMar>
              <w:right w:w="113" w:type="dxa"/>
            </w:tcMar>
            <w:vAlign w:val="center"/>
          </w:tcPr>
          <w:p w14:paraId="1788550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0.103</w:t>
            </w:r>
          </w:p>
        </w:tc>
        <w:tc>
          <w:tcPr>
            <w:tcW w:w="1108" w:type="pct"/>
            <w:shd w:val="clear" w:color="auto" w:fill="auto"/>
            <w:noWrap/>
            <w:tcMar>
              <w:right w:w="113" w:type="dxa"/>
            </w:tcMar>
            <w:vAlign w:val="center"/>
          </w:tcPr>
          <w:p w14:paraId="6433CBD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0.103</w:t>
            </w:r>
          </w:p>
        </w:tc>
      </w:tr>
      <w:tr w:rsidR="009F490A" w:rsidRPr="00F93BD2" w14:paraId="1A7339B6" w14:textId="77777777" w:rsidTr="004A0F26">
        <w:trPr>
          <w:trHeight w:val="240"/>
        </w:trPr>
        <w:tc>
          <w:tcPr>
            <w:tcW w:w="1690" w:type="pct"/>
            <w:shd w:val="clear" w:color="auto" w:fill="auto"/>
            <w:noWrap/>
            <w:vAlign w:val="center"/>
          </w:tcPr>
          <w:p w14:paraId="7F1A3EC3"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Uzbekistan</w:t>
            </w:r>
          </w:p>
        </w:tc>
        <w:tc>
          <w:tcPr>
            <w:tcW w:w="1094" w:type="pct"/>
            <w:shd w:val="clear" w:color="auto" w:fill="auto"/>
            <w:noWrap/>
            <w:tcMar>
              <w:right w:w="113" w:type="dxa"/>
            </w:tcMar>
            <w:vAlign w:val="center"/>
          </w:tcPr>
          <w:p w14:paraId="2CE6B15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0.023</w:t>
            </w:r>
          </w:p>
        </w:tc>
        <w:tc>
          <w:tcPr>
            <w:tcW w:w="1108" w:type="pct"/>
            <w:shd w:val="clear" w:color="auto" w:fill="auto"/>
            <w:noWrap/>
            <w:tcMar>
              <w:right w:w="113" w:type="dxa"/>
            </w:tcMar>
            <w:vAlign w:val="center"/>
          </w:tcPr>
          <w:p w14:paraId="292DD25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0.030</w:t>
            </w:r>
          </w:p>
        </w:tc>
        <w:tc>
          <w:tcPr>
            <w:tcW w:w="1108" w:type="pct"/>
            <w:shd w:val="clear" w:color="auto" w:fill="auto"/>
            <w:noWrap/>
            <w:tcMar>
              <w:right w:w="113" w:type="dxa"/>
            </w:tcMar>
            <w:vAlign w:val="center"/>
          </w:tcPr>
          <w:p w14:paraId="5DEAF98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0.030</w:t>
            </w:r>
          </w:p>
        </w:tc>
      </w:tr>
      <w:tr w:rsidR="009F490A" w:rsidRPr="00F93BD2" w14:paraId="31C4ED57" w14:textId="77777777" w:rsidTr="004A0F26">
        <w:trPr>
          <w:trHeight w:val="240"/>
        </w:trPr>
        <w:tc>
          <w:tcPr>
            <w:tcW w:w="1690" w:type="pct"/>
            <w:shd w:val="clear" w:color="auto" w:fill="auto"/>
            <w:noWrap/>
            <w:vAlign w:val="center"/>
          </w:tcPr>
          <w:p w14:paraId="5179BF27"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Vanuatu</w:t>
            </w:r>
          </w:p>
        </w:tc>
        <w:tc>
          <w:tcPr>
            <w:tcW w:w="1094" w:type="pct"/>
            <w:shd w:val="clear" w:color="auto" w:fill="auto"/>
            <w:noWrap/>
            <w:tcMar>
              <w:right w:w="113" w:type="dxa"/>
            </w:tcMar>
            <w:vAlign w:val="center"/>
          </w:tcPr>
          <w:p w14:paraId="46A7124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1276440F"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c>
          <w:tcPr>
            <w:tcW w:w="1108" w:type="pct"/>
            <w:shd w:val="clear" w:color="auto" w:fill="auto"/>
            <w:noWrap/>
            <w:tcMar>
              <w:right w:w="113" w:type="dxa"/>
            </w:tcMar>
            <w:vAlign w:val="center"/>
          </w:tcPr>
          <w:p w14:paraId="5E1DA161"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0.001</w:t>
            </w:r>
          </w:p>
        </w:tc>
      </w:tr>
      <w:tr w:rsidR="009F490A" w:rsidRPr="00F93BD2" w14:paraId="52072DBE" w14:textId="77777777" w:rsidTr="004A0F26">
        <w:trPr>
          <w:trHeight w:val="240"/>
        </w:trPr>
        <w:tc>
          <w:tcPr>
            <w:tcW w:w="1690" w:type="pct"/>
            <w:shd w:val="clear" w:color="auto" w:fill="auto"/>
            <w:noWrap/>
            <w:vAlign w:val="center"/>
          </w:tcPr>
          <w:p w14:paraId="6AD1FA0B"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Venezuela (Bolivarian Republic of)</w:t>
            </w:r>
          </w:p>
        </w:tc>
        <w:tc>
          <w:tcPr>
            <w:tcW w:w="1094" w:type="pct"/>
            <w:shd w:val="clear" w:color="auto" w:fill="auto"/>
            <w:noWrap/>
            <w:tcMar>
              <w:right w:w="113" w:type="dxa"/>
            </w:tcMar>
            <w:vAlign w:val="center"/>
          </w:tcPr>
          <w:p w14:paraId="1472773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0.571</w:t>
            </w:r>
          </w:p>
        </w:tc>
        <w:tc>
          <w:tcPr>
            <w:tcW w:w="1108" w:type="pct"/>
            <w:shd w:val="clear" w:color="auto" w:fill="auto"/>
            <w:noWrap/>
            <w:tcMar>
              <w:right w:w="113" w:type="dxa"/>
            </w:tcMar>
            <w:vAlign w:val="center"/>
          </w:tcPr>
          <w:p w14:paraId="0654B009"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0.742</w:t>
            </w:r>
          </w:p>
        </w:tc>
        <w:tc>
          <w:tcPr>
            <w:tcW w:w="1108" w:type="pct"/>
            <w:shd w:val="clear" w:color="auto" w:fill="auto"/>
            <w:noWrap/>
            <w:tcMar>
              <w:right w:w="113" w:type="dxa"/>
            </w:tcMar>
            <w:vAlign w:val="center"/>
          </w:tcPr>
          <w:p w14:paraId="79F1F314"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0.742</w:t>
            </w:r>
          </w:p>
        </w:tc>
      </w:tr>
      <w:tr w:rsidR="009F490A" w:rsidRPr="00F93BD2" w14:paraId="3636EA58" w14:textId="77777777" w:rsidTr="004A0F26">
        <w:trPr>
          <w:trHeight w:val="240"/>
        </w:trPr>
        <w:tc>
          <w:tcPr>
            <w:tcW w:w="1690" w:type="pct"/>
            <w:shd w:val="clear" w:color="auto" w:fill="auto"/>
            <w:noWrap/>
            <w:vAlign w:val="center"/>
          </w:tcPr>
          <w:p w14:paraId="7872A604"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Viet Nam</w:t>
            </w:r>
          </w:p>
        </w:tc>
        <w:tc>
          <w:tcPr>
            <w:tcW w:w="1094" w:type="pct"/>
            <w:shd w:val="clear" w:color="auto" w:fill="auto"/>
            <w:noWrap/>
            <w:tcMar>
              <w:right w:w="113" w:type="dxa"/>
            </w:tcMar>
            <w:vAlign w:val="center"/>
          </w:tcPr>
          <w:p w14:paraId="6157D90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0.058</w:t>
            </w:r>
          </w:p>
        </w:tc>
        <w:tc>
          <w:tcPr>
            <w:tcW w:w="1108" w:type="pct"/>
            <w:shd w:val="clear" w:color="auto" w:fill="auto"/>
            <w:noWrap/>
            <w:tcMar>
              <w:right w:w="113" w:type="dxa"/>
            </w:tcMar>
            <w:vAlign w:val="center"/>
          </w:tcPr>
          <w:p w14:paraId="022E62ED"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0.075</w:t>
            </w:r>
          </w:p>
        </w:tc>
        <w:tc>
          <w:tcPr>
            <w:tcW w:w="1108" w:type="pct"/>
            <w:shd w:val="clear" w:color="auto" w:fill="auto"/>
            <w:noWrap/>
            <w:tcMar>
              <w:right w:w="113" w:type="dxa"/>
            </w:tcMar>
            <w:vAlign w:val="center"/>
          </w:tcPr>
          <w:p w14:paraId="4895CF1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0.075</w:t>
            </w:r>
          </w:p>
        </w:tc>
      </w:tr>
      <w:tr w:rsidR="009F490A" w:rsidRPr="00F93BD2" w14:paraId="73DD4490" w14:textId="77777777" w:rsidTr="004A0F26">
        <w:trPr>
          <w:trHeight w:val="240"/>
        </w:trPr>
        <w:tc>
          <w:tcPr>
            <w:tcW w:w="1690" w:type="pct"/>
            <w:shd w:val="clear" w:color="auto" w:fill="auto"/>
            <w:noWrap/>
            <w:vAlign w:val="center"/>
          </w:tcPr>
          <w:p w14:paraId="73C910E6"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Yemen</w:t>
            </w:r>
          </w:p>
        </w:tc>
        <w:tc>
          <w:tcPr>
            <w:tcW w:w="1094" w:type="pct"/>
            <w:shd w:val="clear" w:color="auto" w:fill="auto"/>
            <w:noWrap/>
            <w:tcMar>
              <w:right w:w="113" w:type="dxa"/>
            </w:tcMar>
            <w:vAlign w:val="center"/>
          </w:tcPr>
          <w:p w14:paraId="039A4D15"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0.010</w:t>
            </w:r>
          </w:p>
        </w:tc>
        <w:tc>
          <w:tcPr>
            <w:tcW w:w="1108" w:type="pct"/>
            <w:shd w:val="clear" w:color="auto" w:fill="auto"/>
            <w:noWrap/>
            <w:tcMar>
              <w:right w:w="113" w:type="dxa"/>
            </w:tcMar>
            <w:vAlign w:val="center"/>
          </w:tcPr>
          <w:p w14:paraId="518BC61E"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0.013</w:t>
            </w:r>
          </w:p>
        </w:tc>
        <w:tc>
          <w:tcPr>
            <w:tcW w:w="1108" w:type="pct"/>
            <w:shd w:val="clear" w:color="auto" w:fill="auto"/>
            <w:noWrap/>
            <w:tcMar>
              <w:right w:w="113" w:type="dxa"/>
            </w:tcMar>
            <w:vAlign w:val="center"/>
          </w:tcPr>
          <w:p w14:paraId="7A3C3C2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0.013</w:t>
            </w:r>
          </w:p>
        </w:tc>
      </w:tr>
      <w:tr w:rsidR="009F490A" w:rsidRPr="00F93BD2" w14:paraId="30DFD27F" w14:textId="77777777" w:rsidTr="004A0F26">
        <w:trPr>
          <w:trHeight w:val="240"/>
        </w:trPr>
        <w:tc>
          <w:tcPr>
            <w:tcW w:w="1690" w:type="pct"/>
            <w:shd w:val="clear" w:color="auto" w:fill="auto"/>
            <w:noWrap/>
            <w:vAlign w:val="center"/>
          </w:tcPr>
          <w:p w14:paraId="0A9C4DC3"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Zambia</w:t>
            </w:r>
          </w:p>
        </w:tc>
        <w:tc>
          <w:tcPr>
            <w:tcW w:w="1094" w:type="pct"/>
            <w:shd w:val="clear" w:color="auto" w:fill="auto"/>
            <w:noWrap/>
            <w:tcMar>
              <w:right w:w="113" w:type="dxa"/>
            </w:tcMar>
            <w:vAlign w:val="center"/>
          </w:tcPr>
          <w:p w14:paraId="295FF8A6"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0.007</w:t>
            </w:r>
          </w:p>
        </w:tc>
        <w:tc>
          <w:tcPr>
            <w:tcW w:w="1108" w:type="pct"/>
            <w:shd w:val="clear" w:color="auto" w:fill="auto"/>
            <w:noWrap/>
            <w:tcMar>
              <w:right w:w="113" w:type="dxa"/>
            </w:tcMar>
            <w:vAlign w:val="center"/>
          </w:tcPr>
          <w:p w14:paraId="61D2C4BB"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0.009</w:t>
            </w:r>
          </w:p>
        </w:tc>
        <w:tc>
          <w:tcPr>
            <w:tcW w:w="1108" w:type="pct"/>
            <w:shd w:val="clear" w:color="auto" w:fill="auto"/>
            <w:noWrap/>
            <w:tcMar>
              <w:right w:w="113" w:type="dxa"/>
            </w:tcMar>
            <w:vAlign w:val="center"/>
          </w:tcPr>
          <w:p w14:paraId="6DD21E43"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0.009</w:t>
            </w:r>
          </w:p>
        </w:tc>
      </w:tr>
      <w:tr w:rsidR="009F490A" w:rsidRPr="00F93BD2" w14:paraId="7FE37AD0" w14:textId="77777777" w:rsidTr="004A0F26">
        <w:trPr>
          <w:trHeight w:val="240"/>
        </w:trPr>
        <w:tc>
          <w:tcPr>
            <w:tcW w:w="1690" w:type="pct"/>
            <w:tcBorders>
              <w:bottom w:val="single" w:sz="4" w:space="0" w:color="auto"/>
            </w:tcBorders>
            <w:shd w:val="clear" w:color="auto" w:fill="auto"/>
            <w:noWrap/>
            <w:vAlign w:val="center"/>
          </w:tcPr>
          <w:p w14:paraId="159B2A2E" w14:textId="77777777" w:rsidR="009F490A" w:rsidRPr="00F93BD2" w:rsidRDefault="009F490A" w:rsidP="00550391">
            <w:pPr>
              <w:suppressAutoHyphens w:val="0"/>
              <w:spacing w:line="240" w:lineRule="auto"/>
              <w:rPr>
                <w:rFonts w:eastAsia="MS Mincho"/>
                <w:color w:val="000000"/>
                <w:sz w:val="18"/>
                <w:szCs w:val="18"/>
                <w:lang w:eastAsia="de-DE"/>
              </w:rPr>
            </w:pPr>
            <w:r w:rsidRPr="00F93BD2">
              <w:rPr>
                <w:rFonts w:eastAsia="MS Mincho"/>
                <w:color w:val="000000"/>
                <w:sz w:val="18"/>
                <w:szCs w:val="18"/>
                <w:lang w:eastAsia="de-DE"/>
              </w:rPr>
              <w:t>Zimbabwe</w:t>
            </w:r>
          </w:p>
        </w:tc>
        <w:tc>
          <w:tcPr>
            <w:tcW w:w="1094" w:type="pct"/>
            <w:tcBorders>
              <w:bottom w:val="single" w:sz="4" w:space="0" w:color="auto"/>
            </w:tcBorders>
            <w:shd w:val="clear" w:color="auto" w:fill="auto"/>
            <w:noWrap/>
            <w:tcMar>
              <w:right w:w="113" w:type="dxa"/>
            </w:tcMar>
            <w:vAlign w:val="center"/>
          </w:tcPr>
          <w:p w14:paraId="7CADEA98"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0.004</w:t>
            </w:r>
          </w:p>
        </w:tc>
        <w:tc>
          <w:tcPr>
            <w:tcW w:w="1108" w:type="pct"/>
            <w:tcBorders>
              <w:bottom w:val="single" w:sz="4" w:space="0" w:color="auto"/>
            </w:tcBorders>
            <w:shd w:val="clear" w:color="auto" w:fill="auto"/>
            <w:noWrap/>
            <w:tcMar>
              <w:right w:w="113" w:type="dxa"/>
            </w:tcMar>
            <w:vAlign w:val="center"/>
          </w:tcPr>
          <w:p w14:paraId="370DB8CA"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0.005</w:t>
            </w:r>
          </w:p>
        </w:tc>
        <w:tc>
          <w:tcPr>
            <w:tcW w:w="1108" w:type="pct"/>
            <w:tcBorders>
              <w:bottom w:val="single" w:sz="4" w:space="0" w:color="auto"/>
            </w:tcBorders>
            <w:shd w:val="clear" w:color="auto" w:fill="auto"/>
            <w:noWrap/>
            <w:tcMar>
              <w:right w:w="113" w:type="dxa"/>
            </w:tcMar>
            <w:vAlign w:val="center"/>
          </w:tcPr>
          <w:p w14:paraId="2476E2B2" w14:textId="77777777" w:rsidR="009F490A" w:rsidRPr="00F93BD2" w:rsidRDefault="009F490A" w:rsidP="004A0F26">
            <w:pPr>
              <w:suppressAutoHyphens w:val="0"/>
              <w:spacing w:line="240" w:lineRule="auto"/>
              <w:jc w:val="right"/>
              <w:rPr>
                <w:rFonts w:eastAsia="MS Mincho"/>
                <w:sz w:val="18"/>
                <w:szCs w:val="18"/>
                <w:lang w:eastAsia="de-DE"/>
              </w:rPr>
            </w:pPr>
            <w:r w:rsidRPr="00F93BD2">
              <w:rPr>
                <w:rFonts w:eastAsia="MS Mincho"/>
                <w:sz w:val="18"/>
                <w:szCs w:val="18"/>
                <w:lang w:eastAsia="de-DE"/>
              </w:rPr>
              <w:t>0.005</w:t>
            </w:r>
          </w:p>
        </w:tc>
      </w:tr>
      <w:tr w:rsidR="009F490A" w:rsidRPr="00F93BD2" w14:paraId="080322B2" w14:textId="77777777" w:rsidTr="004A0F26">
        <w:trPr>
          <w:trHeight w:val="240"/>
        </w:trPr>
        <w:tc>
          <w:tcPr>
            <w:tcW w:w="1690" w:type="pct"/>
            <w:tcBorders>
              <w:top w:val="single" w:sz="4" w:space="0" w:color="auto"/>
              <w:bottom w:val="single" w:sz="12" w:space="0" w:color="auto"/>
            </w:tcBorders>
            <w:shd w:val="clear" w:color="auto" w:fill="auto"/>
            <w:noWrap/>
          </w:tcPr>
          <w:p w14:paraId="54EB6796" w14:textId="77777777" w:rsidR="009F490A" w:rsidRPr="00F93BD2" w:rsidRDefault="009F490A" w:rsidP="00550391">
            <w:pPr>
              <w:suppressAutoHyphens w:val="0"/>
              <w:spacing w:before="40" w:after="40" w:line="220" w:lineRule="exact"/>
              <w:ind w:firstLine="140"/>
              <w:rPr>
                <w:rFonts w:eastAsia="Arial Unicode MS"/>
                <w:bCs/>
                <w:sz w:val="18"/>
                <w:szCs w:val="18"/>
                <w:lang w:eastAsia="de-DE"/>
              </w:rPr>
            </w:pPr>
            <w:r w:rsidRPr="00F93BD2">
              <w:rPr>
                <w:rFonts w:eastAsia="MS Mincho"/>
                <w:b/>
                <w:bCs/>
                <w:sz w:val="18"/>
                <w:szCs w:val="18"/>
                <w:lang w:eastAsia="de-DE"/>
              </w:rPr>
              <w:t>Total</w:t>
            </w:r>
          </w:p>
        </w:tc>
        <w:tc>
          <w:tcPr>
            <w:tcW w:w="1094" w:type="pct"/>
            <w:tcBorders>
              <w:top w:val="single" w:sz="4" w:space="0" w:color="auto"/>
              <w:bottom w:val="single" w:sz="12" w:space="0" w:color="auto"/>
            </w:tcBorders>
            <w:shd w:val="clear" w:color="auto" w:fill="auto"/>
            <w:noWrap/>
            <w:tcMar>
              <w:right w:w="113" w:type="dxa"/>
            </w:tcMar>
            <w:vAlign w:val="center"/>
          </w:tcPr>
          <w:p w14:paraId="65F1C03A" w14:textId="77777777" w:rsidR="009F490A" w:rsidRPr="00F93BD2" w:rsidRDefault="009F490A" w:rsidP="004A0F26">
            <w:pPr>
              <w:suppressAutoHyphens w:val="0"/>
              <w:spacing w:line="240" w:lineRule="auto"/>
              <w:jc w:val="right"/>
              <w:rPr>
                <w:rFonts w:eastAsia="MS Mincho"/>
                <w:b/>
                <w:bCs/>
                <w:sz w:val="18"/>
                <w:szCs w:val="18"/>
                <w:lang w:eastAsia="de-DE"/>
              </w:rPr>
            </w:pPr>
            <w:r w:rsidRPr="00F93BD2">
              <w:rPr>
                <w:rFonts w:eastAsia="MS Mincho"/>
                <w:b/>
                <w:bCs/>
                <w:sz w:val="18"/>
                <w:szCs w:val="18"/>
                <w:lang w:eastAsia="de-DE"/>
              </w:rPr>
              <w:t>77.572</w:t>
            </w:r>
          </w:p>
        </w:tc>
        <w:tc>
          <w:tcPr>
            <w:tcW w:w="1108" w:type="pct"/>
            <w:tcBorders>
              <w:top w:val="single" w:sz="4" w:space="0" w:color="auto"/>
              <w:bottom w:val="single" w:sz="12" w:space="0" w:color="auto"/>
            </w:tcBorders>
            <w:shd w:val="clear" w:color="auto" w:fill="auto"/>
            <w:noWrap/>
            <w:tcMar>
              <w:right w:w="113" w:type="dxa"/>
            </w:tcMar>
            <w:vAlign w:val="center"/>
          </w:tcPr>
          <w:p w14:paraId="06687001" w14:textId="77777777" w:rsidR="009F490A" w:rsidRPr="00F93BD2" w:rsidRDefault="009F490A" w:rsidP="004A0F26">
            <w:pPr>
              <w:tabs>
                <w:tab w:val="left" w:pos="647"/>
              </w:tabs>
              <w:suppressAutoHyphens w:val="0"/>
              <w:spacing w:line="240" w:lineRule="auto"/>
              <w:jc w:val="right"/>
              <w:rPr>
                <w:rFonts w:eastAsia="MS Mincho"/>
                <w:b/>
                <w:bCs/>
                <w:sz w:val="18"/>
                <w:szCs w:val="18"/>
                <w:lang w:eastAsia="de-DE"/>
              </w:rPr>
            </w:pPr>
            <w:r w:rsidRPr="00F93BD2">
              <w:rPr>
                <w:rFonts w:eastAsia="MS Mincho"/>
                <w:b/>
                <w:bCs/>
                <w:sz w:val="18"/>
                <w:szCs w:val="18"/>
                <w:lang w:eastAsia="de-DE"/>
              </w:rPr>
              <w:t>100.000</w:t>
            </w:r>
          </w:p>
        </w:tc>
        <w:tc>
          <w:tcPr>
            <w:tcW w:w="1108" w:type="pct"/>
            <w:tcBorders>
              <w:top w:val="single" w:sz="4" w:space="0" w:color="auto"/>
              <w:bottom w:val="single" w:sz="12" w:space="0" w:color="auto"/>
            </w:tcBorders>
            <w:shd w:val="clear" w:color="auto" w:fill="auto"/>
            <w:noWrap/>
            <w:tcMar>
              <w:right w:w="113" w:type="dxa"/>
            </w:tcMar>
            <w:vAlign w:val="center"/>
          </w:tcPr>
          <w:p w14:paraId="6F9D7E4C" w14:textId="77777777" w:rsidR="009F490A" w:rsidRPr="00F93BD2" w:rsidRDefault="009F490A" w:rsidP="004A0F26">
            <w:pPr>
              <w:tabs>
                <w:tab w:val="left" w:pos="555"/>
              </w:tabs>
              <w:suppressAutoHyphens w:val="0"/>
              <w:spacing w:line="240" w:lineRule="auto"/>
              <w:jc w:val="right"/>
              <w:rPr>
                <w:rFonts w:eastAsia="MS Mincho"/>
                <w:b/>
                <w:bCs/>
                <w:sz w:val="18"/>
                <w:szCs w:val="18"/>
                <w:lang w:eastAsia="de-DE"/>
              </w:rPr>
            </w:pPr>
            <w:r w:rsidRPr="00F93BD2">
              <w:rPr>
                <w:rFonts w:eastAsia="MS Mincho"/>
                <w:b/>
                <w:bCs/>
                <w:sz w:val="18"/>
                <w:szCs w:val="18"/>
                <w:lang w:eastAsia="de-DE"/>
              </w:rPr>
              <w:t>100.000</w:t>
            </w:r>
          </w:p>
        </w:tc>
      </w:tr>
    </w:tbl>
    <w:p w14:paraId="7B56CE84" w14:textId="5B87C818" w:rsidR="009F490A" w:rsidRPr="00F93BD2" w:rsidRDefault="00C148B2" w:rsidP="00C148B2">
      <w:pPr>
        <w:suppressAutoHyphens w:val="0"/>
        <w:spacing w:before="120" w:after="120" w:line="220" w:lineRule="exact"/>
        <w:ind w:left="113" w:firstLine="170"/>
        <w:jc w:val="both"/>
        <w:rPr>
          <w:rFonts w:eastAsia="MS Mincho"/>
          <w:sz w:val="18"/>
          <w:lang w:eastAsia="de-DE"/>
        </w:rPr>
      </w:pPr>
      <w:r w:rsidRPr="00F93BD2">
        <w:rPr>
          <w:rFonts w:eastAsia="MS Mincho"/>
          <w:i/>
          <w:sz w:val="18"/>
          <w:vertAlign w:val="superscript"/>
          <w:lang w:eastAsia="de-DE"/>
        </w:rPr>
        <w:t xml:space="preserve">a   </w:t>
      </w:r>
      <w:r w:rsidR="009F490A" w:rsidRPr="00F93BD2">
        <w:rPr>
          <w:rFonts w:eastAsia="MS Mincho"/>
          <w:sz w:val="18"/>
          <w:lang w:eastAsia="de-DE"/>
        </w:rPr>
        <w:t>Pursuant to decision 15/CP.1, annex, paragraph 7(a), the UNFCCC scale of indicative contributions may be adjusted following the adoption by the United Nations General Assembly of the United Nations scale of assessments for the period 2019–2021.</w:t>
      </w:r>
    </w:p>
    <w:p w14:paraId="5FC23B43" w14:textId="11465DD7" w:rsidR="009F490A" w:rsidRPr="00F93BD2" w:rsidRDefault="00C90A51" w:rsidP="009F490A">
      <w:pPr>
        <w:jc w:val="right"/>
        <w:rPr>
          <w:i/>
        </w:rPr>
      </w:pPr>
      <w:r w:rsidRPr="00F93BD2">
        <w:rPr>
          <w:i/>
        </w:rPr>
        <w:t>12</w:t>
      </w:r>
      <w:r w:rsidRPr="00F93BD2">
        <w:rPr>
          <w:i/>
          <w:vertAlign w:val="superscript"/>
        </w:rPr>
        <w:t>th</w:t>
      </w:r>
      <w:r w:rsidRPr="00F93BD2">
        <w:rPr>
          <w:i/>
        </w:rPr>
        <w:t xml:space="preserve"> </w:t>
      </w:r>
      <w:r w:rsidR="009F490A" w:rsidRPr="00F93BD2">
        <w:rPr>
          <w:i/>
        </w:rPr>
        <w:t>plenary meeting</w:t>
      </w:r>
    </w:p>
    <w:p w14:paraId="3968562D" w14:textId="7571CE1B" w:rsidR="009F490A" w:rsidRPr="00F93BD2" w:rsidRDefault="009F490A" w:rsidP="009F490A">
      <w:pPr>
        <w:jc w:val="right"/>
        <w:rPr>
          <w:i/>
        </w:rPr>
        <w:sectPr w:rsidR="009F490A" w:rsidRPr="00F93BD2" w:rsidSect="00CA0361">
          <w:headerReference w:type="even" r:id="rId45"/>
          <w:headerReference w:type="default" r:id="rId46"/>
          <w:footerReference w:type="even" r:id="rId47"/>
          <w:footerReference w:type="default" r:id="rId48"/>
          <w:footnotePr>
            <w:numRestart w:val="eachSect"/>
          </w:footnotePr>
          <w:pgSz w:w="11906" w:h="16838" w:code="9"/>
          <w:pgMar w:top="1417" w:right="1134" w:bottom="1134" w:left="1134" w:header="850" w:footer="567" w:gutter="0"/>
          <w:cols w:space="708"/>
          <w:docGrid w:linePitch="360"/>
        </w:sectPr>
      </w:pPr>
      <w:r w:rsidRPr="00F93BD2">
        <w:rPr>
          <w:i/>
        </w:rPr>
        <w:t>1</w:t>
      </w:r>
      <w:r w:rsidR="00C90A51" w:rsidRPr="00F93BD2">
        <w:rPr>
          <w:i/>
        </w:rPr>
        <w:t>8</w:t>
      </w:r>
      <w:r w:rsidRPr="00F93BD2">
        <w:rPr>
          <w:i/>
        </w:rPr>
        <w:t xml:space="preserve"> November 2017</w:t>
      </w:r>
    </w:p>
    <w:p w14:paraId="7FAA717D" w14:textId="7146A552" w:rsidR="00C149FA" w:rsidRPr="00F93BD2" w:rsidRDefault="009F490A" w:rsidP="009F490A">
      <w:pPr>
        <w:pStyle w:val="HChG"/>
      </w:pPr>
      <w:r w:rsidRPr="00F93BD2">
        <w:lastRenderedPageBreak/>
        <w:tab/>
      </w:r>
      <w:r w:rsidRPr="00F93BD2">
        <w:tab/>
        <w:t>Decision 7/CMP.13</w:t>
      </w:r>
    </w:p>
    <w:p w14:paraId="58B46EA6" w14:textId="77777777" w:rsidR="00550391" w:rsidRPr="00F93BD2" w:rsidRDefault="00550391" w:rsidP="00550391">
      <w:pPr>
        <w:pStyle w:val="H1G"/>
        <w:ind w:firstLine="0"/>
      </w:pPr>
      <w:r w:rsidRPr="00F93BD2">
        <w:rPr>
          <w:sz w:val="28"/>
          <w:szCs w:val="28"/>
        </w:rPr>
        <w:t>Budget for the international transaction log and a methodology for the collection of its fees for the biennium 2018–2019</w:t>
      </w:r>
    </w:p>
    <w:p w14:paraId="1D05AB93" w14:textId="77777777" w:rsidR="00550391" w:rsidRPr="00F93BD2" w:rsidRDefault="00550391" w:rsidP="00550391">
      <w:pPr>
        <w:pStyle w:val="RegSingleTxtG"/>
        <w:numPr>
          <w:ilvl w:val="0"/>
          <w:numId w:val="0"/>
        </w:numPr>
        <w:ind w:left="1135"/>
        <w:rPr>
          <w:i/>
        </w:rPr>
      </w:pPr>
      <w:r w:rsidRPr="00F93BD2">
        <w:rPr>
          <w:i/>
        </w:rPr>
        <w:tab/>
        <w:t>The Conference of the Parties serving as the meeting of the Parties to the Kyoto Protocol</w:t>
      </w:r>
      <w:r w:rsidRPr="00F93BD2">
        <w:t>,</w:t>
      </w:r>
    </w:p>
    <w:p w14:paraId="7D93F500" w14:textId="77777777" w:rsidR="00550391" w:rsidRPr="00F93BD2" w:rsidRDefault="00550391" w:rsidP="00550391">
      <w:pPr>
        <w:pStyle w:val="RegSingleTxtG"/>
        <w:numPr>
          <w:ilvl w:val="0"/>
          <w:numId w:val="0"/>
        </w:numPr>
        <w:ind w:left="1135"/>
      </w:pPr>
      <w:r w:rsidRPr="00F93BD2">
        <w:tab/>
      </w:r>
      <w:r w:rsidRPr="00F93BD2">
        <w:rPr>
          <w:i/>
        </w:rPr>
        <w:t>Recalling</w:t>
      </w:r>
      <w:r w:rsidRPr="00F93BD2">
        <w:t xml:space="preserve"> Article 13, paragraph 5, of the Kyoto Protocol,</w:t>
      </w:r>
    </w:p>
    <w:p w14:paraId="302AEF98" w14:textId="77777777" w:rsidR="00550391" w:rsidRPr="00F93BD2" w:rsidRDefault="00550391" w:rsidP="00550391">
      <w:pPr>
        <w:pStyle w:val="RegSingleTxtG"/>
        <w:numPr>
          <w:ilvl w:val="0"/>
          <w:numId w:val="0"/>
        </w:numPr>
        <w:ind w:left="1135"/>
      </w:pPr>
      <w:r w:rsidRPr="00F93BD2">
        <w:tab/>
      </w:r>
      <w:r w:rsidRPr="00F93BD2">
        <w:rPr>
          <w:i/>
        </w:rPr>
        <w:t xml:space="preserve">Also recalling </w:t>
      </w:r>
      <w:r w:rsidRPr="00F93BD2">
        <w:t>decisions 11/CMP.3, 10/CMP.5, 9/CMP.6, 8/CMP.8 and 8/CMP.11,</w:t>
      </w:r>
    </w:p>
    <w:p w14:paraId="7A3677F3" w14:textId="77777777" w:rsidR="00550391" w:rsidRPr="00F93BD2" w:rsidRDefault="00550391" w:rsidP="00550391">
      <w:pPr>
        <w:pStyle w:val="RegSingleTxtG"/>
        <w:numPr>
          <w:ilvl w:val="0"/>
          <w:numId w:val="0"/>
        </w:numPr>
        <w:ind w:left="1135"/>
      </w:pPr>
      <w:r w:rsidRPr="00F93BD2">
        <w:tab/>
      </w:r>
      <w:r w:rsidRPr="00F93BD2">
        <w:rPr>
          <w:i/>
        </w:rPr>
        <w:t>Recognizing</w:t>
      </w:r>
      <w:r w:rsidRPr="00F93BD2">
        <w:t xml:space="preserve"> the importance of sufficient and stable funding for the international transaction log,</w:t>
      </w:r>
    </w:p>
    <w:p w14:paraId="16A4AE66" w14:textId="6F8F3B01" w:rsidR="00550391" w:rsidRPr="00F93BD2" w:rsidRDefault="00550391" w:rsidP="00550391">
      <w:pPr>
        <w:pStyle w:val="RegSingleTxtG"/>
        <w:numPr>
          <w:ilvl w:val="0"/>
          <w:numId w:val="0"/>
        </w:numPr>
        <w:ind w:left="1135"/>
      </w:pPr>
      <w:r w:rsidRPr="00F93BD2">
        <w:rPr>
          <w:i/>
        </w:rPr>
        <w:tab/>
        <w:t xml:space="preserve">Also recognizing </w:t>
      </w:r>
      <w:r w:rsidRPr="00F93BD2">
        <w:t>the importance of the proper functioning of the international transaction log for the Parties listed in Annex B to the Kyoto Protocol as contained in annex I to decision 1/CMP.8 (hereinafter in this decision referred to as Parties),</w:t>
      </w:r>
    </w:p>
    <w:p w14:paraId="46C3421E" w14:textId="54E11FA4" w:rsidR="00550391" w:rsidRPr="00F93BD2" w:rsidRDefault="00C148B2" w:rsidP="00C148B2">
      <w:pPr>
        <w:pStyle w:val="RegSingleTxtG"/>
        <w:numPr>
          <w:ilvl w:val="0"/>
          <w:numId w:val="0"/>
        </w:numPr>
        <w:ind w:left="1134"/>
        <w:rPr>
          <w:lang w:eastAsia="en-US"/>
        </w:rPr>
      </w:pPr>
      <w:r w:rsidRPr="00F93BD2">
        <w:rPr>
          <w:lang w:eastAsia="en-US"/>
        </w:rPr>
        <w:t>1.</w:t>
      </w:r>
      <w:r w:rsidRPr="00F93BD2">
        <w:rPr>
          <w:lang w:eastAsia="en-US"/>
        </w:rPr>
        <w:tab/>
      </w:r>
      <w:r w:rsidR="00550391" w:rsidRPr="00F93BD2">
        <w:rPr>
          <w:i/>
          <w:lang w:eastAsia="en-US"/>
        </w:rPr>
        <w:t>Approves</w:t>
      </w:r>
      <w:r w:rsidR="00550391" w:rsidRPr="00F93BD2">
        <w:rPr>
          <w:lang w:eastAsia="en-US"/>
        </w:rPr>
        <w:t xml:space="preserve"> the budget for the international transaction log for the biennium 2018–2019, amounting to EUR 5,204,520, for the purposes specified in the proposed budget for the international transaction log;</w:t>
      </w:r>
      <w:r w:rsidR="00550391" w:rsidRPr="00F93BD2">
        <w:rPr>
          <w:sz w:val="18"/>
          <w:vertAlign w:val="superscript"/>
          <w:lang w:eastAsia="en-US"/>
        </w:rPr>
        <w:footnoteReference w:id="21"/>
      </w:r>
    </w:p>
    <w:p w14:paraId="4BCC422E" w14:textId="16F9C6D6" w:rsidR="00550391" w:rsidRPr="00F93BD2" w:rsidRDefault="00C148B2" w:rsidP="00C148B2">
      <w:pPr>
        <w:pStyle w:val="RegSingleTxtG"/>
        <w:numPr>
          <w:ilvl w:val="0"/>
          <w:numId w:val="0"/>
        </w:numPr>
        <w:ind w:left="1134"/>
        <w:rPr>
          <w:lang w:eastAsia="en-US"/>
        </w:rPr>
      </w:pPr>
      <w:r w:rsidRPr="00F93BD2">
        <w:rPr>
          <w:lang w:eastAsia="en-US"/>
        </w:rPr>
        <w:t>2.</w:t>
      </w:r>
      <w:r w:rsidRPr="00F93BD2">
        <w:rPr>
          <w:lang w:eastAsia="en-US"/>
        </w:rPr>
        <w:tab/>
      </w:r>
      <w:r w:rsidR="00550391" w:rsidRPr="00F93BD2">
        <w:rPr>
          <w:i/>
          <w:lang w:eastAsia="en-US"/>
        </w:rPr>
        <w:t>Decides</w:t>
      </w:r>
      <w:r w:rsidR="00550391" w:rsidRPr="00F93BD2">
        <w:rPr>
          <w:lang w:eastAsia="en-US"/>
        </w:rPr>
        <w:t xml:space="preserve"> to maintain the level of the working capital reserve at 8.3 per cent of the estimated expenditure for the Trust Fund for the International Transaction Log;</w:t>
      </w:r>
    </w:p>
    <w:p w14:paraId="7613AAE9" w14:textId="4A1B5E34" w:rsidR="00550391" w:rsidRPr="00F93BD2" w:rsidRDefault="00C148B2" w:rsidP="00C148B2">
      <w:pPr>
        <w:pStyle w:val="RegSingleTxtG"/>
        <w:numPr>
          <w:ilvl w:val="0"/>
          <w:numId w:val="0"/>
        </w:numPr>
        <w:ind w:left="1134"/>
        <w:rPr>
          <w:lang w:eastAsia="en-US"/>
        </w:rPr>
      </w:pPr>
      <w:r w:rsidRPr="00F93BD2">
        <w:rPr>
          <w:lang w:eastAsia="en-US"/>
        </w:rPr>
        <w:t>3.</w:t>
      </w:r>
      <w:r w:rsidRPr="00F93BD2">
        <w:rPr>
          <w:lang w:eastAsia="en-US"/>
        </w:rPr>
        <w:tab/>
      </w:r>
      <w:r w:rsidR="00550391" w:rsidRPr="00F93BD2">
        <w:rPr>
          <w:i/>
          <w:lang w:eastAsia="en-US"/>
        </w:rPr>
        <w:t>Authorizes</w:t>
      </w:r>
      <w:r w:rsidR="00550391" w:rsidRPr="00F93BD2">
        <w:rPr>
          <w:lang w:eastAsia="en-US"/>
        </w:rPr>
        <w:t xml:space="preserve"> the Executive Secretary to draw EUR 2.5 million from unspent balances of the Trust Fund for the International Transaction Log from previous financial periods to cover part of the budget for the biennium 2018–2019;</w:t>
      </w:r>
    </w:p>
    <w:p w14:paraId="6B90A26E" w14:textId="623C9B36" w:rsidR="00550391" w:rsidRPr="00F93BD2" w:rsidRDefault="00C148B2" w:rsidP="00C148B2">
      <w:pPr>
        <w:pStyle w:val="RegSingleTxtG"/>
        <w:numPr>
          <w:ilvl w:val="0"/>
          <w:numId w:val="0"/>
        </w:numPr>
        <w:ind w:left="1134"/>
        <w:rPr>
          <w:lang w:eastAsia="en-US"/>
        </w:rPr>
      </w:pPr>
      <w:r w:rsidRPr="00F93BD2">
        <w:rPr>
          <w:lang w:eastAsia="en-US"/>
        </w:rPr>
        <w:t>4.</w:t>
      </w:r>
      <w:r w:rsidRPr="00F93BD2">
        <w:rPr>
          <w:lang w:eastAsia="en-US"/>
        </w:rPr>
        <w:tab/>
      </w:r>
      <w:r w:rsidR="00550391" w:rsidRPr="00F93BD2">
        <w:rPr>
          <w:i/>
          <w:lang w:eastAsia="en-US"/>
        </w:rPr>
        <w:t>Also authorizes</w:t>
      </w:r>
      <w:r w:rsidR="00550391" w:rsidRPr="00F93BD2">
        <w:rPr>
          <w:lang w:eastAsia="en-US"/>
        </w:rPr>
        <w:t xml:space="preserve"> the Executive Secretary to draw funds from unspent balances of the Trust Fund for the International Transaction Log from previous financial periods to cover the potential shortfall in fees due to the disconnection of Parties from the international transaction log;</w:t>
      </w:r>
    </w:p>
    <w:p w14:paraId="26B4447B" w14:textId="1D084B47" w:rsidR="00550391" w:rsidRPr="00F93BD2" w:rsidRDefault="00C148B2" w:rsidP="00C148B2">
      <w:pPr>
        <w:pStyle w:val="RegSingleTxtG"/>
        <w:numPr>
          <w:ilvl w:val="0"/>
          <w:numId w:val="0"/>
        </w:numPr>
        <w:ind w:left="1134"/>
        <w:rPr>
          <w:lang w:eastAsia="en-US"/>
        </w:rPr>
      </w:pPr>
      <w:r w:rsidRPr="00F93BD2">
        <w:rPr>
          <w:lang w:eastAsia="en-US"/>
        </w:rPr>
        <w:t>5.</w:t>
      </w:r>
      <w:r w:rsidRPr="00F93BD2">
        <w:rPr>
          <w:lang w:eastAsia="en-US"/>
        </w:rPr>
        <w:tab/>
      </w:r>
      <w:r w:rsidR="00550391" w:rsidRPr="00F93BD2">
        <w:rPr>
          <w:i/>
          <w:lang w:eastAsia="en-US"/>
        </w:rPr>
        <w:t>Notes</w:t>
      </w:r>
      <w:r w:rsidR="00550391" w:rsidRPr="00F93BD2">
        <w:rPr>
          <w:lang w:eastAsia="en-US"/>
        </w:rPr>
        <w:t xml:space="preserve"> that the action referred to in paragraph 3 above is exceptional and is needed to disburse the significant unspent funds, and </w:t>
      </w:r>
      <w:r w:rsidR="00550391" w:rsidRPr="00F93BD2">
        <w:rPr>
          <w:i/>
          <w:lang w:eastAsia="en-US"/>
        </w:rPr>
        <w:t>recognizes</w:t>
      </w:r>
      <w:r w:rsidR="00550391" w:rsidRPr="00F93BD2">
        <w:rPr>
          <w:lang w:eastAsia="en-US"/>
        </w:rPr>
        <w:t xml:space="preserve"> that fees for the operation of the international transaction log are to be levied as necessary in future bienniums;</w:t>
      </w:r>
    </w:p>
    <w:p w14:paraId="6CB3F986" w14:textId="2FCB1599" w:rsidR="00550391" w:rsidRPr="00F93BD2" w:rsidRDefault="00C148B2" w:rsidP="00C148B2">
      <w:pPr>
        <w:pStyle w:val="RegSingleTxtG"/>
        <w:numPr>
          <w:ilvl w:val="0"/>
          <w:numId w:val="0"/>
        </w:numPr>
        <w:ind w:left="1134"/>
      </w:pPr>
      <w:r w:rsidRPr="00F93BD2">
        <w:t>6.</w:t>
      </w:r>
      <w:r w:rsidRPr="00F93BD2">
        <w:tab/>
      </w:r>
      <w:r w:rsidR="00550391" w:rsidRPr="00F93BD2">
        <w:rPr>
          <w:i/>
        </w:rPr>
        <w:t>Also notes</w:t>
      </w:r>
      <w:r w:rsidR="00550391" w:rsidRPr="00F93BD2">
        <w:t xml:space="preserve"> that any unspent balances of the Trust Fund for the International Transaction Log from previous financial periods remaining after the actions referred to in paragraphs 3 and 4 above could be used to cover the budget of the international transaction log for future bienniums;</w:t>
      </w:r>
    </w:p>
    <w:p w14:paraId="4F787786" w14:textId="09482549" w:rsidR="00550391" w:rsidRPr="00F93BD2" w:rsidRDefault="00C148B2" w:rsidP="00C148B2">
      <w:pPr>
        <w:pStyle w:val="RegSingleTxtG"/>
        <w:numPr>
          <w:ilvl w:val="0"/>
          <w:numId w:val="0"/>
        </w:numPr>
        <w:ind w:left="1134"/>
        <w:rPr>
          <w:lang w:eastAsia="en-US"/>
        </w:rPr>
      </w:pPr>
      <w:r w:rsidRPr="00F93BD2">
        <w:rPr>
          <w:lang w:eastAsia="en-US"/>
        </w:rPr>
        <w:t>7.</w:t>
      </w:r>
      <w:r w:rsidRPr="00F93BD2">
        <w:rPr>
          <w:lang w:eastAsia="en-US"/>
        </w:rPr>
        <w:tab/>
      </w:r>
      <w:r w:rsidR="00550391" w:rsidRPr="00F93BD2">
        <w:rPr>
          <w:i/>
          <w:lang w:eastAsia="en-US"/>
        </w:rPr>
        <w:t>Requests</w:t>
      </w:r>
      <w:r w:rsidR="00550391" w:rsidRPr="00F93BD2">
        <w:rPr>
          <w:lang w:eastAsia="en-US"/>
        </w:rPr>
        <w:t xml:space="preserve"> the administrator of the international transaction log to disclose in its annual reports the unspent balance of the Trust Fund for the International Transaction Log from the previous biennium as at the time of publication of the annual report;</w:t>
      </w:r>
    </w:p>
    <w:p w14:paraId="5B8E349B" w14:textId="325BDD5E" w:rsidR="00550391" w:rsidRPr="00F93BD2" w:rsidRDefault="00C148B2" w:rsidP="00C148B2">
      <w:pPr>
        <w:pStyle w:val="RegSingleTxtG"/>
        <w:numPr>
          <w:ilvl w:val="0"/>
          <w:numId w:val="0"/>
        </w:numPr>
        <w:ind w:left="1134"/>
        <w:rPr>
          <w:lang w:eastAsia="en-US"/>
        </w:rPr>
      </w:pPr>
      <w:r w:rsidRPr="00F93BD2">
        <w:rPr>
          <w:lang w:eastAsia="en-US"/>
        </w:rPr>
        <w:t>8.</w:t>
      </w:r>
      <w:r w:rsidRPr="00F93BD2">
        <w:rPr>
          <w:lang w:eastAsia="en-US"/>
        </w:rPr>
        <w:tab/>
      </w:r>
      <w:r w:rsidR="00550391" w:rsidRPr="00F93BD2">
        <w:rPr>
          <w:i/>
          <w:lang w:eastAsia="en-US"/>
        </w:rPr>
        <w:t>Adopts</w:t>
      </w:r>
      <w:r w:rsidR="00550391" w:rsidRPr="00F93BD2">
        <w:rPr>
          <w:lang w:eastAsia="en-US"/>
        </w:rPr>
        <w:t xml:space="preserve"> the scale of fees for the international transaction log for the biennium 2018–2019 as contained in the annex;</w:t>
      </w:r>
    </w:p>
    <w:p w14:paraId="798511D8" w14:textId="3C15FB70" w:rsidR="00550391" w:rsidRPr="00F93BD2" w:rsidRDefault="00C148B2" w:rsidP="00C148B2">
      <w:pPr>
        <w:pStyle w:val="RegSingleTxtG"/>
        <w:numPr>
          <w:ilvl w:val="0"/>
          <w:numId w:val="0"/>
        </w:numPr>
        <w:ind w:left="1134"/>
        <w:rPr>
          <w:lang w:eastAsia="en-US"/>
        </w:rPr>
      </w:pPr>
      <w:r w:rsidRPr="00F93BD2">
        <w:rPr>
          <w:lang w:eastAsia="en-US"/>
        </w:rPr>
        <w:t>9.</w:t>
      </w:r>
      <w:r w:rsidRPr="00F93BD2">
        <w:rPr>
          <w:lang w:eastAsia="en-US"/>
        </w:rPr>
        <w:tab/>
      </w:r>
      <w:r w:rsidR="00550391" w:rsidRPr="00F93BD2">
        <w:rPr>
          <w:i/>
          <w:lang w:eastAsia="en-US"/>
        </w:rPr>
        <w:t>Decides</w:t>
      </w:r>
      <w:r w:rsidR="00550391" w:rsidRPr="00F93BD2">
        <w:rPr>
          <w:lang w:eastAsia="en-US"/>
        </w:rPr>
        <w:t xml:space="preserve"> that fees for the international transaction log paid by a Party for the biennium 2018–2019 shall be calculated by multiplying the scale of fees for that Party contained in the annex by the budget for the international transaction log for the biennium 2018–2019 and adjusted for Parties currently not connected to the international transaction log, taking into account the amount drawn from unspent balances as set out in paragraph 3 above, with the balance of fees for the first year of the biennium being equal to the balance of fees for the second year of the biennium, as contained in the annex;</w:t>
      </w:r>
    </w:p>
    <w:p w14:paraId="010A8F1F" w14:textId="4EF585AC" w:rsidR="00550391" w:rsidRPr="00F93BD2" w:rsidRDefault="00C148B2" w:rsidP="00C148B2">
      <w:pPr>
        <w:pStyle w:val="RegSingleTxtG"/>
        <w:numPr>
          <w:ilvl w:val="0"/>
          <w:numId w:val="0"/>
        </w:numPr>
        <w:ind w:left="1134"/>
        <w:rPr>
          <w:lang w:eastAsia="en-US"/>
        </w:rPr>
      </w:pPr>
      <w:r w:rsidRPr="00F93BD2">
        <w:rPr>
          <w:lang w:eastAsia="en-US"/>
        </w:rPr>
        <w:lastRenderedPageBreak/>
        <w:t>10.</w:t>
      </w:r>
      <w:r w:rsidRPr="00F93BD2">
        <w:rPr>
          <w:lang w:eastAsia="en-US"/>
        </w:rPr>
        <w:tab/>
      </w:r>
      <w:r w:rsidR="00550391" w:rsidRPr="00F93BD2">
        <w:rPr>
          <w:i/>
          <w:lang w:eastAsia="en-US"/>
        </w:rPr>
        <w:t>Requests</w:t>
      </w:r>
      <w:r w:rsidR="00550391" w:rsidRPr="00F93BD2">
        <w:rPr>
          <w:lang w:eastAsia="en-US"/>
        </w:rPr>
        <w:t xml:space="preserve"> the Executive Secretary to notify Parties connected to the international transaction log in the biennium 2018–2019 of the annual fees, calculated in accordance with paragraph 9 above, as early as possible and at least four months in advance of the relevant calendar year, where possible;</w:t>
      </w:r>
    </w:p>
    <w:p w14:paraId="0D215149" w14:textId="2331F7A0" w:rsidR="00550391" w:rsidRPr="00F93BD2" w:rsidRDefault="00C148B2" w:rsidP="00C148B2">
      <w:pPr>
        <w:pStyle w:val="RegSingleTxtG"/>
        <w:numPr>
          <w:ilvl w:val="0"/>
          <w:numId w:val="0"/>
        </w:numPr>
        <w:ind w:left="1134"/>
        <w:rPr>
          <w:lang w:eastAsia="en-US"/>
        </w:rPr>
      </w:pPr>
      <w:r w:rsidRPr="00F93BD2">
        <w:rPr>
          <w:lang w:eastAsia="en-US"/>
        </w:rPr>
        <w:t>11.</w:t>
      </w:r>
      <w:r w:rsidRPr="00F93BD2">
        <w:rPr>
          <w:lang w:eastAsia="en-US"/>
        </w:rPr>
        <w:tab/>
      </w:r>
      <w:r w:rsidR="00550391" w:rsidRPr="00F93BD2">
        <w:rPr>
          <w:i/>
          <w:lang w:eastAsia="en-US"/>
        </w:rPr>
        <w:t>Decides</w:t>
      </w:r>
      <w:r w:rsidR="00550391" w:rsidRPr="00F93BD2">
        <w:rPr>
          <w:lang w:eastAsia="en-US"/>
        </w:rPr>
        <w:t xml:space="preserve"> that, if a Party connects to the international transaction log for the first time or reconnects to it, the scale of fees for that Party shall be that contained in the annex, or, for Parties not listed in the table contained in the annex, shall be made equal to 130 per cent of their Kyoto Protocol adjusted scale for the relevant biennium;</w:t>
      </w:r>
    </w:p>
    <w:p w14:paraId="523819C3" w14:textId="7C45F76C" w:rsidR="00550391" w:rsidRPr="00F93BD2" w:rsidRDefault="00C148B2" w:rsidP="00C148B2">
      <w:pPr>
        <w:pStyle w:val="RegSingleTxtG"/>
        <w:numPr>
          <w:ilvl w:val="0"/>
          <w:numId w:val="0"/>
        </w:numPr>
        <w:ind w:left="1134"/>
        <w:rPr>
          <w:lang w:eastAsia="en-US"/>
        </w:rPr>
      </w:pPr>
      <w:r w:rsidRPr="00F93BD2">
        <w:rPr>
          <w:lang w:eastAsia="en-US"/>
        </w:rPr>
        <w:t>12.</w:t>
      </w:r>
      <w:r w:rsidRPr="00F93BD2">
        <w:rPr>
          <w:lang w:eastAsia="en-US"/>
        </w:rPr>
        <w:tab/>
      </w:r>
      <w:r w:rsidR="00550391" w:rsidRPr="00F93BD2">
        <w:rPr>
          <w:i/>
          <w:lang w:eastAsia="en-US"/>
        </w:rPr>
        <w:t>Also</w:t>
      </w:r>
      <w:r w:rsidR="00550391" w:rsidRPr="00F93BD2">
        <w:rPr>
          <w:lang w:eastAsia="en-US"/>
        </w:rPr>
        <w:t xml:space="preserve"> </w:t>
      </w:r>
      <w:r w:rsidR="00550391" w:rsidRPr="00F93BD2">
        <w:rPr>
          <w:i/>
          <w:lang w:eastAsia="en-US"/>
        </w:rPr>
        <w:t>decides</w:t>
      </w:r>
      <w:r w:rsidR="00550391" w:rsidRPr="00F93BD2">
        <w:rPr>
          <w:lang w:eastAsia="en-US"/>
        </w:rPr>
        <w:t xml:space="preserve"> that fees paid by a Party that connects to the international transaction log for the first time or reconnects to it shall be deducted from the resource requirement for activities relating to the international transaction log in the next biennium;</w:t>
      </w:r>
    </w:p>
    <w:p w14:paraId="4D4134AE" w14:textId="22BB089B" w:rsidR="00550391" w:rsidRPr="00F93BD2" w:rsidRDefault="00C148B2" w:rsidP="00C148B2">
      <w:pPr>
        <w:pStyle w:val="RegSingleTxtG"/>
        <w:numPr>
          <w:ilvl w:val="0"/>
          <w:numId w:val="0"/>
        </w:numPr>
        <w:ind w:left="1134"/>
      </w:pPr>
      <w:r w:rsidRPr="00F93BD2">
        <w:t>13.</w:t>
      </w:r>
      <w:r w:rsidRPr="00F93BD2">
        <w:tab/>
      </w:r>
      <w:r w:rsidR="00550391" w:rsidRPr="00F93BD2">
        <w:rPr>
          <w:i/>
        </w:rPr>
        <w:t>Further decides</w:t>
      </w:r>
      <w:r w:rsidR="00550391" w:rsidRPr="00F93BD2">
        <w:t xml:space="preserve"> that fees paid by a Party that connects to the international transaction log for the first time or reconnects to it during the biennium 2018–2019 shall be proportioned for the period between the date of connection or reconnection of its registry and the end of the biennium, except for the period for which the fees were already paid;</w:t>
      </w:r>
    </w:p>
    <w:p w14:paraId="598EC97B" w14:textId="2FDF4085" w:rsidR="00550391" w:rsidRPr="00F93BD2" w:rsidRDefault="00C148B2" w:rsidP="00C148B2">
      <w:pPr>
        <w:pStyle w:val="RegSingleTxtG"/>
        <w:numPr>
          <w:ilvl w:val="0"/>
          <w:numId w:val="0"/>
        </w:numPr>
        <w:ind w:left="1134"/>
      </w:pPr>
      <w:r w:rsidRPr="00F93BD2">
        <w:t>14.</w:t>
      </w:r>
      <w:r w:rsidRPr="00F93BD2">
        <w:tab/>
      </w:r>
      <w:r w:rsidR="00550391" w:rsidRPr="00F93BD2">
        <w:rPr>
          <w:i/>
        </w:rPr>
        <w:t>Decides</w:t>
      </w:r>
      <w:r w:rsidR="00550391" w:rsidRPr="00F93BD2">
        <w:t xml:space="preserve"> that, where a Party disconnects during the biennium 2018–2019, the Party shall cover the fees for the full year in which the disconnection took place, and that, if the disconnection takes place in the first year of </w:t>
      </w:r>
      <w:r w:rsidR="00550391" w:rsidRPr="00F93BD2">
        <w:rPr>
          <w:lang w:eastAsia="en-US"/>
        </w:rPr>
        <w:t>the</w:t>
      </w:r>
      <w:r w:rsidR="00550391" w:rsidRPr="00F93BD2">
        <w:t xml:space="preserve"> biennium and the Party does not reconnect in the second year of the biennium, fees for the second year of the biennium shall not apply;</w:t>
      </w:r>
    </w:p>
    <w:p w14:paraId="55D45E75" w14:textId="04C5B5E2" w:rsidR="00550391" w:rsidRPr="00F93BD2" w:rsidRDefault="00C148B2" w:rsidP="00C148B2">
      <w:pPr>
        <w:pStyle w:val="RegSingleTxtG"/>
        <w:numPr>
          <w:ilvl w:val="0"/>
          <w:numId w:val="0"/>
        </w:numPr>
        <w:ind w:left="1134"/>
      </w:pPr>
      <w:r w:rsidRPr="00F93BD2">
        <w:t>15.</w:t>
      </w:r>
      <w:r w:rsidRPr="00F93BD2">
        <w:tab/>
      </w:r>
      <w:r w:rsidR="00550391" w:rsidRPr="00F93BD2">
        <w:rPr>
          <w:i/>
        </w:rPr>
        <w:t>Also decides</w:t>
      </w:r>
      <w:r w:rsidR="00550391" w:rsidRPr="00F93BD2">
        <w:t xml:space="preserve"> that, where a Party disconnected prior to the biennium 2018–2019, the fees shall not apply until the Party </w:t>
      </w:r>
      <w:r w:rsidR="00550391" w:rsidRPr="00F93BD2">
        <w:rPr>
          <w:lang w:eastAsia="en-US"/>
        </w:rPr>
        <w:t>reconnects</w:t>
      </w:r>
      <w:r w:rsidR="00550391" w:rsidRPr="00F93BD2">
        <w:t xml:space="preserve"> to the international transaction log;</w:t>
      </w:r>
      <w:r w:rsidR="00550391" w:rsidRPr="00F93BD2" w:rsidDel="00EE644D">
        <w:t xml:space="preserve"> </w:t>
      </w:r>
    </w:p>
    <w:p w14:paraId="4F388220" w14:textId="4508FC59" w:rsidR="00550391" w:rsidRPr="00F93BD2" w:rsidRDefault="00C148B2" w:rsidP="00C148B2">
      <w:pPr>
        <w:pStyle w:val="RegSingleTxtG"/>
        <w:numPr>
          <w:ilvl w:val="0"/>
          <w:numId w:val="0"/>
        </w:numPr>
        <w:ind w:left="1134"/>
        <w:rPr>
          <w:iCs/>
        </w:rPr>
      </w:pPr>
      <w:r w:rsidRPr="00F93BD2">
        <w:rPr>
          <w:iCs/>
        </w:rPr>
        <w:t>16.</w:t>
      </w:r>
      <w:r w:rsidRPr="00F93BD2">
        <w:rPr>
          <w:iCs/>
        </w:rPr>
        <w:tab/>
      </w:r>
      <w:r w:rsidR="00550391" w:rsidRPr="00F93BD2">
        <w:rPr>
          <w:i/>
        </w:rPr>
        <w:t xml:space="preserve">Authorizes </w:t>
      </w:r>
      <w:r w:rsidR="00550391" w:rsidRPr="00F93BD2">
        <w:rPr>
          <w:iCs/>
        </w:rPr>
        <w:t xml:space="preserve">the international transaction log administrator to disconnect the registry of a Party from the international </w:t>
      </w:r>
      <w:r w:rsidR="00550391" w:rsidRPr="00F93BD2">
        <w:rPr>
          <w:lang w:eastAsia="en-US"/>
        </w:rPr>
        <w:t>transaction</w:t>
      </w:r>
      <w:r w:rsidR="00550391" w:rsidRPr="00F93BD2">
        <w:rPr>
          <w:iCs/>
        </w:rPr>
        <w:t xml:space="preserve"> log in the event of the non-payment of its fees by that Party, provided that such disconnection shall not be effected earlier than four months after the beginning of the relevant calendar year, at least two reminders have already been given to the Party and consultations have taken place with the Party concerned prior to the final reminder;</w:t>
      </w:r>
    </w:p>
    <w:p w14:paraId="45E4D460" w14:textId="4171C7C1" w:rsidR="00550391" w:rsidRPr="00F93BD2" w:rsidRDefault="00C148B2" w:rsidP="00C148B2">
      <w:pPr>
        <w:pStyle w:val="RegSingleTxtG"/>
        <w:numPr>
          <w:ilvl w:val="0"/>
          <w:numId w:val="0"/>
        </w:numPr>
        <w:ind w:left="1134"/>
      </w:pPr>
      <w:r w:rsidRPr="00F93BD2">
        <w:t>17.</w:t>
      </w:r>
      <w:r w:rsidRPr="00F93BD2">
        <w:tab/>
      </w:r>
      <w:r w:rsidR="00550391" w:rsidRPr="00F93BD2">
        <w:rPr>
          <w:i/>
          <w:lang w:eastAsia="en-US"/>
        </w:rPr>
        <w:t xml:space="preserve">Requests </w:t>
      </w:r>
      <w:r w:rsidR="00550391" w:rsidRPr="00F93BD2">
        <w:rPr>
          <w:lang w:eastAsia="en-US"/>
        </w:rPr>
        <w:t>the international transaction log administrator to provide, in its annual reports for 2018 and 2019, information on transactions of Kyoto Protocol units;</w:t>
      </w:r>
    </w:p>
    <w:p w14:paraId="76B43D0A" w14:textId="0B7277FC" w:rsidR="00550391" w:rsidRPr="00F93BD2" w:rsidRDefault="00C148B2" w:rsidP="00C148B2">
      <w:pPr>
        <w:pStyle w:val="RegSingleTxtG"/>
        <w:numPr>
          <w:ilvl w:val="0"/>
          <w:numId w:val="0"/>
        </w:numPr>
        <w:ind w:left="1134"/>
      </w:pPr>
      <w:r w:rsidRPr="00F93BD2">
        <w:t>18.</w:t>
      </w:r>
      <w:r w:rsidRPr="00F93BD2">
        <w:tab/>
      </w:r>
      <w:r w:rsidR="00550391" w:rsidRPr="00F93BD2">
        <w:rPr>
          <w:i/>
        </w:rPr>
        <w:t>Also requests</w:t>
      </w:r>
      <w:r w:rsidR="00550391" w:rsidRPr="00F93BD2">
        <w:t xml:space="preserve"> the international </w:t>
      </w:r>
      <w:r w:rsidR="00550391" w:rsidRPr="00F93BD2">
        <w:rPr>
          <w:lang w:eastAsia="en-US"/>
        </w:rPr>
        <w:t>transaction</w:t>
      </w:r>
      <w:r w:rsidR="00550391" w:rsidRPr="00F93BD2">
        <w:t xml:space="preserve"> log administrator to publish, in its annual reports, a table listing the scale and the level of fees and the status of payments for all Parties connected to the international transaction log;</w:t>
      </w:r>
    </w:p>
    <w:p w14:paraId="7B96A47C" w14:textId="42C7F0EC" w:rsidR="00550391" w:rsidRPr="00F93BD2" w:rsidRDefault="00C148B2" w:rsidP="00C148B2">
      <w:pPr>
        <w:pStyle w:val="RegSingleTxtG"/>
        <w:numPr>
          <w:ilvl w:val="0"/>
          <w:numId w:val="0"/>
        </w:numPr>
        <w:ind w:left="1134"/>
      </w:pPr>
      <w:r w:rsidRPr="00F93BD2">
        <w:t>19.</w:t>
      </w:r>
      <w:r w:rsidRPr="00F93BD2">
        <w:tab/>
      </w:r>
      <w:r w:rsidR="00550391" w:rsidRPr="00F93BD2">
        <w:rPr>
          <w:i/>
        </w:rPr>
        <w:t xml:space="preserve">Further requests </w:t>
      </w:r>
      <w:r w:rsidR="00550391" w:rsidRPr="00F93BD2">
        <w:t xml:space="preserve">the Subsidiary Body for Implementation, at its fiftieth session (June 2019), to recommend a </w:t>
      </w:r>
      <w:r w:rsidR="00550391" w:rsidRPr="00F93BD2">
        <w:rPr>
          <w:lang w:eastAsia="en-US"/>
        </w:rPr>
        <w:t>methodology</w:t>
      </w:r>
      <w:r w:rsidR="00550391" w:rsidRPr="00F93BD2">
        <w:t xml:space="preserve"> for the collection of international transaction log fees in the biennium 2020–2021 for consideration and adoption by the Conference of the Parties serving as the meeting of the Parties to the Kyoto Protocol at its fifteenth session (November 2019).</w:t>
      </w:r>
    </w:p>
    <w:p w14:paraId="5D3132FD" w14:textId="77777777" w:rsidR="00550391" w:rsidRPr="00F93BD2" w:rsidRDefault="00550391" w:rsidP="00550391">
      <w:pPr>
        <w:sectPr w:rsidR="00550391" w:rsidRPr="00F93BD2" w:rsidSect="00CA0361">
          <w:headerReference w:type="even" r:id="rId49"/>
          <w:headerReference w:type="default" r:id="rId50"/>
          <w:footerReference w:type="even" r:id="rId51"/>
          <w:footerReference w:type="default" r:id="rId52"/>
          <w:headerReference w:type="first" r:id="rId53"/>
          <w:footnotePr>
            <w:numRestart w:val="eachSect"/>
          </w:footnotePr>
          <w:pgSz w:w="11906" w:h="16838" w:code="9"/>
          <w:pgMar w:top="1417" w:right="1134" w:bottom="1134" w:left="1134" w:header="850" w:footer="567" w:gutter="0"/>
          <w:cols w:space="708"/>
          <w:docGrid w:linePitch="360"/>
        </w:sectPr>
      </w:pPr>
    </w:p>
    <w:p w14:paraId="53FF063D" w14:textId="467D28D6" w:rsidR="004C604C" w:rsidRPr="00F93BD2" w:rsidRDefault="00550391" w:rsidP="002E548E">
      <w:pPr>
        <w:pStyle w:val="HChG"/>
        <w:spacing w:before="0" w:after="100"/>
      </w:pPr>
      <w:r w:rsidRPr="00F93BD2">
        <w:lastRenderedPageBreak/>
        <w:t xml:space="preserve">Annex </w:t>
      </w:r>
    </w:p>
    <w:p w14:paraId="5366D5C8" w14:textId="267B9FEF" w:rsidR="00550391" w:rsidRPr="00F93BD2" w:rsidRDefault="004C604C" w:rsidP="002E548E">
      <w:pPr>
        <w:pStyle w:val="HChG"/>
        <w:spacing w:before="80" w:after="40"/>
        <w:ind w:right="-1"/>
      </w:pPr>
      <w:r w:rsidRPr="00F93BD2">
        <w:tab/>
      </w:r>
      <w:r w:rsidRPr="00F93BD2">
        <w:tab/>
      </w:r>
      <w:r w:rsidR="00550391" w:rsidRPr="00F93BD2">
        <w:t>Fees for the international transaction log for the biennium 2018–2019</w:t>
      </w:r>
    </w:p>
    <w:p w14:paraId="6FB34E7E" w14:textId="6E04B7B4" w:rsidR="00CD6683" w:rsidRPr="00F93BD2" w:rsidRDefault="00CD6683" w:rsidP="002C64AC">
      <w:pPr>
        <w:spacing w:after="80"/>
        <w:jc w:val="right"/>
      </w:pPr>
      <w:r w:rsidRPr="00F93BD2">
        <w:t>[English only]</w:t>
      </w:r>
    </w:p>
    <w:tbl>
      <w:tblPr>
        <w:tblW w:w="9637" w:type="dxa"/>
        <w:tblLayout w:type="fixed"/>
        <w:tblCellMar>
          <w:left w:w="0" w:type="dxa"/>
          <w:right w:w="0" w:type="dxa"/>
        </w:tblCellMar>
        <w:tblLook w:val="04A0" w:firstRow="1" w:lastRow="0" w:firstColumn="1" w:lastColumn="0" w:noHBand="0" w:noVBand="1"/>
      </w:tblPr>
      <w:tblGrid>
        <w:gridCol w:w="2268"/>
        <w:gridCol w:w="1134"/>
        <w:gridCol w:w="1552"/>
        <w:gridCol w:w="1566"/>
        <w:gridCol w:w="1558"/>
        <w:gridCol w:w="1559"/>
      </w:tblGrid>
      <w:tr w:rsidR="00C81DAB" w:rsidRPr="00F93BD2" w14:paraId="235B1466" w14:textId="77777777" w:rsidTr="002E548E">
        <w:trPr>
          <w:tblHeader/>
        </w:trPr>
        <w:tc>
          <w:tcPr>
            <w:tcW w:w="2268" w:type="dxa"/>
            <w:tcBorders>
              <w:top w:val="single" w:sz="4" w:space="0" w:color="auto"/>
              <w:bottom w:val="single" w:sz="12" w:space="0" w:color="auto"/>
            </w:tcBorders>
            <w:shd w:val="clear" w:color="auto" w:fill="auto"/>
            <w:vAlign w:val="bottom"/>
          </w:tcPr>
          <w:p w14:paraId="2B242E1A" w14:textId="77777777" w:rsidR="00550391" w:rsidRPr="00F93BD2" w:rsidRDefault="00550391" w:rsidP="002C64AC">
            <w:pPr>
              <w:spacing w:before="40" w:after="40" w:line="240" w:lineRule="auto"/>
              <w:ind w:right="113"/>
              <w:rPr>
                <w:i/>
                <w:sz w:val="16"/>
              </w:rPr>
            </w:pPr>
            <w:r w:rsidRPr="00F93BD2">
              <w:rPr>
                <w:i/>
                <w:sz w:val="16"/>
              </w:rPr>
              <w:t>Party</w:t>
            </w:r>
          </w:p>
        </w:tc>
        <w:tc>
          <w:tcPr>
            <w:tcW w:w="1134" w:type="dxa"/>
            <w:tcBorders>
              <w:top w:val="single" w:sz="4" w:space="0" w:color="auto"/>
              <w:bottom w:val="single" w:sz="12" w:space="0" w:color="auto"/>
            </w:tcBorders>
            <w:shd w:val="clear" w:color="auto" w:fill="auto"/>
            <w:vAlign w:val="bottom"/>
          </w:tcPr>
          <w:p w14:paraId="26096A1F" w14:textId="7F02B736" w:rsidR="00550391" w:rsidRPr="00F93BD2" w:rsidRDefault="00550391" w:rsidP="002C64AC">
            <w:pPr>
              <w:spacing w:before="40" w:after="40" w:line="240" w:lineRule="auto"/>
              <w:ind w:right="65"/>
              <w:jc w:val="right"/>
              <w:rPr>
                <w:i/>
                <w:spacing w:val="-2"/>
                <w:sz w:val="16"/>
              </w:rPr>
            </w:pPr>
            <w:r w:rsidRPr="00F93BD2">
              <w:rPr>
                <w:i/>
                <w:spacing w:val="-2"/>
                <w:sz w:val="16"/>
              </w:rPr>
              <w:t>Scale of fees for 2018–2019</w:t>
            </w:r>
            <w:r w:rsidR="00226DD0" w:rsidRPr="00F93BD2">
              <w:rPr>
                <w:i/>
                <w:spacing w:val="-2"/>
                <w:sz w:val="16"/>
              </w:rPr>
              <w:t xml:space="preserve"> </w:t>
            </w:r>
            <w:r w:rsidR="00226DD0" w:rsidRPr="00F93BD2">
              <w:rPr>
                <w:i/>
                <w:spacing w:val="-2"/>
                <w:sz w:val="16"/>
              </w:rPr>
              <w:br/>
            </w:r>
            <w:r w:rsidRPr="00F93BD2">
              <w:rPr>
                <w:i/>
                <w:spacing w:val="-2"/>
                <w:sz w:val="16"/>
              </w:rPr>
              <w:t>(</w:t>
            </w:r>
            <w:r w:rsidR="00A81C8B" w:rsidRPr="00F93BD2">
              <w:rPr>
                <w:i/>
                <w:spacing w:val="-2"/>
                <w:sz w:val="16"/>
              </w:rPr>
              <w:t>%</w:t>
            </w:r>
            <w:r w:rsidRPr="00F93BD2">
              <w:rPr>
                <w:i/>
                <w:spacing w:val="-2"/>
                <w:sz w:val="16"/>
              </w:rPr>
              <w:t>)</w:t>
            </w:r>
          </w:p>
        </w:tc>
        <w:tc>
          <w:tcPr>
            <w:tcW w:w="1552" w:type="dxa"/>
            <w:tcBorders>
              <w:top w:val="single" w:sz="4" w:space="0" w:color="auto"/>
              <w:bottom w:val="single" w:sz="12" w:space="0" w:color="auto"/>
            </w:tcBorders>
            <w:shd w:val="clear" w:color="auto" w:fill="auto"/>
            <w:vAlign w:val="bottom"/>
          </w:tcPr>
          <w:p w14:paraId="5238F676" w14:textId="538FE475" w:rsidR="00550391" w:rsidRPr="00F93BD2" w:rsidRDefault="00550391" w:rsidP="002C64AC">
            <w:pPr>
              <w:spacing w:before="40" w:after="40" w:line="240" w:lineRule="auto"/>
              <w:ind w:right="65"/>
              <w:jc w:val="right"/>
              <w:rPr>
                <w:i/>
                <w:spacing w:val="-2"/>
                <w:sz w:val="16"/>
              </w:rPr>
            </w:pPr>
            <w:r w:rsidRPr="00F93BD2">
              <w:rPr>
                <w:i/>
                <w:spacing w:val="-2"/>
                <w:sz w:val="16"/>
              </w:rPr>
              <w:t xml:space="preserve">Calculated fees for 2018 before credit </w:t>
            </w:r>
            <w:r w:rsidR="002E548E" w:rsidRPr="00F93BD2">
              <w:rPr>
                <w:i/>
                <w:spacing w:val="-2"/>
                <w:sz w:val="16"/>
              </w:rPr>
              <w:br/>
            </w:r>
            <w:r w:rsidRPr="00F93BD2">
              <w:rPr>
                <w:i/>
                <w:spacing w:val="-2"/>
                <w:sz w:val="16"/>
              </w:rPr>
              <w:t>from unspent balances</w:t>
            </w:r>
            <w:r w:rsidR="002E548E" w:rsidRPr="00F93BD2">
              <w:rPr>
                <w:i/>
                <w:spacing w:val="-2"/>
                <w:sz w:val="16"/>
              </w:rPr>
              <w:br/>
            </w:r>
            <w:r w:rsidRPr="00F93BD2">
              <w:rPr>
                <w:i/>
                <w:spacing w:val="-2"/>
                <w:sz w:val="16"/>
              </w:rPr>
              <w:t>(EUR)</w:t>
            </w:r>
          </w:p>
        </w:tc>
        <w:tc>
          <w:tcPr>
            <w:tcW w:w="1566" w:type="dxa"/>
            <w:tcBorders>
              <w:top w:val="single" w:sz="4" w:space="0" w:color="auto"/>
              <w:bottom w:val="single" w:sz="12" w:space="0" w:color="auto"/>
            </w:tcBorders>
            <w:shd w:val="clear" w:color="auto" w:fill="auto"/>
            <w:vAlign w:val="bottom"/>
          </w:tcPr>
          <w:p w14:paraId="6E53E67B" w14:textId="41C502C6" w:rsidR="00550391" w:rsidRPr="00F93BD2" w:rsidRDefault="00550391" w:rsidP="002C64AC">
            <w:pPr>
              <w:spacing w:before="40" w:after="40" w:line="240" w:lineRule="auto"/>
              <w:ind w:right="65"/>
              <w:jc w:val="right"/>
              <w:rPr>
                <w:i/>
                <w:spacing w:val="-2"/>
                <w:sz w:val="16"/>
              </w:rPr>
            </w:pPr>
            <w:r w:rsidRPr="00F93BD2">
              <w:rPr>
                <w:i/>
                <w:spacing w:val="-2"/>
                <w:sz w:val="16"/>
              </w:rPr>
              <w:t>Calculated fees for 2019 before credit from unspent balances</w:t>
            </w:r>
            <w:r w:rsidR="00226DD0" w:rsidRPr="00F93BD2">
              <w:rPr>
                <w:i/>
                <w:spacing w:val="-2"/>
                <w:sz w:val="16"/>
              </w:rPr>
              <w:t xml:space="preserve"> </w:t>
            </w:r>
            <w:r w:rsidRPr="00F93BD2">
              <w:rPr>
                <w:i/>
                <w:spacing w:val="-2"/>
                <w:sz w:val="16"/>
              </w:rPr>
              <w:t>(EUR)</w:t>
            </w:r>
          </w:p>
        </w:tc>
        <w:tc>
          <w:tcPr>
            <w:tcW w:w="1558" w:type="dxa"/>
            <w:tcBorders>
              <w:top w:val="single" w:sz="4" w:space="0" w:color="auto"/>
              <w:bottom w:val="single" w:sz="12" w:space="0" w:color="auto"/>
            </w:tcBorders>
            <w:shd w:val="clear" w:color="auto" w:fill="auto"/>
            <w:vAlign w:val="bottom"/>
          </w:tcPr>
          <w:p w14:paraId="23BDDFD1" w14:textId="068336A0" w:rsidR="00550391" w:rsidRPr="00F93BD2" w:rsidRDefault="00550391" w:rsidP="002C64AC">
            <w:pPr>
              <w:spacing w:before="40" w:after="40" w:line="240" w:lineRule="auto"/>
              <w:ind w:right="65"/>
              <w:jc w:val="right"/>
              <w:rPr>
                <w:i/>
                <w:spacing w:val="-2"/>
                <w:sz w:val="16"/>
              </w:rPr>
            </w:pPr>
            <w:r w:rsidRPr="00F93BD2">
              <w:rPr>
                <w:i/>
                <w:spacing w:val="-2"/>
                <w:sz w:val="16"/>
              </w:rPr>
              <w:t>Balance of fees for 2018 after credit from unspent balances</w:t>
            </w:r>
            <w:r w:rsidR="00226DD0" w:rsidRPr="00F93BD2">
              <w:rPr>
                <w:i/>
                <w:spacing w:val="-2"/>
                <w:sz w:val="16"/>
              </w:rPr>
              <w:t xml:space="preserve"> </w:t>
            </w:r>
            <w:r w:rsidRPr="00F93BD2">
              <w:rPr>
                <w:i/>
                <w:spacing w:val="-2"/>
                <w:sz w:val="16"/>
              </w:rPr>
              <w:t>(EUR)</w:t>
            </w:r>
          </w:p>
        </w:tc>
        <w:tc>
          <w:tcPr>
            <w:tcW w:w="1559" w:type="dxa"/>
            <w:tcBorders>
              <w:top w:val="single" w:sz="4" w:space="0" w:color="auto"/>
              <w:bottom w:val="single" w:sz="12" w:space="0" w:color="auto"/>
            </w:tcBorders>
            <w:shd w:val="clear" w:color="auto" w:fill="auto"/>
            <w:vAlign w:val="bottom"/>
          </w:tcPr>
          <w:p w14:paraId="46401464" w14:textId="3241E37C" w:rsidR="00550391" w:rsidRPr="00F93BD2" w:rsidRDefault="00550391" w:rsidP="002C64AC">
            <w:pPr>
              <w:spacing w:before="40" w:after="40" w:line="240" w:lineRule="auto"/>
              <w:ind w:right="65"/>
              <w:jc w:val="right"/>
              <w:rPr>
                <w:i/>
                <w:spacing w:val="-2"/>
                <w:sz w:val="16"/>
              </w:rPr>
            </w:pPr>
            <w:r w:rsidRPr="00F93BD2">
              <w:rPr>
                <w:i/>
                <w:spacing w:val="-2"/>
                <w:sz w:val="16"/>
              </w:rPr>
              <w:t xml:space="preserve">Balance of fees for </w:t>
            </w:r>
            <w:r w:rsidR="00226DD0" w:rsidRPr="00F93BD2">
              <w:rPr>
                <w:i/>
                <w:spacing w:val="-2"/>
                <w:sz w:val="16"/>
              </w:rPr>
              <w:br/>
            </w:r>
            <w:r w:rsidRPr="00F93BD2">
              <w:rPr>
                <w:i/>
                <w:spacing w:val="-2"/>
                <w:sz w:val="16"/>
              </w:rPr>
              <w:t>2019 after credit from unspent balances</w:t>
            </w:r>
            <w:r w:rsidR="00226DD0" w:rsidRPr="00F93BD2">
              <w:rPr>
                <w:i/>
                <w:spacing w:val="-2"/>
                <w:sz w:val="16"/>
              </w:rPr>
              <w:t xml:space="preserve"> </w:t>
            </w:r>
            <w:r w:rsidRPr="00F93BD2">
              <w:rPr>
                <w:i/>
                <w:spacing w:val="-2"/>
                <w:sz w:val="16"/>
              </w:rPr>
              <w:t>(EUR)</w:t>
            </w:r>
          </w:p>
        </w:tc>
      </w:tr>
      <w:tr w:rsidR="00C81DAB" w:rsidRPr="00F93BD2" w14:paraId="424594DB" w14:textId="77777777" w:rsidTr="002E548E">
        <w:tc>
          <w:tcPr>
            <w:tcW w:w="2268" w:type="dxa"/>
            <w:tcBorders>
              <w:top w:val="single" w:sz="12" w:space="0" w:color="auto"/>
            </w:tcBorders>
            <w:shd w:val="clear" w:color="auto" w:fill="auto"/>
            <w:vAlign w:val="center"/>
          </w:tcPr>
          <w:p w14:paraId="782A5F3F" w14:textId="77777777" w:rsidR="00550391" w:rsidRPr="00F93BD2" w:rsidRDefault="00550391" w:rsidP="00226DD0">
            <w:pPr>
              <w:spacing w:before="40" w:line="240" w:lineRule="auto"/>
              <w:ind w:right="113"/>
            </w:pPr>
            <w:r w:rsidRPr="00F93BD2">
              <w:rPr>
                <w:color w:val="000000"/>
                <w:sz w:val="18"/>
                <w:szCs w:val="18"/>
              </w:rPr>
              <w:t>Australia</w:t>
            </w:r>
          </w:p>
        </w:tc>
        <w:tc>
          <w:tcPr>
            <w:tcW w:w="1134" w:type="dxa"/>
            <w:tcBorders>
              <w:top w:val="single" w:sz="12" w:space="0" w:color="auto"/>
            </w:tcBorders>
            <w:shd w:val="clear" w:color="auto" w:fill="auto"/>
          </w:tcPr>
          <w:p w14:paraId="0C94FE0F" w14:textId="77777777" w:rsidR="00550391" w:rsidRPr="00F93BD2" w:rsidRDefault="00550391" w:rsidP="002C64AC">
            <w:pPr>
              <w:spacing w:before="40" w:line="240" w:lineRule="auto"/>
              <w:ind w:right="65"/>
              <w:jc w:val="right"/>
              <w:rPr>
                <w:sz w:val="18"/>
                <w:szCs w:val="18"/>
              </w:rPr>
            </w:pPr>
            <w:r w:rsidRPr="00F93BD2">
              <w:rPr>
                <w:sz w:val="18"/>
                <w:szCs w:val="18"/>
              </w:rPr>
              <w:t>2.841</w:t>
            </w:r>
          </w:p>
        </w:tc>
        <w:tc>
          <w:tcPr>
            <w:tcW w:w="1552" w:type="dxa"/>
            <w:tcBorders>
              <w:top w:val="single" w:sz="12" w:space="0" w:color="auto"/>
            </w:tcBorders>
            <w:shd w:val="clear" w:color="auto" w:fill="auto"/>
          </w:tcPr>
          <w:p w14:paraId="4AE336D4" w14:textId="77777777" w:rsidR="00550391" w:rsidRPr="00F93BD2" w:rsidRDefault="00550391" w:rsidP="002C64AC">
            <w:pPr>
              <w:spacing w:before="40" w:line="240" w:lineRule="auto"/>
              <w:ind w:right="65"/>
              <w:jc w:val="right"/>
              <w:rPr>
                <w:sz w:val="18"/>
                <w:szCs w:val="18"/>
              </w:rPr>
            </w:pPr>
            <w:r w:rsidRPr="00F93BD2">
              <w:rPr>
                <w:sz w:val="18"/>
                <w:szCs w:val="18"/>
              </w:rPr>
              <w:t xml:space="preserve">  75 960</w:t>
            </w:r>
          </w:p>
        </w:tc>
        <w:tc>
          <w:tcPr>
            <w:tcW w:w="1566" w:type="dxa"/>
            <w:tcBorders>
              <w:top w:val="single" w:sz="12" w:space="0" w:color="auto"/>
            </w:tcBorders>
            <w:shd w:val="clear" w:color="auto" w:fill="auto"/>
          </w:tcPr>
          <w:p w14:paraId="09BB3165" w14:textId="77777777" w:rsidR="00550391" w:rsidRPr="00F93BD2" w:rsidRDefault="00550391" w:rsidP="002C64AC">
            <w:pPr>
              <w:spacing w:before="40" w:line="240" w:lineRule="auto"/>
              <w:ind w:right="65"/>
              <w:jc w:val="right"/>
              <w:rPr>
                <w:sz w:val="18"/>
                <w:szCs w:val="18"/>
              </w:rPr>
            </w:pPr>
            <w:r w:rsidRPr="00F93BD2">
              <w:rPr>
                <w:sz w:val="18"/>
                <w:szCs w:val="18"/>
              </w:rPr>
              <w:t xml:space="preserve">  75 960</w:t>
            </w:r>
          </w:p>
        </w:tc>
        <w:tc>
          <w:tcPr>
            <w:tcW w:w="1558" w:type="dxa"/>
            <w:tcBorders>
              <w:top w:val="single" w:sz="12" w:space="0" w:color="auto"/>
            </w:tcBorders>
            <w:shd w:val="clear" w:color="auto" w:fill="auto"/>
          </w:tcPr>
          <w:p w14:paraId="6D62A304" w14:textId="77777777" w:rsidR="00550391" w:rsidRPr="00F93BD2" w:rsidRDefault="00550391" w:rsidP="002C64AC">
            <w:pPr>
              <w:spacing w:before="40" w:line="240" w:lineRule="auto"/>
              <w:ind w:right="65"/>
              <w:jc w:val="right"/>
              <w:rPr>
                <w:sz w:val="18"/>
                <w:szCs w:val="18"/>
              </w:rPr>
            </w:pPr>
            <w:r w:rsidRPr="00F93BD2">
              <w:rPr>
                <w:sz w:val="18"/>
                <w:szCs w:val="18"/>
              </w:rPr>
              <w:t xml:space="preserve">  39 472</w:t>
            </w:r>
          </w:p>
        </w:tc>
        <w:tc>
          <w:tcPr>
            <w:tcW w:w="1559" w:type="dxa"/>
            <w:tcBorders>
              <w:top w:val="single" w:sz="12" w:space="0" w:color="auto"/>
            </w:tcBorders>
            <w:shd w:val="clear" w:color="auto" w:fill="auto"/>
          </w:tcPr>
          <w:p w14:paraId="7C14BA8C" w14:textId="77777777" w:rsidR="00550391" w:rsidRPr="00F93BD2" w:rsidRDefault="00550391" w:rsidP="002C64AC">
            <w:pPr>
              <w:spacing w:before="40" w:line="240" w:lineRule="auto"/>
              <w:ind w:right="65"/>
              <w:jc w:val="right"/>
              <w:rPr>
                <w:sz w:val="18"/>
                <w:szCs w:val="18"/>
              </w:rPr>
            </w:pPr>
            <w:r w:rsidRPr="00F93BD2">
              <w:rPr>
                <w:sz w:val="18"/>
                <w:szCs w:val="18"/>
              </w:rPr>
              <w:t xml:space="preserve">  39 472</w:t>
            </w:r>
          </w:p>
        </w:tc>
      </w:tr>
      <w:tr w:rsidR="00C81DAB" w:rsidRPr="00F93BD2" w14:paraId="4623DE20" w14:textId="77777777" w:rsidTr="002E548E">
        <w:tc>
          <w:tcPr>
            <w:tcW w:w="2268" w:type="dxa"/>
            <w:shd w:val="clear" w:color="auto" w:fill="auto"/>
            <w:vAlign w:val="center"/>
          </w:tcPr>
          <w:p w14:paraId="026C631D" w14:textId="77777777" w:rsidR="00550391" w:rsidRPr="00F93BD2" w:rsidRDefault="00550391" w:rsidP="002C64AC">
            <w:pPr>
              <w:spacing w:before="40" w:line="240" w:lineRule="auto"/>
              <w:ind w:right="113"/>
            </w:pPr>
            <w:r w:rsidRPr="00F93BD2">
              <w:rPr>
                <w:color w:val="000000"/>
                <w:sz w:val="18"/>
                <w:szCs w:val="18"/>
              </w:rPr>
              <w:t>Austria</w:t>
            </w:r>
          </w:p>
        </w:tc>
        <w:tc>
          <w:tcPr>
            <w:tcW w:w="1134" w:type="dxa"/>
            <w:shd w:val="clear" w:color="auto" w:fill="auto"/>
          </w:tcPr>
          <w:p w14:paraId="132302F0" w14:textId="77777777" w:rsidR="00550391" w:rsidRPr="00F93BD2" w:rsidRDefault="00550391" w:rsidP="002C64AC">
            <w:pPr>
              <w:spacing w:before="40" w:line="240" w:lineRule="auto"/>
              <w:ind w:right="65"/>
              <w:jc w:val="right"/>
              <w:rPr>
                <w:sz w:val="18"/>
                <w:szCs w:val="18"/>
              </w:rPr>
            </w:pPr>
            <w:r w:rsidRPr="00F93BD2">
              <w:rPr>
                <w:sz w:val="18"/>
                <w:szCs w:val="18"/>
              </w:rPr>
              <w:t>1.588</w:t>
            </w:r>
          </w:p>
        </w:tc>
        <w:tc>
          <w:tcPr>
            <w:tcW w:w="1552" w:type="dxa"/>
            <w:shd w:val="clear" w:color="auto" w:fill="auto"/>
          </w:tcPr>
          <w:p w14:paraId="41347BE5" w14:textId="77777777" w:rsidR="00550391" w:rsidRPr="00F93BD2" w:rsidRDefault="00550391" w:rsidP="002C64AC">
            <w:pPr>
              <w:spacing w:before="40" w:line="240" w:lineRule="auto"/>
              <w:ind w:right="65"/>
              <w:jc w:val="right"/>
              <w:rPr>
                <w:sz w:val="18"/>
                <w:szCs w:val="18"/>
              </w:rPr>
            </w:pPr>
            <w:r w:rsidRPr="00F93BD2">
              <w:rPr>
                <w:sz w:val="18"/>
                <w:szCs w:val="18"/>
              </w:rPr>
              <w:t xml:space="preserve">  42 443</w:t>
            </w:r>
          </w:p>
        </w:tc>
        <w:tc>
          <w:tcPr>
            <w:tcW w:w="1566" w:type="dxa"/>
            <w:shd w:val="clear" w:color="auto" w:fill="auto"/>
          </w:tcPr>
          <w:p w14:paraId="1581CE58" w14:textId="77777777" w:rsidR="00550391" w:rsidRPr="00F93BD2" w:rsidRDefault="00550391" w:rsidP="002C64AC">
            <w:pPr>
              <w:spacing w:before="40" w:line="240" w:lineRule="auto"/>
              <w:ind w:right="65"/>
              <w:jc w:val="right"/>
              <w:rPr>
                <w:sz w:val="18"/>
                <w:szCs w:val="18"/>
              </w:rPr>
            </w:pPr>
            <w:r w:rsidRPr="00F93BD2">
              <w:rPr>
                <w:sz w:val="18"/>
                <w:szCs w:val="18"/>
              </w:rPr>
              <w:t xml:space="preserve">  42 443</w:t>
            </w:r>
          </w:p>
        </w:tc>
        <w:tc>
          <w:tcPr>
            <w:tcW w:w="1558" w:type="dxa"/>
            <w:shd w:val="clear" w:color="auto" w:fill="auto"/>
          </w:tcPr>
          <w:p w14:paraId="2FD5CAC1" w14:textId="77777777" w:rsidR="00550391" w:rsidRPr="00F93BD2" w:rsidRDefault="00550391" w:rsidP="002C64AC">
            <w:pPr>
              <w:spacing w:before="40" w:line="240" w:lineRule="auto"/>
              <w:ind w:right="65"/>
              <w:jc w:val="right"/>
              <w:rPr>
                <w:sz w:val="18"/>
                <w:szCs w:val="18"/>
              </w:rPr>
            </w:pPr>
            <w:r w:rsidRPr="00F93BD2">
              <w:rPr>
                <w:sz w:val="18"/>
                <w:szCs w:val="18"/>
              </w:rPr>
              <w:t xml:space="preserve">  22 055</w:t>
            </w:r>
          </w:p>
        </w:tc>
        <w:tc>
          <w:tcPr>
            <w:tcW w:w="1559" w:type="dxa"/>
            <w:shd w:val="clear" w:color="auto" w:fill="auto"/>
          </w:tcPr>
          <w:p w14:paraId="37D01E36" w14:textId="77777777" w:rsidR="00550391" w:rsidRPr="00F93BD2" w:rsidRDefault="00550391" w:rsidP="002C64AC">
            <w:pPr>
              <w:spacing w:before="40" w:line="240" w:lineRule="auto"/>
              <w:ind w:right="65"/>
              <w:jc w:val="right"/>
              <w:rPr>
                <w:sz w:val="18"/>
                <w:szCs w:val="18"/>
              </w:rPr>
            </w:pPr>
            <w:r w:rsidRPr="00F93BD2">
              <w:rPr>
                <w:sz w:val="18"/>
                <w:szCs w:val="18"/>
              </w:rPr>
              <w:t xml:space="preserve">  22 055</w:t>
            </w:r>
          </w:p>
        </w:tc>
      </w:tr>
      <w:tr w:rsidR="00C81DAB" w:rsidRPr="00F93BD2" w14:paraId="3A51134F" w14:textId="77777777" w:rsidTr="002E548E">
        <w:tc>
          <w:tcPr>
            <w:tcW w:w="2268" w:type="dxa"/>
            <w:shd w:val="clear" w:color="auto" w:fill="auto"/>
            <w:vAlign w:val="center"/>
          </w:tcPr>
          <w:p w14:paraId="690D49AA" w14:textId="77777777" w:rsidR="00550391" w:rsidRPr="00F93BD2" w:rsidRDefault="00550391" w:rsidP="002C64AC">
            <w:pPr>
              <w:spacing w:before="40" w:line="240" w:lineRule="auto"/>
              <w:ind w:right="113"/>
            </w:pPr>
            <w:r w:rsidRPr="00F93BD2">
              <w:rPr>
                <w:color w:val="000000"/>
                <w:sz w:val="18"/>
                <w:szCs w:val="18"/>
              </w:rPr>
              <w:t>Belarus</w:t>
            </w:r>
            <w:r w:rsidRPr="00F93BD2">
              <w:rPr>
                <w:bCs/>
                <w:i/>
                <w:sz w:val="18"/>
                <w:szCs w:val="18"/>
                <w:vertAlign w:val="superscript"/>
              </w:rPr>
              <w:t>a</w:t>
            </w:r>
          </w:p>
        </w:tc>
        <w:tc>
          <w:tcPr>
            <w:tcW w:w="1134" w:type="dxa"/>
            <w:shd w:val="clear" w:color="auto" w:fill="auto"/>
          </w:tcPr>
          <w:p w14:paraId="3DCFE902" w14:textId="77777777" w:rsidR="00550391" w:rsidRPr="00F93BD2" w:rsidRDefault="00550391" w:rsidP="002C64AC">
            <w:pPr>
              <w:spacing w:before="40" w:line="240" w:lineRule="auto"/>
              <w:ind w:right="65"/>
              <w:jc w:val="right"/>
              <w:rPr>
                <w:sz w:val="18"/>
                <w:szCs w:val="18"/>
              </w:rPr>
            </w:pPr>
            <w:r w:rsidRPr="00F93BD2">
              <w:rPr>
                <w:sz w:val="18"/>
                <w:szCs w:val="18"/>
              </w:rPr>
              <w:t>0.073</w:t>
            </w:r>
          </w:p>
        </w:tc>
        <w:tc>
          <w:tcPr>
            <w:tcW w:w="1552" w:type="dxa"/>
            <w:shd w:val="clear" w:color="auto" w:fill="auto"/>
          </w:tcPr>
          <w:p w14:paraId="6C2ABAEE" w14:textId="77777777" w:rsidR="00550391" w:rsidRPr="00F93BD2" w:rsidRDefault="00550391" w:rsidP="002C64AC">
            <w:pPr>
              <w:spacing w:before="40" w:line="240" w:lineRule="auto"/>
              <w:ind w:right="65"/>
              <w:jc w:val="right"/>
              <w:rPr>
                <w:sz w:val="18"/>
                <w:szCs w:val="18"/>
              </w:rPr>
            </w:pPr>
            <w:r w:rsidRPr="00F93BD2">
              <w:rPr>
                <w:sz w:val="18"/>
                <w:szCs w:val="18"/>
              </w:rPr>
              <w:t xml:space="preserve">-   </w:t>
            </w:r>
          </w:p>
        </w:tc>
        <w:tc>
          <w:tcPr>
            <w:tcW w:w="1566" w:type="dxa"/>
            <w:shd w:val="clear" w:color="auto" w:fill="auto"/>
          </w:tcPr>
          <w:p w14:paraId="3E52280F" w14:textId="77777777" w:rsidR="00550391" w:rsidRPr="00F93BD2" w:rsidRDefault="00550391" w:rsidP="002C64AC">
            <w:pPr>
              <w:spacing w:before="40" w:line="240" w:lineRule="auto"/>
              <w:ind w:right="65"/>
              <w:jc w:val="right"/>
              <w:rPr>
                <w:sz w:val="18"/>
                <w:szCs w:val="18"/>
              </w:rPr>
            </w:pPr>
            <w:r w:rsidRPr="00F93BD2">
              <w:rPr>
                <w:sz w:val="18"/>
                <w:szCs w:val="18"/>
              </w:rPr>
              <w:t>-</w:t>
            </w:r>
          </w:p>
        </w:tc>
        <w:tc>
          <w:tcPr>
            <w:tcW w:w="1558" w:type="dxa"/>
            <w:shd w:val="clear" w:color="auto" w:fill="auto"/>
          </w:tcPr>
          <w:p w14:paraId="70D79AFE" w14:textId="77777777" w:rsidR="00550391" w:rsidRPr="00F93BD2" w:rsidRDefault="00550391" w:rsidP="002C64AC">
            <w:pPr>
              <w:spacing w:before="40" w:line="240" w:lineRule="auto"/>
              <w:ind w:right="65"/>
              <w:jc w:val="right"/>
              <w:rPr>
                <w:sz w:val="18"/>
                <w:szCs w:val="18"/>
              </w:rPr>
            </w:pPr>
            <w:r w:rsidRPr="00F93BD2">
              <w:rPr>
                <w:sz w:val="18"/>
                <w:szCs w:val="18"/>
              </w:rPr>
              <w:t>-</w:t>
            </w:r>
          </w:p>
        </w:tc>
        <w:tc>
          <w:tcPr>
            <w:tcW w:w="1559" w:type="dxa"/>
            <w:shd w:val="clear" w:color="auto" w:fill="auto"/>
          </w:tcPr>
          <w:p w14:paraId="1A61F06C" w14:textId="77777777" w:rsidR="00550391" w:rsidRPr="00F93BD2" w:rsidRDefault="00550391" w:rsidP="002C64AC">
            <w:pPr>
              <w:spacing w:before="40" w:line="240" w:lineRule="auto"/>
              <w:ind w:right="65"/>
              <w:jc w:val="right"/>
              <w:rPr>
                <w:sz w:val="18"/>
                <w:szCs w:val="18"/>
              </w:rPr>
            </w:pPr>
            <w:r w:rsidRPr="00F93BD2">
              <w:rPr>
                <w:sz w:val="18"/>
                <w:szCs w:val="18"/>
              </w:rPr>
              <w:t>-</w:t>
            </w:r>
          </w:p>
        </w:tc>
      </w:tr>
      <w:tr w:rsidR="00C81DAB" w:rsidRPr="00F93BD2" w14:paraId="00DA47B9" w14:textId="77777777" w:rsidTr="002E548E">
        <w:tc>
          <w:tcPr>
            <w:tcW w:w="2268" w:type="dxa"/>
            <w:shd w:val="clear" w:color="auto" w:fill="auto"/>
            <w:vAlign w:val="center"/>
          </w:tcPr>
          <w:p w14:paraId="535EA0C1" w14:textId="77777777" w:rsidR="00550391" w:rsidRPr="00F93BD2" w:rsidRDefault="00550391" w:rsidP="002C64AC">
            <w:pPr>
              <w:spacing w:before="40" w:line="240" w:lineRule="auto"/>
              <w:ind w:right="113"/>
            </w:pPr>
            <w:r w:rsidRPr="00F93BD2">
              <w:rPr>
                <w:color w:val="000000"/>
                <w:sz w:val="18"/>
                <w:szCs w:val="18"/>
              </w:rPr>
              <w:t>Belgium</w:t>
            </w:r>
          </w:p>
        </w:tc>
        <w:tc>
          <w:tcPr>
            <w:tcW w:w="1134" w:type="dxa"/>
            <w:shd w:val="clear" w:color="auto" w:fill="auto"/>
          </w:tcPr>
          <w:p w14:paraId="7049EAE5" w14:textId="77777777" w:rsidR="00550391" w:rsidRPr="00F93BD2" w:rsidRDefault="00550391" w:rsidP="002C64AC">
            <w:pPr>
              <w:spacing w:before="40" w:line="240" w:lineRule="auto"/>
              <w:ind w:right="65"/>
              <w:jc w:val="right"/>
              <w:rPr>
                <w:sz w:val="18"/>
                <w:szCs w:val="18"/>
              </w:rPr>
            </w:pPr>
            <w:r w:rsidRPr="00F93BD2">
              <w:rPr>
                <w:sz w:val="18"/>
                <w:szCs w:val="18"/>
              </w:rPr>
              <w:t>1.973</w:t>
            </w:r>
          </w:p>
        </w:tc>
        <w:tc>
          <w:tcPr>
            <w:tcW w:w="1552" w:type="dxa"/>
            <w:shd w:val="clear" w:color="auto" w:fill="auto"/>
          </w:tcPr>
          <w:p w14:paraId="5EC54AC7" w14:textId="77777777" w:rsidR="00550391" w:rsidRPr="00F93BD2" w:rsidRDefault="00550391" w:rsidP="002C64AC">
            <w:pPr>
              <w:spacing w:before="40" w:line="240" w:lineRule="auto"/>
              <w:ind w:right="65"/>
              <w:jc w:val="right"/>
              <w:rPr>
                <w:sz w:val="18"/>
                <w:szCs w:val="18"/>
              </w:rPr>
            </w:pPr>
            <w:r w:rsidRPr="00F93BD2">
              <w:rPr>
                <w:sz w:val="18"/>
                <w:szCs w:val="18"/>
              </w:rPr>
              <w:t xml:space="preserve">  52 748</w:t>
            </w:r>
          </w:p>
        </w:tc>
        <w:tc>
          <w:tcPr>
            <w:tcW w:w="1566" w:type="dxa"/>
            <w:shd w:val="clear" w:color="auto" w:fill="auto"/>
          </w:tcPr>
          <w:p w14:paraId="51D28A3C" w14:textId="77777777" w:rsidR="00550391" w:rsidRPr="00F93BD2" w:rsidRDefault="00550391" w:rsidP="002C64AC">
            <w:pPr>
              <w:spacing w:before="40" w:line="240" w:lineRule="auto"/>
              <w:ind w:right="65"/>
              <w:jc w:val="right"/>
              <w:rPr>
                <w:sz w:val="18"/>
                <w:szCs w:val="18"/>
              </w:rPr>
            </w:pPr>
            <w:r w:rsidRPr="00F93BD2">
              <w:rPr>
                <w:sz w:val="18"/>
                <w:szCs w:val="18"/>
              </w:rPr>
              <w:t xml:space="preserve">  52 748</w:t>
            </w:r>
          </w:p>
        </w:tc>
        <w:tc>
          <w:tcPr>
            <w:tcW w:w="1558" w:type="dxa"/>
            <w:shd w:val="clear" w:color="auto" w:fill="auto"/>
          </w:tcPr>
          <w:p w14:paraId="150E06C0" w14:textId="77777777" w:rsidR="00550391" w:rsidRPr="00F93BD2" w:rsidRDefault="00550391" w:rsidP="002C64AC">
            <w:pPr>
              <w:spacing w:before="40" w:line="240" w:lineRule="auto"/>
              <w:ind w:right="65"/>
              <w:jc w:val="right"/>
              <w:rPr>
                <w:sz w:val="18"/>
                <w:szCs w:val="18"/>
              </w:rPr>
            </w:pPr>
            <w:r w:rsidRPr="00F93BD2">
              <w:rPr>
                <w:sz w:val="18"/>
                <w:szCs w:val="18"/>
              </w:rPr>
              <w:t xml:space="preserve">  27 410</w:t>
            </w:r>
          </w:p>
        </w:tc>
        <w:tc>
          <w:tcPr>
            <w:tcW w:w="1559" w:type="dxa"/>
            <w:shd w:val="clear" w:color="auto" w:fill="auto"/>
          </w:tcPr>
          <w:p w14:paraId="5625BD41" w14:textId="77777777" w:rsidR="00550391" w:rsidRPr="00F93BD2" w:rsidRDefault="00550391" w:rsidP="002C64AC">
            <w:pPr>
              <w:spacing w:before="40" w:line="240" w:lineRule="auto"/>
              <w:ind w:right="65"/>
              <w:jc w:val="right"/>
              <w:rPr>
                <w:sz w:val="18"/>
                <w:szCs w:val="18"/>
              </w:rPr>
            </w:pPr>
            <w:r w:rsidRPr="00F93BD2">
              <w:rPr>
                <w:sz w:val="18"/>
                <w:szCs w:val="18"/>
              </w:rPr>
              <w:t xml:space="preserve">  27 410</w:t>
            </w:r>
          </w:p>
        </w:tc>
      </w:tr>
      <w:tr w:rsidR="00C81DAB" w:rsidRPr="00F93BD2" w14:paraId="7ACC7FEA" w14:textId="77777777" w:rsidTr="002E548E">
        <w:tc>
          <w:tcPr>
            <w:tcW w:w="2268" w:type="dxa"/>
            <w:shd w:val="clear" w:color="auto" w:fill="auto"/>
            <w:vAlign w:val="center"/>
          </w:tcPr>
          <w:p w14:paraId="50FE4744" w14:textId="77777777" w:rsidR="00550391" w:rsidRPr="00F93BD2" w:rsidRDefault="00550391" w:rsidP="002C64AC">
            <w:pPr>
              <w:spacing w:before="40" w:line="240" w:lineRule="auto"/>
              <w:ind w:right="113"/>
            </w:pPr>
            <w:r w:rsidRPr="00F93BD2">
              <w:rPr>
                <w:color w:val="000000"/>
                <w:sz w:val="18"/>
                <w:szCs w:val="18"/>
              </w:rPr>
              <w:t>Bulgaria</w:t>
            </w:r>
          </w:p>
        </w:tc>
        <w:tc>
          <w:tcPr>
            <w:tcW w:w="1134" w:type="dxa"/>
            <w:shd w:val="clear" w:color="auto" w:fill="auto"/>
          </w:tcPr>
          <w:p w14:paraId="4600EB59" w14:textId="77777777" w:rsidR="00550391" w:rsidRPr="00F93BD2" w:rsidRDefault="00550391" w:rsidP="002C64AC">
            <w:pPr>
              <w:spacing w:before="40" w:line="240" w:lineRule="auto"/>
              <w:ind w:right="65"/>
              <w:jc w:val="right"/>
              <w:rPr>
                <w:sz w:val="18"/>
                <w:szCs w:val="18"/>
              </w:rPr>
            </w:pPr>
            <w:r w:rsidRPr="00F93BD2">
              <w:rPr>
                <w:sz w:val="18"/>
                <w:szCs w:val="18"/>
              </w:rPr>
              <w:t>0.036</w:t>
            </w:r>
          </w:p>
        </w:tc>
        <w:tc>
          <w:tcPr>
            <w:tcW w:w="1552" w:type="dxa"/>
            <w:shd w:val="clear" w:color="auto" w:fill="auto"/>
          </w:tcPr>
          <w:p w14:paraId="2C518D00" w14:textId="77777777" w:rsidR="00550391" w:rsidRPr="00F93BD2" w:rsidRDefault="00550391" w:rsidP="002C64AC">
            <w:pPr>
              <w:spacing w:before="40" w:line="240" w:lineRule="auto"/>
              <w:ind w:right="65"/>
              <w:jc w:val="right"/>
              <w:rPr>
                <w:sz w:val="18"/>
                <w:szCs w:val="18"/>
              </w:rPr>
            </w:pPr>
            <w:r w:rsidRPr="00F93BD2">
              <w:rPr>
                <w:sz w:val="18"/>
                <w:szCs w:val="18"/>
              </w:rPr>
              <w:t xml:space="preserve">   963</w:t>
            </w:r>
          </w:p>
        </w:tc>
        <w:tc>
          <w:tcPr>
            <w:tcW w:w="1566" w:type="dxa"/>
            <w:shd w:val="clear" w:color="auto" w:fill="auto"/>
          </w:tcPr>
          <w:p w14:paraId="4F9B0068" w14:textId="77777777" w:rsidR="00550391" w:rsidRPr="00F93BD2" w:rsidRDefault="00550391" w:rsidP="002C64AC">
            <w:pPr>
              <w:spacing w:before="40" w:line="240" w:lineRule="auto"/>
              <w:ind w:right="65"/>
              <w:jc w:val="right"/>
              <w:rPr>
                <w:sz w:val="18"/>
                <w:szCs w:val="18"/>
              </w:rPr>
            </w:pPr>
            <w:r w:rsidRPr="00F93BD2">
              <w:rPr>
                <w:sz w:val="18"/>
                <w:szCs w:val="18"/>
              </w:rPr>
              <w:t xml:space="preserve">   963</w:t>
            </w:r>
          </w:p>
        </w:tc>
        <w:tc>
          <w:tcPr>
            <w:tcW w:w="1558" w:type="dxa"/>
            <w:shd w:val="clear" w:color="auto" w:fill="auto"/>
          </w:tcPr>
          <w:p w14:paraId="086B7398" w14:textId="77777777" w:rsidR="00550391" w:rsidRPr="00F93BD2" w:rsidRDefault="00550391" w:rsidP="002C64AC">
            <w:pPr>
              <w:spacing w:before="40" w:line="240" w:lineRule="auto"/>
              <w:ind w:right="65"/>
              <w:jc w:val="right"/>
              <w:rPr>
                <w:sz w:val="18"/>
                <w:szCs w:val="18"/>
              </w:rPr>
            </w:pPr>
            <w:r w:rsidRPr="00F93BD2">
              <w:rPr>
                <w:sz w:val="18"/>
                <w:szCs w:val="18"/>
              </w:rPr>
              <w:t xml:space="preserve">   500</w:t>
            </w:r>
          </w:p>
        </w:tc>
        <w:tc>
          <w:tcPr>
            <w:tcW w:w="1559" w:type="dxa"/>
            <w:shd w:val="clear" w:color="auto" w:fill="auto"/>
          </w:tcPr>
          <w:p w14:paraId="1D3E5195" w14:textId="77777777" w:rsidR="00550391" w:rsidRPr="00F93BD2" w:rsidRDefault="00550391" w:rsidP="002C64AC">
            <w:pPr>
              <w:spacing w:before="40" w:line="240" w:lineRule="auto"/>
              <w:ind w:right="65"/>
              <w:jc w:val="right"/>
              <w:rPr>
                <w:sz w:val="18"/>
                <w:szCs w:val="18"/>
              </w:rPr>
            </w:pPr>
            <w:r w:rsidRPr="00F93BD2">
              <w:rPr>
                <w:sz w:val="18"/>
                <w:szCs w:val="18"/>
              </w:rPr>
              <w:t xml:space="preserve">   500</w:t>
            </w:r>
          </w:p>
        </w:tc>
      </w:tr>
      <w:tr w:rsidR="00C81DAB" w:rsidRPr="00F93BD2" w14:paraId="33D6D56B" w14:textId="77777777" w:rsidTr="002E548E">
        <w:tc>
          <w:tcPr>
            <w:tcW w:w="2268" w:type="dxa"/>
            <w:shd w:val="clear" w:color="auto" w:fill="auto"/>
            <w:vAlign w:val="center"/>
          </w:tcPr>
          <w:p w14:paraId="12543C75" w14:textId="77777777" w:rsidR="00550391" w:rsidRPr="00F93BD2" w:rsidRDefault="00550391" w:rsidP="002C64AC">
            <w:pPr>
              <w:spacing w:before="40" w:line="240" w:lineRule="auto"/>
              <w:ind w:right="113"/>
            </w:pPr>
            <w:r w:rsidRPr="00F93BD2">
              <w:rPr>
                <w:color w:val="000000"/>
                <w:sz w:val="18"/>
                <w:szCs w:val="18"/>
              </w:rPr>
              <w:t>Croatia</w:t>
            </w:r>
          </w:p>
        </w:tc>
        <w:tc>
          <w:tcPr>
            <w:tcW w:w="1134" w:type="dxa"/>
            <w:shd w:val="clear" w:color="auto" w:fill="auto"/>
          </w:tcPr>
          <w:p w14:paraId="449FFF23" w14:textId="77777777" w:rsidR="00550391" w:rsidRPr="00F93BD2" w:rsidRDefault="00550391" w:rsidP="002C64AC">
            <w:pPr>
              <w:spacing w:before="40" w:line="240" w:lineRule="auto"/>
              <w:ind w:right="65"/>
              <w:jc w:val="right"/>
              <w:rPr>
                <w:sz w:val="18"/>
                <w:szCs w:val="18"/>
              </w:rPr>
            </w:pPr>
            <w:r w:rsidRPr="00F93BD2">
              <w:rPr>
                <w:sz w:val="18"/>
                <w:szCs w:val="18"/>
              </w:rPr>
              <w:t>0.079</w:t>
            </w:r>
          </w:p>
        </w:tc>
        <w:tc>
          <w:tcPr>
            <w:tcW w:w="1552" w:type="dxa"/>
            <w:shd w:val="clear" w:color="auto" w:fill="auto"/>
          </w:tcPr>
          <w:p w14:paraId="490BC91E" w14:textId="77777777" w:rsidR="00550391" w:rsidRPr="00F93BD2" w:rsidRDefault="00550391" w:rsidP="002C64AC">
            <w:pPr>
              <w:spacing w:before="40" w:line="240" w:lineRule="auto"/>
              <w:ind w:right="65"/>
              <w:jc w:val="right"/>
              <w:rPr>
                <w:sz w:val="18"/>
                <w:szCs w:val="18"/>
              </w:rPr>
            </w:pPr>
            <w:r w:rsidRPr="00F93BD2">
              <w:rPr>
                <w:sz w:val="18"/>
                <w:szCs w:val="18"/>
              </w:rPr>
              <w:t xml:space="preserve">  2 108</w:t>
            </w:r>
          </w:p>
        </w:tc>
        <w:tc>
          <w:tcPr>
            <w:tcW w:w="1566" w:type="dxa"/>
            <w:shd w:val="clear" w:color="auto" w:fill="auto"/>
          </w:tcPr>
          <w:p w14:paraId="642F50D9" w14:textId="77777777" w:rsidR="00550391" w:rsidRPr="00F93BD2" w:rsidRDefault="00550391" w:rsidP="002C64AC">
            <w:pPr>
              <w:spacing w:before="40" w:line="240" w:lineRule="auto"/>
              <w:ind w:right="65"/>
              <w:jc w:val="right"/>
              <w:rPr>
                <w:sz w:val="18"/>
                <w:szCs w:val="18"/>
              </w:rPr>
            </w:pPr>
            <w:r w:rsidRPr="00F93BD2">
              <w:rPr>
                <w:sz w:val="18"/>
                <w:szCs w:val="18"/>
              </w:rPr>
              <w:t xml:space="preserve">  2 108</w:t>
            </w:r>
          </w:p>
        </w:tc>
        <w:tc>
          <w:tcPr>
            <w:tcW w:w="1558" w:type="dxa"/>
            <w:shd w:val="clear" w:color="auto" w:fill="auto"/>
          </w:tcPr>
          <w:p w14:paraId="063D8394" w14:textId="77777777" w:rsidR="00550391" w:rsidRPr="00F93BD2" w:rsidRDefault="00550391" w:rsidP="002C64AC">
            <w:pPr>
              <w:spacing w:before="40" w:line="240" w:lineRule="auto"/>
              <w:ind w:right="65"/>
              <w:jc w:val="right"/>
              <w:rPr>
                <w:sz w:val="18"/>
                <w:szCs w:val="18"/>
              </w:rPr>
            </w:pPr>
            <w:r w:rsidRPr="00F93BD2">
              <w:rPr>
                <w:sz w:val="18"/>
                <w:szCs w:val="18"/>
              </w:rPr>
              <w:t xml:space="preserve">  1 095</w:t>
            </w:r>
          </w:p>
        </w:tc>
        <w:tc>
          <w:tcPr>
            <w:tcW w:w="1559" w:type="dxa"/>
            <w:shd w:val="clear" w:color="auto" w:fill="auto"/>
          </w:tcPr>
          <w:p w14:paraId="00ED8A14" w14:textId="77777777" w:rsidR="00550391" w:rsidRPr="00F93BD2" w:rsidRDefault="00550391" w:rsidP="002C64AC">
            <w:pPr>
              <w:spacing w:before="40" w:line="240" w:lineRule="auto"/>
              <w:ind w:right="65"/>
              <w:jc w:val="right"/>
              <w:rPr>
                <w:sz w:val="18"/>
                <w:szCs w:val="18"/>
              </w:rPr>
            </w:pPr>
            <w:r w:rsidRPr="00F93BD2">
              <w:rPr>
                <w:sz w:val="18"/>
                <w:szCs w:val="18"/>
              </w:rPr>
              <w:t xml:space="preserve">  1 095</w:t>
            </w:r>
          </w:p>
        </w:tc>
      </w:tr>
      <w:tr w:rsidR="00C81DAB" w:rsidRPr="00F93BD2" w14:paraId="3CC409C1" w14:textId="77777777" w:rsidTr="002E548E">
        <w:tc>
          <w:tcPr>
            <w:tcW w:w="2268" w:type="dxa"/>
            <w:shd w:val="clear" w:color="auto" w:fill="auto"/>
            <w:vAlign w:val="center"/>
          </w:tcPr>
          <w:p w14:paraId="53C62D88" w14:textId="77777777" w:rsidR="00550391" w:rsidRPr="00F93BD2" w:rsidRDefault="00550391" w:rsidP="002C64AC">
            <w:pPr>
              <w:spacing w:before="40" w:line="240" w:lineRule="auto"/>
              <w:ind w:right="113"/>
            </w:pPr>
            <w:r w:rsidRPr="00F93BD2">
              <w:rPr>
                <w:color w:val="000000"/>
                <w:sz w:val="18"/>
                <w:szCs w:val="18"/>
              </w:rPr>
              <w:t>Cyprus</w:t>
            </w:r>
          </w:p>
        </w:tc>
        <w:tc>
          <w:tcPr>
            <w:tcW w:w="1134" w:type="dxa"/>
            <w:shd w:val="clear" w:color="auto" w:fill="auto"/>
          </w:tcPr>
          <w:p w14:paraId="74CDA091" w14:textId="77777777" w:rsidR="00550391" w:rsidRPr="00F93BD2" w:rsidRDefault="00550391" w:rsidP="002C64AC">
            <w:pPr>
              <w:spacing w:before="40" w:line="240" w:lineRule="auto"/>
              <w:ind w:right="65"/>
              <w:jc w:val="right"/>
              <w:rPr>
                <w:sz w:val="18"/>
                <w:szCs w:val="18"/>
              </w:rPr>
            </w:pPr>
            <w:r w:rsidRPr="00F93BD2">
              <w:rPr>
                <w:sz w:val="18"/>
                <w:szCs w:val="18"/>
              </w:rPr>
              <w:t>0.061</w:t>
            </w:r>
          </w:p>
        </w:tc>
        <w:tc>
          <w:tcPr>
            <w:tcW w:w="1552" w:type="dxa"/>
            <w:shd w:val="clear" w:color="auto" w:fill="auto"/>
          </w:tcPr>
          <w:p w14:paraId="0F95E140" w14:textId="77777777" w:rsidR="00550391" w:rsidRPr="00F93BD2" w:rsidRDefault="00550391" w:rsidP="002C64AC">
            <w:pPr>
              <w:spacing w:before="40" w:line="240" w:lineRule="auto"/>
              <w:ind w:right="65"/>
              <w:jc w:val="right"/>
              <w:rPr>
                <w:sz w:val="18"/>
                <w:szCs w:val="18"/>
              </w:rPr>
            </w:pPr>
            <w:r w:rsidRPr="00F93BD2">
              <w:rPr>
                <w:sz w:val="18"/>
                <w:szCs w:val="18"/>
              </w:rPr>
              <w:t xml:space="preserve">  1 639</w:t>
            </w:r>
          </w:p>
        </w:tc>
        <w:tc>
          <w:tcPr>
            <w:tcW w:w="1566" w:type="dxa"/>
            <w:shd w:val="clear" w:color="auto" w:fill="auto"/>
          </w:tcPr>
          <w:p w14:paraId="03EF106C" w14:textId="77777777" w:rsidR="00550391" w:rsidRPr="00F93BD2" w:rsidRDefault="00550391" w:rsidP="002C64AC">
            <w:pPr>
              <w:spacing w:before="40" w:line="240" w:lineRule="auto"/>
              <w:ind w:right="65"/>
              <w:jc w:val="right"/>
              <w:rPr>
                <w:sz w:val="18"/>
                <w:szCs w:val="18"/>
              </w:rPr>
            </w:pPr>
            <w:r w:rsidRPr="00F93BD2">
              <w:rPr>
                <w:sz w:val="18"/>
                <w:szCs w:val="18"/>
              </w:rPr>
              <w:t xml:space="preserve">  1 639</w:t>
            </w:r>
          </w:p>
        </w:tc>
        <w:tc>
          <w:tcPr>
            <w:tcW w:w="1558" w:type="dxa"/>
            <w:shd w:val="clear" w:color="auto" w:fill="auto"/>
          </w:tcPr>
          <w:p w14:paraId="0555AD3F" w14:textId="77777777" w:rsidR="00550391" w:rsidRPr="00F93BD2" w:rsidRDefault="00550391" w:rsidP="002C64AC">
            <w:pPr>
              <w:spacing w:before="40" w:line="240" w:lineRule="auto"/>
              <w:ind w:right="65"/>
              <w:jc w:val="right"/>
              <w:rPr>
                <w:sz w:val="18"/>
                <w:szCs w:val="18"/>
              </w:rPr>
            </w:pPr>
            <w:r w:rsidRPr="00F93BD2">
              <w:rPr>
                <w:sz w:val="18"/>
                <w:szCs w:val="18"/>
              </w:rPr>
              <w:t xml:space="preserve">   852</w:t>
            </w:r>
          </w:p>
        </w:tc>
        <w:tc>
          <w:tcPr>
            <w:tcW w:w="1559" w:type="dxa"/>
            <w:shd w:val="clear" w:color="auto" w:fill="auto"/>
          </w:tcPr>
          <w:p w14:paraId="42E3EB3B" w14:textId="77777777" w:rsidR="00550391" w:rsidRPr="00F93BD2" w:rsidRDefault="00550391" w:rsidP="002C64AC">
            <w:pPr>
              <w:spacing w:before="40" w:line="240" w:lineRule="auto"/>
              <w:ind w:right="65"/>
              <w:jc w:val="right"/>
              <w:rPr>
                <w:sz w:val="18"/>
                <w:szCs w:val="18"/>
              </w:rPr>
            </w:pPr>
            <w:r w:rsidRPr="00F93BD2">
              <w:rPr>
                <w:sz w:val="18"/>
                <w:szCs w:val="18"/>
              </w:rPr>
              <w:t xml:space="preserve">   852</w:t>
            </w:r>
          </w:p>
        </w:tc>
      </w:tr>
      <w:tr w:rsidR="00C81DAB" w:rsidRPr="00F93BD2" w14:paraId="2DB758D7" w14:textId="77777777" w:rsidTr="002E548E">
        <w:tc>
          <w:tcPr>
            <w:tcW w:w="2268" w:type="dxa"/>
            <w:shd w:val="clear" w:color="auto" w:fill="auto"/>
            <w:vAlign w:val="center"/>
          </w:tcPr>
          <w:p w14:paraId="47B70A5A" w14:textId="77777777" w:rsidR="00550391" w:rsidRPr="00F93BD2" w:rsidRDefault="00550391" w:rsidP="002C64AC">
            <w:pPr>
              <w:spacing w:before="40" w:line="240" w:lineRule="auto"/>
              <w:ind w:right="113"/>
            </w:pPr>
            <w:r w:rsidRPr="00F93BD2">
              <w:rPr>
                <w:color w:val="000000"/>
                <w:sz w:val="18"/>
                <w:szCs w:val="18"/>
              </w:rPr>
              <w:t>Czechia</w:t>
            </w:r>
          </w:p>
        </w:tc>
        <w:tc>
          <w:tcPr>
            <w:tcW w:w="1134" w:type="dxa"/>
            <w:shd w:val="clear" w:color="auto" w:fill="auto"/>
          </w:tcPr>
          <w:p w14:paraId="54150559" w14:textId="77777777" w:rsidR="00550391" w:rsidRPr="00F93BD2" w:rsidRDefault="00550391" w:rsidP="002C64AC">
            <w:pPr>
              <w:spacing w:before="40" w:line="240" w:lineRule="auto"/>
              <w:ind w:right="65"/>
              <w:jc w:val="right"/>
              <w:rPr>
                <w:sz w:val="18"/>
                <w:szCs w:val="18"/>
              </w:rPr>
            </w:pPr>
            <w:r w:rsidRPr="00F93BD2">
              <w:rPr>
                <w:sz w:val="18"/>
                <w:szCs w:val="18"/>
              </w:rPr>
              <w:t>0.503</w:t>
            </w:r>
          </w:p>
        </w:tc>
        <w:tc>
          <w:tcPr>
            <w:tcW w:w="1552" w:type="dxa"/>
            <w:shd w:val="clear" w:color="auto" w:fill="auto"/>
          </w:tcPr>
          <w:p w14:paraId="457AFB54" w14:textId="77777777" w:rsidR="00550391" w:rsidRPr="00F93BD2" w:rsidRDefault="00550391" w:rsidP="002C64AC">
            <w:pPr>
              <w:spacing w:before="40" w:line="240" w:lineRule="auto"/>
              <w:ind w:right="65"/>
              <w:jc w:val="right"/>
              <w:rPr>
                <w:sz w:val="18"/>
                <w:szCs w:val="18"/>
              </w:rPr>
            </w:pPr>
            <w:r w:rsidRPr="00F93BD2">
              <w:rPr>
                <w:sz w:val="18"/>
                <w:szCs w:val="18"/>
              </w:rPr>
              <w:t xml:space="preserve">  13 454</w:t>
            </w:r>
          </w:p>
        </w:tc>
        <w:tc>
          <w:tcPr>
            <w:tcW w:w="1566" w:type="dxa"/>
            <w:shd w:val="clear" w:color="auto" w:fill="auto"/>
          </w:tcPr>
          <w:p w14:paraId="1A0890BF" w14:textId="77777777" w:rsidR="00550391" w:rsidRPr="00F93BD2" w:rsidRDefault="00550391" w:rsidP="002C64AC">
            <w:pPr>
              <w:spacing w:before="40" w:line="240" w:lineRule="auto"/>
              <w:ind w:right="65"/>
              <w:jc w:val="right"/>
              <w:rPr>
                <w:sz w:val="18"/>
                <w:szCs w:val="18"/>
              </w:rPr>
            </w:pPr>
            <w:r w:rsidRPr="00F93BD2">
              <w:rPr>
                <w:sz w:val="18"/>
                <w:szCs w:val="18"/>
              </w:rPr>
              <w:t xml:space="preserve">  13 454</w:t>
            </w:r>
          </w:p>
        </w:tc>
        <w:tc>
          <w:tcPr>
            <w:tcW w:w="1558" w:type="dxa"/>
            <w:shd w:val="clear" w:color="auto" w:fill="auto"/>
          </w:tcPr>
          <w:p w14:paraId="55A5B0F3" w14:textId="77777777" w:rsidR="00550391" w:rsidRPr="00F93BD2" w:rsidRDefault="00550391" w:rsidP="002C64AC">
            <w:pPr>
              <w:spacing w:before="40" w:line="240" w:lineRule="auto"/>
              <w:ind w:right="65"/>
              <w:jc w:val="right"/>
              <w:rPr>
                <w:sz w:val="18"/>
                <w:szCs w:val="18"/>
              </w:rPr>
            </w:pPr>
            <w:r w:rsidRPr="00F93BD2">
              <w:rPr>
                <w:sz w:val="18"/>
                <w:szCs w:val="18"/>
              </w:rPr>
              <w:t xml:space="preserve">  6 991</w:t>
            </w:r>
          </w:p>
        </w:tc>
        <w:tc>
          <w:tcPr>
            <w:tcW w:w="1559" w:type="dxa"/>
            <w:shd w:val="clear" w:color="auto" w:fill="auto"/>
          </w:tcPr>
          <w:p w14:paraId="508231A5" w14:textId="77777777" w:rsidR="00550391" w:rsidRPr="00F93BD2" w:rsidRDefault="00550391" w:rsidP="002C64AC">
            <w:pPr>
              <w:spacing w:before="40" w:line="240" w:lineRule="auto"/>
              <w:ind w:right="65"/>
              <w:jc w:val="right"/>
              <w:rPr>
                <w:sz w:val="18"/>
                <w:szCs w:val="18"/>
              </w:rPr>
            </w:pPr>
            <w:r w:rsidRPr="00F93BD2">
              <w:rPr>
                <w:sz w:val="18"/>
                <w:szCs w:val="18"/>
              </w:rPr>
              <w:t xml:space="preserve">  6 991</w:t>
            </w:r>
          </w:p>
        </w:tc>
      </w:tr>
      <w:tr w:rsidR="00C81DAB" w:rsidRPr="00F93BD2" w14:paraId="0EFC1356" w14:textId="77777777" w:rsidTr="002E548E">
        <w:tc>
          <w:tcPr>
            <w:tcW w:w="2268" w:type="dxa"/>
            <w:shd w:val="clear" w:color="auto" w:fill="auto"/>
            <w:vAlign w:val="center"/>
          </w:tcPr>
          <w:p w14:paraId="6DD7F809" w14:textId="77777777" w:rsidR="00550391" w:rsidRPr="00F93BD2" w:rsidRDefault="00550391" w:rsidP="002C64AC">
            <w:pPr>
              <w:spacing w:before="40" w:line="240" w:lineRule="auto"/>
              <w:ind w:right="113"/>
            </w:pPr>
            <w:r w:rsidRPr="00F93BD2">
              <w:rPr>
                <w:color w:val="000000"/>
                <w:sz w:val="18"/>
                <w:szCs w:val="18"/>
              </w:rPr>
              <w:t>Denmark</w:t>
            </w:r>
          </w:p>
        </w:tc>
        <w:tc>
          <w:tcPr>
            <w:tcW w:w="1134" w:type="dxa"/>
            <w:shd w:val="clear" w:color="auto" w:fill="auto"/>
          </w:tcPr>
          <w:p w14:paraId="1153597F" w14:textId="77777777" w:rsidR="00550391" w:rsidRPr="00F93BD2" w:rsidRDefault="00550391" w:rsidP="002C64AC">
            <w:pPr>
              <w:spacing w:before="40" w:line="240" w:lineRule="auto"/>
              <w:ind w:right="65"/>
              <w:jc w:val="right"/>
              <w:rPr>
                <w:sz w:val="18"/>
                <w:szCs w:val="18"/>
              </w:rPr>
            </w:pPr>
            <w:r w:rsidRPr="00F93BD2">
              <w:rPr>
                <w:sz w:val="18"/>
                <w:szCs w:val="18"/>
              </w:rPr>
              <w:t>1.323</w:t>
            </w:r>
          </w:p>
        </w:tc>
        <w:tc>
          <w:tcPr>
            <w:tcW w:w="1552" w:type="dxa"/>
            <w:shd w:val="clear" w:color="auto" w:fill="auto"/>
          </w:tcPr>
          <w:p w14:paraId="459D2A17" w14:textId="77777777" w:rsidR="00550391" w:rsidRPr="00F93BD2" w:rsidRDefault="00550391" w:rsidP="002C64AC">
            <w:pPr>
              <w:spacing w:before="40" w:line="240" w:lineRule="auto"/>
              <w:ind w:right="65"/>
              <w:jc w:val="right"/>
              <w:rPr>
                <w:sz w:val="18"/>
                <w:szCs w:val="18"/>
              </w:rPr>
            </w:pPr>
            <w:r w:rsidRPr="00F93BD2">
              <w:rPr>
                <w:sz w:val="18"/>
                <w:szCs w:val="18"/>
              </w:rPr>
              <w:t xml:space="preserve">  35 365</w:t>
            </w:r>
          </w:p>
        </w:tc>
        <w:tc>
          <w:tcPr>
            <w:tcW w:w="1566" w:type="dxa"/>
            <w:shd w:val="clear" w:color="auto" w:fill="auto"/>
          </w:tcPr>
          <w:p w14:paraId="39647CBD" w14:textId="77777777" w:rsidR="00550391" w:rsidRPr="00F93BD2" w:rsidRDefault="00550391" w:rsidP="002C64AC">
            <w:pPr>
              <w:spacing w:before="40" w:line="240" w:lineRule="auto"/>
              <w:ind w:right="65"/>
              <w:jc w:val="right"/>
              <w:rPr>
                <w:sz w:val="18"/>
                <w:szCs w:val="18"/>
              </w:rPr>
            </w:pPr>
            <w:r w:rsidRPr="00F93BD2">
              <w:rPr>
                <w:sz w:val="18"/>
                <w:szCs w:val="18"/>
              </w:rPr>
              <w:t xml:space="preserve">  35 365</w:t>
            </w:r>
          </w:p>
        </w:tc>
        <w:tc>
          <w:tcPr>
            <w:tcW w:w="1558" w:type="dxa"/>
            <w:shd w:val="clear" w:color="auto" w:fill="auto"/>
          </w:tcPr>
          <w:p w14:paraId="5F1223F8" w14:textId="77777777" w:rsidR="00550391" w:rsidRPr="00F93BD2" w:rsidRDefault="00550391" w:rsidP="002C64AC">
            <w:pPr>
              <w:spacing w:before="40" w:line="240" w:lineRule="auto"/>
              <w:ind w:right="65"/>
              <w:jc w:val="right"/>
              <w:rPr>
                <w:sz w:val="18"/>
                <w:szCs w:val="18"/>
              </w:rPr>
            </w:pPr>
            <w:r w:rsidRPr="00F93BD2">
              <w:rPr>
                <w:sz w:val="18"/>
                <w:szCs w:val="18"/>
              </w:rPr>
              <w:t xml:space="preserve">  18 377</w:t>
            </w:r>
          </w:p>
        </w:tc>
        <w:tc>
          <w:tcPr>
            <w:tcW w:w="1559" w:type="dxa"/>
            <w:shd w:val="clear" w:color="auto" w:fill="auto"/>
          </w:tcPr>
          <w:p w14:paraId="55FABB9B" w14:textId="77777777" w:rsidR="00550391" w:rsidRPr="00F93BD2" w:rsidRDefault="00550391" w:rsidP="002C64AC">
            <w:pPr>
              <w:spacing w:before="40" w:line="240" w:lineRule="auto"/>
              <w:ind w:right="65"/>
              <w:jc w:val="right"/>
              <w:rPr>
                <w:sz w:val="18"/>
                <w:szCs w:val="18"/>
              </w:rPr>
            </w:pPr>
            <w:r w:rsidRPr="00F93BD2">
              <w:rPr>
                <w:sz w:val="18"/>
                <w:szCs w:val="18"/>
              </w:rPr>
              <w:t xml:space="preserve">  18 377</w:t>
            </w:r>
          </w:p>
        </w:tc>
      </w:tr>
      <w:tr w:rsidR="00C81DAB" w:rsidRPr="00F93BD2" w14:paraId="5E6FE848" w14:textId="77777777" w:rsidTr="002E548E">
        <w:tc>
          <w:tcPr>
            <w:tcW w:w="2268" w:type="dxa"/>
            <w:shd w:val="clear" w:color="auto" w:fill="auto"/>
            <w:vAlign w:val="center"/>
          </w:tcPr>
          <w:p w14:paraId="777E7E8A" w14:textId="77777777" w:rsidR="00550391" w:rsidRPr="00F93BD2" w:rsidRDefault="00550391" w:rsidP="002C64AC">
            <w:pPr>
              <w:spacing w:before="40" w:line="240" w:lineRule="auto"/>
              <w:ind w:right="113"/>
            </w:pPr>
            <w:r w:rsidRPr="00F93BD2">
              <w:rPr>
                <w:color w:val="000000"/>
                <w:sz w:val="18"/>
                <w:szCs w:val="18"/>
              </w:rPr>
              <w:t>Estonia</w:t>
            </w:r>
          </w:p>
        </w:tc>
        <w:tc>
          <w:tcPr>
            <w:tcW w:w="1134" w:type="dxa"/>
            <w:shd w:val="clear" w:color="auto" w:fill="auto"/>
          </w:tcPr>
          <w:p w14:paraId="4AC96C18" w14:textId="77777777" w:rsidR="00550391" w:rsidRPr="00F93BD2" w:rsidRDefault="00550391" w:rsidP="002C64AC">
            <w:pPr>
              <w:spacing w:before="40" w:line="240" w:lineRule="auto"/>
              <w:ind w:right="65"/>
              <w:jc w:val="right"/>
              <w:rPr>
                <w:sz w:val="18"/>
                <w:szCs w:val="18"/>
              </w:rPr>
            </w:pPr>
            <w:r w:rsidRPr="00F93BD2">
              <w:rPr>
                <w:sz w:val="18"/>
                <w:szCs w:val="18"/>
              </w:rPr>
              <w:t>0.028</w:t>
            </w:r>
          </w:p>
        </w:tc>
        <w:tc>
          <w:tcPr>
            <w:tcW w:w="1552" w:type="dxa"/>
            <w:shd w:val="clear" w:color="auto" w:fill="auto"/>
          </w:tcPr>
          <w:p w14:paraId="2C44A737" w14:textId="77777777" w:rsidR="00550391" w:rsidRPr="00F93BD2" w:rsidRDefault="00550391" w:rsidP="002C64AC">
            <w:pPr>
              <w:spacing w:before="40" w:line="240" w:lineRule="auto"/>
              <w:ind w:right="65"/>
              <w:jc w:val="right"/>
              <w:rPr>
                <w:sz w:val="18"/>
                <w:szCs w:val="18"/>
              </w:rPr>
            </w:pPr>
            <w:r w:rsidRPr="00F93BD2">
              <w:rPr>
                <w:sz w:val="18"/>
                <w:szCs w:val="18"/>
              </w:rPr>
              <w:t xml:space="preserve">   755</w:t>
            </w:r>
          </w:p>
        </w:tc>
        <w:tc>
          <w:tcPr>
            <w:tcW w:w="1566" w:type="dxa"/>
            <w:shd w:val="clear" w:color="auto" w:fill="auto"/>
          </w:tcPr>
          <w:p w14:paraId="60CFC24B" w14:textId="77777777" w:rsidR="00550391" w:rsidRPr="00F93BD2" w:rsidRDefault="00550391" w:rsidP="002C64AC">
            <w:pPr>
              <w:spacing w:before="40" w:line="240" w:lineRule="auto"/>
              <w:ind w:right="65"/>
              <w:jc w:val="right"/>
              <w:rPr>
                <w:sz w:val="18"/>
                <w:szCs w:val="18"/>
              </w:rPr>
            </w:pPr>
            <w:r w:rsidRPr="00F93BD2">
              <w:rPr>
                <w:sz w:val="18"/>
                <w:szCs w:val="18"/>
              </w:rPr>
              <w:t xml:space="preserve">   755</w:t>
            </w:r>
          </w:p>
        </w:tc>
        <w:tc>
          <w:tcPr>
            <w:tcW w:w="1558" w:type="dxa"/>
            <w:shd w:val="clear" w:color="auto" w:fill="auto"/>
          </w:tcPr>
          <w:p w14:paraId="1D5DA4DE" w14:textId="77777777" w:rsidR="00550391" w:rsidRPr="00F93BD2" w:rsidRDefault="00550391" w:rsidP="002C64AC">
            <w:pPr>
              <w:spacing w:before="40" w:line="240" w:lineRule="auto"/>
              <w:ind w:right="65"/>
              <w:jc w:val="right"/>
              <w:rPr>
                <w:sz w:val="18"/>
                <w:szCs w:val="18"/>
              </w:rPr>
            </w:pPr>
            <w:r w:rsidRPr="00F93BD2">
              <w:rPr>
                <w:sz w:val="18"/>
                <w:szCs w:val="18"/>
              </w:rPr>
              <w:t xml:space="preserve">   392</w:t>
            </w:r>
          </w:p>
        </w:tc>
        <w:tc>
          <w:tcPr>
            <w:tcW w:w="1559" w:type="dxa"/>
            <w:shd w:val="clear" w:color="auto" w:fill="auto"/>
          </w:tcPr>
          <w:p w14:paraId="2C8AA886" w14:textId="77777777" w:rsidR="00550391" w:rsidRPr="00F93BD2" w:rsidRDefault="00550391" w:rsidP="002C64AC">
            <w:pPr>
              <w:spacing w:before="40" w:line="240" w:lineRule="auto"/>
              <w:ind w:right="65"/>
              <w:jc w:val="right"/>
              <w:rPr>
                <w:sz w:val="18"/>
                <w:szCs w:val="18"/>
              </w:rPr>
            </w:pPr>
            <w:r w:rsidRPr="00F93BD2">
              <w:rPr>
                <w:sz w:val="18"/>
                <w:szCs w:val="18"/>
              </w:rPr>
              <w:t xml:space="preserve">   392</w:t>
            </w:r>
          </w:p>
        </w:tc>
      </w:tr>
      <w:tr w:rsidR="00C81DAB" w:rsidRPr="00F93BD2" w14:paraId="001019EE" w14:textId="77777777" w:rsidTr="002E548E">
        <w:tc>
          <w:tcPr>
            <w:tcW w:w="2268" w:type="dxa"/>
            <w:shd w:val="clear" w:color="auto" w:fill="auto"/>
            <w:vAlign w:val="center"/>
          </w:tcPr>
          <w:p w14:paraId="062EF690" w14:textId="77777777" w:rsidR="00550391" w:rsidRPr="00F93BD2" w:rsidRDefault="00550391" w:rsidP="002C64AC">
            <w:pPr>
              <w:spacing w:before="40" w:line="240" w:lineRule="auto"/>
              <w:ind w:right="113"/>
            </w:pPr>
            <w:r w:rsidRPr="00F93BD2">
              <w:rPr>
                <w:color w:val="000000"/>
                <w:sz w:val="18"/>
                <w:szCs w:val="18"/>
              </w:rPr>
              <w:t>European Union</w:t>
            </w:r>
          </w:p>
        </w:tc>
        <w:tc>
          <w:tcPr>
            <w:tcW w:w="1134" w:type="dxa"/>
            <w:shd w:val="clear" w:color="auto" w:fill="auto"/>
          </w:tcPr>
          <w:p w14:paraId="52B5B513" w14:textId="77777777" w:rsidR="00550391" w:rsidRPr="00F93BD2" w:rsidRDefault="00550391" w:rsidP="002C64AC">
            <w:pPr>
              <w:spacing w:before="40" w:line="240" w:lineRule="auto"/>
              <w:ind w:right="65"/>
              <w:jc w:val="right"/>
              <w:rPr>
                <w:sz w:val="18"/>
                <w:szCs w:val="18"/>
              </w:rPr>
            </w:pPr>
            <w:r w:rsidRPr="00F93BD2">
              <w:rPr>
                <w:sz w:val="18"/>
                <w:szCs w:val="18"/>
              </w:rPr>
              <w:t>2.685</w:t>
            </w:r>
          </w:p>
        </w:tc>
        <w:tc>
          <w:tcPr>
            <w:tcW w:w="1552" w:type="dxa"/>
            <w:shd w:val="clear" w:color="auto" w:fill="auto"/>
          </w:tcPr>
          <w:p w14:paraId="1FF06DAD" w14:textId="77777777" w:rsidR="00550391" w:rsidRPr="00F93BD2" w:rsidRDefault="00550391" w:rsidP="002C64AC">
            <w:pPr>
              <w:spacing w:before="40" w:line="240" w:lineRule="auto"/>
              <w:ind w:right="65"/>
              <w:jc w:val="right"/>
              <w:rPr>
                <w:sz w:val="18"/>
                <w:szCs w:val="18"/>
              </w:rPr>
            </w:pPr>
            <w:r w:rsidRPr="00F93BD2">
              <w:rPr>
                <w:sz w:val="18"/>
                <w:szCs w:val="18"/>
              </w:rPr>
              <w:t xml:space="preserve">  71 770</w:t>
            </w:r>
          </w:p>
        </w:tc>
        <w:tc>
          <w:tcPr>
            <w:tcW w:w="1566" w:type="dxa"/>
            <w:shd w:val="clear" w:color="auto" w:fill="auto"/>
          </w:tcPr>
          <w:p w14:paraId="65AC3C2B" w14:textId="77777777" w:rsidR="00550391" w:rsidRPr="00F93BD2" w:rsidRDefault="00550391" w:rsidP="002C64AC">
            <w:pPr>
              <w:spacing w:before="40" w:line="240" w:lineRule="auto"/>
              <w:ind w:right="65"/>
              <w:jc w:val="right"/>
              <w:rPr>
                <w:sz w:val="18"/>
                <w:szCs w:val="18"/>
              </w:rPr>
            </w:pPr>
            <w:r w:rsidRPr="00F93BD2">
              <w:rPr>
                <w:sz w:val="18"/>
                <w:szCs w:val="18"/>
              </w:rPr>
              <w:t xml:space="preserve">  71 770</w:t>
            </w:r>
          </w:p>
        </w:tc>
        <w:tc>
          <w:tcPr>
            <w:tcW w:w="1558" w:type="dxa"/>
            <w:shd w:val="clear" w:color="auto" w:fill="auto"/>
          </w:tcPr>
          <w:p w14:paraId="1B8D31EA" w14:textId="77777777" w:rsidR="00550391" w:rsidRPr="00F93BD2" w:rsidRDefault="00550391" w:rsidP="002C64AC">
            <w:pPr>
              <w:spacing w:before="40" w:line="240" w:lineRule="auto"/>
              <w:ind w:right="65"/>
              <w:jc w:val="right"/>
              <w:rPr>
                <w:sz w:val="18"/>
                <w:szCs w:val="18"/>
              </w:rPr>
            </w:pPr>
            <w:r w:rsidRPr="00F93BD2">
              <w:rPr>
                <w:sz w:val="18"/>
                <w:szCs w:val="18"/>
              </w:rPr>
              <w:t xml:space="preserve">  37 295</w:t>
            </w:r>
          </w:p>
        </w:tc>
        <w:tc>
          <w:tcPr>
            <w:tcW w:w="1559" w:type="dxa"/>
            <w:shd w:val="clear" w:color="auto" w:fill="auto"/>
          </w:tcPr>
          <w:p w14:paraId="12C08DE4" w14:textId="77777777" w:rsidR="00550391" w:rsidRPr="00F93BD2" w:rsidRDefault="00550391" w:rsidP="002C64AC">
            <w:pPr>
              <w:spacing w:before="40" w:line="240" w:lineRule="auto"/>
              <w:ind w:right="65"/>
              <w:jc w:val="right"/>
              <w:rPr>
                <w:sz w:val="18"/>
                <w:szCs w:val="18"/>
              </w:rPr>
            </w:pPr>
            <w:r w:rsidRPr="00F93BD2">
              <w:rPr>
                <w:sz w:val="18"/>
                <w:szCs w:val="18"/>
              </w:rPr>
              <w:t xml:space="preserve">  37 295</w:t>
            </w:r>
          </w:p>
        </w:tc>
      </w:tr>
      <w:tr w:rsidR="00C81DAB" w:rsidRPr="00F93BD2" w14:paraId="11CBCBCE" w14:textId="77777777" w:rsidTr="002E548E">
        <w:tc>
          <w:tcPr>
            <w:tcW w:w="2268" w:type="dxa"/>
            <w:shd w:val="clear" w:color="auto" w:fill="auto"/>
            <w:vAlign w:val="center"/>
          </w:tcPr>
          <w:p w14:paraId="04BF787C" w14:textId="77777777" w:rsidR="00550391" w:rsidRPr="00F93BD2" w:rsidRDefault="00550391" w:rsidP="002C64AC">
            <w:pPr>
              <w:spacing w:before="40" w:line="240" w:lineRule="auto"/>
              <w:ind w:right="113"/>
            </w:pPr>
            <w:r w:rsidRPr="00F93BD2">
              <w:rPr>
                <w:color w:val="000000"/>
                <w:sz w:val="18"/>
                <w:szCs w:val="18"/>
              </w:rPr>
              <w:t>Finland</w:t>
            </w:r>
          </w:p>
        </w:tc>
        <w:tc>
          <w:tcPr>
            <w:tcW w:w="1134" w:type="dxa"/>
            <w:shd w:val="clear" w:color="auto" w:fill="auto"/>
          </w:tcPr>
          <w:p w14:paraId="407DE94A" w14:textId="77777777" w:rsidR="00550391" w:rsidRPr="00F93BD2" w:rsidRDefault="00550391" w:rsidP="002C64AC">
            <w:pPr>
              <w:spacing w:before="40" w:line="240" w:lineRule="auto"/>
              <w:ind w:right="65"/>
              <w:jc w:val="right"/>
              <w:rPr>
                <w:sz w:val="18"/>
                <w:szCs w:val="18"/>
              </w:rPr>
            </w:pPr>
            <w:r w:rsidRPr="00F93BD2">
              <w:rPr>
                <w:sz w:val="18"/>
                <w:szCs w:val="18"/>
              </w:rPr>
              <w:t>1.009</w:t>
            </w:r>
          </w:p>
        </w:tc>
        <w:tc>
          <w:tcPr>
            <w:tcW w:w="1552" w:type="dxa"/>
            <w:shd w:val="clear" w:color="auto" w:fill="auto"/>
          </w:tcPr>
          <w:p w14:paraId="396BA4E0" w14:textId="77777777" w:rsidR="00550391" w:rsidRPr="00F93BD2" w:rsidRDefault="00550391" w:rsidP="002C64AC">
            <w:pPr>
              <w:spacing w:before="40" w:line="240" w:lineRule="auto"/>
              <w:ind w:right="65"/>
              <w:jc w:val="right"/>
              <w:rPr>
                <w:sz w:val="18"/>
                <w:szCs w:val="18"/>
              </w:rPr>
            </w:pPr>
            <w:r w:rsidRPr="00F93BD2">
              <w:rPr>
                <w:sz w:val="18"/>
                <w:szCs w:val="18"/>
              </w:rPr>
              <w:t xml:space="preserve">  26 985</w:t>
            </w:r>
          </w:p>
        </w:tc>
        <w:tc>
          <w:tcPr>
            <w:tcW w:w="1566" w:type="dxa"/>
            <w:shd w:val="clear" w:color="auto" w:fill="auto"/>
          </w:tcPr>
          <w:p w14:paraId="71A109B4" w14:textId="77777777" w:rsidR="00550391" w:rsidRPr="00F93BD2" w:rsidRDefault="00550391" w:rsidP="002C64AC">
            <w:pPr>
              <w:spacing w:before="40" w:line="240" w:lineRule="auto"/>
              <w:ind w:right="65"/>
              <w:jc w:val="right"/>
              <w:rPr>
                <w:sz w:val="18"/>
                <w:szCs w:val="18"/>
              </w:rPr>
            </w:pPr>
            <w:r w:rsidRPr="00F93BD2">
              <w:rPr>
                <w:sz w:val="18"/>
                <w:szCs w:val="18"/>
              </w:rPr>
              <w:t xml:space="preserve">  26 985</w:t>
            </w:r>
          </w:p>
        </w:tc>
        <w:tc>
          <w:tcPr>
            <w:tcW w:w="1558" w:type="dxa"/>
            <w:shd w:val="clear" w:color="auto" w:fill="auto"/>
          </w:tcPr>
          <w:p w14:paraId="49FE208C" w14:textId="77777777" w:rsidR="00550391" w:rsidRPr="00F93BD2" w:rsidRDefault="00550391" w:rsidP="002C64AC">
            <w:pPr>
              <w:spacing w:before="40" w:line="240" w:lineRule="auto"/>
              <w:ind w:right="65"/>
              <w:jc w:val="right"/>
              <w:rPr>
                <w:sz w:val="18"/>
                <w:szCs w:val="18"/>
              </w:rPr>
            </w:pPr>
            <w:r w:rsidRPr="00F93BD2">
              <w:rPr>
                <w:sz w:val="18"/>
                <w:szCs w:val="18"/>
              </w:rPr>
              <w:t xml:space="preserve">  14 023</w:t>
            </w:r>
          </w:p>
        </w:tc>
        <w:tc>
          <w:tcPr>
            <w:tcW w:w="1559" w:type="dxa"/>
            <w:shd w:val="clear" w:color="auto" w:fill="auto"/>
          </w:tcPr>
          <w:p w14:paraId="353372E7" w14:textId="77777777" w:rsidR="00550391" w:rsidRPr="00F93BD2" w:rsidRDefault="00550391" w:rsidP="002C64AC">
            <w:pPr>
              <w:spacing w:before="40" w:line="240" w:lineRule="auto"/>
              <w:ind w:right="65"/>
              <w:jc w:val="right"/>
              <w:rPr>
                <w:sz w:val="18"/>
                <w:szCs w:val="18"/>
              </w:rPr>
            </w:pPr>
            <w:r w:rsidRPr="00F93BD2">
              <w:rPr>
                <w:sz w:val="18"/>
                <w:szCs w:val="18"/>
              </w:rPr>
              <w:t xml:space="preserve">  14 023</w:t>
            </w:r>
          </w:p>
        </w:tc>
      </w:tr>
      <w:tr w:rsidR="00C81DAB" w:rsidRPr="00F93BD2" w14:paraId="4463A5DA" w14:textId="77777777" w:rsidTr="002E548E">
        <w:tc>
          <w:tcPr>
            <w:tcW w:w="2268" w:type="dxa"/>
            <w:shd w:val="clear" w:color="auto" w:fill="auto"/>
            <w:vAlign w:val="center"/>
          </w:tcPr>
          <w:p w14:paraId="5256670A" w14:textId="77777777" w:rsidR="00550391" w:rsidRPr="00F93BD2" w:rsidRDefault="00550391" w:rsidP="002C64AC">
            <w:pPr>
              <w:spacing w:before="40" w:line="240" w:lineRule="auto"/>
              <w:ind w:right="113"/>
            </w:pPr>
            <w:r w:rsidRPr="00F93BD2">
              <w:rPr>
                <w:color w:val="000000"/>
                <w:sz w:val="18"/>
                <w:szCs w:val="18"/>
              </w:rPr>
              <w:t>France</w:t>
            </w:r>
          </w:p>
        </w:tc>
        <w:tc>
          <w:tcPr>
            <w:tcW w:w="1134" w:type="dxa"/>
            <w:shd w:val="clear" w:color="auto" w:fill="auto"/>
          </w:tcPr>
          <w:p w14:paraId="57BBD63B" w14:textId="77777777" w:rsidR="00550391" w:rsidRPr="00F93BD2" w:rsidRDefault="00550391" w:rsidP="002C64AC">
            <w:pPr>
              <w:spacing w:before="40" w:line="240" w:lineRule="auto"/>
              <w:ind w:right="65"/>
              <w:jc w:val="right"/>
              <w:rPr>
                <w:sz w:val="18"/>
                <w:szCs w:val="18"/>
              </w:rPr>
            </w:pPr>
            <w:r w:rsidRPr="00F93BD2">
              <w:rPr>
                <w:sz w:val="18"/>
                <w:szCs w:val="18"/>
              </w:rPr>
              <w:t>10.667</w:t>
            </w:r>
          </w:p>
        </w:tc>
        <w:tc>
          <w:tcPr>
            <w:tcW w:w="1552" w:type="dxa"/>
            <w:shd w:val="clear" w:color="auto" w:fill="auto"/>
          </w:tcPr>
          <w:p w14:paraId="5C1668FA" w14:textId="77777777" w:rsidR="00550391" w:rsidRPr="00F93BD2" w:rsidRDefault="00550391" w:rsidP="002C64AC">
            <w:pPr>
              <w:spacing w:before="40" w:line="240" w:lineRule="auto"/>
              <w:ind w:right="65"/>
              <w:jc w:val="right"/>
              <w:rPr>
                <w:sz w:val="18"/>
                <w:szCs w:val="18"/>
              </w:rPr>
            </w:pPr>
            <w:r w:rsidRPr="00F93BD2">
              <w:rPr>
                <w:sz w:val="18"/>
                <w:szCs w:val="18"/>
              </w:rPr>
              <w:t xml:space="preserve">  285 182</w:t>
            </w:r>
          </w:p>
        </w:tc>
        <w:tc>
          <w:tcPr>
            <w:tcW w:w="1566" w:type="dxa"/>
            <w:shd w:val="clear" w:color="auto" w:fill="auto"/>
          </w:tcPr>
          <w:p w14:paraId="62C62CF7" w14:textId="77777777" w:rsidR="00550391" w:rsidRPr="00F93BD2" w:rsidRDefault="00550391" w:rsidP="002C64AC">
            <w:pPr>
              <w:spacing w:before="40" w:line="240" w:lineRule="auto"/>
              <w:ind w:right="65"/>
              <w:jc w:val="right"/>
              <w:rPr>
                <w:sz w:val="18"/>
                <w:szCs w:val="18"/>
              </w:rPr>
            </w:pPr>
            <w:r w:rsidRPr="00F93BD2">
              <w:rPr>
                <w:sz w:val="18"/>
                <w:szCs w:val="18"/>
              </w:rPr>
              <w:t xml:space="preserve">  285 182</w:t>
            </w:r>
          </w:p>
        </w:tc>
        <w:tc>
          <w:tcPr>
            <w:tcW w:w="1558" w:type="dxa"/>
            <w:shd w:val="clear" w:color="auto" w:fill="auto"/>
          </w:tcPr>
          <w:p w14:paraId="67B7DA04" w14:textId="77777777" w:rsidR="00550391" w:rsidRPr="00F93BD2" w:rsidRDefault="00550391" w:rsidP="002C64AC">
            <w:pPr>
              <w:spacing w:before="40" w:line="240" w:lineRule="auto"/>
              <w:ind w:right="65"/>
              <w:jc w:val="right"/>
              <w:rPr>
                <w:sz w:val="18"/>
                <w:szCs w:val="18"/>
              </w:rPr>
            </w:pPr>
            <w:r w:rsidRPr="00F93BD2">
              <w:rPr>
                <w:sz w:val="18"/>
                <w:szCs w:val="18"/>
              </w:rPr>
              <w:t xml:space="preserve">  148 194</w:t>
            </w:r>
          </w:p>
        </w:tc>
        <w:tc>
          <w:tcPr>
            <w:tcW w:w="1559" w:type="dxa"/>
            <w:shd w:val="clear" w:color="auto" w:fill="auto"/>
          </w:tcPr>
          <w:p w14:paraId="1333C6F0" w14:textId="77777777" w:rsidR="00550391" w:rsidRPr="00F93BD2" w:rsidRDefault="00550391" w:rsidP="002C64AC">
            <w:pPr>
              <w:spacing w:before="40" w:line="240" w:lineRule="auto"/>
              <w:ind w:right="65"/>
              <w:jc w:val="right"/>
              <w:rPr>
                <w:sz w:val="18"/>
                <w:szCs w:val="18"/>
              </w:rPr>
            </w:pPr>
            <w:r w:rsidRPr="00F93BD2">
              <w:rPr>
                <w:sz w:val="18"/>
                <w:szCs w:val="18"/>
              </w:rPr>
              <w:t xml:space="preserve">  148 194</w:t>
            </w:r>
          </w:p>
        </w:tc>
      </w:tr>
      <w:tr w:rsidR="00C81DAB" w:rsidRPr="00F93BD2" w14:paraId="5C04CB8F" w14:textId="77777777" w:rsidTr="002E548E">
        <w:tc>
          <w:tcPr>
            <w:tcW w:w="2268" w:type="dxa"/>
            <w:shd w:val="clear" w:color="auto" w:fill="auto"/>
            <w:vAlign w:val="center"/>
          </w:tcPr>
          <w:p w14:paraId="3DDE6CAB" w14:textId="77777777" w:rsidR="00550391" w:rsidRPr="00F93BD2" w:rsidRDefault="00550391" w:rsidP="002C64AC">
            <w:pPr>
              <w:spacing w:before="40" w:line="240" w:lineRule="auto"/>
              <w:ind w:right="113"/>
            </w:pPr>
            <w:r w:rsidRPr="00F93BD2">
              <w:rPr>
                <w:color w:val="000000"/>
                <w:sz w:val="18"/>
                <w:szCs w:val="18"/>
              </w:rPr>
              <w:t>Germany</w:t>
            </w:r>
          </w:p>
        </w:tc>
        <w:tc>
          <w:tcPr>
            <w:tcW w:w="1134" w:type="dxa"/>
            <w:shd w:val="clear" w:color="auto" w:fill="auto"/>
          </w:tcPr>
          <w:p w14:paraId="18FBB91C" w14:textId="77777777" w:rsidR="00550391" w:rsidRPr="00F93BD2" w:rsidRDefault="00550391" w:rsidP="002C64AC">
            <w:pPr>
              <w:spacing w:before="40" w:line="240" w:lineRule="auto"/>
              <w:ind w:right="65"/>
              <w:jc w:val="right"/>
              <w:rPr>
                <w:sz w:val="18"/>
                <w:szCs w:val="18"/>
              </w:rPr>
            </w:pPr>
            <w:r w:rsidRPr="00F93BD2">
              <w:rPr>
                <w:sz w:val="18"/>
                <w:szCs w:val="18"/>
              </w:rPr>
              <w:t>15.35</w:t>
            </w:r>
          </w:p>
        </w:tc>
        <w:tc>
          <w:tcPr>
            <w:tcW w:w="1552" w:type="dxa"/>
            <w:shd w:val="clear" w:color="auto" w:fill="auto"/>
          </w:tcPr>
          <w:p w14:paraId="0BF92A9C" w14:textId="77777777" w:rsidR="00550391" w:rsidRPr="00F93BD2" w:rsidRDefault="00550391" w:rsidP="002C64AC">
            <w:pPr>
              <w:spacing w:before="40" w:line="240" w:lineRule="auto"/>
              <w:ind w:right="65"/>
              <w:jc w:val="right"/>
              <w:rPr>
                <w:sz w:val="18"/>
                <w:szCs w:val="18"/>
              </w:rPr>
            </w:pPr>
            <w:r w:rsidRPr="00F93BD2">
              <w:rPr>
                <w:sz w:val="18"/>
                <w:szCs w:val="18"/>
              </w:rPr>
              <w:t xml:space="preserve">  410 402</w:t>
            </w:r>
          </w:p>
        </w:tc>
        <w:tc>
          <w:tcPr>
            <w:tcW w:w="1566" w:type="dxa"/>
            <w:shd w:val="clear" w:color="auto" w:fill="auto"/>
          </w:tcPr>
          <w:p w14:paraId="70E4686D" w14:textId="77777777" w:rsidR="00550391" w:rsidRPr="00F93BD2" w:rsidRDefault="00550391" w:rsidP="002C64AC">
            <w:pPr>
              <w:spacing w:before="40" w:line="240" w:lineRule="auto"/>
              <w:ind w:right="65"/>
              <w:jc w:val="right"/>
              <w:rPr>
                <w:sz w:val="18"/>
                <w:szCs w:val="18"/>
              </w:rPr>
            </w:pPr>
            <w:r w:rsidRPr="00F93BD2">
              <w:rPr>
                <w:sz w:val="18"/>
                <w:szCs w:val="18"/>
              </w:rPr>
              <w:t xml:space="preserve">  410 402</w:t>
            </w:r>
          </w:p>
        </w:tc>
        <w:tc>
          <w:tcPr>
            <w:tcW w:w="1558" w:type="dxa"/>
            <w:shd w:val="clear" w:color="auto" w:fill="auto"/>
          </w:tcPr>
          <w:p w14:paraId="058721ED" w14:textId="77777777" w:rsidR="00550391" w:rsidRPr="00F93BD2" w:rsidRDefault="00550391" w:rsidP="002C64AC">
            <w:pPr>
              <w:spacing w:before="40" w:line="240" w:lineRule="auto"/>
              <w:ind w:right="65"/>
              <w:jc w:val="right"/>
              <w:rPr>
                <w:sz w:val="18"/>
                <w:szCs w:val="18"/>
              </w:rPr>
            </w:pPr>
            <w:r w:rsidRPr="00F93BD2">
              <w:rPr>
                <w:sz w:val="18"/>
                <w:szCs w:val="18"/>
              </w:rPr>
              <w:t xml:space="preserve">  213 266</w:t>
            </w:r>
          </w:p>
        </w:tc>
        <w:tc>
          <w:tcPr>
            <w:tcW w:w="1559" w:type="dxa"/>
            <w:shd w:val="clear" w:color="auto" w:fill="auto"/>
          </w:tcPr>
          <w:p w14:paraId="2C2D2C2F" w14:textId="77777777" w:rsidR="00550391" w:rsidRPr="00F93BD2" w:rsidRDefault="00550391" w:rsidP="002C64AC">
            <w:pPr>
              <w:spacing w:before="40" w:line="240" w:lineRule="auto"/>
              <w:ind w:right="65"/>
              <w:jc w:val="right"/>
              <w:rPr>
                <w:sz w:val="18"/>
                <w:szCs w:val="18"/>
              </w:rPr>
            </w:pPr>
            <w:r w:rsidRPr="00F93BD2">
              <w:rPr>
                <w:sz w:val="18"/>
                <w:szCs w:val="18"/>
              </w:rPr>
              <w:t xml:space="preserve">  213 266</w:t>
            </w:r>
          </w:p>
        </w:tc>
      </w:tr>
      <w:tr w:rsidR="00C81DAB" w:rsidRPr="00F93BD2" w14:paraId="464B5384" w14:textId="77777777" w:rsidTr="002E548E">
        <w:tc>
          <w:tcPr>
            <w:tcW w:w="2268" w:type="dxa"/>
            <w:shd w:val="clear" w:color="auto" w:fill="auto"/>
            <w:vAlign w:val="center"/>
          </w:tcPr>
          <w:p w14:paraId="3F02078A" w14:textId="77777777" w:rsidR="00550391" w:rsidRPr="00F93BD2" w:rsidRDefault="00550391" w:rsidP="002C64AC">
            <w:pPr>
              <w:spacing w:before="40" w:line="240" w:lineRule="auto"/>
              <w:ind w:right="113"/>
            </w:pPr>
            <w:r w:rsidRPr="00F93BD2">
              <w:rPr>
                <w:color w:val="000000"/>
                <w:sz w:val="18"/>
                <w:szCs w:val="18"/>
              </w:rPr>
              <w:t>Greece</w:t>
            </w:r>
          </w:p>
        </w:tc>
        <w:tc>
          <w:tcPr>
            <w:tcW w:w="1134" w:type="dxa"/>
            <w:shd w:val="clear" w:color="auto" w:fill="auto"/>
          </w:tcPr>
          <w:p w14:paraId="4BE803C3" w14:textId="77777777" w:rsidR="00550391" w:rsidRPr="00F93BD2" w:rsidRDefault="00550391" w:rsidP="002C64AC">
            <w:pPr>
              <w:spacing w:before="40" w:line="240" w:lineRule="auto"/>
              <w:ind w:right="65"/>
              <w:jc w:val="right"/>
              <w:rPr>
                <w:sz w:val="18"/>
                <w:szCs w:val="18"/>
              </w:rPr>
            </w:pPr>
            <w:r w:rsidRPr="00F93BD2">
              <w:rPr>
                <w:sz w:val="18"/>
                <w:szCs w:val="18"/>
              </w:rPr>
              <w:t>1.065</w:t>
            </w:r>
          </w:p>
        </w:tc>
        <w:tc>
          <w:tcPr>
            <w:tcW w:w="1552" w:type="dxa"/>
            <w:shd w:val="clear" w:color="auto" w:fill="auto"/>
          </w:tcPr>
          <w:p w14:paraId="1EE52662" w14:textId="77777777" w:rsidR="00550391" w:rsidRPr="00F93BD2" w:rsidRDefault="00550391" w:rsidP="002C64AC">
            <w:pPr>
              <w:spacing w:before="40" w:line="240" w:lineRule="auto"/>
              <w:ind w:right="65"/>
              <w:jc w:val="right"/>
              <w:rPr>
                <w:sz w:val="18"/>
                <w:szCs w:val="18"/>
              </w:rPr>
            </w:pPr>
            <w:r w:rsidRPr="00F93BD2">
              <w:rPr>
                <w:sz w:val="18"/>
                <w:szCs w:val="18"/>
              </w:rPr>
              <w:t xml:space="preserve">  28 469</w:t>
            </w:r>
          </w:p>
        </w:tc>
        <w:tc>
          <w:tcPr>
            <w:tcW w:w="1566" w:type="dxa"/>
            <w:shd w:val="clear" w:color="auto" w:fill="auto"/>
          </w:tcPr>
          <w:p w14:paraId="57FE4F92" w14:textId="77777777" w:rsidR="00550391" w:rsidRPr="00F93BD2" w:rsidRDefault="00550391" w:rsidP="002C64AC">
            <w:pPr>
              <w:spacing w:before="40" w:line="240" w:lineRule="auto"/>
              <w:ind w:right="65"/>
              <w:jc w:val="right"/>
              <w:rPr>
                <w:sz w:val="18"/>
                <w:szCs w:val="18"/>
              </w:rPr>
            </w:pPr>
            <w:r w:rsidRPr="00F93BD2">
              <w:rPr>
                <w:sz w:val="18"/>
                <w:szCs w:val="18"/>
              </w:rPr>
              <w:t xml:space="preserve">  28 469</w:t>
            </w:r>
          </w:p>
        </w:tc>
        <w:tc>
          <w:tcPr>
            <w:tcW w:w="1558" w:type="dxa"/>
            <w:shd w:val="clear" w:color="auto" w:fill="auto"/>
          </w:tcPr>
          <w:p w14:paraId="523F894D" w14:textId="77777777" w:rsidR="00550391" w:rsidRPr="00F93BD2" w:rsidRDefault="00550391" w:rsidP="002C64AC">
            <w:pPr>
              <w:spacing w:before="40" w:line="240" w:lineRule="auto"/>
              <w:ind w:right="65"/>
              <w:jc w:val="right"/>
              <w:rPr>
                <w:sz w:val="18"/>
                <w:szCs w:val="18"/>
              </w:rPr>
            </w:pPr>
            <w:r w:rsidRPr="00F93BD2">
              <w:rPr>
                <w:sz w:val="18"/>
                <w:szCs w:val="18"/>
              </w:rPr>
              <w:t xml:space="preserve">  14 794</w:t>
            </w:r>
          </w:p>
        </w:tc>
        <w:tc>
          <w:tcPr>
            <w:tcW w:w="1559" w:type="dxa"/>
            <w:shd w:val="clear" w:color="auto" w:fill="auto"/>
          </w:tcPr>
          <w:p w14:paraId="6A833313" w14:textId="77777777" w:rsidR="00550391" w:rsidRPr="00F93BD2" w:rsidRDefault="00550391" w:rsidP="002C64AC">
            <w:pPr>
              <w:spacing w:before="40" w:line="240" w:lineRule="auto"/>
              <w:ind w:right="65"/>
              <w:jc w:val="right"/>
              <w:rPr>
                <w:sz w:val="18"/>
                <w:szCs w:val="18"/>
              </w:rPr>
            </w:pPr>
            <w:r w:rsidRPr="00F93BD2">
              <w:rPr>
                <w:sz w:val="18"/>
                <w:szCs w:val="18"/>
              </w:rPr>
              <w:t xml:space="preserve">  14 794</w:t>
            </w:r>
          </w:p>
        </w:tc>
      </w:tr>
      <w:tr w:rsidR="00C81DAB" w:rsidRPr="00F93BD2" w14:paraId="7EFDE99C" w14:textId="77777777" w:rsidTr="002E548E">
        <w:tc>
          <w:tcPr>
            <w:tcW w:w="2268" w:type="dxa"/>
            <w:shd w:val="clear" w:color="auto" w:fill="auto"/>
            <w:vAlign w:val="center"/>
          </w:tcPr>
          <w:p w14:paraId="52CFD335" w14:textId="77777777" w:rsidR="00550391" w:rsidRPr="00F93BD2" w:rsidRDefault="00550391" w:rsidP="002C64AC">
            <w:pPr>
              <w:spacing w:before="40" w:line="240" w:lineRule="auto"/>
              <w:ind w:right="113"/>
            </w:pPr>
            <w:r w:rsidRPr="00F93BD2">
              <w:rPr>
                <w:color w:val="000000"/>
                <w:sz w:val="18"/>
                <w:szCs w:val="18"/>
              </w:rPr>
              <w:t>Hungary</w:t>
            </w:r>
          </w:p>
        </w:tc>
        <w:tc>
          <w:tcPr>
            <w:tcW w:w="1134" w:type="dxa"/>
            <w:shd w:val="clear" w:color="auto" w:fill="auto"/>
          </w:tcPr>
          <w:p w14:paraId="09E67372" w14:textId="77777777" w:rsidR="00550391" w:rsidRPr="00F93BD2" w:rsidRDefault="00550391" w:rsidP="002C64AC">
            <w:pPr>
              <w:spacing w:before="40" w:line="240" w:lineRule="auto"/>
              <w:ind w:right="65"/>
              <w:jc w:val="right"/>
              <w:rPr>
                <w:sz w:val="18"/>
                <w:szCs w:val="18"/>
              </w:rPr>
            </w:pPr>
            <w:r w:rsidRPr="00F93BD2">
              <w:rPr>
                <w:sz w:val="18"/>
                <w:szCs w:val="18"/>
              </w:rPr>
              <w:t>0.437</w:t>
            </w:r>
          </w:p>
        </w:tc>
        <w:tc>
          <w:tcPr>
            <w:tcW w:w="1552" w:type="dxa"/>
            <w:shd w:val="clear" w:color="auto" w:fill="auto"/>
          </w:tcPr>
          <w:p w14:paraId="68E79210" w14:textId="77777777" w:rsidR="00550391" w:rsidRPr="00F93BD2" w:rsidRDefault="00550391" w:rsidP="002C64AC">
            <w:pPr>
              <w:spacing w:before="40" w:line="240" w:lineRule="auto"/>
              <w:ind w:right="65"/>
              <w:jc w:val="right"/>
              <w:rPr>
                <w:sz w:val="18"/>
                <w:szCs w:val="18"/>
              </w:rPr>
            </w:pPr>
            <w:r w:rsidRPr="00F93BD2">
              <w:rPr>
                <w:sz w:val="18"/>
                <w:szCs w:val="18"/>
              </w:rPr>
              <w:t xml:space="preserve">  11 684</w:t>
            </w:r>
          </w:p>
        </w:tc>
        <w:tc>
          <w:tcPr>
            <w:tcW w:w="1566" w:type="dxa"/>
            <w:shd w:val="clear" w:color="auto" w:fill="auto"/>
          </w:tcPr>
          <w:p w14:paraId="16DB4BC1" w14:textId="77777777" w:rsidR="00550391" w:rsidRPr="00F93BD2" w:rsidRDefault="00550391" w:rsidP="002C64AC">
            <w:pPr>
              <w:spacing w:before="40" w:line="240" w:lineRule="auto"/>
              <w:ind w:right="65"/>
              <w:jc w:val="right"/>
              <w:rPr>
                <w:sz w:val="18"/>
                <w:szCs w:val="18"/>
              </w:rPr>
            </w:pPr>
            <w:r w:rsidRPr="00F93BD2">
              <w:rPr>
                <w:sz w:val="18"/>
                <w:szCs w:val="18"/>
              </w:rPr>
              <w:t xml:space="preserve">  11 684</w:t>
            </w:r>
          </w:p>
        </w:tc>
        <w:tc>
          <w:tcPr>
            <w:tcW w:w="1558" w:type="dxa"/>
            <w:shd w:val="clear" w:color="auto" w:fill="auto"/>
          </w:tcPr>
          <w:p w14:paraId="75F5D9B7" w14:textId="77777777" w:rsidR="00550391" w:rsidRPr="00F93BD2" w:rsidRDefault="00550391" w:rsidP="002C64AC">
            <w:pPr>
              <w:spacing w:before="40" w:line="240" w:lineRule="auto"/>
              <w:ind w:right="65"/>
              <w:jc w:val="right"/>
              <w:rPr>
                <w:sz w:val="18"/>
                <w:szCs w:val="18"/>
              </w:rPr>
            </w:pPr>
            <w:r w:rsidRPr="00F93BD2">
              <w:rPr>
                <w:sz w:val="18"/>
                <w:szCs w:val="18"/>
              </w:rPr>
              <w:t xml:space="preserve">  6 072</w:t>
            </w:r>
          </w:p>
        </w:tc>
        <w:tc>
          <w:tcPr>
            <w:tcW w:w="1559" w:type="dxa"/>
            <w:shd w:val="clear" w:color="auto" w:fill="auto"/>
          </w:tcPr>
          <w:p w14:paraId="73AE40EE" w14:textId="77777777" w:rsidR="00550391" w:rsidRPr="00F93BD2" w:rsidRDefault="00550391" w:rsidP="002C64AC">
            <w:pPr>
              <w:spacing w:before="40" w:line="240" w:lineRule="auto"/>
              <w:ind w:right="65"/>
              <w:jc w:val="right"/>
              <w:rPr>
                <w:sz w:val="18"/>
                <w:szCs w:val="18"/>
              </w:rPr>
            </w:pPr>
            <w:r w:rsidRPr="00F93BD2">
              <w:rPr>
                <w:sz w:val="18"/>
                <w:szCs w:val="18"/>
              </w:rPr>
              <w:t xml:space="preserve">  6 072</w:t>
            </w:r>
          </w:p>
        </w:tc>
      </w:tr>
      <w:tr w:rsidR="00C81DAB" w:rsidRPr="00F93BD2" w14:paraId="5E6F48DB" w14:textId="77777777" w:rsidTr="002E548E">
        <w:tc>
          <w:tcPr>
            <w:tcW w:w="2268" w:type="dxa"/>
            <w:shd w:val="clear" w:color="auto" w:fill="auto"/>
            <w:vAlign w:val="center"/>
          </w:tcPr>
          <w:p w14:paraId="6DF80F50" w14:textId="77777777" w:rsidR="00550391" w:rsidRPr="00F93BD2" w:rsidRDefault="00550391" w:rsidP="00226DD0">
            <w:pPr>
              <w:spacing w:before="40" w:line="240" w:lineRule="auto"/>
              <w:ind w:right="113"/>
            </w:pPr>
            <w:r w:rsidRPr="00F93BD2">
              <w:rPr>
                <w:color w:val="000000"/>
                <w:sz w:val="18"/>
                <w:szCs w:val="18"/>
              </w:rPr>
              <w:t>Iceland</w:t>
            </w:r>
          </w:p>
        </w:tc>
        <w:tc>
          <w:tcPr>
            <w:tcW w:w="1134" w:type="dxa"/>
            <w:shd w:val="clear" w:color="auto" w:fill="auto"/>
          </w:tcPr>
          <w:p w14:paraId="607063D3" w14:textId="77777777" w:rsidR="00550391" w:rsidRPr="00F93BD2" w:rsidRDefault="00550391" w:rsidP="002C64AC">
            <w:pPr>
              <w:spacing w:before="40" w:line="240" w:lineRule="auto"/>
              <w:ind w:right="65"/>
              <w:jc w:val="right"/>
              <w:rPr>
                <w:sz w:val="18"/>
                <w:szCs w:val="18"/>
              </w:rPr>
            </w:pPr>
            <w:r w:rsidRPr="00F93BD2">
              <w:rPr>
                <w:sz w:val="18"/>
                <w:szCs w:val="18"/>
              </w:rPr>
              <w:t>0.737</w:t>
            </w:r>
          </w:p>
        </w:tc>
        <w:tc>
          <w:tcPr>
            <w:tcW w:w="1552" w:type="dxa"/>
            <w:shd w:val="clear" w:color="auto" w:fill="auto"/>
          </w:tcPr>
          <w:p w14:paraId="52B287EB" w14:textId="77777777" w:rsidR="00550391" w:rsidRPr="00F93BD2" w:rsidRDefault="00550391" w:rsidP="002C64AC">
            <w:pPr>
              <w:spacing w:before="40" w:line="240" w:lineRule="auto"/>
              <w:ind w:right="65"/>
              <w:jc w:val="right"/>
              <w:rPr>
                <w:sz w:val="18"/>
                <w:szCs w:val="18"/>
              </w:rPr>
            </w:pPr>
            <w:r w:rsidRPr="00F93BD2">
              <w:rPr>
                <w:sz w:val="18"/>
                <w:szCs w:val="18"/>
              </w:rPr>
              <w:t xml:space="preserve">  19 699</w:t>
            </w:r>
          </w:p>
        </w:tc>
        <w:tc>
          <w:tcPr>
            <w:tcW w:w="1566" w:type="dxa"/>
            <w:shd w:val="clear" w:color="auto" w:fill="auto"/>
          </w:tcPr>
          <w:p w14:paraId="26151C49" w14:textId="77777777" w:rsidR="00550391" w:rsidRPr="00F93BD2" w:rsidRDefault="00550391" w:rsidP="002C64AC">
            <w:pPr>
              <w:spacing w:before="40" w:line="240" w:lineRule="auto"/>
              <w:ind w:right="65"/>
              <w:jc w:val="right"/>
              <w:rPr>
                <w:sz w:val="18"/>
                <w:szCs w:val="18"/>
              </w:rPr>
            </w:pPr>
            <w:r w:rsidRPr="00F93BD2">
              <w:rPr>
                <w:sz w:val="18"/>
                <w:szCs w:val="18"/>
              </w:rPr>
              <w:t xml:space="preserve">  19 699</w:t>
            </w:r>
          </w:p>
        </w:tc>
        <w:tc>
          <w:tcPr>
            <w:tcW w:w="1558" w:type="dxa"/>
            <w:shd w:val="clear" w:color="auto" w:fill="auto"/>
          </w:tcPr>
          <w:p w14:paraId="12EAF52A" w14:textId="77777777" w:rsidR="00550391" w:rsidRPr="00F93BD2" w:rsidRDefault="00550391" w:rsidP="002C64AC">
            <w:pPr>
              <w:spacing w:before="40" w:line="240" w:lineRule="auto"/>
              <w:ind w:right="65"/>
              <w:jc w:val="right"/>
              <w:rPr>
                <w:sz w:val="18"/>
                <w:szCs w:val="18"/>
              </w:rPr>
            </w:pPr>
            <w:r w:rsidRPr="00F93BD2">
              <w:rPr>
                <w:sz w:val="18"/>
                <w:szCs w:val="18"/>
              </w:rPr>
              <w:t xml:space="preserve">  10 237</w:t>
            </w:r>
          </w:p>
        </w:tc>
        <w:tc>
          <w:tcPr>
            <w:tcW w:w="1559" w:type="dxa"/>
            <w:shd w:val="clear" w:color="auto" w:fill="auto"/>
          </w:tcPr>
          <w:p w14:paraId="5ACBFB29" w14:textId="77777777" w:rsidR="00550391" w:rsidRPr="00F93BD2" w:rsidRDefault="00550391" w:rsidP="002C64AC">
            <w:pPr>
              <w:spacing w:before="40" w:line="240" w:lineRule="auto"/>
              <w:ind w:right="65"/>
              <w:jc w:val="right"/>
              <w:rPr>
                <w:sz w:val="18"/>
                <w:szCs w:val="18"/>
              </w:rPr>
            </w:pPr>
            <w:r w:rsidRPr="00F93BD2">
              <w:rPr>
                <w:sz w:val="18"/>
                <w:szCs w:val="18"/>
              </w:rPr>
              <w:t xml:space="preserve">  10 237</w:t>
            </w:r>
          </w:p>
        </w:tc>
      </w:tr>
      <w:tr w:rsidR="00C81DAB" w:rsidRPr="00F93BD2" w14:paraId="0CF74F5D" w14:textId="77777777" w:rsidTr="002E548E">
        <w:tc>
          <w:tcPr>
            <w:tcW w:w="2268" w:type="dxa"/>
            <w:shd w:val="clear" w:color="auto" w:fill="auto"/>
            <w:vAlign w:val="center"/>
          </w:tcPr>
          <w:p w14:paraId="6E4AE826" w14:textId="77777777" w:rsidR="00550391" w:rsidRPr="00F93BD2" w:rsidRDefault="00550391" w:rsidP="002C64AC">
            <w:pPr>
              <w:spacing w:before="40" w:line="240" w:lineRule="auto"/>
              <w:ind w:right="113"/>
            </w:pPr>
            <w:r w:rsidRPr="00F93BD2">
              <w:rPr>
                <w:color w:val="000000"/>
                <w:sz w:val="18"/>
                <w:szCs w:val="18"/>
              </w:rPr>
              <w:t>Ireland</w:t>
            </w:r>
          </w:p>
        </w:tc>
        <w:tc>
          <w:tcPr>
            <w:tcW w:w="1134" w:type="dxa"/>
            <w:shd w:val="clear" w:color="auto" w:fill="auto"/>
          </w:tcPr>
          <w:p w14:paraId="4AB8FDE7" w14:textId="77777777" w:rsidR="00550391" w:rsidRPr="00F93BD2" w:rsidRDefault="00550391" w:rsidP="002C64AC">
            <w:pPr>
              <w:spacing w:before="40" w:line="240" w:lineRule="auto"/>
              <w:ind w:right="65"/>
              <w:jc w:val="right"/>
              <w:rPr>
                <w:sz w:val="18"/>
                <w:szCs w:val="18"/>
              </w:rPr>
            </w:pPr>
            <w:r w:rsidRPr="00F93BD2">
              <w:rPr>
                <w:sz w:val="18"/>
                <w:szCs w:val="18"/>
              </w:rPr>
              <w:t>0.797</w:t>
            </w:r>
          </w:p>
        </w:tc>
        <w:tc>
          <w:tcPr>
            <w:tcW w:w="1552" w:type="dxa"/>
            <w:shd w:val="clear" w:color="auto" w:fill="auto"/>
          </w:tcPr>
          <w:p w14:paraId="35F169C0" w14:textId="77777777" w:rsidR="00550391" w:rsidRPr="00F93BD2" w:rsidRDefault="00550391" w:rsidP="002C64AC">
            <w:pPr>
              <w:spacing w:before="40" w:line="240" w:lineRule="auto"/>
              <w:ind w:right="65"/>
              <w:jc w:val="right"/>
              <w:rPr>
                <w:sz w:val="18"/>
                <w:szCs w:val="18"/>
              </w:rPr>
            </w:pPr>
            <w:r w:rsidRPr="00F93BD2">
              <w:rPr>
                <w:sz w:val="18"/>
                <w:szCs w:val="18"/>
              </w:rPr>
              <w:t xml:space="preserve">  21 313</w:t>
            </w:r>
          </w:p>
        </w:tc>
        <w:tc>
          <w:tcPr>
            <w:tcW w:w="1566" w:type="dxa"/>
            <w:shd w:val="clear" w:color="auto" w:fill="auto"/>
          </w:tcPr>
          <w:p w14:paraId="0972B4A2" w14:textId="77777777" w:rsidR="00550391" w:rsidRPr="00F93BD2" w:rsidRDefault="00550391" w:rsidP="002C64AC">
            <w:pPr>
              <w:spacing w:before="40" w:line="240" w:lineRule="auto"/>
              <w:ind w:right="65"/>
              <w:jc w:val="right"/>
              <w:rPr>
                <w:sz w:val="18"/>
                <w:szCs w:val="18"/>
              </w:rPr>
            </w:pPr>
            <w:r w:rsidRPr="00F93BD2">
              <w:rPr>
                <w:sz w:val="18"/>
                <w:szCs w:val="18"/>
              </w:rPr>
              <w:t xml:space="preserve">  21 313</w:t>
            </w:r>
          </w:p>
        </w:tc>
        <w:tc>
          <w:tcPr>
            <w:tcW w:w="1558" w:type="dxa"/>
            <w:shd w:val="clear" w:color="auto" w:fill="auto"/>
          </w:tcPr>
          <w:p w14:paraId="10886214" w14:textId="77777777" w:rsidR="00550391" w:rsidRPr="00F93BD2" w:rsidRDefault="00550391" w:rsidP="002C64AC">
            <w:pPr>
              <w:spacing w:before="40" w:line="240" w:lineRule="auto"/>
              <w:ind w:right="65"/>
              <w:jc w:val="right"/>
              <w:rPr>
                <w:sz w:val="18"/>
                <w:szCs w:val="18"/>
              </w:rPr>
            </w:pPr>
            <w:r w:rsidRPr="00F93BD2">
              <w:rPr>
                <w:sz w:val="18"/>
                <w:szCs w:val="18"/>
              </w:rPr>
              <w:t xml:space="preserve">  11 075</w:t>
            </w:r>
          </w:p>
        </w:tc>
        <w:tc>
          <w:tcPr>
            <w:tcW w:w="1559" w:type="dxa"/>
            <w:shd w:val="clear" w:color="auto" w:fill="auto"/>
          </w:tcPr>
          <w:p w14:paraId="5B2747B8" w14:textId="77777777" w:rsidR="00550391" w:rsidRPr="00F93BD2" w:rsidRDefault="00550391" w:rsidP="002C64AC">
            <w:pPr>
              <w:spacing w:before="40" w:line="240" w:lineRule="auto"/>
              <w:ind w:right="65"/>
              <w:jc w:val="right"/>
              <w:rPr>
                <w:sz w:val="18"/>
                <w:szCs w:val="18"/>
              </w:rPr>
            </w:pPr>
            <w:r w:rsidRPr="00F93BD2">
              <w:rPr>
                <w:sz w:val="18"/>
                <w:szCs w:val="18"/>
              </w:rPr>
              <w:t xml:space="preserve">  11 075</w:t>
            </w:r>
          </w:p>
        </w:tc>
      </w:tr>
      <w:tr w:rsidR="00C81DAB" w:rsidRPr="00F93BD2" w14:paraId="3A403376" w14:textId="77777777" w:rsidTr="002E548E">
        <w:tc>
          <w:tcPr>
            <w:tcW w:w="2268" w:type="dxa"/>
            <w:shd w:val="clear" w:color="auto" w:fill="auto"/>
            <w:vAlign w:val="center"/>
          </w:tcPr>
          <w:p w14:paraId="06AC5D62" w14:textId="77777777" w:rsidR="00550391" w:rsidRPr="00F93BD2" w:rsidRDefault="00550391" w:rsidP="002C64AC">
            <w:pPr>
              <w:spacing w:before="40" w:line="240" w:lineRule="auto"/>
              <w:ind w:right="113"/>
            </w:pPr>
            <w:r w:rsidRPr="00F93BD2">
              <w:rPr>
                <w:color w:val="000000"/>
                <w:sz w:val="18"/>
                <w:szCs w:val="18"/>
              </w:rPr>
              <w:t>Italy</w:t>
            </w:r>
          </w:p>
        </w:tc>
        <w:tc>
          <w:tcPr>
            <w:tcW w:w="1134" w:type="dxa"/>
            <w:shd w:val="clear" w:color="auto" w:fill="auto"/>
          </w:tcPr>
          <w:p w14:paraId="1D872DBA" w14:textId="77777777" w:rsidR="00550391" w:rsidRPr="00F93BD2" w:rsidRDefault="00550391" w:rsidP="002C64AC">
            <w:pPr>
              <w:spacing w:before="40" w:line="240" w:lineRule="auto"/>
              <w:ind w:right="65"/>
              <w:jc w:val="right"/>
              <w:rPr>
                <w:sz w:val="18"/>
                <w:szCs w:val="18"/>
              </w:rPr>
            </w:pPr>
            <w:r w:rsidRPr="00F93BD2">
              <w:rPr>
                <w:sz w:val="18"/>
                <w:szCs w:val="18"/>
              </w:rPr>
              <w:t>9.090</w:t>
            </w:r>
          </w:p>
        </w:tc>
        <w:tc>
          <w:tcPr>
            <w:tcW w:w="1552" w:type="dxa"/>
            <w:shd w:val="clear" w:color="auto" w:fill="auto"/>
          </w:tcPr>
          <w:p w14:paraId="65F20A17" w14:textId="77777777" w:rsidR="00550391" w:rsidRPr="00F93BD2" w:rsidRDefault="00550391" w:rsidP="002C64AC">
            <w:pPr>
              <w:spacing w:before="40" w:line="240" w:lineRule="auto"/>
              <w:ind w:right="65"/>
              <w:jc w:val="right"/>
              <w:rPr>
                <w:sz w:val="18"/>
                <w:szCs w:val="18"/>
              </w:rPr>
            </w:pPr>
            <w:r w:rsidRPr="00F93BD2">
              <w:rPr>
                <w:sz w:val="18"/>
                <w:szCs w:val="18"/>
              </w:rPr>
              <w:t xml:space="preserve">  242 999</w:t>
            </w:r>
          </w:p>
        </w:tc>
        <w:tc>
          <w:tcPr>
            <w:tcW w:w="1566" w:type="dxa"/>
            <w:shd w:val="clear" w:color="auto" w:fill="auto"/>
          </w:tcPr>
          <w:p w14:paraId="117A062D" w14:textId="77777777" w:rsidR="00550391" w:rsidRPr="00F93BD2" w:rsidRDefault="00550391" w:rsidP="002C64AC">
            <w:pPr>
              <w:spacing w:before="40" w:line="240" w:lineRule="auto"/>
              <w:ind w:right="65"/>
              <w:jc w:val="right"/>
              <w:rPr>
                <w:sz w:val="18"/>
                <w:szCs w:val="18"/>
              </w:rPr>
            </w:pPr>
            <w:r w:rsidRPr="00F93BD2">
              <w:rPr>
                <w:sz w:val="18"/>
                <w:szCs w:val="18"/>
              </w:rPr>
              <w:t xml:space="preserve">  242 999</w:t>
            </w:r>
          </w:p>
        </w:tc>
        <w:tc>
          <w:tcPr>
            <w:tcW w:w="1558" w:type="dxa"/>
            <w:shd w:val="clear" w:color="auto" w:fill="auto"/>
          </w:tcPr>
          <w:p w14:paraId="114B9C74" w14:textId="77777777" w:rsidR="00550391" w:rsidRPr="00F93BD2" w:rsidRDefault="00550391" w:rsidP="002C64AC">
            <w:pPr>
              <w:spacing w:before="40" w:line="240" w:lineRule="auto"/>
              <w:ind w:right="65"/>
              <w:jc w:val="right"/>
              <w:rPr>
                <w:sz w:val="18"/>
                <w:szCs w:val="18"/>
              </w:rPr>
            </w:pPr>
            <w:r w:rsidRPr="00F93BD2">
              <w:rPr>
                <w:sz w:val="18"/>
                <w:szCs w:val="18"/>
              </w:rPr>
              <w:t xml:space="preserve">  126 274</w:t>
            </w:r>
          </w:p>
        </w:tc>
        <w:tc>
          <w:tcPr>
            <w:tcW w:w="1559" w:type="dxa"/>
            <w:shd w:val="clear" w:color="auto" w:fill="auto"/>
          </w:tcPr>
          <w:p w14:paraId="1CBDD925" w14:textId="77777777" w:rsidR="00550391" w:rsidRPr="00F93BD2" w:rsidRDefault="00550391" w:rsidP="002C64AC">
            <w:pPr>
              <w:spacing w:before="40" w:line="240" w:lineRule="auto"/>
              <w:ind w:right="65"/>
              <w:jc w:val="right"/>
              <w:rPr>
                <w:sz w:val="18"/>
                <w:szCs w:val="18"/>
              </w:rPr>
            </w:pPr>
            <w:r w:rsidRPr="00F93BD2">
              <w:rPr>
                <w:sz w:val="18"/>
                <w:szCs w:val="18"/>
              </w:rPr>
              <w:t xml:space="preserve">  126 274</w:t>
            </w:r>
          </w:p>
        </w:tc>
      </w:tr>
      <w:tr w:rsidR="00C81DAB" w:rsidRPr="00F93BD2" w14:paraId="709EB54F" w14:textId="77777777" w:rsidTr="002E548E">
        <w:tc>
          <w:tcPr>
            <w:tcW w:w="2268" w:type="dxa"/>
            <w:shd w:val="clear" w:color="auto" w:fill="auto"/>
            <w:vAlign w:val="center"/>
          </w:tcPr>
          <w:p w14:paraId="4C031999" w14:textId="77777777" w:rsidR="00550391" w:rsidRPr="00F93BD2" w:rsidRDefault="00550391" w:rsidP="002C64AC">
            <w:pPr>
              <w:spacing w:before="40" w:line="240" w:lineRule="auto"/>
              <w:ind w:right="113"/>
            </w:pPr>
            <w:r w:rsidRPr="00F93BD2">
              <w:rPr>
                <w:color w:val="000000"/>
                <w:sz w:val="18"/>
                <w:szCs w:val="18"/>
              </w:rPr>
              <w:t>Japan</w:t>
            </w:r>
          </w:p>
        </w:tc>
        <w:tc>
          <w:tcPr>
            <w:tcW w:w="1134" w:type="dxa"/>
            <w:shd w:val="clear" w:color="auto" w:fill="auto"/>
          </w:tcPr>
          <w:p w14:paraId="2DF9D35B" w14:textId="77777777" w:rsidR="00550391" w:rsidRPr="00F93BD2" w:rsidRDefault="00550391" w:rsidP="002C64AC">
            <w:pPr>
              <w:spacing w:before="40" w:line="240" w:lineRule="auto"/>
              <w:ind w:right="65"/>
              <w:jc w:val="right"/>
              <w:rPr>
                <w:sz w:val="18"/>
                <w:szCs w:val="18"/>
              </w:rPr>
            </w:pPr>
            <w:r w:rsidRPr="00F93BD2">
              <w:rPr>
                <w:sz w:val="18"/>
                <w:szCs w:val="18"/>
              </w:rPr>
              <w:t>14.939</w:t>
            </w:r>
          </w:p>
        </w:tc>
        <w:tc>
          <w:tcPr>
            <w:tcW w:w="1552" w:type="dxa"/>
            <w:shd w:val="clear" w:color="auto" w:fill="auto"/>
          </w:tcPr>
          <w:p w14:paraId="642E1C8E" w14:textId="77777777" w:rsidR="00550391" w:rsidRPr="00F93BD2" w:rsidRDefault="00550391" w:rsidP="002C64AC">
            <w:pPr>
              <w:spacing w:before="40" w:line="240" w:lineRule="auto"/>
              <w:ind w:right="65"/>
              <w:jc w:val="right"/>
              <w:rPr>
                <w:sz w:val="18"/>
                <w:szCs w:val="18"/>
              </w:rPr>
            </w:pPr>
            <w:r w:rsidRPr="00F93BD2">
              <w:rPr>
                <w:sz w:val="18"/>
                <w:szCs w:val="18"/>
              </w:rPr>
              <w:t xml:space="preserve">  399 369</w:t>
            </w:r>
          </w:p>
        </w:tc>
        <w:tc>
          <w:tcPr>
            <w:tcW w:w="1566" w:type="dxa"/>
            <w:shd w:val="clear" w:color="auto" w:fill="auto"/>
          </w:tcPr>
          <w:p w14:paraId="580A4CE6" w14:textId="77777777" w:rsidR="00550391" w:rsidRPr="00F93BD2" w:rsidRDefault="00550391" w:rsidP="002C64AC">
            <w:pPr>
              <w:spacing w:before="40" w:line="240" w:lineRule="auto"/>
              <w:ind w:right="65"/>
              <w:jc w:val="right"/>
              <w:rPr>
                <w:sz w:val="18"/>
                <w:szCs w:val="18"/>
              </w:rPr>
            </w:pPr>
            <w:r w:rsidRPr="00F93BD2">
              <w:rPr>
                <w:sz w:val="18"/>
                <w:szCs w:val="18"/>
              </w:rPr>
              <w:t xml:space="preserve">  399 369</w:t>
            </w:r>
          </w:p>
        </w:tc>
        <w:tc>
          <w:tcPr>
            <w:tcW w:w="1558" w:type="dxa"/>
            <w:shd w:val="clear" w:color="auto" w:fill="auto"/>
          </w:tcPr>
          <w:p w14:paraId="1E35012D" w14:textId="77777777" w:rsidR="00550391" w:rsidRPr="00F93BD2" w:rsidRDefault="00550391" w:rsidP="002C64AC">
            <w:pPr>
              <w:spacing w:before="40" w:line="240" w:lineRule="auto"/>
              <w:ind w:right="65"/>
              <w:jc w:val="right"/>
              <w:rPr>
                <w:sz w:val="18"/>
                <w:szCs w:val="18"/>
              </w:rPr>
            </w:pPr>
            <w:r w:rsidRPr="00F93BD2">
              <w:rPr>
                <w:sz w:val="18"/>
                <w:szCs w:val="18"/>
              </w:rPr>
              <w:t xml:space="preserve">  207 531</w:t>
            </w:r>
          </w:p>
        </w:tc>
        <w:tc>
          <w:tcPr>
            <w:tcW w:w="1559" w:type="dxa"/>
            <w:shd w:val="clear" w:color="auto" w:fill="auto"/>
          </w:tcPr>
          <w:p w14:paraId="727AEB38" w14:textId="77777777" w:rsidR="00550391" w:rsidRPr="00F93BD2" w:rsidRDefault="00550391" w:rsidP="002C64AC">
            <w:pPr>
              <w:spacing w:before="40" w:line="240" w:lineRule="auto"/>
              <w:ind w:right="65"/>
              <w:jc w:val="right"/>
              <w:rPr>
                <w:sz w:val="18"/>
                <w:szCs w:val="18"/>
              </w:rPr>
            </w:pPr>
            <w:r w:rsidRPr="00F93BD2">
              <w:rPr>
                <w:sz w:val="18"/>
                <w:szCs w:val="18"/>
              </w:rPr>
              <w:t xml:space="preserve">  207 531</w:t>
            </w:r>
          </w:p>
        </w:tc>
      </w:tr>
      <w:tr w:rsidR="00C81DAB" w:rsidRPr="00F93BD2" w14:paraId="552717A3" w14:textId="77777777" w:rsidTr="002E548E">
        <w:tc>
          <w:tcPr>
            <w:tcW w:w="2268" w:type="dxa"/>
            <w:shd w:val="clear" w:color="auto" w:fill="auto"/>
            <w:vAlign w:val="center"/>
          </w:tcPr>
          <w:p w14:paraId="139E7C2E" w14:textId="77777777" w:rsidR="00550391" w:rsidRPr="00F93BD2" w:rsidRDefault="00550391" w:rsidP="002C64AC">
            <w:pPr>
              <w:spacing w:before="40" w:line="240" w:lineRule="auto"/>
              <w:ind w:right="113"/>
            </w:pPr>
            <w:r w:rsidRPr="00F93BD2">
              <w:rPr>
                <w:color w:val="000000"/>
                <w:sz w:val="18"/>
                <w:szCs w:val="18"/>
              </w:rPr>
              <w:t>Kazakhstan</w:t>
            </w:r>
            <w:r w:rsidRPr="00F93BD2">
              <w:rPr>
                <w:bCs/>
                <w:i/>
                <w:sz w:val="18"/>
                <w:szCs w:val="18"/>
                <w:vertAlign w:val="superscript"/>
              </w:rPr>
              <w:t>a</w:t>
            </w:r>
          </w:p>
        </w:tc>
        <w:tc>
          <w:tcPr>
            <w:tcW w:w="1134" w:type="dxa"/>
            <w:shd w:val="clear" w:color="auto" w:fill="auto"/>
          </w:tcPr>
          <w:p w14:paraId="420EBA84" w14:textId="77777777" w:rsidR="00550391" w:rsidRPr="00F93BD2" w:rsidRDefault="00550391" w:rsidP="002C64AC">
            <w:pPr>
              <w:spacing w:before="40" w:line="240" w:lineRule="auto"/>
              <w:ind w:right="65"/>
              <w:jc w:val="right"/>
              <w:rPr>
                <w:sz w:val="18"/>
                <w:szCs w:val="18"/>
              </w:rPr>
            </w:pPr>
            <w:r w:rsidRPr="00F93BD2">
              <w:rPr>
                <w:sz w:val="18"/>
                <w:szCs w:val="18"/>
              </w:rPr>
              <w:t>0.157</w:t>
            </w:r>
          </w:p>
        </w:tc>
        <w:tc>
          <w:tcPr>
            <w:tcW w:w="1552" w:type="dxa"/>
            <w:shd w:val="clear" w:color="auto" w:fill="auto"/>
          </w:tcPr>
          <w:p w14:paraId="4A163092" w14:textId="77777777" w:rsidR="00550391" w:rsidRPr="00F93BD2" w:rsidRDefault="00550391" w:rsidP="002C64AC">
            <w:pPr>
              <w:spacing w:before="40" w:line="240" w:lineRule="auto"/>
              <w:ind w:right="65"/>
              <w:jc w:val="right"/>
              <w:rPr>
                <w:sz w:val="18"/>
                <w:szCs w:val="18"/>
              </w:rPr>
            </w:pPr>
            <w:r w:rsidRPr="00F93BD2">
              <w:rPr>
                <w:sz w:val="18"/>
                <w:szCs w:val="18"/>
              </w:rPr>
              <w:t xml:space="preserve">-   </w:t>
            </w:r>
          </w:p>
        </w:tc>
        <w:tc>
          <w:tcPr>
            <w:tcW w:w="1566" w:type="dxa"/>
            <w:shd w:val="clear" w:color="auto" w:fill="auto"/>
          </w:tcPr>
          <w:p w14:paraId="505229FA" w14:textId="77777777" w:rsidR="00550391" w:rsidRPr="00F93BD2" w:rsidRDefault="00550391" w:rsidP="002C64AC">
            <w:pPr>
              <w:spacing w:before="40" w:line="240" w:lineRule="auto"/>
              <w:ind w:right="65"/>
              <w:jc w:val="right"/>
              <w:rPr>
                <w:sz w:val="18"/>
                <w:szCs w:val="18"/>
              </w:rPr>
            </w:pPr>
            <w:r w:rsidRPr="00F93BD2">
              <w:rPr>
                <w:sz w:val="18"/>
                <w:szCs w:val="18"/>
              </w:rPr>
              <w:t>-</w:t>
            </w:r>
          </w:p>
        </w:tc>
        <w:tc>
          <w:tcPr>
            <w:tcW w:w="1558" w:type="dxa"/>
            <w:shd w:val="clear" w:color="auto" w:fill="auto"/>
          </w:tcPr>
          <w:p w14:paraId="7B214CF5" w14:textId="77777777" w:rsidR="00550391" w:rsidRPr="00F93BD2" w:rsidRDefault="00550391" w:rsidP="002C64AC">
            <w:pPr>
              <w:spacing w:before="40" w:line="240" w:lineRule="auto"/>
              <w:ind w:right="65"/>
              <w:jc w:val="right"/>
              <w:rPr>
                <w:sz w:val="18"/>
                <w:szCs w:val="18"/>
              </w:rPr>
            </w:pPr>
            <w:r w:rsidRPr="00F93BD2">
              <w:rPr>
                <w:sz w:val="18"/>
                <w:szCs w:val="18"/>
              </w:rPr>
              <w:t>-</w:t>
            </w:r>
          </w:p>
        </w:tc>
        <w:tc>
          <w:tcPr>
            <w:tcW w:w="1559" w:type="dxa"/>
            <w:shd w:val="clear" w:color="auto" w:fill="auto"/>
          </w:tcPr>
          <w:p w14:paraId="47925DD9" w14:textId="77777777" w:rsidR="00550391" w:rsidRPr="00F93BD2" w:rsidRDefault="00550391" w:rsidP="002C64AC">
            <w:pPr>
              <w:spacing w:before="40" w:line="240" w:lineRule="auto"/>
              <w:ind w:right="65"/>
              <w:jc w:val="right"/>
              <w:rPr>
                <w:sz w:val="18"/>
                <w:szCs w:val="18"/>
              </w:rPr>
            </w:pPr>
            <w:r w:rsidRPr="00F93BD2">
              <w:rPr>
                <w:sz w:val="18"/>
                <w:szCs w:val="18"/>
              </w:rPr>
              <w:t>-</w:t>
            </w:r>
          </w:p>
        </w:tc>
      </w:tr>
      <w:tr w:rsidR="00C81DAB" w:rsidRPr="00F93BD2" w14:paraId="0E49F4F9" w14:textId="77777777" w:rsidTr="002E548E">
        <w:tc>
          <w:tcPr>
            <w:tcW w:w="2268" w:type="dxa"/>
            <w:shd w:val="clear" w:color="auto" w:fill="auto"/>
            <w:vAlign w:val="center"/>
          </w:tcPr>
          <w:p w14:paraId="57C29ED5" w14:textId="77777777" w:rsidR="00550391" w:rsidRPr="00F93BD2" w:rsidRDefault="00550391" w:rsidP="002C64AC">
            <w:pPr>
              <w:spacing w:before="40" w:line="240" w:lineRule="auto"/>
              <w:ind w:right="113"/>
            </w:pPr>
            <w:r w:rsidRPr="00F93BD2">
              <w:rPr>
                <w:color w:val="000000"/>
                <w:sz w:val="18"/>
                <w:szCs w:val="18"/>
              </w:rPr>
              <w:t>Latvia</w:t>
            </w:r>
          </w:p>
        </w:tc>
        <w:tc>
          <w:tcPr>
            <w:tcW w:w="1134" w:type="dxa"/>
            <w:shd w:val="clear" w:color="auto" w:fill="auto"/>
          </w:tcPr>
          <w:p w14:paraId="60542A51" w14:textId="77777777" w:rsidR="00550391" w:rsidRPr="00F93BD2" w:rsidRDefault="00550391" w:rsidP="002C64AC">
            <w:pPr>
              <w:spacing w:before="40" w:line="240" w:lineRule="auto"/>
              <w:ind w:right="65"/>
              <w:jc w:val="right"/>
              <w:rPr>
                <w:sz w:val="18"/>
                <w:szCs w:val="18"/>
              </w:rPr>
            </w:pPr>
            <w:r w:rsidRPr="00F93BD2">
              <w:rPr>
                <w:sz w:val="18"/>
                <w:szCs w:val="18"/>
              </w:rPr>
              <w:t>0.032</w:t>
            </w:r>
          </w:p>
        </w:tc>
        <w:tc>
          <w:tcPr>
            <w:tcW w:w="1552" w:type="dxa"/>
            <w:shd w:val="clear" w:color="auto" w:fill="auto"/>
          </w:tcPr>
          <w:p w14:paraId="17E85692" w14:textId="77777777" w:rsidR="00550391" w:rsidRPr="00F93BD2" w:rsidRDefault="00550391" w:rsidP="002C64AC">
            <w:pPr>
              <w:spacing w:before="40" w:line="240" w:lineRule="auto"/>
              <w:ind w:right="65"/>
              <w:jc w:val="right"/>
              <w:rPr>
                <w:sz w:val="18"/>
                <w:szCs w:val="18"/>
              </w:rPr>
            </w:pPr>
            <w:r w:rsidRPr="00F93BD2">
              <w:rPr>
                <w:sz w:val="18"/>
                <w:szCs w:val="18"/>
              </w:rPr>
              <w:t xml:space="preserve">   859</w:t>
            </w:r>
          </w:p>
        </w:tc>
        <w:tc>
          <w:tcPr>
            <w:tcW w:w="1566" w:type="dxa"/>
            <w:shd w:val="clear" w:color="auto" w:fill="auto"/>
          </w:tcPr>
          <w:p w14:paraId="474DDD28" w14:textId="77777777" w:rsidR="00550391" w:rsidRPr="00F93BD2" w:rsidRDefault="00550391" w:rsidP="002C64AC">
            <w:pPr>
              <w:spacing w:before="40" w:line="240" w:lineRule="auto"/>
              <w:ind w:right="65"/>
              <w:jc w:val="right"/>
              <w:rPr>
                <w:sz w:val="18"/>
                <w:szCs w:val="18"/>
              </w:rPr>
            </w:pPr>
            <w:r w:rsidRPr="00F93BD2">
              <w:rPr>
                <w:sz w:val="18"/>
                <w:szCs w:val="18"/>
              </w:rPr>
              <w:t xml:space="preserve">   859</w:t>
            </w:r>
          </w:p>
        </w:tc>
        <w:tc>
          <w:tcPr>
            <w:tcW w:w="1558" w:type="dxa"/>
            <w:shd w:val="clear" w:color="auto" w:fill="auto"/>
          </w:tcPr>
          <w:p w14:paraId="112A1144" w14:textId="77777777" w:rsidR="00550391" w:rsidRPr="00F93BD2" w:rsidRDefault="00550391" w:rsidP="002C64AC">
            <w:pPr>
              <w:spacing w:before="40" w:line="240" w:lineRule="auto"/>
              <w:ind w:right="65"/>
              <w:jc w:val="right"/>
              <w:rPr>
                <w:sz w:val="18"/>
                <w:szCs w:val="18"/>
              </w:rPr>
            </w:pPr>
            <w:r w:rsidRPr="00F93BD2">
              <w:rPr>
                <w:sz w:val="18"/>
                <w:szCs w:val="18"/>
              </w:rPr>
              <w:t xml:space="preserve">   446</w:t>
            </w:r>
          </w:p>
        </w:tc>
        <w:tc>
          <w:tcPr>
            <w:tcW w:w="1559" w:type="dxa"/>
            <w:shd w:val="clear" w:color="auto" w:fill="auto"/>
          </w:tcPr>
          <w:p w14:paraId="15E506FE" w14:textId="77777777" w:rsidR="00550391" w:rsidRPr="00F93BD2" w:rsidRDefault="00550391" w:rsidP="002C64AC">
            <w:pPr>
              <w:spacing w:before="40" w:line="240" w:lineRule="auto"/>
              <w:ind w:right="65"/>
              <w:jc w:val="right"/>
              <w:rPr>
                <w:sz w:val="18"/>
                <w:szCs w:val="18"/>
              </w:rPr>
            </w:pPr>
            <w:r w:rsidRPr="00F93BD2">
              <w:rPr>
                <w:sz w:val="18"/>
                <w:szCs w:val="18"/>
              </w:rPr>
              <w:t xml:space="preserve">   446</w:t>
            </w:r>
          </w:p>
        </w:tc>
      </w:tr>
      <w:tr w:rsidR="00C81DAB" w:rsidRPr="00F93BD2" w14:paraId="133D4DDA" w14:textId="77777777" w:rsidTr="002E548E">
        <w:tc>
          <w:tcPr>
            <w:tcW w:w="2268" w:type="dxa"/>
            <w:shd w:val="clear" w:color="auto" w:fill="auto"/>
            <w:vAlign w:val="center"/>
          </w:tcPr>
          <w:p w14:paraId="4647BEDC" w14:textId="77777777" w:rsidR="00550391" w:rsidRPr="00F93BD2" w:rsidRDefault="00550391" w:rsidP="002C64AC">
            <w:pPr>
              <w:spacing w:before="40" w:line="240" w:lineRule="auto"/>
              <w:ind w:right="113"/>
            </w:pPr>
            <w:r w:rsidRPr="00F93BD2">
              <w:rPr>
                <w:color w:val="000000"/>
                <w:sz w:val="18"/>
                <w:szCs w:val="18"/>
              </w:rPr>
              <w:t>Liechtenstein</w:t>
            </w:r>
          </w:p>
        </w:tc>
        <w:tc>
          <w:tcPr>
            <w:tcW w:w="1134" w:type="dxa"/>
            <w:shd w:val="clear" w:color="auto" w:fill="auto"/>
          </w:tcPr>
          <w:p w14:paraId="4971E5EC" w14:textId="77777777" w:rsidR="00550391" w:rsidRPr="00F93BD2" w:rsidRDefault="00550391" w:rsidP="002C64AC">
            <w:pPr>
              <w:spacing w:before="40" w:line="240" w:lineRule="auto"/>
              <w:ind w:right="65"/>
              <w:jc w:val="right"/>
              <w:rPr>
                <w:sz w:val="18"/>
                <w:szCs w:val="18"/>
              </w:rPr>
            </w:pPr>
            <w:r w:rsidRPr="00F93BD2">
              <w:rPr>
                <w:sz w:val="18"/>
                <w:szCs w:val="18"/>
              </w:rPr>
              <w:t>0.188</w:t>
            </w:r>
          </w:p>
        </w:tc>
        <w:tc>
          <w:tcPr>
            <w:tcW w:w="1552" w:type="dxa"/>
            <w:shd w:val="clear" w:color="auto" w:fill="auto"/>
          </w:tcPr>
          <w:p w14:paraId="318E6D12" w14:textId="77777777" w:rsidR="00550391" w:rsidRPr="00F93BD2" w:rsidRDefault="00550391" w:rsidP="002C64AC">
            <w:pPr>
              <w:spacing w:before="40" w:line="240" w:lineRule="auto"/>
              <w:ind w:right="65"/>
              <w:jc w:val="right"/>
              <w:rPr>
                <w:sz w:val="18"/>
                <w:szCs w:val="18"/>
              </w:rPr>
            </w:pPr>
            <w:r w:rsidRPr="00F93BD2">
              <w:rPr>
                <w:sz w:val="18"/>
                <w:szCs w:val="18"/>
              </w:rPr>
              <w:t xml:space="preserve">  5 022</w:t>
            </w:r>
          </w:p>
        </w:tc>
        <w:tc>
          <w:tcPr>
            <w:tcW w:w="1566" w:type="dxa"/>
            <w:shd w:val="clear" w:color="auto" w:fill="auto"/>
          </w:tcPr>
          <w:p w14:paraId="3FFB1951" w14:textId="77777777" w:rsidR="00550391" w:rsidRPr="00F93BD2" w:rsidRDefault="00550391" w:rsidP="002C64AC">
            <w:pPr>
              <w:spacing w:before="40" w:line="240" w:lineRule="auto"/>
              <w:ind w:right="65"/>
              <w:jc w:val="right"/>
              <w:rPr>
                <w:sz w:val="18"/>
                <w:szCs w:val="18"/>
              </w:rPr>
            </w:pPr>
            <w:r w:rsidRPr="00F93BD2">
              <w:rPr>
                <w:sz w:val="18"/>
                <w:szCs w:val="18"/>
              </w:rPr>
              <w:t xml:space="preserve">  5 022</w:t>
            </w:r>
          </w:p>
        </w:tc>
        <w:tc>
          <w:tcPr>
            <w:tcW w:w="1558" w:type="dxa"/>
            <w:shd w:val="clear" w:color="auto" w:fill="auto"/>
          </w:tcPr>
          <w:p w14:paraId="1F0700BC" w14:textId="77777777" w:rsidR="00550391" w:rsidRPr="00F93BD2" w:rsidRDefault="00550391" w:rsidP="002C64AC">
            <w:pPr>
              <w:spacing w:before="40" w:line="240" w:lineRule="auto"/>
              <w:ind w:right="65"/>
              <w:jc w:val="right"/>
              <w:rPr>
                <w:sz w:val="18"/>
                <w:szCs w:val="18"/>
              </w:rPr>
            </w:pPr>
            <w:r w:rsidRPr="00F93BD2">
              <w:rPr>
                <w:sz w:val="18"/>
                <w:szCs w:val="18"/>
              </w:rPr>
              <w:t xml:space="preserve">  2 610</w:t>
            </w:r>
          </w:p>
        </w:tc>
        <w:tc>
          <w:tcPr>
            <w:tcW w:w="1559" w:type="dxa"/>
            <w:shd w:val="clear" w:color="auto" w:fill="auto"/>
          </w:tcPr>
          <w:p w14:paraId="6AB3EAA3" w14:textId="77777777" w:rsidR="00550391" w:rsidRPr="00F93BD2" w:rsidRDefault="00550391" w:rsidP="002C64AC">
            <w:pPr>
              <w:spacing w:before="40" w:line="240" w:lineRule="auto"/>
              <w:ind w:right="65"/>
              <w:jc w:val="right"/>
              <w:rPr>
                <w:sz w:val="18"/>
                <w:szCs w:val="18"/>
              </w:rPr>
            </w:pPr>
            <w:r w:rsidRPr="00F93BD2">
              <w:rPr>
                <w:sz w:val="18"/>
                <w:szCs w:val="18"/>
              </w:rPr>
              <w:t xml:space="preserve">  2 610</w:t>
            </w:r>
          </w:p>
        </w:tc>
      </w:tr>
      <w:tr w:rsidR="00C81DAB" w:rsidRPr="00F93BD2" w14:paraId="606DB8B5" w14:textId="77777777" w:rsidTr="002E548E">
        <w:tc>
          <w:tcPr>
            <w:tcW w:w="2268" w:type="dxa"/>
            <w:shd w:val="clear" w:color="auto" w:fill="auto"/>
            <w:vAlign w:val="center"/>
          </w:tcPr>
          <w:p w14:paraId="31E0677B" w14:textId="77777777" w:rsidR="00550391" w:rsidRPr="00F93BD2" w:rsidRDefault="00550391" w:rsidP="002C64AC">
            <w:pPr>
              <w:spacing w:before="40" w:line="240" w:lineRule="auto"/>
              <w:ind w:right="113"/>
            </w:pPr>
            <w:r w:rsidRPr="00F93BD2">
              <w:rPr>
                <w:color w:val="000000"/>
                <w:sz w:val="18"/>
                <w:szCs w:val="18"/>
              </w:rPr>
              <w:t>Lithuania</w:t>
            </w:r>
          </w:p>
        </w:tc>
        <w:tc>
          <w:tcPr>
            <w:tcW w:w="1134" w:type="dxa"/>
            <w:shd w:val="clear" w:color="auto" w:fill="auto"/>
          </w:tcPr>
          <w:p w14:paraId="08EEB7DF" w14:textId="77777777" w:rsidR="00550391" w:rsidRPr="00F93BD2" w:rsidRDefault="00550391" w:rsidP="002C64AC">
            <w:pPr>
              <w:spacing w:before="40" w:line="240" w:lineRule="auto"/>
              <w:ind w:right="65"/>
              <w:jc w:val="right"/>
              <w:rPr>
                <w:sz w:val="18"/>
                <w:szCs w:val="18"/>
              </w:rPr>
            </w:pPr>
            <w:r w:rsidRPr="00F93BD2">
              <w:rPr>
                <w:sz w:val="18"/>
                <w:szCs w:val="18"/>
              </w:rPr>
              <w:t>0.055</w:t>
            </w:r>
          </w:p>
        </w:tc>
        <w:tc>
          <w:tcPr>
            <w:tcW w:w="1552" w:type="dxa"/>
            <w:shd w:val="clear" w:color="auto" w:fill="auto"/>
          </w:tcPr>
          <w:p w14:paraId="4910A5DA" w14:textId="77777777" w:rsidR="00550391" w:rsidRPr="00F93BD2" w:rsidRDefault="00550391" w:rsidP="002C64AC">
            <w:pPr>
              <w:spacing w:before="40" w:line="240" w:lineRule="auto"/>
              <w:ind w:right="65"/>
              <w:jc w:val="right"/>
              <w:rPr>
                <w:sz w:val="18"/>
                <w:szCs w:val="18"/>
              </w:rPr>
            </w:pPr>
            <w:r w:rsidRPr="00F93BD2">
              <w:rPr>
                <w:sz w:val="18"/>
                <w:szCs w:val="18"/>
              </w:rPr>
              <w:t xml:space="preserve">  1 483</w:t>
            </w:r>
          </w:p>
        </w:tc>
        <w:tc>
          <w:tcPr>
            <w:tcW w:w="1566" w:type="dxa"/>
            <w:shd w:val="clear" w:color="auto" w:fill="auto"/>
          </w:tcPr>
          <w:p w14:paraId="1EB76CBF" w14:textId="77777777" w:rsidR="00550391" w:rsidRPr="00F93BD2" w:rsidRDefault="00550391" w:rsidP="002C64AC">
            <w:pPr>
              <w:spacing w:before="40" w:line="240" w:lineRule="auto"/>
              <w:ind w:right="65"/>
              <w:jc w:val="right"/>
              <w:rPr>
                <w:sz w:val="18"/>
                <w:szCs w:val="18"/>
              </w:rPr>
            </w:pPr>
            <w:r w:rsidRPr="00F93BD2">
              <w:rPr>
                <w:sz w:val="18"/>
                <w:szCs w:val="18"/>
              </w:rPr>
              <w:t xml:space="preserve">  1 483</w:t>
            </w:r>
          </w:p>
        </w:tc>
        <w:tc>
          <w:tcPr>
            <w:tcW w:w="1558" w:type="dxa"/>
            <w:shd w:val="clear" w:color="auto" w:fill="auto"/>
          </w:tcPr>
          <w:p w14:paraId="7DD398F9" w14:textId="77777777" w:rsidR="00550391" w:rsidRPr="00F93BD2" w:rsidRDefault="00550391" w:rsidP="002C64AC">
            <w:pPr>
              <w:spacing w:before="40" w:line="240" w:lineRule="auto"/>
              <w:ind w:right="65"/>
              <w:jc w:val="right"/>
              <w:rPr>
                <w:sz w:val="18"/>
                <w:szCs w:val="18"/>
              </w:rPr>
            </w:pPr>
            <w:r w:rsidRPr="00F93BD2">
              <w:rPr>
                <w:sz w:val="18"/>
                <w:szCs w:val="18"/>
              </w:rPr>
              <w:t xml:space="preserve">   771</w:t>
            </w:r>
          </w:p>
        </w:tc>
        <w:tc>
          <w:tcPr>
            <w:tcW w:w="1559" w:type="dxa"/>
            <w:shd w:val="clear" w:color="auto" w:fill="auto"/>
          </w:tcPr>
          <w:p w14:paraId="39A09480" w14:textId="77777777" w:rsidR="00550391" w:rsidRPr="00F93BD2" w:rsidRDefault="00550391" w:rsidP="002C64AC">
            <w:pPr>
              <w:spacing w:before="40" w:line="240" w:lineRule="auto"/>
              <w:ind w:right="65"/>
              <w:jc w:val="right"/>
              <w:rPr>
                <w:sz w:val="18"/>
                <w:szCs w:val="18"/>
              </w:rPr>
            </w:pPr>
            <w:r w:rsidRPr="00F93BD2">
              <w:rPr>
                <w:sz w:val="18"/>
                <w:szCs w:val="18"/>
              </w:rPr>
              <w:t xml:space="preserve">   771</w:t>
            </w:r>
          </w:p>
        </w:tc>
      </w:tr>
      <w:tr w:rsidR="00C81DAB" w:rsidRPr="00F93BD2" w14:paraId="7416A70E" w14:textId="77777777" w:rsidTr="002E548E">
        <w:tc>
          <w:tcPr>
            <w:tcW w:w="2268" w:type="dxa"/>
            <w:shd w:val="clear" w:color="auto" w:fill="auto"/>
            <w:vAlign w:val="center"/>
          </w:tcPr>
          <w:p w14:paraId="6C53D929" w14:textId="77777777" w:rsidR="00550391" w:rsidRPr="00F93BD2" w:rsidRDefault="00550391" w:rsidP="002C64AC">
            <w:pPr>
              <w:spacing w:before="40" w:line="240" w:lineRule="auto"/>
              <w:ind w:right="113"/>
            </w:pPr>
            <w:r w:rsidRPr="00F93BD2">
              <w:rPr>
                <w:color w:val="000000"/>
                <w:sz w:val="18"/>
                <w:szCs w:val="18"/>
              </w:rPr>
              <w:t>Luxembourg</w:t>
            </w:r>
          </w:p>
        </w:tc>
        <w:tc>
          <w:tcPr>
            <w:tcW w:w="1134" w:type="dxa"/>
            <w:shd w:val="clear" w:color="auto" w:fill="auto"/>
          </w:tcPr>
          <w:p w14:paraId="67BED8D4" w14:textId="77777777" w:rsidR="00550391" w:rsidRPr="00F93BD2" w:rsidRDefault="00550391" w:rsidP="002C64AC">
            <w:pPr>
              <w:spacing w:before="40" w:line="240" w:lineRule="auto"/>
              <w:ind w:right="65"/>
              <w:jc w:val="right"/>
              <w:rPr>
                <w:sz w:val="18"/>
                <w:szCs w:val="18"/>
              </w:rPr>
            </w:pPr>
            <w:r w:rsidRPr="00F93BD2">
              <w:rPr>
                <w:sz w:val="18"/>
                <w:szCs w:val="18"/>
              </w:rPr>
              <w:t>0.153</w:t>
            </w:r>
          </w:p>
        </w:tc>
        <w:tc>
          <w:tcPr>
            <w:tcW w:w="1552" w:type="dxa"/>
            <w:shd w:val="clear" w:color="auto" w:fill="auto"/>
          </w:tcPr>
          <w:p w14:paraId="1F911C40" w14:textId="77777777" w:rsidR="00550391" w:rsidRPr="00F93BD2" w:rsidRDefault="00550391" w:rsidP="002C64AC">
            <w:pPr>
              <w:spacing w:before="40" w:line="240" w:lineRule="auto"/>
              <w:ind w:right="65"/>
              <w:jc w:val="right"/>
              <w:rPr>
                <w:sz w:val="18"/>
                <w:szCs w:val="18"/>
              </w:rPr>
            </w:pPr>
            <w:r w:rsidRPr="00F93BD2">
              <w:rPr>
                <w:sz w:val="18"/>
                <w:szCs w:val="18"/>
              </w:rPr>
              <w:t xml:space="preserve">  4 086</w:t>
            </w:r>
          </w:p>
        </w:tc>
        <w:tc>
          <w:tcPr>
            <w:tcW w:w="1566" w:type="dxa"/>
            <w:shd w:val="clear" w:color="auto" w:fill="auto"/>
          </w:tcPr>
          <w:p w14:paraId="1CF597EC" w14:textId="77777777" w:rsidR="00550391" w:rsidRPr="00F93BD2" w:rsidRDefault="00550391" w:rsidP="002C64AC">
            <w:pPr>
              <w:spacing w:before="40" w:line="240" w:lineRule="auto"/>
              <w:ind w:right="65"/>
              <w:jc w:val="right"/>
              <w:rPr>
                <w:sz w:val="18"/>
                <w:szCs w:val="18"/>
              </w:rPr>
            </w:pPr>
            <w:r w:rsidRPr="00F93BD2">
              <w:rPr>
                <w:sz w:val="18"/>
                <w:szCs w:val="18"/>
              </w:rPr>
              <w:t xml:space="preserve">  4 086</w:t>
            </w:r>
          </w:p>
        </w:tc>
        <w:tc>
          <w:tcPr>
            <w:tcW w:w="1558" w:type="dxa"/>
            <w:shd w:val="clear" w:color="auto" w:fill="auto"/>
          </w:tcPr>
          <w:p w14:paraId="14D1F5F4" w14:textId="77777777" w:rsidR="00550391" w:rsidRPr="00F93BD2" w:rsidRDefault="00550391" w:rsidP="002C64AC">
            <w:pPr>
              <w:spacing w:before="40" w:line="240" w:lineRule="auto"/>
              <w:ind w:right="65"/>
              <w:jc w:val="right"/>
              <w:rPr>
                <w:sz w:val="18"/>
                <w:szCs w:val="18"/>
              </w:rPr>
            </w:pPr>
            <w:r w:rsidRPr="00F93BD2">
              <w:rPr>
                <w:sz w:val="18"/>
                <w:szCs w:val="18"/>
              </w:rPr>
              <w:t xml:space="preserve">  2 123</w:t>
            </w:r>
          </w:p>
        </w:tc>
        <w:tc>
          <w:tcPr>
            <w:tcW w:w="1559" w:type="dxa"/>
            <w:shd w:val="clear" w:color="auto" w:fill="auto"/>
          </w:tcPr>
          <w:p w14:paraId="55D5547A" w14:textId="77777777" w:rsidR="00550391" w:rsidRPr="00F93BD2" w:rsidRDefault="00550391" w:rsidP="002C64AC">
            <w:pPr>
              <w:spacing w:before="40" w:line="240" w:lineRule="auto"/>
              <w:ind w:right="65"/>
              <w:jc w:val="right"/>
              <w:rPr>
                <w:sz w:val="18"/>
                <w:szCs w:val="18"/>
              </w:rPr>
            </w:pPr>
            <w:r w:rsidRPr="00F93BD2">
              <w:rPr>
                <w:sz w:val="18"/>
                <w:szCs w:val="18"/>
              </w:rPr>
              <w:t xml:space="preserve">  2 123</w:t>
            </w:r>
          </w:p>
        </w:tc>
      </w:tr>
      <w:tr w:rsidR="00C81DAB" w:rsidRPr="00F93BD2" w14:paraId="181B16A9" w14:textId="77777777" w:rsidTr="002E548E">
        <w:tc>
          <w:tcPr>
            <w:tcW w:w="2268" w:type="dxa"/>
            <w:shd w:val="clear" w:color="auto" w:fill="auto"/>
            <w:vAlign w:val="center"/>
          </w:tcPr>
          <w:p w14:paraId="2413C304" w14:textId="77777777" w:rsidR="00550391" w:rsidRPr="00F93BD2" w:rsidRDefault="00550391" w:rsidP="002C64AC">
            <w:pPr>
              <w:spacing w:before="40" w:line="240" w:lineRule="auto"/>
              <w:ind w:right="113"/>
            </w:pPr>
            <w:r w:rsidRPr="00F93BD2">
              <w:rPr>
                <w:color w:val="000000"/>
                <w:sz w:val="18"/>
                <w:szCs w:val="18"/>
              </w:rPr>
              <w:t>Malta</w:t>
            </w:r>
          </w:p>
        </w:tc>
        <w:tc>
          <w:tcPr>
            <w:tcW w:w="1134" w:type="dxa"/>
            <w:shd w:val="clear" w:color="auto" w:fill="auto"/>
          </w:tcPr>
          <w:p w14:paraId="252D3EE8" w14:textId="77777777" w:rsidR="00550391" w:rsidRPr="00F93BD2" w:rsidRDefault="00550391" w:rsidP="002C64AC">
            <w:pPr>
              <w:spacing w:before="40" w:line="240" w:lineRule="auto"/>
              <w:ind w:right="65"/>
              <w:jc w:val="right"/>
              <w:rPr>
                <w:sz w:val="18"/>
                <w:szCs w:val="18"/>
              </w:rPr>
            </w:pPr>
            <w:r w:rsidRPr="00F93BD2">
              <w:rPr>
                <w:sz w:val="18"/>
                <w:szCs w:val="18"/>
              </w:rPr>
              <w:t>0.021</w:t>
            </w:r>
          </w:p>
        </w:tc>
        <w:tc>
          <w:tcPr>
            <w:tcW w:w="1552" w:type="dxa"/>
            <w:shd w:val="clear" w:color="auto" w:fill="auto"/>
          </w:tcPr>
          <w:p w14:paraId="53D30493" w14:textId="77777777" w:rsidR="00550391" w:rsidRPr="00F93BD2" w:rsidRDefault="00550391" w:rsidP="002C64AC">
            <w:pPr>
              <w:spacing w:before="40" w:line="240" w:lineRule="auto"/>
              <w:ind w:right="65"/>
              <w:jc w:val="right"/>
              <w:rPr>
                <w:sz w:val="18"/>
                <w:szCs w:val="18"/>
              </w:rPr>
            </w:pPr>
            <w:r w:rsidRPr="00F93BD2">
              <w:rPr>
                <w:sz w:val="18"/>
                <w:szCs w:val="18"/>
              </w:rPr>
              <w:t xml:space="preserve">   572</w:t>
            </w:r>
          </w:p>
        </w:tc>
        <w:tc>
          <w:tcPr>
            <w:tcW w:w="1566" w:type="dxa"/>
            <w:shd w:val="clear" w:color="auto" w:fill="auto"/>
          </w:tcPr>
          <w:p w14:paraId="61636161" w14:textId="77777777" w:rsidR="00550391" w:rsidRPr="00F93BD2" w:rsidRDefault="00550391" w:rsidP="002C64AC">
            <w:pPr>
              <w:spacing w:before="40" w:line="240" w:lineRule="auto"/>
              <w:ind w:right="65"/>
              <w:jc w:val="right"/>
              <w:rPr>
                <w:sz w:val="18"/>
                <w:szCs w:val="18"/>
              </w:rPr>
            </w:pPr>
            <w:r w:rsidRPr="00F93BD2">
              <w:rPr>
                <w:sz w:val="18"/>
                <w:szCs w:val="18"/>
              </w:rPr>
              <w:t xml:space="preserve">   572</w:t>
            </w:r>
          </w:p>
        </w:tc>
        <w:tc>
          <w:tcPr>
            <w:tcW w:w="1558" w:type="dxa"/>
            <w:shd w:val="clear" w:color="auto" w:fill="auto"/>
          </w:tcPr>
          <w:p w14:paraId="3C9BA83F" w14:textId="77777777" w:rsidR="00550391" w:rsidRPr="00F93BD2" w:rsidRDefault="00550391" w:rsidP="002C64AC">
            <w:pPr>
              <w:spacing w:before="40" w:line="240" w:lineRule="auto"/>
              <w:ind w:right="65"/>
              <w:jc w:val="right"/>
              <w:rPr>
                <w:sz w:val="18"/>
                <w:szCs w:val="18"/>
              </w:rPr>
            </w:pPr>
            <w:r w:rsidRPr="00F93BD2">
              <w:rPr>
                <w:sz w:val="18"/>
                <w:szCs w:val="18"/>
              </w:rPr>
              <w:t xml:space="preserve">   297</w:t>
            </w:r>
          </w:p>
        </w:tc>
        <w:tc>
          <w:tcPr>
            <w:tcW w:w="1559" w:type="dxa"/>
            <w:shd w:val="clear" w:color="auto" w:fill="auto"/>
          </w:tcPr>
          <w:p w14:paraId="3A9242D7" w14:textId="77777777" w:rsidR="00550391" w:rsidRPr="00F93BD2" w:rsidRDefault="00550391" w:rsidP="002C64AC">
            <w:pPr>
              <w:spacing w:before="40" w:line="240" w:lineRule="auto"/>
              <w:ind w:right="65"/>
              <w:jc w:val="right"/>
              <w:rPr>
                <w:sz w:val="18"/>
                <w:szCs w:val="18"/>
              </w:rPr>
            </w:pPr>
            <w:r w:rsidRPr="00F93BD2">
              <w:rPr>
                <w:sz w:val="18"/>
                <w:szCs w:val="18"/>
              </w:rPr>
              <w:t xml:space="preserve">   297</w:t>
            </w:r>
          </w:p>
        </w:tc>
      </w:tr>
      <w:tr w:rsidR="00C81DAB" w:rsidRPr="00F93BD2" w14:paraId="472C285B" w14:textId="77777777" w:rsidTr="002E548E">
        <w:tc>
          <w:tcPr>
            <w:tcW w:w="2268" w:type="dxa"/>
            <w:shd w:val="clear" w:color="auto" w:fill="auto"/>
            <w:vAlign w:val="center"/>
          </w:tcPr>
          <w:p w14:paraId="62412217" w14:textId="77777777" w:rsidR="00550391" w:rsidRPr="00F93BD2" w:rsidRDefault="00550391" w:rsidP="002C64AC">
            <w:pPr>
              <w:spacing w:before="40" w:line="240" w:lineRule="auto"/>
              <w:ind w:right="113"/>
            </w:pPr>
            <w:r w:rsidRPr="00F93BD2">
              <w:rPr>
                <w:color w:val="000000"/>
                <w:sz w:val="18"/>
                <w:szCs w:val="18"/>
              </w:rPr>
              <w:t>Monaco</w:t>
            </w:r>
          </w:p>
        </w:tc>
        <w:tc>
          <w:tcPr>
            <w:tcW w:w="1134" w:type="dxa"/>
            <w:shd w:val="clear" w:color="auto" w:fill="auto"/>
          </w:tcPr>
          <w:p w14:paraId="77C5BE3E" w14:textId="77777777" w:rsidR="00550391" w:rsidRPr="00F93BD2" w:rsidRDefault="00550391" w:rsidP="002C64AC">
            <w:pPr>
              <w:spacing w:before="40" w:line="240" w:lineRule="auto"/>
              <w:ind w:right="65"/>
              <w:jc w:val="right"/>
              <w:rPr>
                <w:sz w:val="18"/>
                <w:szCs w:val="18"/>
              </w:rPr>
            </w:pPr>
            <w:r w:rsidRPr="00F93BD2">
              <w:rPr>
                <w:sz w:val="18"/>
                <w:szCs w:val="18"/>
              </w:rPr>
              <w:t>0.181</w:t>
            </w:r>
          </w:p>
        </w:tc>
        <w:tc>
          <w:tcPr>
            <w:tcW w:w="1552" w:type="dxa"/>
            <w:shd w:val="clear" w:color="auto" w:fill="auto"/>
          </w:tcPr>
          <w:p w14:paraId="78205452" w14:textId="77777777" w:rsidR="00550391" w:rsidRPr="00F93BD2" w:rsidRDefault="00550391" w:rsidP="002C64AC">
            <w:pPr>
              <w:spacing w:before="40" w:line="240" w:lineRule="auto"/>
              <w:ind w:right="65"/>
              <w:jc w:val="right"/>
              <w:rPr>
                <w:sz w:val="18"/>
                <w:szCs w:val="18"/>
              </w:rPr>
            </w:pPr>
            <w:r w:rsidRPr="00F93BD2">
              <w:rPr>
                <w:sz w:val="18"/>
                <w:szCs w:val="18"/>
              </w:rPr>
              <w:t xml:space="preserve">  4 840</w:t>
            </w:r>
          </w:p>
        </w:tc>
        <w:tc>
          <w:tcPr>
            <w:tcW w:w="1566" w:type="dxa"/>
            <w:shd w:val="clear" w:color="auto" w:fill="auto"/>
          </w:tcPr>
          <w:p w14:paraId="0B4FBB1D" w14:textId="77777777" w:rsidR="00550391" w:rsidRPr="00F93BD2" w:rsidRDefault="00550391" w:rsidP="002C64AC">
            <w:pPr>
              <w:spacing w:before="40" w:line="240" w:lineRule="auto"/>
              <w:ind w:right="65"/>
              <w:jc w:val="right"/>
              <w:rPr>
                <w:sz w:val="18"/>
                <w:szCs w:val="18"/>
              </w:rPr>
            </w:pPr>
            <w:r w:rsidRPr="00F93BD2">
              <w:rPr>
                <w:sz w:val="18"/>
                <w:szCs w:val="18"/>
              </w:rPr>
              <w:t xml:space="preserve">  4 840</w:t>
            </w:r>
          </w:p>
        </w:tc>
        <w:tc>
          <w:tcPr>
            <w:tcW w:w="1558" w:type="dxa"/>
            <w:shd w:val="clear" w:color="auto" w:fill="auto"/>
          </w:tcPr>
          <w:p w14:paraId="0CC9FB9D" w14:textId="77777777" w:rsidR="00550391" w:rsidRPr="00F93BD2" w:rsidRDefault="00550391" w:rsidP="002C64AC">
            <w:pPr>
              <w:spacing w:before="40" w:line="240" w:lineRule="auto"/>
              <w:ind w:right="65"/>
              <w:jc w:val="right"/>
              <w:rPr>
                <w:sz w:val="18"/>
                <w:szCs w:val="18"/>
              </w:rPr>
            </w:pPr>
            <w:r w:rsidRPr="00F93BD2">
              <w:rPr>
                <w:sz w:val="18"/>
                <w:szCs w:val="18"/>
              </w:rPr>
              <w:t xml:space="preserve">  2 515</w:t>
            </w:r>
          </w:p>
        </w:tc>
        <w:tc>
          <w:tcPr>
            <w:tcW w:w="1559" w:type="dxa"/>
            <w:shd w:val="clear" w:color="auto" w:fill="auto"/>
          </w:tcPr>
          <w:p w14:paraId="3BC672BA" w14:textId="77777777" w:rsidR="00550391" w:rsidRPr="00F93BD2" w:rsidRDefault="00550391" w:rsidP="002C64AC">
            <w:pPr>
              <w:spacing w:before="40" w:line="240" w:lineRule="auto"/>
              <w:ind w:right="65"/>
              <w:jc w:val="right"/>
              <w:rPr>
                <w:sz w:val="18"/>
                <w:szCs w:val="18"/>
              </w:rPr>
            </w:pPr>
            <w:r w:rsidRPr="00F93BD2">
              <w:rPr>
                <w:sz w:val="18"/>
                <w:szCs w:val="18"/>
              </w:rPr>
              <w:t xml:space="preserve">  2 515</w:t>
            </w:r>
          </w:p>
        </w:tc>
      </w:tr>
      <w:tr w:rsidR="00C81DAB" w:rsidRPr="00F93BD2" w14:paraId="2F0710F2" w14:textId="77777777" w:rsidTr="002E548E">
        <w:tc>
          <w:tcPr>
            <w:tcW w:w="2268" w:type="dxa"/>
            <w:shd w:val="clear" w:color="auto" w:fill="auto"/>
            <w:vAlign w:val="center"/>
          </w:tcPr>
          <w:p w14:paraId="0414FC49" w14:textId="77777777" w:rsidR="00550391" w:rsidRPr="00F93BD2" w:rsidRDefault="00550391" w:rsidP="002C64AC">
            <w:pPr>
              <w:spacing w:before="40" w:line="240" w:lineRule="auto"/>
              <w:ind w:right="113"/>
            </w:pPr>
            <w:r w:rsidRPr="00F93BD2">
              <w:rPr>
                <w:color w:val="000000"/>
                <w:sz w:val="18"/>
                <w:szCs w:val="18"/>
              </w:rPr>
              <w:t>Netherlands</w:t>
            </w:r>
          </w:p>
        </w:tc>
        <w:tc>
          <w:tcPr>
            <w:tcW w:w="1134" w:type="dxa"/>
            <w:shd w:val="clear" w:color="auto" w:fill="auto"/>
          </w:tcPr>
          <w:p w14:paraId="341F2C1A" w14:textId="77777777" w:rsidR="00550391" w:rsidRPr="00F93BD2" w:rsidRDefault="00550391" w:rsidP="002C64AC">
            <w:pPr>
              <w:spacing w:before="40" w:line="240" w:lineRule="auto"/>
              <w:ind w:right="65"/>
              <w:jc w:val="right"/>
              <w:rPr>
                <w:sz w:val="18"/>
                <w:szCs w:val="18"/>
              </w:rPr>
            </w:pPr>
            <w:r w:rsidRPr="00F93BD2">
              <w:rPr>
                <w:sz w:val="18"/>
                <w:szCs w:val="18"/>
              </w:rPr>
              <w:t>3.352</w:t>
            </w:r>
          </w:p>
        </w:tc>
        <w:tc>
          <w:tcPr>
            <w:tcW w:w="1552" w:type="dxa"/>
            <w:shd w:val="clear" w:color="auto" w:fill="auto"/>
          </w:tcPr>
          <w:p w14:paraId="2AEBA209" w14:textId="77777777" w:rsidR="00550391" w:rsidRPr="00F93BD2" w:rsidRDefault="00550391" w:rsidP="002C64AC">
            <w:pPr>
              <w:spacing w:before="40" w:line="240" w:lineRule="auto"/>
              <w:ind w:right="65"/>
              <w:jc w:val="right"/>
              <w:rPr>
                <w:sz w:val="18"/>
                <w:szCs w:val="18"/>
              </w:rPr>
            </w:pPr>
            <w:r w:rsidRPr="00F93BD2">
              <w:rPr>
                <w:sz w:val="18"/>
                <w:szCs w:val="18"/>
              </w:rPr>
              <w:t xml:space="preserve">  89 622</w:t>
            </w:r>
          </w:p>
        </w:tc>
        <w:tc>
          <w:tcPr>
            <w:tcW w:w="1566" w:type="dxa"/>
            <w:shd w:val="clear" w:color="auto" w:fill="auto"/>
          </w:tcPr>
          <w:p w14:paraId="2CB3FCC7" w14:textId="77777777" w:rsidR="00550391" w:rsidRPr="00F93BD2" w:rsidRDefault="00550391" w:rsidP="002C64AC">
            <w:pPr>
              <w:spacing w:before="40" w:line="240" w:lineRule="auto"/>
              <w:ind w:right="65"/>
              <w:jc w:val="right"/>
              <w:rPr>
                <w:sz w:val="18"/>
                <w:szCs w:val="18"/>
              </w:rPr>
            </w:pPr>
            <w:r w:rsidRPr="00F93BD2">
              <w:rPr>
                <w:sz w:val="18"/>
                <w:szCs w:val="18"/>
              </w:rPr>
              <w:t xml:space="preserve">  89 622</w:t>
            </w:r>
          </w:p>
        </w:tc>
        <w:tc>
          <w:tcPr>
            <w:tcW w:w="1558" w:type="dxa"/>
            <w:shd w:val="clear" w:color="auto" w:fill="auto"/>
          </w:tcPr>
          <w:p w14:paraId="0FF5190A" w14:textId="77777777" w:rsidR="00550391" w:rsidRPr="00F93BD2" w:rsidRDefault="00550391" w:rsidP="002C64AC">
            <w:pPr>
              <w:spacing w:before="40" w:line="240" w:lineRule="auto"/>
              <w:ind w:right="65"/>
              <w:jc w:val="right"/>
              <w:rPr>
                <w:sz w:val="18"/>
                <w:szCs w:val="18"/>
              </w:rPr>
            </w:pPr>
            <w:r w:rsidRPr="00F93BD2">
              <w:rPr>
                <w:sz w:val="18"/>
                <w:szCs w:val="18"/>
              </w:rPr>
              <w:t xml:space="preserve">  46 572</w:t>
            </w:r>
          </w:p>
        </w:tc>
        <w:tc>
          <w:tcPr>
            <w:tcW w:w="1559" w:type="dxa"/>
            <w:shd w:val="clear" w:color="auto" w:fill="auto"/>
          </w:tcPr>
          <w:p w14:paraId="48CE57B2" w14:textId="77777777" w:rsidR="00550391" w:rsidRPr="00F93BD2" w:rsidRDefault="00550391" w:rsidP="002C64AC">
            <w:pPr>
              <w:spacing w:before="40" w:line="240" w:lineRule="auto"/>
              <w:ind w:right="65"/>
              <w:jc w:val="right"/>
              <w:rPr>
                <w:sz w:val="18"/>
                <w:szCs w:val="18"/>
              </w:rPr>
            </w:pPr>
            <w:r w:rsidRPr="00F93BD2">
              <w:rPr>
                <w:sz w:val="18"/>
                <w:szCs w:val="18"/>
              </w:rPr>
              <w:t xml:space="preserve">  46 572</w:t>
            </w:r>
          </w:p>
        </w:tc>
      </w:tr>
      <w:tr w:rsidR="00C81DAB" w:rsidRPr="00F93BD2" w14:paraId="05D473FC" w14:textId="77777777" w:rsidTr="002E548E">
        <w:tc>
          <w:tcPr>
            <w:tcW w:w="2268" w:type="dxa"/>
            <w:shd w:val="clear" w:color="auto" w:fill="auto"/>
            <w:vAlign w:val="center"/>
          </w:tcPr>
          <w:p w14:paraId="3D21E01E" w14:textId="77777777" w:rsidR="00550391" w:rsidRPr="00F93BD2" w:rsidRDefault="00550391" w:rsidP="002C64AC">
            <w:pPr>
              <w:spacing w:before="40" w:line="240" w:lineRule="auto"/>
              <w:ind w:right="113"/>
            </w:pPr>
            <w:r w:rsidRPr="00F93BD2">
              <w:rPr>
                <w:color w:val="000000"/>
                <w:sz w:val="18"/>
                <w:szCs w:val="18"/>
              </w:rPr>
              <w:t>New Zealand</w:t>
            </w:r>
          </w:p>
        </w:tc>
        <w:tc>
          <w:tcPr>
            <w:tcW w:w="1134" w:type="dxa"/>
            <w:shd w:val="clear" w:color="auto" w:fill="auto"/>
          </w:tcPr>
          <w:p w14:paraId="579FAE52" w14:textId="77777777" w:rsidR="00550391" w:rsidRPr="00F93BD2" w:rsidRDefault="00550391" w:rsidP="002C64AC">
            <w:pPr>
              <w:spacing w:before="40" w:line="240" w:lineRule="auto"/>
              <w:ind w:right="65"/>
              <w:jc w:val="right"/>
              <w:rPr>
                <w:sz w:val="18"/>
                <w:szCs w:val="18"/>
              </w:rPr>
            </w:pPr>
            <w:r w:rsidRPr="00F93BD2">
              <w:rPr>
                <w:sz w:val="18"/>
                <w:szCs w:val="18"/>
              </w:rPr>
              <w:t>0.961</w:t>
            </w:r>
          </w:p>
        </w:tc>
        <w:tc>
          <w:tcPr>
            <w:tcW w:w="1552" w:type="dxa"/>
            <w:shd w:val="clear" w:color="auto" w:fill="auto"/>
          </w:tcPr>
          <w:p w14:paraId="23EF6E4F" w14:textId="77777777" w:rsidR="00550391" w:rsidRPr="00F93BD2" w:rsidRDefault="00550391" w:rsidP="002C64AC">
            <w:pPr>
              <w:spacing w:before="40" w:line="240" w:lineRule="auto"/>
              <w:ind w:right="65"/>
              <w:jc w:val="right"/>
              <w:rPr>
                <w:sz w:val="18"/>
                <w:szCs w:val="18"/>
              </w:rPr>
            </w:pPr>
            <w:r w:rsidRPr="00F93BD2">
              <w:rPr>
                <w:sz w:val="18"/>
                <w:szCs w:val="18"/>
              </w:rPr>
              <w:t xml:space="preserve">  25 684</w:t>
            </w:r>
          </w:p>
        </w:tc>
        <w:tc>
          <w:tcPr>
            <w:tcW w:w="1566" w:type="dxa"/>
            <w:shd w:val="clear" w:color="auto" w:fill="auto"/>
          </w:tcPr>
          <w:p w14:paraId="3367A378" w14:textId="77777777" w:rsidR="00550391" w:rsidRPr="00F93BD2" w:rsidRDefault="00550391" w:rsidP="002C64AC">
            <w:pPr>
              <w:spacing w:before="40" w:line="240" w:lineRule="auto"/>
              <w:ind w:right="65"/>
              <w:jc w:val="right"/>
              <w:rPr>
                <w:sz w:val="18"/>
                <w:szCs w:val="18"/>
              </w:rPr>
            </w:pPr>
            <w:r w:rsidRPr="00F93BD2">
              <w:rPr>
                <w:sz w:val="18"/>
                <w:szCs w:val="18"/>
              </w:rPr>
              <w:t xml:space="preserve">  25 684</w:t>
            </w:r>
          </w:p>
        </w:tc>
        <w:tc>
          <w:tcPr>
            <w:tcW w:w="1558" w:type="dxa"/>
            <w:shd w:val="clear" w:color="auto" w:fill="auto"/>
          </w:tcPr>
          <w:p w14:paraId="29F6F31C" w14:textId="77777777" w:rsidR="00550391" w:rsidRPr="00F93BD2" w:rsidRDefault="00550391" w:rsidP="002C64AC">
            <w:pPr>
              <w:spacing w:before="40" w:line="240" w:lineRule="auto"/>
              <w:ind w:right="65"/>
              <w:jc w:val="right"/>
              <w:rPr>
                <w:sz w:val="18"/>
                <w:szCs w:val="18"/>
              </w:rPr>
            </w:pPr>
            <w:r w:rsidRPr="00F93BD2">
              <w:rPr>
                <w:sz w:val="18"/>
                <w:szCs w:val="18"/>
              </w:rPr>
              <w:t xml:space="preserve">  13 347</w:t>
            </w:r>
          </w:p>
        </w:tc>
        <w:tc>
          <w:tcPr>
            <w:tcW w:w="1559" w:type="dxa"/>
            <w:shd w:val="clear" w:color="auto" w:fill="auto"/>
          </w:tcPr>
          <w:p w14:paraId="01D93BB6" w14:textId="77777777" w:rsidR="00550391" w:rsidRPr="00F93BD2" w:rsidRDefault="00550391" w:rsidP="002C64AC">
            <w:pPr>
              <w:spacing w:before="40" w:line="240" w:lineRule="auto"/>
              <w:ind w:right="65"/>
              <w:jc w:val="right"/>
              <w:rPr>
                <w:sz w:val="18"/>
                <w:szCs w:val="18"/>
              </w:rPr>
            </w:pPr>
            <w:r w:rsidRPr="00F93BD2">
              <w:rPr>
                <w:sz w:val="18"/>
                <w:szCs w:val="18"/>
              </w:rPr>
              <w:t xml:space="preserve">  13 347</w:t>
            </w:r>
          </w:p>
        </w:tc>
      </w:tr>
      <w:tr w:rsidR="00C81DAB" w:rsidRPr="00F93BD2" w14:paraId="1D0B7957" w14:textId="77777777" w:rsidTr="002E548E">
        <w:tc>
          <w:tcPr>
            <w:tcW w:w="2268" w:type="dxa"/>
            <w:shd w:val="clear" w:color="auto" w:fill="auto"/>
            <w:vAlign w:val="center"/>
          </w:tcPr>
          <w:p w14:paraId="42724D3C" w14:textId="77777777" w:rsidR="00550391" w:rsidRPr="00F93BD2" w:rsidRDefault="00550391" w:rsidP="002C64AC">
            <w:pPr>
              <w:spacing w:before="40" w:line="240" w:lineRule="auto"/>
              <w:ind w:right="113"/>
            </w:pPr>
            <w:r w:rsidRPr="00F93BD2">
              <w:rPr>
                <w:color w:val="000000"/>
                <w:sz w:val="18"/>
                <w:szCs w:val="18"/>
              </w:rPr>
              <w:t>Norway</w:t>
            </w:r>
          </w:p>
        </w:tc>
        <w:tc>
          <w:tcPr>
            <w:tcW w:w="1134" w:type="dxa"/>
            <w:shd w:val="clear" w:color="auto" w:fill="auto"/>
          </w:tcPr>
          <w:p w14:paraId="3609DA98" w14:textId="77777777" w:rsidR="00550391" w:rsidRPr="00F93BD2" w:rsidRDefault="00550391" w:rsidP="002C64AC">
            <w:pPr>
              <w:spacing w:before="40" w:line="240" w:lineRule="auto"/>
              <w:ind w:right="65"/>
              <w:jc w:val="right"/>
              <w:rPr>
                <w:sz w:val="18"/>
                <w:szCs w:val="18"/>
              </w:rPr>
            </w:pPr>
            <w:r w:rsidRPr="00F93BD2">
              <w:rPr>
                <w:sz w:val="18"/>
                <w:szCs w:val="18"/>
              </w:rPr>
              <w:t>2.319</w:t>
            </w:r>
          </w:p>
        </w:tc>
        <w:tc>
          <w:tcPr>
            <w:tcW w:w="1552" w:type="dxa"/>
            <w:shd w:val="clear" w:color="auto" w:fill="auto"/>
          </w:tcPr>
          <w:p w14:paraId="3313C1AD" w14:textId="77777777" w:rsidR="00550391" w:rsidRPr="00F93BD2" w:rsidRDefault="00550391" w:rsidP="002C64AC">
            <w:pPr>
              <w:spacing w:before="40" w:line="240" w:lineRule="auto"/>
              <w:ind w:right="65"/>
              <w:jc w:val="right"/>
              <w:rPr>
                <w:sz w:val="18"/>
                <w:szCs w:val="18"/>
              </w:rPr>
            </w:pPr>
            <w:r w:rsidRPr="00F93BD2">
              <w:rPr>
                <w:sz w:val="18"/>
                <w:szCs w:val="18"/>
              </w:rPr>
              <w:t xml:space="preserve">  61 986</w:t>
            </w:r>
          </w:p>
        </w:tc>
        <w:tc>
          <w:tcPr>
            <w:tcW w:w="1566" w:type="dxa"/>
            <w:shd w:val="clear" w:color="auto" w:fill="auto"/>
          </w:tcPr>
          <w:p w14:paraId="17F9D621" w14:textId="77777777" w:rsidR="00550391" w:rsidRPr="00F93BD2" w:rsidRDefault="00550391" w:rsidP="002C64AC">
            <w:pPr>
              <w:spacing w:before="40" w:line="240" w:lineRule="auto"/>
              <w:ind w:right="65"/>
              <w:jc w:val="right"/>
              <w:rPr>
                <w:sz w:val="18"/>
                <w:szCs w:val="18"/>
              </w:rPr>
            </w:pPr>
            <w:r w:rsidRPr="00F93BD2">
              <w:rPr>
                <w:sz w:val="18"/>
                <w:szCs w:val="18"/>
              </w:rPr>
              <w:t xml:space="preserve">  61 986</w:t>
            </w:r>
          </w:p>
        </w:tc>
        <w:tc>
          <w:tcPr>
            <w:tcW w:w="1558" w:type="dxa"/>
            <w:shd w:val="clear" w:color="auto" w:fill="auto"/>
          </w:tcPr>
          <w:p w14:paraId="66986004" w14:textId="77777777" w:rsidR="00550391" w:rsidRPr="00F93BD2" w:rsidRDefault="00550391" w:rsidP="002C64AC">
            <w:pPr>
              <w:spacing w:before="40" w:line="240" w:lineRule="auto"/>
              <w:ind w:right="65"/>
              <w:jc w:val="right"/>
              <w:rPr>
                <w:sz w:val="18"/>
                <w:szCs w:val="18"/>
              </w:rPr>
            </w:pPr>
            <w:r w:rsidRPr="00F93BD2">
              <w:rPr>
                <w:sz w:val="18"/>
                <w:szCs w:val="18"/>
              </w:rPr>
              <w:t xml:space="preserve">  32 211</w:t>
            </w:r>
          </w:p>
        </w:tc>
        <w:tc>
          <w:tcPr>
            <w:tcW w:w="1559" w:type="dxa"/>
            <w:shd w:val="clear" w:color="auto" w:fill="auto"/>
          </w:tcPr>
          <w:p w14:paraId="7EA863D9" w14:textId="77777777" w:rsidR="00550391" w:rsidRPr="00F93BD2" w:rsidRDefault="00550391" w:rsidP="002C64AC">
            <w:pPr>
              <w:spacing w:before="40" w:line="240" w:lineRule="auto"/>
              <w:ind w:right="65"/>
              <w:jc w:val="right"/>
              <w:rPr>
                <w:sz w:val="18"/>
                <w:szCs w:val="18"/>
              </w:rPr>
            </w:pPr>
            <w:r w:rsidRPr="00F93BD2">
              <w:rPr>
                <w:sz w:val="18"/>
                <w:szCs w:val="18"/>
              </w:rPr>
              <w:t xml:space="preserve">  32 211</w:t>
            </w:r>
          </w:p>
        </w:tc>
      </w:tr>
      <w:tr w:rsidR="00C81DAB" w:rsidRPr="00F93BD2" w14:paraId="29889012" w14:textId="77777777" w:rsidTr="002E548E">
        <w:tc>
          <w:tcPr>
            <w:tcW w:w="2268" w:type="dxa"/>
            <w:shd w:val="clear" w:color="auto" w:fill="auto"/>
            <w:vAlign w:val="center"/>
          </w:tcPr>
          <w:p w14:paraId="5C3ABBAC" w14:textId="77777777" w:rsidR="00550391" w:rsidRPr="00F93BD2" w:rsidRDefault="00550391" w:rsidP="002C64AC">
            <w:pPr>
              <w:spacing w:before="40" w:line="240" w:lineRule="auto"/>
              <w:ind w:right="113"/>
            </w:pPr>
            <w:r w:rsidRPr="00F93BD2">
              <w:rPr>
                <w:color w:val="000000"/>
                <w:sz w:val="18"/>
                <w:szCs w:val="18"/>
              </w:rPr>
              <w:t>Poland</w:t>
            </w:r>
          </w:p>
        </w:tc>
        <w:tc>
          <w:tcPr>
            <w:tcW w:w="1134" w:type="dxa"/>
            <w:shd w:val="clear" w:color="auto" w:fill="auto"/>
          </w:tcPr>
          <w:p w14:paraId="543E90BF" w14:textId="77777777" w:rsidR="00550391" w:rsidRPr="00F93BD2" w:rsidRDefault="00550391" w:rsidP="002C64AC">
            <w:pPr>
              <w:spacing w:before="40" w:line="240" w:lineRule="auto"/>
              <w:ind w:right="65"/>
              <w:jc w:val="right"/>
              <w:rPr>
                <w:sz w:val="18"/>
                <w:szCs w:val="18"/>
              </w:rPr>
            </w:pPr>
            <w:r w:rsidRPr="00F93BD2">
              <w:rPr>
                <w:sz w:val="18"/>
                <w:szCs w:val="18"/>
              </w:rPr>
              <w:t>0.896</w:t>
            </w:r>
          </w:p>
        </w:tc>
        <w:tc>
          <w:tcPr>
            <w:tcW w:w="1552" w:type="dxa"/>
            <w:shd w:val="clear" w:color="auto" w:fill="auto"/>
          </w:tcPr>
          <w:p w14:paraId="7F43D25D" w14:textId="77777777" w:rsidR="00550391" w:rsidRPr="00F93BD2" w:rsidRDefault="00550391" w:rsidP="002C64AC">
            <w:pPr>
              <w:spacing w:before="40" w:line="240" w:lineRule="auto"/>
              <w:ind w:right="65"/>
              <w:jc w:val="right"/>
              <w:rPr>
                <w:sz w:val="18"/>
                <w:szCs w:val="18"/>
              </w:rPr>
            </w:pPr>
            <w:r w:rsidRPr="00F93BD2">
              <w:rPr>
                <w:sz w:val="18"/>
                <w:szCs w:val="18"/>
              </w:rPr>
              <w:t xml:space="preserve">  23 941</w:t>
            </w:r>
          </w:p>
        </w:tc>
        <w:tc>
          <w:tcPr>
            <w:tcW w:w="1566" w:type="dxa"/>
            <w:shd w:val="clear" w:color="auto" w:fill="auto"/>
          </w:tcPr>
          <w:p w14:paraId="67EA37F6" w14:textId="77777777" w:rsidR="00550391" w:rsidRPr="00F93BD2" w:rsidRDefault="00550391" w:rsidP="002C64AC">
            <w:pPr>
              <w:spacing w:before="40" w:line="240" w:lineRule="auto"/>
              <w:ind w:right="65"/>
              <w:jc w:val="right"/>
              <w:rPr>
                <w:sz w:val="18"/>
                <w:szCs w:val="18"/>
              </w:rPr>
            </w:pPr>
            <w:r w:rsidRPr="00F93BD2">
              <w:rPr>
                <w:sz w:val="18"/>
                <w:szCs w:val="18"/>
              </w:rPr>
              <w:t xml:space="preserve">  23 941</w:t>
            </w:r>
          </w:p>
        </w:tc>
        <w:tc>
          <w:tcPr>
            <w:tcW w:w="1558" w:type="dxa"/>
            <w:shd w:val="clear" w:color="auto" w:fill="auto"/>
          </w:tcPr>
          <w:p w14:paraId="1F71D413" w14:textId="77777777" w:rsidR="00550391" w:rsidRPr="00F93BD2" w:rsidRDefault="00550391" w:rsidP="002C64AC">
            <w:pPr>
              <w:spacing w:before="40" w:line="240" w:lineRule="auto"/>
              <w:ind w:right="65"/>
              <w:jc w:val="right"/>
              <w:rPr>
                <w:sz w:val="18"/>
                <w:szCs w:val="18"/>
              </w:rPr>
            </w:pPr>
            <w:r w:rsidRPr="00F93BD2">
              <w:rPr>
                <w:sz w:val="18"/>
                <w:szCs w:val="18"/>
              </w:rPr>
              <w:t xml:space="preserve">  12 441</w:t>
            </w:r>
          </w:p>
        </w:tc>
        <w:tc>
          <w:tcPr>
            <w:tcW w:w="1559" w:type="dxa"/>
            <w:shd w:val="clear" w:color="auto" w:fill="auto"/>
          </w:tcPr>
          <w:p w14:paraId="6CE1B278" w14:textId="77777777" w:rsidR="00550391" w:rsidRPr="00F93BD2" w:rsidRDefault="00550391" w:rsidP="002C64AC">
            <w:pPr>
              <w:spacing w:before="40" w:line="240" w:lineRule="auto"/>
              <w:ind w:right="65"/>
              <w:jc w:val="right"/>
              <w:rPr>
                <w:sz w:val="18"/>
                <w:szCs w:val="18"/>
              </w:rPr>
            </w:pPr>
            <w:r w:rsidRPr="00F93BD2">
              <w:rPr>
                <w:sz w:val="18"/>
                <w:szCs w:val="18"/>
              </w:rPr>
              <w:t xml:space="preserve">  12 441</w:t>
            </w:r>
          </w:p>
        </w:tc>
      </w:tr>
      <w:tr w:rsidR="00C81DAB" w:rsidRPr="00F93BD2" w14:paraId="72A29798" w14:textId="77777777" w:rsidTr="002E548E">
        <w:tc>
          <w:tcPr>
            <w:tcW w:w="2268" w:type="dxa"/>
            <w:shd w:val="clear" w:color="auto" w:fill="auto"/>
            <w:vAlign w:val="center"/>
          </w:tcPr>
          <w:p w14:paraId="770BBA5C" w14:textId="77777777" w:rsidR="00550391" w:rsidRPr="00F93BD2" w:rsidRDefault="00550391" w:rsidP="002C64AC">
            <w:pPr>
              <w:spacing w:before="40" w:line="240" w:lineRule="auto"/>
              <w:ind w:right="113"/>
            </w:pPr>
            <w:r w:rsidRPr="00F93BD2">
              <w:rPr>
                <w:color w:val="000000"/>
                <w:sz w:val="18"/>
                <w:szCs w:val="18"/>
              </w:rPr>
              <w:t>Portugal</w:t>
            </w:r>
          </w:p>
        </w:tc>
        <w:tc>
          <w:tcPr>
            <w:tcW w:w="1134" w:type="dxa"/>
            <w:shd w:val="clear" w:color="auto" w:fill="auto"/>
          </w:tcPr>
          <w:p w14:paraId="17F941A0" w14:textId="77777777" w:rsidR="00550391" w:rsidRPr="00F93BD2" w:rsidRDefault="00550391" w:rsidP="002C64AC">
            <w:pPr>
              <w:spacing w:before="40" w:line="240" w:lineRule="auto"/>
              <w:ind w:right="65"/>
              <w:jc w:val="right"/>
              <w:rPr>
                <w:sz w:val="18"/>
                <w:szCs w:val="18"/>
              </w:rPr>
            </w:pPr>
            <w:r w:rsidRPr="00F93BD2">
              <w:rPr>
                <w:sz w:val="18"/>
                <w:szCs w:val="18"/>
              </w:rPr>
              <w:t>0.943</w:t>
            </w:r>
          </w:p>
        </w:tc>
        <w:tc>
          <w:tcPr>
            <w:tcW w:w="1552" w:type="dxa"/>
            <w:shd w:val="clear" w:color="auto" w:fill="auto"/>
          </w:tcPr>
          <w:p w14:paraId="505767AC" w14:textId="77777777" w:rsidR="00550391" w:rsidRPr="00F93BD2" w:rsidRDefault="00550391" w:rsidP="002C64AC">
            <w:pPr>
              <w:spacing w:before="40" w:line="240" w:lineRule="auto"/>
              <w:ind w:right="65"/>
              <w:jc w:val="right"/>
              <w:rPr>
                <w:sz w:val="18"/>
                <w:szCs w:val="18"/>
              </w:rPr>
            </w:pPr>
            <w:r w:rsidRPr="00F93BD2">
              <w:rPr>
                <w:sz w:val="18"/>
                <w:szCs w:val="18"/>
              </w:rPr>
              <w:t xml:space="preserve">  25 216</w:t>
            </w:r>
          </w:p>
        </w:tc>
        <w:tc>
          <w:tcPr>
            <w:tcW w:w="1566" w:type="dxa"/>
            <w:shd w:val="clear" w:color="auto" w:fill="auto"/>
          </w:tcPr>
          <w:p w14:paraId="44311570" w14:textId="77777777" w:rsidR="00550391" w:rsidRPr="00F93BD2" w:rsidRDefault="00550391" w:rsidP="002C64AC">
            <w:pPr>
              <w:spacing w:before="40" w:line="240" w:lineRule="auto"/>
              <w:ind w:right="65"/>
              <w:jc w:val="right"/>
              <w:rPr>
                <w:sz w:val="18"/>
                <w:szCs w:val="18"/>
              </w:rPr>
            </w:pPr>
            <w:r w:rsidRPr="00F93BD2">
              <w:rPr>
                <w:sz w:val="18"/>
                <w:szCs w:val="18"/>
              </w:rPr>
              <w:t xml:space="preserve">  25 216</w:t>
            </w:r>
          </w:p>
        </w:tc>
        <w:tc>
          <w:tcPr>
            <w:tcW w:w="1558" w:type="dxa"/>
            <w:shd w:val="clear" w:color="auto" w:fill="auto"/>
          </w:tcPr>
          <w:p w14:paraId="2A104F5E" w14:textId="77777777" w:rsidR="00550391" w:rsidRPr="00F93BD2" w:rsidRDefault="00550391" w:rsidP="002C64AC">
            <w:pPr>
              <w:spacing w:before="40" w:line="240" w:lineRule="auto"/>
              <w:ind w:right="65"/>
              <w:jc w:val="right"/>
              <w:rPr>
                <w:sz w:val="18"/>
                <w:szCs w:val="18"/>
              </w:rPr>
            </w:pPr>
            <w:r w:rsidRPr="00F93BD2">
              <w:rPr>
                <w:sz w:val="18"/>
                <w:szCs w:val="18"/>
              </w:rPr>
              <w:t xml:space="preserve">  13 103</w:t>
            </w:r>
          </w:p>
        </w:tc>
        <w:tc>
          <w:tcPr>
            <w:tcW w:w="1559" w:type="dxa"/>
            <w:shd w:val="clear" w:color="auto" w:fill="auto"/>
          </w:tcPr>
          <w:p w14:paraId="4EC18F48" w14:textId="77777777" w:rsidR="00550391" w:rsidRPr="00F93BD2" w:rsidRDefault="00550391" w:rsidP="002C64AC">
            <w:pPr>
              <w:spacing w:before="40" w:line="240" w:lineRule="auto"/>
              <w:ind w:right="65"/>
              <w:jc w:val="right"/>
              <w:rPr>
                <w:sz w:val="18"/>
                <w:szCs w:val="18"/>
              </w:rPr>
            </w:pPr>
            <w:r w:rsidRPr="00F93BD2">
              <w:rPr>
                <w:sz w:val="18"/>
                <w:szCs w:val="18"/>
              </w:rPr>
              <w:t xml:space="preserve">  13 103</w:t>
            </w:r>
          </w:p>
        </w:tc>
      </w:tr>
      <w:tr w:rsidR="00C81DAB" w:rsidRPr="00F93BD2" w14:paraId="34478EAB" w14:textId="77777777" w:rsidTr="002E548E">
        <w:tc>
          <w:tcPr>
            <w:tcW w:w="2268" w:type="dxa"/>
            <w:shd w:val="clear" w:color="auto" w:fill="auto"/>
            <w:vAlign w:val="center"/>
          </w:tcPr>
          <w:p w14:paraId="629E8546" w14:textId="77777777" w:rsidR="00550391" w:rsidRPr="00F93BD2" w:rsidRDefault="00550391" w:rsidP="002C64AC">
            <w:pPr>
              <w:spacing w:before="40" w:line="240" w:lineRule="auto"/>
              <w:ind w:right="113"/>
            </w:pPr>
            <w:r w:rsidRPr="00F93BD2">
              <w:rPr>
                <w:color w:val="000000"/>
                <w:sz w:val="18"/>
                <w:szCs w:val="18"/>
              </w:rPr>
              <w:t>Romania</w:t>
            </w:r>
          </w:p>
        </w:tc>
        <w:tc>
          <w:tcPr>
            <w:tcW w:w="1134" w:type="dxa"/>
            <w:shd w:val="clear" w:color="auto" w:fill="auto"/>
          </w:tcPr>
          <w:p w14:paraId="766BAD5C" w14:textId="77777777" w:rsidR="00550391" w:rsidRPr="00F93BD2" w:rsidRDefault="00550391" w:rsidP="002C64AC">
            <w:pPr>
              <w:spacing w:before="40" w:line="240" w:lineRule="auto"/>
              <w:ind w:right="65"/>
              <w:jc w:val="right"/>
              <w:rPr>
                <w:sz w:val="18"/>
                <w:szCs w:val="18"/>
              </w:rPr>
            </w:pPr>
            <w:r w:rsidRPr="00F93BD2">
              <w:rPr>
                <w:sz w:val="18"/>
                <w:szCs w:val="18"/>
              </w:rPr>
              <w:t>0.125</w:t>
            </w:r>
          </w:p>
        </w:tc>
        <w:tc>
          <w:tcPr>
            <w:tcW w:w="1552" w:type="dxa"/>
            <w:shd w:val="clear" w:color="auto" w:fill="auto"/>
          </w:tcPr>
          <w:p w14:paraId="1BE6A7F2" w14:textId="77777777" w:rsidR="00550391" w:rsidRPr="00F93BD2" w:rsidRDefault="00550391" w:rsidP="002C64AC">
            <w:pPr>
              <w:spacing w:before="40" w:line="240" w:lineRule="auto"/>
              <w:ind w:right="65"/>
              <w:jc w:val="right"/>
              <w:rPr>
                <w:sz w:val="18"/>
                <w:szCs w:val="18"/>
              </w:rPr>
            </w:pPr>
            <w:r w:rsidRPr="00F93BD2">
              <w:rPr>
                <w:sz w:val="18"/>
                <w:szCs w:val="18"/>
              </w:rPr>
              <w:t xml:space="preserve">  3 331</w:t>
            </w:r>
          </w:p>
        </w:tc>
        <w:tc>
          <w:tcPr>
            <w:tcW w:w="1566" w:type="dxa"/>
            <w:shd w:val="clear" w:color="auto" w:fill="auto"/>
          </w:tcPr>
          <w:p w14:paraId="7AC5BCC3" w14:textId="77777777" w:rsidR="00550391" w:rsidRPr="00F93BD2" w:rsidRDefault="00550391" w:rsidP="002C64AC">
            <w:pPr>
              <w:spacing w:before="40" w:line="240" w:lineRule="auto"/>
              <w:ind w:right="65"/>
              <w:jc w:val="right"/>
              <w:rPr>
                <w:sz w:val="18"/>
                <w:szCs w:val="18"/>
              </w:rPr>
            </w:pPr>
            <w:r w:rsidRPr="00F93BD2">
              <w:rPr>
                <w:sz w:val="18"/>
                <w:szCs w:val="18"/>
              </w:rPr>
              <w:t xml:space="preserve">  3 331</w:t>
            </w:r>
          </w:p>
        </w:tc>
        <w:tc>
          <w:tcPr>
            <w:tcW w:w="1558" w:type="dxa"/>
            <w:shd w:val="clear" w:color="auto" w:fill="auto"/>
          </w:tcPr>
          <w:p w14:paraId="0EE77A7B" w14:textId="77777777" w:rsidR="00550391" w:rsidRPr="00F93BD2" w:rsidRDefault="00550391" w:rsidP="002C64AC">
            <w:pPr>
              <w:spacing w:before="40" w:line="240" w:lineRule="auto"/>
              <w:ind w:right="65"/>
              <w:jc w:val="right"/>
              <w:rPr>
                <w:sz w:val="18"/>
                <w:szCs w:val="18"/>
              </w:rPr>
            </w:pPr>
            <w:r w:rsidRPr="00F93BD2">
              <w:rPr>
                <w:sz w:val="18"/>
                <w:szCs w:val="18"/>
              </w:rPr>
              <w:t xml:space="preserve">  1 731</w:t>
            </w:r>
          </w:p>
        </w:tc>
        <w:tc>
          <w:tcPr>
            <w:tcW w:w="1559" w:type="dxa"/>
            <w:shd w:val="clear" w:color="auto" w:fill="auto"/>
          </w:tcPr>
          <w:p w14:paraId="61527B0D" w14:textId="77777777" w:rsidR="00550391" w:rsidRPr="00F93BD2" w:rsidRDefault="00550391" w:rsidP="002C64AC">
            <w:pPr>
              <w:spacing w:before="40" w:line="240" w:lineRule="auto"/>
              <w:ind w:right="65"/>
              <w:jc w:val="right"/>
              <w:rPr>
                <w:sz w:val="18"/>
                <w:szCs w:val="18"/>
              </w:rPr>
            </w:pPr>
            <w:r w:rsidRPr="00F93BD2">
              <w:rPr>
                <w:sz w:val="18"/>
                <w:szCs w:val="18"/>
              </w:rPr>
              <w:t xml:space="preserve">  1 731</w:t>
            </w:r>
          </w:p>
        </w:tc>
      </w:tr>
      <w:tr w:rsidR="00C81DAB" w:rsidRPr="00F93BD2" w14:paraId="6EC5EDC2" w14:textId="77777777" w:rsidTr="002E548E">
        <w:tc>
          <w:tcPr>
            <w:tcW w:w="2268" w:type="dxa"/>
            <w:shd w:val="clear" w:color="auto" w:fill="auto"/>
            <w:vAlign w:val="center"/>
          </w:tcPr>
          <w:p w14:paraId="38391402" w14:textId="77777777" w:rsidR="00550391" w:rsidRPr="00F93BD2" w:rsidRDefault="00550391" w:rsidP="002C64AC">
            <w:pPr>
              <w:spacing w:before="40" w:line="240" w:lineRule="auto"/>
              <w:ind w:right="113"/>
            </w:pPr>
            <w:r w:rsidRPr="00F93BD2">
              <w:rPr>
                <w:color w:val="000000"/>
                <w:sz w:val="18"/>
                <w:szCs w:val="18"/>
              </w:rPr>
              <w:t>Russian Federation</w:t>
            </w:r>
            <w:r w:rsidRPr="00F93BD2">
              <w:rPr>
                <w:bCs/>
                <w:i/>
                <w:sz w:val="18"/>
                <w:szCs w:val="18"/>
                <w:vertAlign w:val="superscript"/>
              </w:rPr>
              <w:t>a</w:t>
            </w:r>
          </w:p>
        </w:tc>
        <w:tc>
          <w:tcPr>
            <w:tcW w:w="1134" w:type="dxa"/>
            <w:shd w:val="clear" w:color="auto" w:fill="auto"/>
          </w:tcPr>
          <w:p w14:paraId="00C15B0F" w14:textId="77777777" w:rsidR="00550391" w:rsidRPr="00F93BD2" w:rsidRDefault="00550391" w:rsidP="002C64AC">
            <w:pPr>
              <w:spacing w:before="40" w:line="240" w:lineRule="auto"/>
              <w:ind w:right="65"/>
              <w:jc w:val="right"/>
              <w:rPr>
                <w:sz w:val="18"/>
                <w:szCs w:val="18"/>
              </w:rPr>
            </w:pPr>
            <w:r w:rsidRPr="00F93BD2">
              <w:rPr>
                <w:sz w:val="18"/>
                <w:szCs w:val="18"/>
              </w:rPr>
              <w:t>2.743</w:t>
            </w:r>
          </w:p>
        </w:tc>
        <w:tc>
          <w:tcPr>
            <w:tcW w:w="1552" w:type="dxa"/>
            <w:shd w:val="clear" w:color="auto" w:fill="auto"/>
          </w:tcPr>
          <w:p w14:paraId="14CF091F" w14:textId="77777777" w:rsidR="00550391" w:rsidRPr="00F93BD2" w:rsidRDefault="00550391" w:rsidP="002C64AC">
            <w:pPr>
              <w:spacing w:before="40" w:line="240" w:lineRule="auto"/>
              <w:ind w:right="65"/>
              <w:jc w:val="right"/>
              <w:rPr>
                <w:sz w:val="18"/>
                <w:szCs w:val="18"/>
              </w:rPr>
            </w:pPr>
            <w:r w:rsidRPr="00F93BD2">
              <w:rPr>
                <w:sz w:val="18"/>
                <w:szCs w:val="18"/>
              </w:rPr>
              <w:t xml:space="preserve">-   </w:t>
            </w:r>
          </w:p>
        </w:tc>
        <w:tc>
          <w:tcPr>
            <w:tcW w:w="1566" w:type="dxa"/>
            <w:shd w:val="clear" w:color="auto" w:fill="auto"/>
          </w:tcPr>
          <w:p w14:paraId="659DA65A" w14:textId="77777777" w:rsidR="00550391" w:rsidRPr="00F93BD2" w:rsidRDefault="00550391" w:rsidP="002C64AC">
            <w:pPr>
              <w:spacing w:before="40" w:line="240" w:lineRule="auto"/>
              <w:ind w:right="65"/>
              <w:jc w:val="right"/>
              <w:rPr>
                <w:sz w:val="18"/>
                <w:szCs w:val="18"/>
              </w:rPr>
            </w:pPr>
            <w:r w:rsidRPr="00F93BD2">
              <w:rPr>
                <w:sz w:val="18"/>
                <w:szCs w:val="18"/>
              </w:rPr>
              <w:t>-</w:t>
            </w:r>
          </w:p>
        </w:tc>
        <w:tc>
          <w:tcPr>
            <w:tcW w:w="1558" w:type="dxa"/>
            <w:shd w:val="clear" w:color="auto" w:fill="auto"/>
          </w:tcPr>
          <w:p w14:paraId="6C03C9F5" w14:textId="77777777" w:rsidR="00550391" w:rsidRPr="00F93BD2" w:rsidRDefault="00550391" w:rsidP="002C64AC">
            <w:pPr>
              <w:spacing w:before="40" w:line="240" w:lineRule="auto"/>
              <w:ind w:right="65"/>
              <w:jc w:val="right"/>
              <w:rPr>
                <w:sz w:val="18"/>
                <w:szCs w:val="18"/>
              </w:rPr>
            </w:pPr>
            <w:r w:rsidRPr="00F93BD2">
              <w:rPr>
                <w:sz w:val="18"/>
                <w:szCs w:val="18"/>
              </w:rPr>
              <w:t>-</w:t>
            </w:r>
          </w:p>
        </w:tc>
        <w:tc>
          <w:tcPr>
            <w:tcW w:w="1559" w:type="dxa"/>
            <w:shd w:val="clear" w:color="auto" w:fill="auto"/>
          </w:tcPr>
          <w:p w14:paraId="6867BCE1" w14:textId="77777777" w:rsidR="00550391" w:rsidRPr="00F93BD2" w:rsidRDefault="00550391" w:rsidP="002C64AC">
            <w:pPr>
              <w:spacing w:before="40" w:line="240" w:lineRule="auto"/>
              <w:ind w:right="65"/>
              <w:jc w:val="right"/>
              <w:rPr>
                <w:sz w:val="18"/>
                <w:szCs w:val="18"/>
              </w:rPr>
            </w:pPr>
            <w:r w:rsidRPr="00F93BD2">
              <w:rPr>
                <w:sz w:val="18"/>
                <w:szCs w:val="18"/>
              </w:rPr>
              <w:t>-</w:t>
            </w:r>
          </w:p>
        </w:tc>
      </w:tr>
      <w:tr w:rsidR="00C81DAB" w:rsidRPr="00F93BD2" w14:paraId="51DBBD83" w14:textId="77777777" w:rsidTr="002E548E">
        <w:tc>
          <w:tcPr>
            <w:tcW w:w="2268" w:type="dxa"/>
            <w:shd w:val="clear" w:color="auto" w:fill="auto"/>
            <w:vAlign w:val="center"/>
          </w:tcPr>
          <w:p w14:paraId="3A3F2C81" w14:textId="77777777" w:rsidR="00550391" w:rsidRPr="00F93BD2" w:rsidRDefault="00550391" w:rsidP="002C64AC">
            <w:pPr>
              <w:spacing w:before="40" w:line="240" w:lineRule="auto"/>
              <w:ind w:right="113"/>
            </w:pPr>
            <w:r w:rsidRPr="00F93BD2">
              <w:rPr>
                <w:color w:val="000000"/>
                <w:sz w:val="18"/>
                <w:szCs w:val="18"/>
              </w:rPr>
              <w:t>Slovakia</w:t>
            </w:r>
          </w:p>
        </w:tc>
        <w:tc>
          <w:tcPr>
            <w:tcW w:w="1134" w:type="dxa"/>
            <w:shd w:val="clear" w:color="auto" w:fill="auto"/>
          </w:tcPr>
          <w:p w14:paraId="249B229D" w14:textId="77777777" w:rsidR="00550391" w:rsidRPr="00F93BD2" w:rsidRDefault="00550391" w:rsidP="002C64AC">
            <w:pPr>
              <w:spacing w:before="40" w:line="240" w:lineRule="auto"/>
              <w:ind w:right="65"/>
              <w:jc w:val="right"/>
              <w:rPr>
                <w:sz w:val="18"/>
                <w:szCs w:val="18"/>
              </w:rPr>
            </w:pPr>
            <w:r w:rsidRPr="00F93BD2">
              <w:rPr>
                <w:sz w:val="18"/>
                <w:szCs w:val="18"/>
              </w:rPr>
              <w:t>0.113</w:t>
            </w:r>
          </w:p>
        </w:tc>
        <w:tc>
          <w:tcPr>
            <w:tcW w:w="1552" w:type="dxa"/>
            <w:shd w:val="clear" w:color="auto" w:fill="auto"/>
          </w:tcPr>
          <w:p w14:paraId="6E8B9B07" w14:textId="77777777" w:rsidR="00550391" w:rsidRPr="00F93BD2" w:rsidRDefault="00550391" w:rsidP="002C64AC">
            <w:pPr>
              <w:spacing w:before="40" w:line="240" w:lineRule="auto"/>
              <w:ind w:right="65"/>
              <w:jc w:val="right"/>
              <w:rPr>
                <w:sz w:val="18"/>
                <w:szCs w:val="18"/>
              </w:rPr>
            </w:pPr>
            <w:r w:rsidRPr="00F93BD2">
              <w:rPr>
                <w:sz w:val="18"/>
                <w:szCs w:val="18"/>
              </w:rPr>
              <w:t xml:space="preserve">  3 019</w:t>
            </w:r>
          </w:p>
        </w:tc>
        <w:tc>
          <w:tcPr>
            <w:tcW w:w="1566" w:type="dxa"/>
            <w:shd w:val="clear" w:color="auto" w:fill="auto"/>
          </w:tcPr>
          <w:p w14:paraId="7CC74C02" w14:textId="77777777" w:rsidR="00550391" w:rsidRPr="00F93BD2" w:rsidRDefault="00550391" w:rsidP="002C64AC">
            <w:pPr>
              <w:spacing w:before="40" w:line="240" w:lineRule="auto"/>
              <w:ind w:right="65"/>
              <w:jc w:val="right"/>
              <w:rPr>
                <w:sz w:val="18"/>
                <w:szCs w:val="18"/>
              </w:rPr>
            </w:pPr>
            <w:r w:rsidRPr="00F93BD2">
              <w:rPr>
                <w:sz w:val="18"/>
                <w:szCs w:val="18"/>
              </w:rPr>
              <w:t xml:space="preserve">  3 019</w:t>
            </w:r>
          </w:p>
        </w:tc>
        <w:tc>
          <w:tcPr>
            <w:tcW w:w="1558" w:type="dxa"/>
            <w:shd w:val="clear" w:color="auto" w:fill="auto"/>
          </w:tcPr>
          <w:p w14:paraId="04BBDB4C" w14:textId="77777777" w:rsidR="00550391" w:rsidRPr="00F93BD2" w:rsidRDefault="00550391" w:rsidP="002C64AC">
            <w:pPr>
              <w:spacing w:before="40" w:line="240" w:lineRule="auto"/>
              <w:ind w:right="65"/>
              <w:jc w:val="right"/>
              <w:rPr>
                <w:sz w:val="18"/>
                <w:szCs w:val="18"/>
              </w:rPr>
            </w:pPr>
            <w:r w:rsidRPr="00F93BD2">
              <w:rPr>
                <w:sz w:val="18"/>
                <w:szCs w:val="18"/>
              </w:rPr>
              <w:t xml:space="preserve">  1 569</w:t>
            </w:r>
          </w:p>
        </w:tc>
        <w:tc>
          <w:tcPr>
            <w:tcW w:w="1559" w:type="dxa"/>
            <w:shd w:val="clear" w:color="auto" w:fill="auto"/>
          </w:tcPr>
          <w:p w14:paraId="35D89BBF" w14:textId="77777777" w:rsidR="00550391" w:rsidRPr="00F93BD2" w:rsidRDefault="00550391" w:rsidP="002C64AC">
            <w:pPr>
              <w:spacing w:before="40" w:line="240" w:lineRule="auto"/>
              <w:ind w:right="65"/>
              <w:jc w:val="right"/>
              <w:rPr>
                <w:sz w:val="18"/>
                <w:szCs w:val="18"/>
              </w:rPr>
            </w:pPr>
            <w:r w:rsidRPr="00F93BD2">
              <w:rPr>
                <w:sz w:val="18"/>
                <w:szCs w:val="18"/>
              </w:rPr>
              <w:t xml:space="preserve">  1 569</w:t>
            </w:r>
          </w:p>
        </w:tc>
      </w:tr>
      <w:tr w:rsidR="00C81DAB" w:rsidRPr="00F93BD2" w14:paraId="6A4196E5" w14:textId="77777777" w:rsidTr="002E548E">
        <w:tc>
          <w:tcPr>
            <w:tcW w:w="2268" w:type="dxa"/>
            <w:shd w:val="clear" w:color="auto" w:fill="auto"/>
            <w:vAlign w:val="center"/>
          </w:tcPr>
          <w:p w14:paraId="76021D3C" w14:textId="77777777" w:rsidR="00550391" w:rsidRPr="00F93BD2" w:rsidRDefault="00550391" w:rsidP="002C64AC">
            <w:pPr>
              <w:spacing w:before="40" w:line="240" w:lineRule="auto"/>
              <w:ind w:right="113"/>
            </w:pPr>
            <w:r w:rsidRPr="00F93BD2">
              <w:rPr>
                <w:color w:val="000000"/>
                <w:sz w:val="18"/>
                <w:szCs w:val="18"/>
              </w:rPr>
              <w:t>Slovenia</w:t>
            </w:r>
          </w:p>
        </w:tc>
        <w:tc>
          <w:tcPr>
            <w:tcW w:w="1134" w:type="dxa"/>
            <w:shd w:val="clear" w:color="auto" w:fill="auto"/>
          </w:tcPr>
          <w:p w14:paraId="4A286E0C" w14:textId="77777777" w:rsidR="00550391" w:rsidRPr="00F93BD2" w:rsidRDefault="00550391" w:rsidP="002C64AC">
            <w:pPr>
              <w:spacing w:before="40" w:line="240" w:lineRule="auto"/>
              <w:ind w:right="65"/>
              <w:jc w:val="right"/>
              <w:rPr>
                <w:sz w:val="18"/>
                <w:szCs w:val="18"/>
              </w:rPr>
            </w:pPr>
            <w:r w:rsidRPr="00F93BD2">
              <w:rPr>
                <w:sz w:val="18"/>
                <w:szCs w:val="18"/>
              </w:rPr>
              <w:t>0.171</w:t>
            </w:r>
          </w:p>
        </w:tc>
        <w:tc>
          <w:tcPr>
            <w:tcW w:w="1552" w:type="dxa"/>
            <w:shd w:val="clear" w:color="auto" w:fill="auto"/>
          </w:tcPr>
          <w:p w14:paraId="0C12A7E4" w14:textId="77777777" w:rsidR="00550391" w:rsidRPr="00F93BD2" w:rsidRDefault="00550391" w:rsidP="002C64AC">
            <w:pPr>
              <w:spacing w:before="40" w:line="240" w:lineRule="auto"/>
              <w:ind w:right="65"/>
              <w:jc w:val="right"/>
              <w:rPr>
                <w:sz w:val="18"/>
                <w:szCs w:val="18"/>
              </w:rPr>
            </w:pPr>
            <w:r w:rsidRPr="00F93BD2">
              <w:rPr>
                <w:sz w:val="18"/>
                <w:szCs w:val="18"/>
              </w:rPr>
              <w:t xml:space="preserve">  4 580</w:t>
            </w:r>
          </w:p>
        </w:tc>
        <w:tc>
          <w:tcPr>
            <w:tcW w:w="1566" w:type="dxa"/>
            <w:shd w:val="clear" w:color="auto" w:fill="auto"/>
          </w:tcPr>
          <w:p w14:paraId="42BF8E06" w14:textId="77777777" w:rsidR="00550391" w:rsidRPr="00F93BD2" w:rsidRDefault="00550391" w:rsidP="002C64AC">
            <w:pPr>
              <w:spacing w:before="40" w:line="240" w:lineRule="auto"/>
              <w:ind w:right="65"/>
              <w:jc w:val="right"/>
              <w:rPr>
                <w:sz w:val="18"/>
                <w:szCs w:val="18"/>
              </w:rPr>
            </w:pPr>
            <w:r w:rsidRPr="00F93BD2">
              <w:rPr>
                <w:sz w:val="18"/>
                <w:szCs w:val="18"/>
              </w:rPr>
              <w:t xml:space="preserve">  4 580</w:t>
            </w:r>
          </w:p>
        </w:tc>
        <w:tc>
          <w:tcPr>
            <w:tcW w:w="1558" w:type="dxa"/>
            <w:shd w:val="clear" w:color="auto" w:fill="auto"/>
          </w:tcPr>
          <w:p w14:paraId="49B85EDC" w14:textId="77777777" w:rsidR="00550391" w:rsidRPr="00F93BD2" w:rsidRDefault="00550391" w:rsidP="002C64AC">
            <w:pPr>
              <w:spacing w:before="40" w:line="240" w:lineRule="auto"/>
              <w:ind w:right="65"/>
              <w:jc w:val="right"/>
              <w:rPr>
                <w:sz w:val="18"/>
                <w:szCs w:val="18"/>
              </w:rPr>
            </w:pPr>
            <w:r w:rsidRPr="00F93BD2">
              <w:rPr>
                <w:sz w:val="18"/>
                <w:szCs w:val="18"/>
              </w:rPr>
              <w:t xml:space="preserve">  2 380</w:t>
            </w:r>
          </w:p>
        </w:tc>
        <w:tc>
          <w:tcPr>
            <w:tcW w:w="1559" w:type="dxa"/>
            <w:shd w:val="clear" w:color="auto" w:fill="auto"/>
          </w:tcPr>
          <w:p w14:paraId="411C003A" w14:textId="77777777" w:rsidR="00550391" w:rsidRPr="00F93BD2" w:rsidRDefault="00550391" w:rsidP="002C64AC">
            <w:pPr>
              <w:spacing w:before="40" w:line="240" w:lineRule="auto"/>
              <w:ind w:right="65"/>
              <w:jc w:val="right"/>
              <w:rPr>
                <w:sz w:val="18"/>
                <w:szCs w:val="18"/>
              </w:rPr>
            </w:pPr>
            <w:r w:rsidRPr="00F93BD2">
              <w:rPr>
                <w:sz w:val="18"/>
                <w:szCs w:val="18"/>
              </w:rPr>
              <w:t xml:space="preserve">  2 380</w:t>
            </w:r>
          </w:p>
        </w:tc>
      </w:tr>
      <w:tr w:rsidR="00C81DAB" w:rsidRPr="00F93BD2" w14:paraId="011B6497" w14:textId="77777777" w:rsidTr="002E548E">
        <w:tc>
          <w:tcPr>
            <w:tcW w:w="2268" w:type="dxa"/>
            <w:shd w:val="clear" w:color="auto" w:fill="auto"/>
            <w:vAlign w:val="center"/>
          </w:tcPr>
          <w:p w14:paraId="7146C99F" w14:textId="77777777" w:rsidR="00550391" w:rsidRPr="00F93BD2" w:rsidRDefault="00550391" w:rsidP="002C64AC">
            <w:pPr>
              <w:spacing w:before="40" w:line="240" w:lineRule="auto"/>
              <w:ind w:right="113"/>
            </w:pPr>
            <w:r w:rsidRPr="00F93BD2">
              <w:rPr>
                <w:color w:val="000000"/>
                <w:sz w:val="18"/>
                <w:szCs w:val="18"/>
              </w:rPr>
              <w:t>Spain</w:t>
            </w:r>
          </w:p>
        </w:tc>
        <w:tc>
          <w:tcPr>
            <w:tcW w:w="1134" w:type="dxa"/>
            <w:shd w:val="clear" w:color="auto" w:fill="auto"/>
          </w:tcPr>
          <w:p w14:paraId="43B1D152" w14:textId="77777777" w:rsidR="00550391" w:rsidRPr="00F93BD2" w:rsidRDefault="00550391" w:rsidP="002C64AC">
            <w:pPr>
              <w:spacing w:before="40" w:line="240" w:lineRule="auto"/>
              <w:ind w:right="65"/>
              <w:jc w:val="right"/>
              <w:rPr>
                <w:sz w:val="18"/>
                <w:szCs w:val="18"/>
              </w:rPr>
            </w:pPr>
            <w:r w:rsidRPr="00F93BD2">
              <w:rPr>
                <w:sz w:val="18"/>
                <w:szCs w:val="18"/>
              </w:rPr>
              <w:t>5.311</w:t>
            </w:r>
          </w:p>
        </w:tc>
        <w:tc>
          <w:tcPr>
            <w:tcW w:w="1552" w:type="dxa"/>
            <w:shd w:val="clear" w:color="auto" w:fill="auto"/>
          </w:tcPr>
          <w:p w14:paraId="17B81AAC" w14:textId="77777777" w:rsidR="00550391" w:rsidRPr="00F93BD2" w:rsidRDefault="00550391" w:rsidP="002C64AC">
            <w:pPr>
              <w:spacing w:before="40" w:line="240" w:lineRule="auto"/>
              <w:ind w:right="65"/>
              <w:jc w:val="right"/>
              <w:rPr>
                <w:sz w:val="18"/>
                <w:szCs w:val="18"/>
              </w:rPr>
            </w:pPr>
            <w:r w:rsidRPr="00F93BD2">
              <w:rPr>
                <w:sz w:val="18"/>
                <w:szCs w:val="18"/>
              </w:rPr>
              <w:t xml:space="preserve">  141 979</w:t>
            </w:r>
          </w:p>
        </w:tc>
        <w:tc>
          <w:tcPr>
            <w:tcW w:w="1566" w:type="dxa"/>
            <w:shd w:val="clear" w:color="auto" w:fill="auto"/>
          </w:tcPr>
          <w:p w14:paraId="0CE3F0D5" w14:textId="77777777" w:rsidR="00550391" w:rsidRPr="00F93BD2" w:rsidRDefault="00550391" w:rsidP="002C64AC">
            <w:pPr>
              <w:spacing w:before="40" w:line="240" w:lineRule="auto"/>
              <w:ind w:right="65"/>
              <w:jc w:val="right"/>
              <w:rPr>
                <w:sz w:val="18"/>
                <w:szCs w:val="18"/>
              </w:rPr>
            </w:pPr>
            <w:r w:rsidRPr="00F93BD2">
              <w:rPr>
                <w:sz w:val="18"/>
                <w:szCs w:val="18"/>
              </w:rPr>
              <w:t xml:space="preserve">  141 979</w:t>
            </w:r>
          </w:p>
        </w:tc>
        <w:tc>
          <w:tcPr>
            <w:tcW w:w="1558" w:type="dxa"/>
            <w:shd w:val="clear" w:color="auto" w:fill="auto"/>
          </w:tcPr>
          <w:p w14:paraId="1F9AE5A3" w14:textId="77777777" w:rsidR="00550391" w:rsidRPr="00F93BD2" w:rsidRDefault="00550391" w:rsidP="002C64AC">
            <w:pPr>
              <w:spacing w:before="40" w:line="240" w:lineRule="auto"/>
              <w:ind w:right="65"/>
              <w:jc w:val="right"/>
              <w:rPr>
                <w:sz w:val="18"/>
                <w:szCs w:val="18"/>
              </w:rPr>
            </w:pPr>
            <w:r w:rsidRPr="00F93BD2">
              <w:rPr>
                <w:sz w:val="18"/>
                <w:szCs w:val="18"/>
              </w:rPr>
              <w:t xml:space="preserve">  73 779</w:t>
            </w:r>
          </w:p>
        </w:tc>
        <w:tc>
          <w:tcPr>
            <w:tcW w:w="1559" w:type="dxa"/>
            <w:shd w:val="clear" w:color="auto" w:fill="auto"/>
          </w:tcPr>
          <w:p w14:paraId="146851EB" w14:textId="77777777" w:rsidR="00550391" w:rsidRPr="00F93BD2" w:rsidRDefault="00550391" w:rsidP="002C64AC">
            <w:pPr>
              <w:spacing w:before="40" w:line="240" w:lineRule="auto"/>
              <w:ind w:right="65"/>
              <w:jc w:val="right"/>
              <w:rPr>
                <w:sz w:val="18"/>
                <w:szCs w:val="18"/>
              </w:rPr>
            </w:pPr>
            <w:r w:rsidRPr="00F93BD2">
              <w:rPr>
                <w:sz w:val="18"/>
                <w:szCs w:val="18"/>
              </w:rPr>
              <w:t xml:space="preserve">  73 779</w:t>
            </w:r>
          </w:p>
        </w:tc>
      </w:tr>
      <w:tr w:rsidR="00C81DAB" w:rsidRPr="00F93BD2" w14:paraId="1EFE2953" w14:textId="77777777" w:rsidTr="002E548E">
        <w:tc>
          <w:tcPr>
            <w:tcW w:w="2268" w:type="dxa"/>
            <w:shd w:val="clear" w:color="auto" w:fill="auto"/>
            <w:vAlign w:val="center"/>
          </w:tcPr>
          <w:p w14:paraId="12EE9B86" w14:textId="77777777" w:rsidR="00550391" w:rsidRPr="00F93BD2" w:rsidRDefault="00550391" w:rsidP="002C64AC">
            <w:pPr>
              <w:spacing w:before="40" w:line="240" w:lineRule="auto"/>
              <w:ind w:right="113"/>
            </w:pPr>
            <w:r w:rsidRPr="00F93BD2">
              <w:rPr>
                <w:color w:val="000000"/>
                <w:sz w:val="18"/>
                <w:szCs w:val="18"/>
              </w:rPr>
              <w:t>Sweden</w:t>
            </w:r>
          </w:p>
        </w:tc>
        <w:tc>
          <w:tcPr>
            <w:tcW w:w="1134" w:type="dxa"/>
            <w:shd w:val="clear" w:color="auto" w:fill="auto"/>
          </w:tcPr>
          <w:p w14:paraId="66D10CAA" w14:textId="77777777" w:rsidR="00550391" w:rsidRPr="00F93BD2" w:rsidRDefault="00550391" w:rsidP="002C64AC">
            <w:pPr>
              <w:spacing w:before="40" w:line="240" w:lineRule="auto"/>
              <w:ind w:right="65"/>
              <w:jc w:val="right"/>
              <w:rPr>
                <w:sz w:val="18"/>
                <w:szCs w:val="18"/>
              </w:rPr>
            </w:pPr>
            <w:r w:rsidRPr="00F93BD2">
              <w:rPr>
                <w:sz w:val="18"/>
                <w:szCs w:val="18"/>
              </w:rPr>
              <w:t>1.917</w:t>
            </w:r>
          </w:p>
        </w:tc>
        <w:tc>
          <w:tcPr>
            <w:tcW w:w="1552" w:type="dxa"/>
            <w:shd w:val="clear" w:color="auto" w:fill="auto"/>
          </w:tcPr>
          <w:p w14:paraId="7CDFC8CF" w14:textId="77777777" w:rsidR="00550391" w:rsidRPr="00F93BD2" w:rsidRDefault="00550391" w:rsidP="002C64AC">
            <w:pPr>
              <w:spacing w:before="40" w:line="240" w:lineRule="auto"/>
              <w:ind w:right="65"/>
              <w:jc w:val="right"/>
              <w:rPr>
                <w:sz w:val="18"/>
                <w:szCs w:val="18"/>
              </w:rPr>
            </w:pPr>
            <w:r w:rsidRPr="00F93BD2">
              <w:rPr>
                <w:sz w:val="18"/>
                <w:szCs w:val="18"/>
              </w:rPr>
              <w:t xml:space="preserve">  51 238</w:t>
            </w:r>
          </w:p>
        </w:tc>
        <w:tc>
          <w:tcPr>
            <w:tcW w:w="1566" w:type="dxa"/>
            <w:shd w:val="clear" w:color="auto" w:fill="auto"/>
          </w:tcPr>
          <w:p w14:paraId="302796B3" w14:textId="77777777" w:rsidR="00550391" w:rsidRPr="00F93BD2" w:rsidRDefault="00550391" w:rsidP="002C64AC">
            <w:pPr>
              <w:spacing w:before="40" w:line="240" w:lineRule="auto"/>
              <w:ind w:right="65"/>
              <w:jc w:val="right"/>
              <w:rPr>
                <w:sz w:val="18"/>
                <w:szCs w:val="18"/>
              </w:rPr>
            </w:pPr>
            <w:r w:rsidRPr="00F93BD2">
              <w:rPr>
                <w:sz w:val="18"/>
                <w:szCs w:val="18"/>
              </w:rPr>
              <w:t xml:space="preserve">  51 238</w:t>
            </w:r>
          </w:p>
        </w:tc>
        <w:tc>
          <w:tcPr>
            <w:tcW w:w="1558" w:type="dxa"/>
            <w:shd w:val="clear" w:color="auto" w:fill="auto"/>
          </w:tcPr>
          <w:p w14:paraId="79CD2146" w14:textId="77777777" w:rsidR="00550391" w:rsidRPr="00F93BD2" w:rsidRDefault="00550391" w:rsidP="002C64AC">
            <w:pPr>
              <w:spacing w:before="40" w:line="240" w:lineRule="auto"/>
              <w:ind w:right="65"/>
              <w:jc w:val="right"/>
              <w:rPr>
                <w:sz w:val="18"/>
                <w:szCs w:val="18"/>
              </w:rPr>
            </w:pPr>
            <w:r w:rsidRPr="00F93BD2">
              <w:rPr>
                <w:sz w:val="18"/>
                <w:szCs w:val="18"/>
              </w:rPr>
              <w:t xml:space="preserve">  26 626</w:t>
            </w:r>
          </w:p>
        </w:tc>
        <w:tc>
          <w:tcPr>
            <w:tcW w:w="1559" w:type="dxa"/>
            <w:shd w:val="clear" w:color="auto" w:fill="auto"/>
          </w:tcPr>
          <w:p w14:paraId="4D8268E0" w14:textId="77777777" w:rsidR="00550391" w:rsidRPr="00F93BD2" w:rsidRDefault="00550391" w:rsidP="002C64AC">
            <w:pPr>
              <w:spacing w:before="40" w:line="240" w:lineRule="auto"/>
              <w:ind w:right="65"/>
              <w:jc w:val="right"/>
              <w:rPr>
                <w:sz w:val="18"/>
                <w:szCs w:val="18"/>
              </w:rPr>
            </w:pPr>
            <w:r w:rsidRPr="00F93BD2">
              <w:rPr>
                <w:sz w:val="18"/>
                <w:szCs w:val="18"/>
              </w:rPr>
              <w:t xml:space="preserve">  26 626</w:t>
            </w:r>
          </w:p>
        </w:tc>
      </w:tr>
      <w:tr w:rsidR="00C81DAB" w:rsidRPr="00F93BD2" w14:paraId="0D08EFD0" w14:textId="77777777" w:rsidTr="002E548E">
        <w:tc>
          <w:tcPr>
            <w:tcW w:w="2268" w:type="dxa"/>
            <w:shd w:val="clear" w:color="auto" w:fill="auto"/>
            <w:vAlign w:val="center"/>
          </w:tcPr>
          <w:p w14:paraId="178427BA" w14:textId="77777777" w:rsidR="00550391" w:rsidRPr="00F93BD2" w:rsidRDefault="00550391" w:rsidP="002C64AC">
            <w:pPr>
              <w:spacing w:before="40" w:line="240" w:lineRule="auto"/>
              <w:ind w:right="113"/>
            </w:pPr>
            <w:r w:rsidRPr="00F93BD2">
              <w:rPr>
                <w:color w:val="000000"/>
                <w:sz w:val="18"/>
                <w:szCs w:val="18"/>
              </w:rPr>
              <w:t>Switzerland</w:t>
            </w:r>
          </w:p>
        </w:tc>
        <w:tc>
          <w:tcPr>
            <w:tcW w:w="1134" w:type="dxa"/>
            <w:shd w:val="clear" w:color="auto" w:fill="auto"/>
          </w:tcPr>
          <w:p w14:paraId="43F4C47D" w14:textId="77777777" w:rsidR="00550391" w:rsidRPr="00F93BD2" w:rsidRDefault="00550391" w:rsidP="002C64AC">
            <w:pPr>
              <w:spacing w:before="40" w:line="240" w:lineRule="auto"/>
              <w:ind w:right="65"/>
              <w:jc w:val="right"/>
              <w:rPr>
                <w:sz w:val="18"/>
                <w:szCs w:val="18"/>
              </w:rPr>
            </w:pPr>
            <w:r w:rsidRPr="00F93BD2">
              <w:rPr>
                <w:sz w:val="18"/>
                <w:szCs w:val="18"/>
              </w:rPr>
              <w:t>2.760</w:t>
            </w:r>
          </w:p>
        </w:tc>
        <w:tc>
          <w:tcPr>
            <w:tcW w:w="1552" w:type="dxa"/>
            <w:shd w:val="clear" w:color="auto" w:fill="auto"/>
          </w:tcPr>
          <w:p w14:paraId="2022D8E9" w14:textId="77777777" w:rsidR="00550391" w:rsidRPr="00F93BD2" w:rsidRDefault="00550391" w:rsidP="002C64AC">
            <w:pPr>
              <w:spacing w:before="40" w:line="240" w:lineRule="auto"/>
              <w:ind w:right="65"/>
              <w:jc w:val="right"/>
              <w:rPr>
                <w:sz w:val="18"/>
                <w:szCs w:val="18"/>
              </w:rPr>
            </w:pPr>
            <w:r w:rsidRPr="00F93BD2">
              <w:rPr>
                <w:sz w:val="18"/>
                <w:szCs w:val="18"/>
              </w:rPr>
              <w:t xml:space="preserve">  73 774</w:t>
            </w:r>
          </w:p>
        </w:tc>
        <w:tc>
          <w:tcPr>
            <w:tcW w:w="1566" w:type="dxa"/>
            <w:shd w:val="clear" w:color="auto" w:fill="auto"/>
          </w:tcPr>
          <w:p w14:paraId="73E832E4" w14:textId="77777777" w:rsidR="00550391" w:rsidRPr="00F93BD2" w:rsidRDefault="00550391" w:rsidP="002C64AC">
            <w:pPr>
              <w:spacing w:before="40" w:line="240" w:lineRule="auto"/>
              <w:ind w:right="65"/>
              <w:jc w:val="right"/>
              <w:rPr>
                <w:sz w:val="18"/>
                <w:szCs w:val="18"/>
              </w:rPr>
            </w:pPr>
            <w:r w:rsidRPr="00F93BD2">
              <w:rPr>
                <w:sz w:val="18"/>
                <w:szCs w:val="18"/>
              </w:rPr>
              <w:t xml:space="preserve">  73 774</w:t>
            </w:r>
          </w:p>
        </w:tc>
        <w:tc>
          <w:tcPr>
            <w:tcW w:w="1558" w:type="dxa"/>
            <w:shd w:val="clear" w:color="auto" w:fill="auto"/>
          </w:tcPr>
          <w:p w14:paraId="2DF54346" w14:textId="77777777" w:rsidR="00550391" w:rsidRPr="00F93BD2" w:rsidRDefault="00550391" w:rsidP="002C64AC">
            <w:pPr>
              <w:spacing w:before="40" w:line="240" w:lineRule="auto"/>
              <w:ind w:right="65"/>
              <w:jc w:val="right"/>
              <w:rPr>
                <w:sz w:val="18"/>
                <w:szCs w:val="18"/>
              </w:rPr>
            </w:pPr>
            <w:r w:rsidRPr="00F93BD2">
              <w:rPr>
                <w:sz w:val="18"/>
                <w:szCs w:val="18"/>
              </w:rPr>
              <w:t xml:space="preserve">  38 337</w:t>
            </w:r>
          </w:p>
        </w:tc>
        <w:tc>
          <w:tcPr>
            <w:tcW w:w="1559" w:type="dxa"/>
            <w:shd w:val="clear" w:color="auto" w:fill="auto"/>
          </w:tcPr>
          <w:p w14:paraId="3522A461" w14:textId="77777777" w:rsidR="00550391" w:rsidRPr="00F93BD2" w:rsidRDefault="00550391" w:rsidP="002C64AC">
            <w:pPr>
              <w:spacing w:before="40" w:line="240" w:lineRule="auto"/>
              <w:ind w:right="65"/>
              <w:jc w:val="right"/>
              <w:rPr>
                <w:sz w:val="18"/>
                <w:szCs w:val="18"/>
              </w:rPr>
            </w:pPr>
            <w:r w:rsidRPr="00F93BD2">
              <w:rPr>
                <w:sz w:val="18"/>
                <w:szCs w:val="18"/>
              </w:rPr>
              <w:t xml:space="preserve">  38 337</w:t>
            </w:r>
          </w:p>
        </w:tc>
      </w:tr>
      <w:tr w:rsidR="00C81DAB" w:rsidRPr="00F93BD2" w14:paraId="5987EC49" w14:textId="77777777" w:rsidTr="002E548E">
        <w:tc>
          <w:tcPr>
            <w:tcW w:w="2268" w:type="dxa"/>
            <w:shd w:val="clear" w:color="auto" w:fill="auto"/>
            <w:vAlign w:val="center"/>
          </w:tcPr>
          <w:p w14:paraId="2AE4B87C" w14:textId="77777777" w:rsidR="00550391" w:rsidRPr="00F93BD2" w:rsidRDefault="00550391" w:rsidP="002C64AC">
            <w:pPr>
              <w:spacing w:before="40" w:after="100" w:afterAutospacing="1" w:line="240" w:lineRule="auto"/>
              <w:ind w:right="113"/>
              <w:rPr>
                <w:b/>
              </w:rPr>
            </w:pPr>
            <w:r w:rsidRPr="00F93BD2">
              <w:rPr>
                <w:color w:val="000000"/>
                <w:sz w:val="18"/>
                <w:szCs w:val="18"/>
              </w:rPr>
              <w:t>Ukraine</w:t>
            </w:r>
          </w:p>
        </w:tc>
        <w:tc>
          <w:tcPr>
            <w:tcW w:w="1134" w:type="dxa"/>
            <w:shd w:val="clear" w:color="auto" w:fill="auto"/>
          </w:tcPr>
          <w:p w14:paraId="2386302F" w14:textId="77777777" w:rsidR="00550391" w:rsidRPr="00F93BD2" w:rsidRDefault="00550391" w:rsidP="002C64AC">
            <w:pPr>
              <w:spacing w:before="40" w:after="100" w:afterAutospacing="1" w:line="240" w:lineRule="auto"/>
              <w:ind w:right="65"/>
              <w:jc w:val="right"/>
              <w:rPr>
                <w:sz w:val="18"/>
                <w:szCs w:val="18"/>
              </w:rPr>
            </w:pPr>
            <w:r w:rsidRPr="00F93BD2">
              <w:rPr>
                <w:sz w:val="18"/>
                <w:szCs w:val="18"/>
              </w:rPr>
              <w:t>0.745</w:t>
            </w:r>
          </w:p>
        </w:tc>
        <w:tc>
          <w:tcPr>
            <w:tcW w:w="1552" w:type="dxa"/>
            <w:shd w:val="clear" w:color="auto" w:fill="auto"/>
          </w:tcPr>
          <w:p w14:paraId="6DF34B52" w14:textId="77777777" w:rsidR="00550391" w:rsidRPr="00F93BD2" w:rsidRDefault="00550391" w:rsidP="002C64AC">
            <w:pPr>
              <w:spacing w:before="40" w:after="100" w:afterAutospacing="1" w:line="240" w:lineRule="auto"/>
              <w:ind w:right="65"/>
              <w:jc w:val="right"/>
              <w:rPr>
                <w:sz w:val="18"/>
                <w:szCs w:val="18"/>
              </w:rPr>
            </w:pPr>
            <w:r w:rsidRPr="00F93BD2">
              <w:rPr>
                <w:sz w:val="18"/>
                <w:szCs w:val="18"/>
              </w:rPr>
              <w:t xml:space="preserve">  19 907</w:t>
            </w:r>
          </w:p>
        </w:tc>
        <w:tc>
          <w:tcPr>
            <w:tcW w:w="1566" w:type="dxa"/>
            <w:shd w:val="clear" w:color="auto" w:fill="auto"/>
          </w:tcPr>
          <w:p w14:paraId="299D773C" w14:textId="77777777" w:rsidR="00550391" w:rsidRPr="00F93BD2" w:rsidRDefault="00550391" w:rsidP="002C64AC">
            <w:pPr>
              <w:spacing w:before="40" w:after="100" w:afterAutospacing="1" w:line="240" w:lineRule="auto"/>
              <w:ind w:right="65"/>
              <w:jc w:val="right"/>
              <w:rPr>
                <w:sz w:val="18"/>
                <w:szCs w:val="18"/>
              </w:rPr>
            </w:pPr>
            <w:r w:rsidRPr="00F93BD2">
              <w:rPr>
                <w:sz w:val="18"/>
                <w:szCs w:val="18"/>
              </w:rPr>
              <w:t xml:space="preserve">  19 907</w:t>
            </w:r>
          </w:p>
        </w:tc>
        <w:tc>
          <w:tcPr>
            <w:tcW w:w="1558" w:type="dxa"/>
            <w:shd w:val="clear" w:color="auto" w:fill="auto"/>
          </w:tcPr>
          <w:p w14:paraId="18F408C0" w14:textId="77777777" w:rsidR="00550391" w:rsidRPr="00F93BD2" w:rsidRDefault="00550391" w:rsidP="002C64AC">
            <w:pPr>
              <w:spacing w:before="40" w:after="100" w:afterAutospacing="1" w:line="240" w:lineRule="auto"/>
              <w:ind w:right="65"/>
              <w:jc w:val="right"/>
              <w:rPr>
                <w:sz w:val="18"/>
                <w:szCs w:val="18"/>
              </w:rPr>
            </w:pPr>
            <w:r w:rsidRPr="00F93BD2">
              <w:rPr>
                <w:sz w:val="18"/>
                <w:szCs w:val="18"/>
              </w:rPr>
              <w:t xml:space="preserve">  10 345</w:t>
            </w:r>
          </w:p>
        </w:tc>
        <w:tc>
          <w:tcPr>
            <w:tcW w:w="1559" w:type="dxa"/>
            <w:shd w:val="clear" w:color="auto" w:fill="auto"/>
          </w:tcPr>
          <w:p w14:paraId="650059F5" w14:textId="77777777" w:rsidR="00550391" w:rsidRPr="00F93BD2" w:rsidRDefault="00550391" w:rsidP="002C64AC">
            <w:pPr>
              <w:spacing w:before="40" w:after="100" w:afterAutospacing="1" w:line="240" w:lineRule="auto"/>
              <w:ind w:right="65"/>
              <w:jc w:val="right"/>
              <w:rPr>
                <w:sz w:val="18"/>
                <w:szCs w:val="18"/>
              </w:rPr>
            </w:pPr>
            <w:r w:rsidRPr="00F93BD2">
              <w:rPr>
                <w:sz w:val="18"/>
                <w:szCs w:val="18"/>
              </w:rPr>
              <w:t xml:space="preserve">  10 345</w:t>
            </w:r>
          </w:p>
        </w:tc>
      </w:tr>
      <w:tr w:rsidR="00C81DAB" w:rsidRPr="00F93BD2" w14:paraId="4B8E3167" w14:textId="77777777" w:rsidTr="002E548E">
        <w:tc>
          <w:tcPr>
            <w:tcW w:w="2268" w:type="dxa"/>
            <w:shd w:val="clear" w:color="auto" w:fill="auto"/>
          </w:tcPr>
          <w:p w14:paraId="4E809605" w14:textId="77777777" w:rsidR="00550391" w:rsidRPr="00F93BD2" w:rsidRDefault="00550391" w:rsidP="002C64AC">
            <w:pPr>
              <w:spacing w:before="40" w:after="100" w:afterAutospacing="1" w:line="240" w:lineRule="auto"/>
              <w:ind w:right="113"/>
              <w:rPr>
                <w:color w:val="000000"/>
                <w:sz w:val="18"/>
                <w:szCs w:val="18"/>
              </w:rPr>
            </w:pPr>
            <w:r w:rsidRPr="00F93BD2">
              <w:rPr>
                <w:color w:val="000000"/>
                <w:sz w:val="18"/>
                <w:szCs w:val="18"/>
              </w:rPr>
              <w:t>United Kingdom of Great Britain and Northern Ireland</w:t>
            </w:r>
          </w:p>
        </w:tc>
        <w:tc>
          <w:tcPr>
            <w:tcW w:w="1134" w:type="dxa"/>
            <w:shd w:val="clear" w:color="auto" w:fill="auto"/>
          </w:tcPr>
          <w:p w14:paraId="36080E11" w14:textId="77777777" w:rsidR="00550391" w:rsidRPr="00F93BD2" w:rsidRDefault="00550391" w:rsidP="002C64AC">
            <w:pPr>
              <w:spacing w:before="40" w:after="100" w:afterAutospacing="1" w:line="240" w:lineRule="auto"/>
              <w:ind w:right="65"/>
              <w:jc w:val="right"/>
              <w:rPr>
                <w:color w:val="000000"/>
                <w:sz w:val="18"/>
                <w:szCs w:val="18"/>
              </w:rPr>
            </w:pPr>
            <w:r w:rsidRPr="00F93BD2">
              <w:rPr>
                <w:sz w:val="18"/>
                <w:szCs w:val="18"/>
              </w:rPr>
              <w:t>11.888</w:t>
            </w:r>
          </w:p>
        </w:tc>
        <w:tc>
          <w:tcPr>
            <w:tcW w:w="1552" w:type="dxa"/>
            <w:shd w:val="clear" w:color="auto" w:fill="auto"/>
          </w:tcPr>
          <w:p w14:paraId="6E106A41" w14:textId="77777777" w:rsidR="00550391" w:rsidRPr="00F93BD2" w:rsidRDefault="00550391" w:rsidP="002C64AC">
            <w:pPr>
              <w:spacing w:before="40" w:after="100" w:afterAutospacing="1" w:line="240" w:lineRule="auto"/>
              <w:ind w:right="65"/>
              <w:jc w:val="right"/>
              <w:rPr>
                <w:color w:val="000000"/>
                <w:sz w:val="18"/>
                <w:szCs w:val="18"/>
              </w:rPr>
            </w:pPr>
            <w:r w:rsidRPr="00F93BD2">
              <w:rPr>
                <w:sz w:val="18"/>
                <w:szCs w:val="18"/>
              </w:rPr>
              <w:t xml:space="preserve">  317 814</w:t>
            </w:r>
          </w:p>
        </w:tc>
        <w:tc>
          <w:tcPr>
            <w:tcW w:w="1566" w:type="dxa"/>
            <w:shd w:val="clear" w:color="auto" w:fill="auto"/>
          </w:tcPr>
          <w:p w14:paraId="06C935C7" w14:textId="77777777" w:rsidR="00550391" w:rsidRPr="00F93BD2" w:rsidRDefault="00550391" w:rsidP="002C64AC">
            <w:pPr>
              <w:spacing w:before="40" w:after="100" w:afterAutospacing="1" w:line="240" w:lineRule="auto"/>
              <w:ind w:right="65"/>
              <w:jc w:val="right"/>
              <w:rPr>
                <w:color w:val="000000"/>
                <w:sz w:val="18"/>
                <w:szCs w:val="18"/>
              </w:rPr>
            </w:pPr>
            <w:r w:rsidRPr="00F93BD2">
              <w:rPr>
                <w:sz w:val="18"/>
                <w:szCs w:val="18"/>
              </w:rPr>
              <w:t xml:space="preserve">  317 814</w:t>
            </w:r>
          </w:p>
        </w:tc>
        <w:tc>
          <w:tcPr>
            <w:tcW w:w="1558" w:type="dxa"/>
            <w:shd w:val="clear" w:color="auto" w:fill="auto"/>
          </w:tcPr>
          <w:p w14:paraId="7020D800" w14:textId="77777777" w:rsidR="00550391" w:rsidRPr="00F93BD2" w:rsidRDefault="00550391" w:rsidP="002C64AC">
            <w:pPr>
              <w:spacing w:before="40" w:after="100" w:afterAutospacing="1" w:line="240" w:lineRule="auto"/>
              <w:ind w:right="65"/>
              <w:jc w:val="right"/>
              <w:rPr>
                <w:color w:val="000000"/>
                <w:sz w:val="18"/>
                <w:szCs w:val="18"/>
              </w:rPr>
            </w:pPr>
            <w:r w:rsidRPr="00F93BD2">
              <w:rPr>
                <w:sz w:val="18"/>
                <w:szCs w:val="18"/>
              </w:rPr>
              <w:t xml:space="preserve">  165 152</w:t>
            </w:r>
          </w:p>
        </w:tc>
        <w:tc>
          <w:tcPr>
            <w:tcW w:w="1559" w:type="dxa"/>
            <w:shd w:val="clear" w:color="auto" w:fill="auto"/>
          </w:tcPr>
          <w:p w14:paraId="370B677F" w14:textId="77777777" w:rsidR="00550391" w:rsidRPr="00F93BD2" w:rsidRDefault="00550391" w:rsidP="002C64AC">
            <w:pPr>
              <w:spacing w:before="40" w:after="100" w:afterAutospacing="1" w:line="240" w:lineRule="auto"/>
              <w:ind w:right="65"/>
              <w:jc w:val="right"/>
              <w:rPr>
                <w:color w:val="000000"/>
                <w:sz w:val="18"/>
                <w:szCs w:val="18"/>
              </w:rPr>
            </w:pPr>
            <w:r w:rsidRPr="00F93BD2">
              <w:rPr>
                <w:sz w:val="18"/>
                <w:szCs w:val="18"/>
              </w:rPr>
              <w:t xml:space="preserve">  165 152</w:t>
            </w:r>
          </w:p>
        </w:tc>
      </w:tr>
      <w:tr w:rsidR="00C81DAB" w:rsidRPr="00F93BD2" w14:paraId="55460CA5" w14:textId="77777777" w:rsidTr="002E548E">
        <w:tc>
          <w:tcPr>
            <w:tcW w:w="2268" w:type="dxa"/>
            <w:tcBorders>
              <w:bottom w:val="single" w:sz="4" w:space="0" w:color="auto"/>
            </w:tcBorders>
            <w:shd w:val="clear" w:color="auto" w:fill="auto"/>
            <w:vAlign w:val="center"/>
          </w:tcPr>
          <w:p w14:paraId="290A1416" w14:textId="77777777" w:rsidR="00550391" w:rsidRPr="00F93BD2" w:rsidRDefault="00550391" w:rsidP="002C64AC">
            <w:pPr>
              <w:keepLines/>
              <w:widowControl w:val="0"/>
              <w:tabs>
                <w:tab w:val="left" w:pos="265"/>
              </w:tabs>
              <w:ind w:left="265"/>
              <w:rPr>
                <w:color w:val="000000"/>
                <w:sz w:val="18"/>
                <w:szCs w:val="18"/>
              </w:rPr>
            </w:pPr>
            <w:r w:rsidRPr="00F93BD2">
              <w:rPr>
                <w:b/>
                <w:color w:val="000000"/>
                <w:sz w:val="18"/>
                <w:szCs w:val="18"/>
              </w:rPr>
              <w:t>Fees</w:t>
            </w:r>
          </w:p>
        </w:tc>
        <w:tc>
          <w:tcPr>
            <w:tcW w:w="1134" w:type="dxa"/>
            <w:tcBorders>
              <w:bottom w:val="single" w:sz="4" w:space="0" w:color="auto"/>
            </w:tcBorders>
            <w:shd w:val="clear" w:color="auto" w:fill="auto"/>
            <w:vAlign w:val="center"/>
          </w:tcPr>
          <w:p w14:paraId="02B15767" w14:textId="77777777" w:rsidR="00550391" w:rsidRPr="00F93BD2" w:rsidRDefault="00550391" w:rsidP="002C64AC">
            <w:pPr>
              <w:spacing w:before="40" w:after="100" w:afterAutospacing="1" w:line="240" w:lineRule="auto"/>
              <w:ind w:right="65"/>
              <w:jc w:val="right"/>
              <w:rPr>
                <w:sz w:val="18"/>
                <w:szCs w:val="18"/>
              </w:rPr>
            </w:pPr>
          </w:p>
        </w:tc>
        <w:tc>
          <w:tcPr>
            <w:tcW w:w="1552" w:type="dxa"/>
            <w:tcBorders>
              <w:bottom w:val="single" w:sz="4" w:space="0" w:color="auto"/>
            </w:tcBorders>
            <w:shd w:val="clear" w:color="auto" w:fill="auto"/>
            <w:vAlign w:val="center"/>
          </w:tcPr>
          <w:p w14:paraId="6872C1DD" w14:textId="77777777" w:rsidR="00550391" w:rsidRPr="00F93BD2" w:rsidRDefault="00550391" w:rsidP="002C64AC">
            <w:pPr>
              <w:spacing w:before="40" w:after="100" w:afterAutospacing="1" w:line="240" w:lineRule="auto"/>
              <w:ind w:right="65"/>
              <w:jc w:val="right"/>
              <w:rPr>
                <w:color w:val="000000"/>
                <w:sz w:val="18"/>
                <w:szCs w:val="18"/>
              </w:rPr>
            </w:pPr>
            <w:r w:rsidRPr="00F93BD2">
              <w:rPr>
                <w:b/>
                <w:sz w:val="18"/>
                <w:szCs w:val="18"/>
              </w:rPr>
              <w:t>2 602 260</w:t>
            </w:r>
          </w:p>
        </w:tc>
        <w:tc>
          <w:tcPr>
            <w:tcW w:w="1566" w:type="dxa"/>
            <w:tcBorders>
              <w:bottom w:val="single" w:sz="4" w:space="0" w:color="auto"/>
            </w:tcBorders>
            <w:shd w:val="clear" w:color="auto" w:fill="auto"/>
            <w:vAlign w:val="center"/>
          </w:tcPr>
          <w:p w14:paraId="15842504" w14:textId="77777777" w:rsidR="00550391" w:rsidRPr="00F93BD2" w:rsidRDefault="00550391" w:rsidP="002C64AC">
            <w:pPr>
              <w:spacing w:before="40" w:after="100" w:afterAutospacing="1" w:line="240" w:lineRule="auto"/>
              <w:ind w:right="65"/>
              <w:jc w:val="right"/>
              <w:rPr>
                <w:color w:val="000000"/>
                <w:sz w:val="18"/>
                <w:szCs w:val="18"/>
              </w:rPr>
            </w:pPr>
            <w:r w:rsidRPr="00F93BD2">
              <w:rPr>
                <w:b/>
                <w:sz w:val="18"/>
                <w:szCs w:val="18"/>
              </w:rPr>
              <w:t>2 602 260</w:t>
            </w:r>
          </w:p>
        </w:tc>
        <w:tc>
          <w:tcPr>
            <w:tcW w:w="1558" w:type="dxa"/>
            <w:tcBorders>
              <w:bottom w:val="single" w:sz="4" w:space="0" w:color="auto"/>
            </w:tcBorders>
            <w:shd w:val="clear" w:color="auto" w:fill="auto"/>
            <w:vAlign w:val="center"/>
          </w:tcPr>
          <w:p w14:paraId="098CB9E3" w14:textId="77777777" w:rsidR="00550391" w:rsidRPr="00F93BD2" w:rsidRDefault="00550391" w:rsidP="002C64AC">
            <w:pPr>
              <w:spacing w:before="40" w:after="100" w:afterAutospacing="1" w:line="240" w:lineRule="auto"/>
              <w:ind w:right="65"/>
              <w:jc w:val="right"/>
              <w:rPr>
                <w:sz w:val="18"/>
                <w:szCs w:val="18"/>
              </w:rPr>
            </w:pPr>
            <w:r w:rsidRPr="00F93BD2">
              <w:rPr>
                <w:b/>
                <w:sz w:val="18"/>
                <w:szCs w:val="18"/>
              </w:rPr>
              <w:t>1 352 260</w:t>
            </w:r>
          </w:p>
        </w:tc>
        <w:tc>
          <w:tcPr>
            <w:tcW w:w="1559" w:type="dxa"/>
            <w:tcBorders>
              <w:bottom w:val="single" w:sz="4" w:space="0" w:color="auto"/>
            </w:tcBorders>
            <w:shd w:val="clear" w:color="auto" w:fill="auto"/>
            <w:vAlign w:val="center"/>
          </w:tcPr>
          <w:p w14:paraId="76C3EC1D" w14:textId="77777777" w:rsidR="00550391" w:rsidRPr="00F93BD2" w:rsidRDefault="00550391" w:rsidP="002C64AC">
            <w:pPr>
              <w:spacing w:before="40" w:after="100" w:afterAutospacing="1" w:line="240" w:lineRule="auto"/>
              <w:ind w:right="65"/>
              <w:jc w:val="right"/>
              <w:rPr>
                <w:sz w:val="18"/>
                <w:szCs w:val="18"/>
              </w:rPr>
            </w:pPr>
            <w:r w:rsidRPr="00F93BD2">
              <w:rPr>
                <w:b/>
                <w:sz w:val="18"/>
                <w:szCs w:val="18"/>
              </w:rPr>
              <w:t>1 352 260</w:t>
            </w:r>
          </w:p>
        </w:tc>
      </w:tr>
      <w:tr w:rsidR="00226DD0" w:rsidRPr="00F93BD2" w14:paraId="7A4FAF1B" w14:textId="77777777" w:rsidTr="002E548E">
        <w:tc>
          <w:tcPr>
            <w:tcW w:w="3402" w:type="dxa"/>
            <w:gridSpan w:val="2"/>
            <w:tcBorders>
              <w:top w:val="single" w:sz="4" w:space="0" w:color="auto"/>
              <w:bottom w:val="single" w:sz="4" w:space="0" w:color="auto"/>
            </w:tcBorders>
            <w:shd w:val="clear" w:color="auto" w:fill="auto"/>
            <w:vAlign w:val="center"/>
          </w:tcPr>
          <w:p w14:paraId="2B7B91F3" w14:textId="5CEF4DE0" w:rsidR="00226DD0" w:rsidRPr="00F93BD2" w:rsidRDefault="00226DD0" w:rsidP="002C64AC">
            <w:pPr>
              <w:spacing w:before="40" w:after="100" w:afterAutospacing="1" w:line="240" w:lineRule="auto"/>
              <w:ind w:left="284" w:right="65"/>
              <w:rPr>
                <w:sz w:val="18"/>
                <w:szCs w:val="18"/>
              </w:rPr>
            </w:pPr>
            <w:r w:rsidRPr="00F93BD2">
              <w:rPr>
                <w:b/>
                <w:bCs/>
                <w:sz w:val="18"/>
                <w:szCs w:val="18"/>
                <w:lang w:eastAsia="en-US"/>
              </w:rPr>
              <w:t>Credit from unspent balances from previous financial periods</w:t>
            </w:r>
          </w:p>
        </w:tc>
        <w:tc>
          <w:tcPr>
            <w:tcW w:w="1552" w:type="dxa"/>
            <w:tcBorders>
              <w:top w:val="single" w:sz="4" w:space="0" w:color="auto"/>
              <w:bottom w:val="single" w:sz="4" w:space="0" w:color="auto"/>
            </w:tcBorders>
            <w:shd w:val="clear" w:color="auto" w:fill="auto"/>
            <w:vAlign w:val="center"/>
          </w:tcPr>
          <w:p w14:paraId="3E9ADF6F" w14:textId="77777777" w:rsidR="00226DD0" w:rsidRPr="00F93BD2" w:rsidRDefault="00226DD0" w:rsidP="002C64AC">
            <w:pPr>
              <w:spacing w:before="40" w:after="100" w:afterAutospacing="1" w:line="240" w:lineRule="auto"/>
              <w:ind w:right="65"/>
              <w:jc w:val="right"/>
              <w:rPr>
                <w:b/>
                <w:sz w:val="18"/>
                <w:szCs w:val="18"/>
              </w:rPr>
            </w:pPr>
            <w:r w:rsidRPr="00F93BD2">
              <w:rPr>
                <w:b/>
                <w:sz w:val="18"/>
                <w:szCs w:val="18"/>
              </w:rPr>
              <w:t>-</w:t>
            </w:r>
          </w:p>
        </w:tc>
        <w:tc>
          <w:tcPr>
            <w:tcW w:w="1566" w:type="dxa"/>
            <w:tcBorders>
              <w:top w:val="single" w:sz="4" w:space="0" w:color="auto"/>
              <w:bottom w:val="single" w:sz="4" w:space="0" w:color="auto"/>
            </w:tcBorders>
            <w:shd w:val="clear" w:color="auto" w:fill="auto"/>
            <w:vAlign w:val="center"/>
          </w:tcPr>
          <w:p w14:paraId="567A7C17" w14:textId="77777777" w:rsidR="00226DD0" w:rsidRPr="00F93BD2" w:rsidRDefault="00226DD0" w:rsidP="002C64AC">
            <w:pPr>
              <w:spacing w:before="40" w:after="100" w:afterAutospacing="1" w:line="240" w:lineRule="auto"/>
              <w:ind w:right="65"/>
              <w:jc w:val="right"/>
              <w:rPr>
                <w:b/>
                <w:sz w:val="18"/>
                <w:szCs w:val="18"/>
              </w:rPr>
            </w:pPr>
            <w:r w:rsidRPr="00F93BD2">
              <w:rPr>
                <w:b/>
                <w:sz w:val="18"/>
                <w:szCs w:val="18"/>
              </w:rPr>
              <w:t>-</w:t>
            </w:r>
          </w:p>
        </w:tc>
        <w:tc>
          <w:tcPr>
            <w:tcW w:w="1558" w:type="dxa"/>
            <w:tcBorders>
              <w:top w:val="single" w:sz="4" w:space="0" w:color="auto"/>
              <w:bottom w:val="single" w:sz="4" w:space="0" w:color="auto"/>
            </w:tcBorders>
            <w:shd w:val="clear" w:color="auto" w:fill="auto"/>
            <w:vAlign w:val="center"/>
          </w:tcPr>
          <w:p w14:paraId="33F7653C" w14:textId="77777777" w:rsidR="00226DD0" w:rsidRPr="00F93BD2" w:rsidRDefault="00226DD0" w:rsidP="002C64AC">
            <w:pPr>
              <w:spacing w:before="40" w:after="100" w:afterAutospacing="1" w:line="240" w:lineRule="auto"/>
              <w:ind w:right="65"/>
              <w:jc w:val="right"/>
              <w:rPr>
                <w:b/>
                <w:sz w:val="18"/>
                <w:szCs w:val="18"/>
              </w:rPr>
            </w:pPr>
            <w:r w:rsidRPr="00F93BD2">
              <w:rPr>
                <w:b/>
                <w:sz w:val="18"/>
                <w:szCs w:val="18"/>
              </w:rPr>
              <w:t>1 250 000</w:t>
            </w:r>
          </w:p>
        </w:tc>
        <w:tc>
          <w:tcPr>
            <w:tcW w:w="1559" w:type="dxa"/>
            <w:tcBorders>
              <w:top w:val="single" w:sz="4" w:space="0" w:color="auto"/>
              <w:bottom w:val="single" w:sz="4" w:space="0" w:color="auto"/>
            </w:tcBorders>
            <w:shd w:val="clear" w:color="auto" w:fill="auto"/>
            <w:vAlign w:val="center"/>
          </w:tcPr>
          <w:p w14:paraId="34F37156" w14:textId="77777777" w:rsidR="00226DD0" w:rsidRPr="00F93BD2" w:rsidRDefault="00226DD0" w:rsidP="002C64AC">
            <w:pPr>
              <w:spacing w:before="40" w:after="100" w:afterAutospacing="1" w:line="240" w:lineRule="auto"/>
              <w:ind w:right="65"/>
              <w:jc w:val="right"/>
              <w:rPr>
                <w:b/>
                <w:sz w:val="18"/>
                <w:szCs w:val="18"/>
              </w:rPr>
            </w:pPr>
            <w:r w:rsidRPr="00F93BD2">
              <w:rPr>
                <w:b/>
                <w:sz w:val="18"/>
                <w:szCs w:val="18"/>
              </w:rPr>
              <w:t>1 250 000</w:t>
            </w:r>
          </w:p>
        </w:tc>
      </w:tr>
      <w:tr w:rsidR="00C81DAB" w:rsidRPr="00F93BD2" w14:paraId="5A5FFF83" w14:textId="77777777" w:rsidTr="002E548E">
        <w:tc>
          <w:tcPr>
            <w:tcW w:w="2268" w:type="dxa"/>
            <w:tcBorders>
              <w:top w:val="single" w:sz="4" w:space="0" w:color="auto"/>
              <w:bottom w:val="single" w:sz="12" w:space="0" w:color="auto"/>
            </w:tcBorders>
            <w:shd w:val="clear" w:color="auto" w:fill="auto"/>
            <w:vAlign w:val="center"/>
          </w:tcPr>
          <w:p w14:paraId="5DFD87DB" w14:textId="77777777" w:rsidR="00550391" w:rsidRPr="00F93BD2" w:rsidRDefault="00550391" w:rsidP="002C64AC">
            <w:pPr>
              <w:keepLines/>
              <w:widowControl w:val="0"/>
              <w:tabs>
                <w:tab w:val="left" w:pos="265"/>
              </w:tabs>
              <w:spacing w:line="240" w:lineRule="auto"/>
              <w:ind w:left="266"/>
              <w:rPr>
                <w:b/>
                <w:bCs/>
                <w:sz w:val="18"/>
                <w:szCs w:val="18"/>
                <w:lang w:eastAsia="en-US"/>
              </w:rPr>
            </w:pPr>
            <w:r w:rsidRPr="00F93BD2">
              <w:rPr>
                <w:b/>
                <w:bCs/>
                <w:sz w:val="18"/>
                <w:szCs w:val="18"/>
                <w:lang w:eastAsia="en-US"/>
              </w:rPr>
              <w:t>Total</w:t>
            </w:r>
          </w:p>
        </w:tc>
        <w:tc>
          <w:tcPr>
            <w:tcW w:w="1134" w:type="dxa"/>
            <w:tcBorders>
              <w:top w:val="single" w:sz="4" w:space="0" w:color="auto"/>
              <w:bottom w:val="single" w:sz="12" w:space="0" w:color="auto"/>
            </w:tcBorders>
            <w:shd w:val="clear" w:color="auto" w:fill="auto"/>
            <w:vAlign w:val="center"/>
          </w:tcPr>
          <w:p w14:paraId="6251CFDF" w14:textId="77777777" w:rsidR="00550391" w:rsidRPr="00F93BD2" w:rsidRDefault="00550391" w:rsidP="002C64AC">
            <w:pPr>
              <w:spacing w:before="40" w:after="100" w:afterAutospacing="1" w:line="240" w:lineRule="auto"/>
              <w:ind w:right="65"/>
              <w:jc w:val="right"/>
              <w:rPr>
                <w:sz w:val="18"/>
                <w:szCs w:val="18"/>
              </w:rPr>
            </w:pPr>
          </w:p>
        </w:tc>
        <w:tc>
          <w:tcPr>
            <w:tcW w:w="1552" w:type="dxa"/>
            <w:tcBorders>
              <w:top w:val="single" w:sz="4" w:space="0" w:color="auto"/>
              <w:bottom w:val="single" w:sz="12" w:space="0" w:color="auto"/>
            </w:tcBorders>
            <w:shd w:val="clear" w:color="auto" w:fill="auto"/>
            <w:vAlign w:val="center"/>
          </w:tcPr>
          <w:p w14:paraId="77A08CC1" w14:textId="77777777" w:rsidR="00550391" w:rsidRPr="00F93BD2" w:rsidRDefault="00550391" w:rsidP="002C64AC">
            <w:pPr>
              <w:spacing w:before="40" w:after="100" w:afterAutospacing="1" w:line="240" w:lineRule="auto"/>
              <w:ind w:right="65"/>
              <w:jc w:val="right"/>
              <w:rPr>
                <w:b/>
                <w:sz w:val="18"/>
                <w:szCs w:val="18"/>
              </w:rPr>
            </w:pPr>
            <w:r w:rsidRPr="00F93BD2">
              <w:rPr>
                <w:b/>
                <w:sz w:val="18"/>
                <w:szCs w:val="18"/>
              </w:rPr>
              <w:t>2 602 260</w:t>
            </w:r>
          </w:p>
        </w:tc>
        <w:tc>
          <w:tcPr>
            <w:tcW w:w="1566" w:type="dxa"/>
            <w:tcBorders>
              <w:top w:val="single" w:sz="4" w:space="0" w:color="auto"/>
              <w:bottom w:val="single" w:sz="12" w:space="0" w:color="auto"/>
            </w:tcBorders>
            <w:shd w:val="clear" w:color="auto" w:fill="auto"/>
            <w:vAlign w:val="center"/>
          </w:tcPr>
          <w:p w14:paraId="6544B3C9" w14:textId="77777777" w:rsidR="00550391" w:rsidRPr="00F93BD2" w:rsidRDefault="00550391" w:rsidP="002C64AC">
            <w:pPr>
              <w:spacing w:before="40" w:after="100" w:afterAutospacing="1" w:line="240" w:lineRule="auto"/>
              <w:ind w:right="65"/>
              <w:jc w:val="right"/>
              <w:rPr>
                <w:b/>
                <w:sz w:val="18"/>
                <w:szCs w:val="18"/>
              </w:rPr>
            </w:pPr>
            <w:r w:rsidRPr="00F93BD2">
              <w:rPr>
                <w:b/>
                <w:sz w:val="18"/>
                <w:szCs w:val="18"/>
              </w:rPr>
              <w:t>2 602 260</w:t>
            </w:r>
          </w:p>
        </w:tc>
        <w:tc>
          <w:tcPr>
            <w:tcW w:w="1558" w:type="dxa"/>
            <w:tcBorders>
              <w:top w:val="single" w:sz="4" w:space="0" w:color="auto"/>
              <w:bottom w:val="single" w:sz="12" w:space="0" w:color="auto"/>
            </w:tcBorders>
            <w:shd w:val="clear" w:color="auto" w:fill="auto"/>
            <w:vAlign w:val="center"/>
          </w:tcPr>
          <w:p w14:paraId="17B2009C" w14:textId="77777777" w:rsidR="00550391" w:rsidRPr="00F93BD2" w:rsidRDefault="00550391" w:rsidP="002C64AC">
            <w:pPr>
              <w:spacing w:before="40" w:after="100" w:afterAutospacing="1" w:line="240" w:lineRule="auto"/>
              <w:ind w:right="65"/>
              <w:jc w:val="right"/>
              <w:rPr>
                <w:b/>
                <w:sz w:val="18"/>
                <w:szCs w:val="18"/>
              </w:rPr>
            </w:pPr>
            <w:r w:rsidRPr="00F93BD2">
              <w:rPr>
                <w:b/>
                <w:sz w:val="18"/>
                <w:szCs w:val="18"/>
              </w:rPr>
              <w:t>2 602 260</w:t>
            </w:r>
          </w:p>
        </w:tc>
        <w:tc>
          <w:tcPr>
            <w:tcW w:w="1559" w:type="dxa"/>
            <w:tcBorders>
              <w:top w:val="single" w:sz="4" w:space="0" w:color="auto"/>
              <w:bottom w:val="single" w:sz="12" w:space="0" w:color="auto"/>
            </w:tcBorders>
            <w:shd w:val="clear" w:color="auto" w:fill="auto"/>
            <w:vAlign w:val="center"/>
          </w:tcPr>
          <w:p w14:paraId="22CE2B4D" w14:textId="77777777" w:rsidR="00550391" w:rsidRPr="00F93BD2" w:rsidRDefault="00550391" w:rsidP="002C64AC">
            <w:pPr>
              <w:spacing w:before="40" w:after="100" w:afterAutospacing="1" w:line="240" w:lineRule="auto"/>
              <w:ind w:right="65"/>
              <w:jc w:val="right"/>
              <w:rPr>
                <w:b/>
                <w:sz w:val="18"/>
                <w:szCs w:val="18"/>
              </w:rPr>
            </w:pPr>
            <w:r w:rsidRPr="00F93BD2">
              <w:rPr>
                <w:b/>
                <w:sz w:val="18"/>
                <w:szCs w:val="18"/>
              </w:rPr>
              <w:t>2 602 260</w:t>
            </w:r>
          </w:p>
        </w:tc>
      </w:tr>
    </w:tbl>
    <w:p w14:paraId="2FDA3CED" w14:textId="2F2BEA4A" w:rsidR="00550391" w:rsidRPr="00F93BD2" w:rsidRDefault="00C148B2" w:rsidP="00C148B2">
      <w:pPr>
        <w:pStyle w:val="FootnoteTable"/>
        <w:spacing w:before="40" w:line="220" w:lineRule="exact"/>
        <w:ind w:firstLine="170"/>
        <w:jc w:val="left"/>
        <w:rPr>
          <w:spacing w:val="-2"/>
        </w:rPr>
      </w:pPr>
      <w:r w:rsidRPr="00F93BD2">
        <w:rPr>
          <w:i/>
          <w:spacing w:val="-2"/>
          <w:vertAlign w:val="superscript"/>
        </w:rPr>
        <w:t xml:space="preserve">a   </w:t>
      </w:r>
      <w:r w:rsidR="00550391" w:rsidRPr="00F93BD2">
        <w:rPr>
          <w:spacing w:val="-2"/>
        </w:rPr>
        <w:t>Parties currently not connected to the international transaction log. These Parties will be subject to the international transaction log fees in case of connection or reconnection to the international transaction log, in accordance with paragraphs 11–13 of this document.</w:t>
      </w:r>
    </w:p>
    <w:p w14:paraId="6F09D638" w14:textId="21F86835" w:rsidR="00B10A7F" w:rsidRPr="00F93BD2" w:rsidRDefault="00C90A51" w:rsidP="002C64AC">
      <w:pPr>
        <w:spacing w:before="80" w:line="240" w:lineRule="auto"/>
        <w:jc w:val="right"/>
        <w:rPr>
          <w:i/>
        </w:rPr>
      </w:pPr>
      <w:r w:rsidRPr="00F93BD2">
        <w:rPr>
          <w:i/>
        </w:rPr>
        <w:t>12</w:t>
      </w:r>
      <w:r w:rsidRPr="00F93BD2">
        <w:rPr>
          <w:i/>
          <w:vertAlign w:val="superscript"/>
        </w:rPr>
        <w:t>th</w:t>
      </w:r>
      <w:r w:rsidRPr="00F93BD2">
        <w:rPr>
          <w:i/>
        </w:rPr>
        <w:t xml:space="preserve"> </w:t>
      </w:r>
      <w:r w:rsidR="00B10A7F" w:rsidRPr="00F93BD2">
        <w:rPr>
          <w:i/>
        </w:rPr>
        <w:t>plenary meeting</w:t>
      </w:r>
    </w:p>
    <w:p w14:paraId="676C06AC" w14:textId="588673B2" w:rsidR="00B10A7F" w:rsidRPr="00F93BD2" w:rsidRDefault="00B10A7F" w:rsidP="002C64AC">
      <w:pPr>
        <w:spacing w:line="240" w:lineRule="auto"/>
        <w:jc w:val="right"/>
        <w:rPr>
          <w:i/>
        </w:rPr>
        <w:sectPr w:rsidR="00B10A7F" w:rsidRPr="00F93BD2" w:rsidSect="00CA0361">
          <w:headerReference w:type="default" r:id="rId54"/>
          <w:footerReference w:type="default" r:id="rId55"/>
          <w:footnotePr>
            <w:numRestart w:val="eachSect"/>
          </w:footnotePr>
          <w:pgSz w:w="11906" w:h="16838" w:code="9"/>
          <w:pgMar w:top="1417" w:right="1134" w:bottom="1134" w:left="1134" w:header="850" w:footer="567" w:gutter="0"/>
          <w:cols w:space="708"/>
          <w:docGrid w:linePitch="360"/>
        </w:sectPr>
      </w:pPr>
      <w:r w:rsidRPr="00F93BD2">
        <w:rPr>
          <w:i/>
        </w:rPr>
        <w:t>1</w:t>
      </w:r>
      <w:r w:rsidR="00C90A51" w:rsidRPr="00F93BD2">
        <w:rPr>
          <w:i/>
        </w:rPr>
        <w:t>8</w:t>
      </w:r>
      <w:r w:rsidRPr="00F93BD2">
        <w:rPr>
          <w:i/>
        </w:rPr>
        <w:t xml:space="preserve"> November 2017</w:t>
      </w:r>
    </w:p>
    <w:p w14:paraId="50DB5B9C" w14:textId="5DC1F57B" w:rsidR="009F490A" w:rsidRPr="00F93BD2" w:rsidRDefault="00B10A7F" w:rsidP="00B10A7F">
      <w:pPr>
        <w:pStyle w:val="HChG"/>
      </w:pPr>
      <w:r w:rsidRPr="00F93BD2">
        <w:lastRenderedPageBreak/>
        <w:tab/>
      </w:r>
      <w:r w:rsidRPr="00F93BD2">
        <w:tab/>
        <w:t>Resolution 1/CMP.13</w:t>
      </w:r>
    </w:p>
    <w:p w14:paraId="354BC5FD" w14:textId="2B4D8A91" w:rsidR="00B10A7F" w:rsidRPr="00F93BD2" w:rsidRDefault="00B10A7F" w:rsidP="00B10A7F">
      <w:pPr>
        <w:pStyle w:val="HChG"/>
      </w:pPr>
      <w:r w:rsidRPr="00F93BD2">
        <w:tab/>
      </w:r>
      <w:r w:rsidRPr="00F93BD2">
        <w:tab/>
        <w:t>Expression of gratitude to the Government of the Federal Republic of Germany and the people of the city of Bonn</w:t>
      </w:r>
    </w:p>
    <w:p w14:paraId="36F74829" w14:textId="69DE4DC9" w:rsidR="00B10A7F" w:rsidRPr="00F93BD2" w:rsidRDefault="0069134B" w:rsidP="00B10A7F">
      <w:pPr>
        <w:pStyle w:val="H1G"/>
        <w:jc w:val="both"/>
      </w:pPr>
      <w:r>
        <w:tab/>
        <w:t>R</w:t>
      </w:r>
      <w:r w:rsidR="00B10A7F" w:rsidRPr="00F93BD2">
        <w:t>esolution submitted by Fiji</w:t>
      </w:r>
    </w:p>
    <w:p w14:paraId="47983126" w14:textId="0ED227A8" w:rsidR="00B10A7F" w:rsidRPr="00F93BD2" w:rsidRDefault="00B10A7F" w:rsidP="00B10A7F">
      <w:pPr>
        <w:pStyle w:val="RegSingleTxtG"/>
        <w:numPr>
          <w:ilvl w:val="0"/>
          <w:numId w:val="0"/>
        </w:numPr>
        <w:ind w:left="1134"/>
        <w:rPr>
          <w:b/>
          <w:i/>
        </w:rPr>
      </w:pPr>
      <w:r w:rsidRPr="00F93BD2">
        <w:tab/>
      </w:r>
      <w:r w:rsidRPr="00F93BD2">
        <w:rPr>
          <w:i/>
        </w:rPr>
        <w:t>The Conference of the Parties, the Conference of the Parties serving as the meeting of the Parties to the Kyoto Protocol and the Conference of the Parties serving as the meeting of the Parties to the Paris Agreement</w:t>
      </w:r>
      <w:r w:rsidRPr="00F93BD2">
        <w:t>,</w:t>
      </w:r>
    </w:p>
    <w:p w14:paraId="34A259FE" w14:textId="71A4231C" w:rsidR="00B10A7F" w:rsidRPr="00F93BD2" w:rsidRDefault="00B10A7F" w:rsidP="00B10A7F">
      <w:pPr>
        <w:pStyle w:val="RegSingleTxtG"/>
        <w:numPr>
          <w:ilvl w:val="0"/>
          <w:numId w:val="0"/>
        </w:numPr>
        <w:ind w:left="1134"/>
        <w:rPr>
          <w:b/>
        </w:rPr>
      </w:pPr>
      <w:r w:rsidRPr="00F93BD2">
        <w:tab/>
      </w:r>
      <w:r w:rsidRPr="00F93BD2">
        <w:rPr>
          <w:i/>
        </w:rPr>
        <w:t xml:space="preserve">Having met </w:t>
      </w:r>
      <w:r w:rsidRPr="00F93BD2">
        <w:t>in Bonn from 6 to 17 November 2017 at the seat of the secretariat,</w:t>
      </w:r>
    </w:p>
    <w:p w14:paraId="53634149" w14:textId="221E429B" w:rsidR="00B10A7F" w:rsidRPr="00F93BD2" w:rsidRDefault="00C148B2" w:rsidP="00C148B2">
      <w:pPr>
        <w:pStyle w:val="RegSingleTxtG"/>
        <w:numPr>
          <w:ilvl w:val="0"/>
          <w:numId w:val="0"/>
        </w:numPr>
        <w:ind w:left="1134"/>
      </w:pPr>
      <w:r w:rsidRPr="00F93BD2">
        <w:t>1.</w:t>
      </w:r>
      <w:r w:rsidRPr="00F93BD2">
        <w:tab/>
      </w:r>
      <w:r w:rsidR="00B10A7F" w:rsidRPr="00F93BD2">
        <w:rPr>
          <w:i/>
        </w:rPr>
        <w:t xml:space="preserve">Express their profound gratitude </w:t>
      </w:r>
      <w:r w:rsidR="00B10A7F" w:rsidRPr="00F93BD2">
        <w:t>to the Government of the Federal Republic of Germany for having made it possible for the twenty-third session of the Conference of the Parties, the thirteenth session of the Conference of the Parties serving as the meeting of the Parties to the Kyoto Protocol and the second part of the first session of the Conference of the Parties serving as the meeting of the Parties to the Paris Agreement to be held in Bonn;</w:t>
      </w:r>
    </w:p>
    <w:p w14:paraId="21CC6975" w14:textId="08EDB3FA" w:rsidR="00B10A7F" w:rsidRPr="00F93BD2" w:rsidRDefault="00C148B2" w:rsidP="00C148B2">
      <w:pPr>
        <w:pStyle w:val="RegSingleTxtG"/>
        <w:numPr>
          <w:ilvl w:val="0"/>
          <w:numId w:val="0"/>
        </w:numPr>
        <w:ind w:left="1134"/>
      </w:pPr>
      <w:r w:rsidRPr="00F93BD2">
        <w:t>2.</w:t>
      </w:r>
      <w:r w:rsidRPr="00F93BD2">
        <w:tab/>
      </w:r>
      <w:r w:rsidR="00B10A7F" w:rsidRPr="00F93BD2">
        <w:rPr>
          <w:i/>
        </w:rPr>
        <w:t xml:space="preserve">Request </w:t>
      </w:r>
      <w:r w:rsidR="00B10A7F" w:rsidRPr="00F93BD2">
        <w:t>the Government of the Federal Republic of Germany to convey to the city and people of Bonn the gratitude of the Conference of the Parties, the Conference of the Parties serving as the meeting of the Parties to the Kyoto Protocol and the Conference of the Parties serving as the meeting of the Parties to the Paris Agreement for the hospitality and warmth extended to the participants.</w:t>
      </w:r>
    </w:p>
    <w:p w14:paraId="65B2D7E7" w14:textId="481548F1" w:rsidR="00B10A7F" w:rsidRPr="00F93BD2" w:rsidRDefault="00C90A51" w:rsidP="00B10A7F">
      <w:pPr>
        <w:jc w:val="right"/>
        <w:rPr>
          <w:i/>
        </w:rPr>
      </w:pPr>
      <w:r w:rsidRPr="00F93BD2">
        <w:rPr>
          <w:i/>
        </w:rPr>
        <w:t>12</w:t>
      </w:r>
      <w:r w:rsidRPr="00F93BD2">
        <w:rPr>
          <w:i/>
          <w:vertAlign w:val="superscript"/>
        </w:rPr>
        <w:t>th</w:t>
      </w:r>
      <w:r w:rsidRPr="00F93BD2">
        <w:rPr>
          <w:i/>
        </w:rPr>
        <w:t xml:space="preserve"> </w:t>
      </w:r>
      <w:r w:rsidR="00B10A7F" w:rsidRPr="00F93BD2">
        <w:rPr>
          <w:i/>
        </w:rPr>
        <w:t>plenary meeting</w:t>
      </w:r>
    </w:p>
    <w:p w14:paraId="74F36ACA" w14:textId="042FEB84" w:rsidR="00B10A7F" w:rsidRDefault="00B10A7F" w:rsidP="00B10A7F">
      <w:pPr>
        <w:jc w:val="right"/>
        <w:rPr>
          <w:i/>
        </w:rPr>
      </w:pPr>
      <w:r w:rsidRPr="00F93BD2">
        <w:rPr>
          <w:i/>
        </w:rPr>
        <w:t>18 November 2017</w:t>
      </w:r>
    </w:p>
    <w:p w14:paraId="347BDB7E" w14:textId="5098BFB4" w:rsidR="00B10A7F" w:rsidRPr="00B10A7F" w:rsidRDefault="00B10A7F" w:rsidP="00B10A7F">
      <w:pPr>
        <w:spacing w:before="240"/>
        <w:ind w:left="1134" w:right="1134"/>
        <w:jc w:val="center"/>
        <w:rPr>
          <w:u w:val="single"/>
        </w:rPr>
      </w:pPr>
      <w:r>
        <w:rPr>
          <w:u w:val="single"/>
        </w:rPr>
        <w:tab/>
      </w:r>
      <w:r>
        <w:rPr>
          <w:u w:val="single"/>
        </w:rPr>
        <w:tab/>
      </w:r>
      <w:r>
        <w:rPr>
          <w:u w:val="single"/>
        </w:rPr>
        <w:tab/>
      </w:r>
    </w:p>
    <w:sectPr w:rsidR="00B10A7F" w:rsidRPr="00B10A7F" w:rsidSect="00CA0361">
      <w:headerReference w:type="even" r:id="rId56"/>
      <w:headerReference w:type="default" r:id="rId57"/>
      <w:footerReference w:type="even" r:id="rId58"/>
      <w:footerReference w:type="default" r:id="rId59"/>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35FBD" w14:textId="77777777" w:rsidR="001D7D71" w:rsidRDefault="001D7D71">
      <w:r>
        <w:separator/>
      </w:r>
    </w:p>
    <w:p w14:paraId="59CCAEE6" w14:textId="77777777" w:rsidR="001D7D71" w:rsidRDefault="001D7D71"/>
  </w:endnote>
  <w:endnote w:type="continuationSeparator" w:id="0">
    <w:p w14:paraId="7368893F" w14:textId="77777777" w:rsidR="001D7D71" w:rsidRDefault="001D7D71">
      <w:r>
        <w:continuationSeparator/>
      </w:r>
    </w:p>
    <w:p w14:paraId="0C66277B" w14:textId="77777777" w:rsidR="001D7D71" w:rsidRDefault="001D7D71"/>
  </w:endnote>
  <w:endnote w:type="continuationNotice" w:id="1">
    <w:p w14:paraId="1CAA5A46" w14:textId="77777777" w:rsidR="001D7D71" w:rsidRDefault="001D7D7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A830A" w14:textId="16A3E248" w:rsidR="001D7D71" w:rsidRPr="00CA0361" w:rsidRDefault="001D7D71" w:rsidP="00CA0361">
    <w:pPr>
      <w:pStyle w:val="Footer"/>
      <w:tabs>
        <w:tab w:val="right" w:pos="9638"/>
      </w:tabs>
    </w:pPr>
    <w:r w:rsidRPr="00CA0361">
      <w:rPr>
        <w:b/>
        <w:sz w:val="18"/>
      </w:rPr>
      <w:fldChar w:fldCharType="begin"/>
    </w:r>
    <w:r w:rsidRPr="00CA0361">
      <w:rPr>
        <w:b/>
        <w:sz w:val="18"/>
      </w:rPr>
      <w:instrText xml:space="preserve"> PAGE  \* MERGEFORMAT </w:instrText>
    </w:r>
    <w:r w:rsidRPr="00CA0361">
      <w:rPr>
        <w:b/>
        <w:sz w:val="18"/>
      </w:rPr>
      <w:fldChar w:fldCharType="separate"/>
    </w:r>
    <w:r w:rsidR="00C148B2">
      <w:rPr>
        <w:b/>
        <w:noProof/>
        <w:sz w:val="18"/>
      </w:rPr>
      <w:t>2</w:t>
    </w:r>
    <w:r w:rsidRPr="00CA0361">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4F4B1" w14:textId="49D2C718" w:rsidR="001D7D71" w:rsidRPr="00CA0361" w:rsidRDefault="001D7D71" w:rsidP="00CA0361">
    <w:pPr>
      <w:pStyle w:val="Footer"/>
      <w:tabs>
        <w:tab w:val="right" w:pos="9638"/>
      </w:tabs>
      <w:rPr>
        <w:b/>
        <w:sz w:val="18"/>
      </w:rPr>
    </w:pPr>
    <w:r>
      <w:tab/>
    </w:r>
    <w:r w:rsidRPr="00CA0361">
      <w:rPr>
        <w:b/>
        <w:sz w:val="18"/>
      </w:rPr>
      <w:fldChar w:fldCharType="begin"/>
    </w:r>
    <w:r w:rsidRPr="00CA0361">
      <w:rPr>
        <w:b/>
        <w:sz w:val="18"/>
      </w:rPr>
      <w:instrText xml:space="preserve"> PAGE  \* MERGEFORMAT </w:instrText>
    </w:r>
    <w:r w:rsidRPr="00CA0361">
      <w:rPr>
        <w:b/>
        <w:sz w:val="18"/>
      </w:rPr>
      <w:fldChar w:fldCharType="separate"/>
    </w:r>
    <w:r>
      <w:rPr>
        <w:b/>
        <w:noProof/>
        <w:sz w:val="18"/>
      </w:rPr>
      <w:t>11</w:t>
    </w:r>
    <w:r w:rsidRPr="00CA0361">
      <w:rPr>
        <w:b/>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7FEF8" w14:textId="17452AD7" w:rsidR="001D7D71" w:rsidRPr="00C9296A" w:rsidRDefault="001D7D71" w:rsidP="00C9296A">
    <w:pPr>
      <w:pStyle w:val="Footer"/>
      <w:tabs>
        <w:tab w:val="right" w:pos="9638"/>
      </w:tabs>
    </w:pPr>
    <w:r w:rsidRPr="00C9296A">
      <w:rPr>
        <w:b/>
        <w:sz w:val="18"/>
      </w:rPr>
      <w:fldChar w:fldCharType="begin"/>
    </w:r>
    <w:r w:rsidRPr="00C9296A">
      <w:rPr>
        <w:b/>
        <w:sz w:val="18"/>
      </w:rPr>
      <w:instrText xml:space="preserve"> PAGE  \* MERGEFORMAT </w:instrText>
    </w:r>
    <w:r w:rsidRPr="00C9296A">
      <w:rPr>
        <w:b/>
        <w:sz w:val="18"/>
      </w:rPr>
      <w:fldChar w:fldCharType="separate"/>
    </w:r>
    <w:r w:rsidR="00C148B2">
      <w:rPr>
        <w:b/>
        <w:noProof/>
        <w:sz w:val="18"/>
      </w:rPr>
      <w:t>12</w:t>
    </w:r>
    <w:r w:rsidRPr="00C9296A">
      <w:rPr>
        <w:b/>
        <w:sz w:val="18"/>
      </w:rPr>
      <w:fldChar w:fldCharType="end"/>
    </w:r>
    <w:r>
      <w:rPr>
        <w:sz w:val="18"/>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E0124" w14:textId="4F814BFE" w:rsidR="001D7D71" w:rsidRPr="00CA0361" w:rsidRDefault="001D7D71" w:rsidP="00CA0361">
    <w:pPr>
      <w:pStyle w:val="Footer"/>
      <w:tabs>
        <w:tab w:val="right" w:pos="9638"/>
      </w:tabs>
      <w:rPr>
        <w:b/>
        <w:sz w:val="18"/>
      </w:rPr>
    </w:pPr>
    <w:r>
      <w:tab/>
    </w:r>
    <w:r w:rsidRPr="00CA0361">
      <w:rPr>
        <w:b/>
        <w:sz w:val="18"/>
      </w:rPr>
      <w:fldChar w:fldCharType="begin"/>
    </w:r>
    <w:r w:rsidRPr="00CA0361">
      <w:rPr>
        <w:b/>
        <w:sz w:val="18"/>
      </w:rPr>
      <w:instrText xml:space="preserve"> PAGE  \* MERGEFORMAT </w:instrText>
    </w:r>
    <w:r w:rsidRPr="00CA0361">
      <w:rPr>
        <w:b/>
        <w:sz w:val="18"/>
      </w:rPr>
      <w:fldChar w:fldCharType="separate"/>
    </w:r>
    <w:r w:rsidR="00C148B2">
      <w:rPr>
        <w:b/>
        <w:noProof/>
        <w:sz w:val="18"/>
      </w:rPr>
      <w:t>11</w:t>
    </w:r>
    <w:r w:rsidRPr="00CA0361">
      <w:rPr>
        <w:b/>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B7FA6" w14:textId="48EC6D61" w:rsidR="001D7D71" w:rsidRPr="00CA0361" w:rsidRDefault="001D7D71" w:rsidP="00CA0361">
    <w:pPr>
      <w:pStyle w:val="Footer"/>
      <w:tabs>
        <w:tab w:val="right" w:pos="9638"/>
      </w:tabs>
    </w:pPr>
    <w:r w:rsidRPr="00CA0361">
      <w:rPr>
        <w:b/>
        <w:sz w:val="18"/>
      </w:rPr>
      <w:fldChar w:fldCharType="begin"/>
    </w:r>
    <w:r w:rsidRPr="00CA0361">
      <w:rPr>
        <w:b/>
        <w:sz w:val="18"/>
      </w:rPr>
      <w:instrText xml:space="preserve"> PAGE  \* MERGEFORMAT </w:instrText>
    </w:r>
    <w:r w:rsidRPr="00CA0361">
      <w:rPr>
        <w:b/>
        <w:sz w:val="18"/>
      </w:rPr>
      <w:fldChar w:fldCharType="separate"/>
    </w:r>
    <w:r>
      <w:rPr>
        <w:b/>
        <w:noProof/>
        <w:sz w:val="18"/>
      </w:rPr>
      <w:t>14</w:t>
    </w:r>
    <w:r w:rsidRPr="00CA0361">
      <w:rPr>
        <w:b/>
        <w:sz w:val="18"/>
      </w:rPr>
      <w:fldChar w:fldCharType="end"/>
    </w:r>
    <w:r>
      <w:rPr>
        <w:sz w:val="18"/>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6B075" w14:textId="5E15296E" w:rsidR="001D7D71" w:rsidRPr="00CA0361" w:rsidRDefault="001D7D71" w:rsidP="00CA0361">
    <w:pPr>
      <w:pStyle w:val="Footer"/>
      <w:tabs>
        <w:tab w:val="right" w:pos="9638"/>
      </w:tabs>
      <w:rPr>
        <w:b/>
        <w:sz w:val="18"/>
      </w:rPr>
    </w:pPr>
    <w:r>
      <w:tab/>
    </w:r>
    <w:r w:rsidRPr="00CA0361">
      <w:rPr>
        <w:b/>
        <w:sz w:val="18"/>
      </w:rPr>
      <w:fldChar w:fldCharType="begin"/>
    </w:r>
    <w:r w:rsidRPr="00CA0361">
      <w:rPr>
        <w:b/>
        <w:sz w:val="18"/>
      </w:rPr>
      <w:instrText xml:space="preserve"> PAGE  \* MERGEFORMAT </w:instrText>
    </w:r>
    <w:r w:rsidRPr="00CA0361">
      <w:rPr>
        <w:b/>
        <w:sz w:val="18"/>
      </w:rPr>
      <w:fldChar w:fldCharType="separate"/>
    </w:r>
    <w:r w:rsidR="00C148B2">
      <w:rPr>
        <w:b/>
        <w:noProof/>
        <w:sz w:val="18"/>
      </w:rPr>
      <w:t>13</w:t>
    </w:r>
    <w:r w:rsidRPr="00CA0361">
      <w:rPr>
        <w:b/>
        <w:sz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35DA2" w14:textId="77777777" w:rsidR="001D7D71" w:rsidRDefault="001D7D71">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67C61" w14:textId="6D571BA5" w:rsidR="001D7D71" w:rsidRPr="00CA0361" w:rsidRDefault="001D7D71" w:rsidP="00CA0361">
    <w:pPr>
      <w:pStyle w:val="Footer"/>
      <w:tabs>
        <w:tab w:val="right" w:pos="9638"/>
      </w:tabs>
    </w:pPr>
    <w:r w:rsidRPr="00CA0361">
      <w:rPr>
        <w:b/>
        <w:sz w:val="18"/>
      </w:rPr>
      <w:fldChar w:fldCharType="begin"/>
    </w:r>
    <w:r w:rsidRPr="00CA0361">
      <w:rPr>
        <w:b/>
        <w:sz w:val="18"/>
      </w:rPr>
      <w:instrText xml:space="preserve"> PAGE  \* MERGEFORMAT </w:instrText>
    </w:r>
    <w:r w:rsidRPr="00CA0361">
      <w:rPr>
        <w:b/>
        <w:sz w:val="18"/>
      </w:rPr>
      <w:fldChar w:fldCharType="separate"/>
    </w:r>
    <w:r w:rsidR="00C148B2">
      <w:rPr>
        <w:b/>
        <w:noProof/>
        <w:sz w:val="18"/>
      </w:rPr>
      <w:t>14</w:t>
    </w:r>
    <w:r w:rsidRPr="00CA0361">
      <w:rPr>
        <w:b/>
        <w:sz w:val="18"/>
      </w:rPr>
      <w:fldChar w:fldCharType="end"/>
    </w:r>
    <w:r>
      <w:rPr>
        <w:sz w:val="18"/>
      </w:rP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35D8B" w14:textId="31A4F185" w:rsidR="001D7D71" w:rsidRPr="00CA0361" w:rsidRDefault="001D7D71" w:rsidP="00CA0361">
    <w:pPr>
      <w:pStyle w:val="Footer"/>
      <w:tabs>
        <w:tab w:val="right" w:pos="9638"/>
      </w:tabs>
      <w:rPr>
        <w:b/>
        <w:sz w:val="18"/>
      </w:rPr>
    </w:pPr>
    <w:r>
      <w:tab/>
    </w:r>
    <w:r w:rsidRPr="00CA0361">
      <w:rPr>
        <w:b/>
        <w:sz w:val="18"/>
      </w:rPr>
      <w:fldChar w:fldCharType="begin"/>
    </w:r>
    <w:r w:rsidRPr="00CA0361">
      <w:rPr>
        <w:b/>
        <w:sz w:val="18"/>
      </w:rPr>
      <w:instrText xml:space="preserve"> PAGE  \* MERGEFORMAT </w:instrText>
    </w:r>
    <w:r w:rsidRPr="00CA0361">
      <w:rPr>
        <w:b/>
        <w:sz w:val="18"/>
      </w:rPr>
      <w:fldChar w:fldCharType="separate"/>
    </w:r>
    <w:r w:rsidR="00C148B2">
      <w:rPr>
        <w:b/>
        <w:noProof/>
        <w:sz w:val="18"/>
      </w:rPr>
      <w:t>15</w:t>
    </w:r>
    <w:r w:rsidRPr="00CA0361">
      <w:rPr>
        <w:b/>
        <w:sz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48A22" w14:textId="0A745A9B" w:rsidR="001D7D71" w:rsidRPr="00CA0361" w:rsidRDefault="001D7D71" w:rsidP="00CA0361">
    <w:pPr>
      <w:pStyle w:val="Footer"/>
      <w:tabs>
        <w:tab w:val="right" w:pos="9638"/>
      </w:tabs>
    </w:pPr>
    <w:r w:rsidRPr="00CA0361">
      <w:rPr>
        <w:b/>
        <w:sz w:val="18"/>
      </w:rPr>
      <w:fldChar w:fldCharType="begin"/>
    </w:r>
    <w:r w:rsidRPr="00CA0361">
      <w:rPr>
        <w:b/>
        <w:sz w:val="18"/>
      </w:rPr>
      <w:instrText xml:space="preserve"> PAGE  \* MERGEFORMAT </w:instrText>
    </w:r>
    <w:r w:rsidRPr="00CA0361">
      <w:rPr>
        <w:b/>
        <w:sz w:val="18"/>
      </w:rPr>
      <w:fldChar w:fldCharType="separate"/>
    </w:r>
    <w:r w:rsidR="00C148B2">
      <w:rPr>
        <w:b/>
        <w:noProof/>
        <w:sz w:val="18"/>
      </w:rPr>
      <w:t>18</w:t>
    </w:r>
    <w:r w:rsidRPr="00CA0361">
      <w:rPr>
        <w:b/>
        <w:sz w:val="18"/>
      </w:rPr>
      <w:fldChar w:fldCharType="end"/>
    </w:r>
    <w:r>
      <w:rPr>
        <w:sz w:val="18"/>
      </w:rP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C95E1" w14:textId="3D1DC7BD" w:rsidR="001D7D71" w:rsidRPr="00CA0361" w:rsidRDefault="001D7D71" w:rsidP="00CA0361">
    <w:pPr>
      <w:pStyle w:val="Footer"/>
      <w:tabs>
        <w:tab w:val="right" w:pos="9638"/>
      </w:tabs>
      <w:rPr>
        <w:b/>
        <w:sz w:val="18"/>
      </w:rPr>
    </w:pPr>
    <w:r>
      <w:tab/>
    </w:r>
    <w:r w:rsidRPr="00CA0361">
      <w:rPr>
        <w:b/>
        <w:sz w:val="18"/>
      </w:rPr>
      <w:fldChar w:fldCharType="begin"/>
    </w:r>
    <w:r w:rsidRPr="00CA0361">
      <w:rPr>
        <w:b/>
        <w:sz w:val="18"/>
      </w:rPr>
      <w:instrText xml:space="preserve"> PAGE  \* MERGEFORMAT </w:instrText>
    </w:r>
    <w:r w:rsidRPr="00CA0361">
      <w:rPr>
        <w:b/>
        <w:sz w:val="18"/>
      </w:rPr>
      <w:fldChar w:fldCharType="separate"/>
    </w:r>
    <w:r w:rsidR="00C148B2">
      <w:rPr>
        <w:b/>
        <w:noProof/>
        <w:sz w:val="18"/>
      </w:rPr>
      <w:t>19</w:t>
    </w:r>
    <w:r w:rsidRPr="00CA0361">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A830B" w14:textId="3C8364EF" w:rsidR="001D7D71" w:rsidRPr="00CA0361" w:rsidRDefault="001D7D71" w:rsidP="00CA0361">
    <w:pPr>
      <w:pStyle w:val="Footer"/>
      <w:tabs>
        <w:tab w:val="right" w:pos="9638"/>
      </w:tabs>
      <w:rPr>
        <w:b/>
        <w:sz w:val="18"/>
      </w:rPr>
    </w:pPr>
    <w:r>
      <w:tab/>
    </w:r>
    <w:r w:rsidRPr="00CA0361">
      <w:rPr>
        <w:b/>
        <w:sz w:val="18"/>
      </w:rPr>
      <w:fldChar w:fldCharType="begin"/>
    </w:r>
    <w:r w:rsidRPr="00CA0361">
      <w:rPr>
        <w:b/>
        <w:sz w:val="18"/>
      </w:rPr>
      <w:instrText xml:space="preserve"> PAGE  \* MERGEFORMAT </w:instrText>
    </w:r>
    <w:r w:rsidRPr="00CA0361">
      <w:rPr>
        <w:b/>
        <w:sz w:val="18"/>
      </w:rPr>
      <w:fldChar w:fldCharType="separate"/>
    </w:r>
    <w:r w:rsidR="00C148B2">
      <w:rPr>
        <w:b/>
        <w:noProof/>
        <w:sz w:val="18"/>
      </w:rPr>
      <w:t>3</w:t>
    </w:r>
    <w:r w:rsidRPr="00CA0361">
      <w:rPr>
        <w:b/>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9B0CD" w14:textId="5B642E29" w:rsidR="001D7D71" w:rsidRPr="00CA0361" w:rsidRDefault="001D7D71" w:rsidP="00CA0361">
    <w:pPr>
      <w:pStyle w:val="Footer"/>
      <w:tabs>
        <w:tab w:val="right" w:pos="9638"/>
      </w:tabs>
      <w:rPr>
        <w:b/>
        <w:sz w:val="18"/>
      </w:rPr>
    </w:pPr>
    <w:r>
      <w:tab/>
    </w:r>
    <w:r w:rsidRPr="00CA0361">
      <w:rPr>
        <w:b/>
        <w:sz w:val="18"/>
      </w:rPr>
      <w:fldChar w:fldCharType="begin"/>
    </w:r>
    <w:r w:rsidRPr="00CA0361">
      <w:rPr>
        <w:b/>
        <w:sz w:val="18"/>
      </w:rPr>
      <w:instrText xml:space="preserve"> PAGE  \* MERGEFORMAT </w:instrText>
    </w:r>
    <w:r w:rsidRPr="00CA0361">
      <w:rPr>
        <w:b/>
        <w:sz w:val="18"/>
      </w:rPr>
      <w:fldChar w:fldCharType="separate"/>
    </w:r>
    <w:r>
      <w:rPr>
        <w:b/>
        <w:noProof/>
        <w:sz w:val="18"/>
      </w:rPr>
      <w:t>21</w:t>
    </w:r>
    <w:r w:rsidRPr="00CA0361">
      <w:rPr>
        <w:b/>
        <w:sz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20641" w14:textId="6F5839B2" w:rsidR="001D7D71" w:rsidRPr="00CA0361" w:rsidRDefault="001D7D71" w:rsidP="00CA0361">
    <w:pPr>
      <w:pStyle w:val="Footer"/>
      <w:tabs>
        <w:tab w:val="right" w:pos="9638"/>
      </w:tabs>
    </w:pPr>
    <w:r w:rsidRPr="00CA0361">
      <w:rPr>
        <w:b/>
        <w:sz w:val="18"/>
      </w:rPr>
      <w:fldChar w:fldCharType="begin"/>
    </w:r>
    <w:r w:rsidRPr="00CA0361">
      <w:rPr>
        <w:b/>
        <w:sz w:val="18"/>
      </w:rPr>
      <w:instrText xml:space="preserve"> PAGE  \* MERGEFORMAT </w:instrText>
    </w:r>
    <w:r w:rsidRPr="00CA0361">
      <w:rPr>
        <w:b/>
        <w:sz w:val="18"/>
      </w:rPr>
      <w:fldChar w:fldCharType="separate"/>
    </w:r>
    <w:r>
      <w:rPr>
        <w:b/>
        <w:noProof/>
        <w:sz w:val="18"/>
      </w:rPr>
      <w:t>1</w:t>
    </w:r>
    <w:r w:rsidRPr="00CA0361">
      <w:rPr>
        <w:b/>
        <w:sz w:val="18"/>
      </w:rPr>
      <w:fldChar w:fldCharType="end"/>
    </w:r>
    <w:r>
      <w:rPr>
        <w:sz w:val="18"/>
      </w:rPr>
      <w:tab/>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7C716" w14:textId="59F38CA1" w:rsidR="001D7D71" w:rsidRPr="00CA0361" w:rsidRDefault="001D7D71" w:rsidP="00CA0361">
    <w:pPr>
      <w:pStyle w:val="Footer"/>
      <w:tabs>
        <w:tab w:val="right" w:pos="9638"/>
      </w:tabs>
      <w:rPr>
        <w:b/>
        <w:sz w:val="18"/>
      </w:rPr>
    </w:pPr>
    <w:r>
      <w:tab/>
    </w:r>
    <w:r w:rsidRPr="00CA0361">
      <w:rPr>
        <w:b/>
        <w:sz w:val="18"/>
      </w:rPr>
      <w:fldChar w:fldCharType="begin"/>
    </w:r>
    <w:r w:rsidRPr="00CA0361">
      <w:rPr>
        <w:b/>
        <w:sz w:val="18"/>
      </w:rPr>
      <w:instrText xml:space="preserve"> PAGE  \* MERGEFORMAT </w:instrText>
    </w:r>
    <w:r w:rsidRPr="00CA0361">
      <w:rPr>
        <w:b/>
        <w:sz w:val="18"/>
      </w:rPr>
      <w:fldChar w:fldCharType="separate"/>
    </w:r>
    <w:r w:rsidR="00C148B2">
      <w:rPr>
        <w:b/>
        <w:noProof/>
        <w:sz w:val="18"/>
      </w:rPr>
      <w:t>21</w:t>
    </w:r>
    <w:r w:rsidRPr="00CA0361">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35CBF" w14:textId="150202B5" w:rsidR="001D7D71" w:rsidRPr="00CA0361" w:rsidRDefault="001D7D71" w:rsidP="00CA0361">
    <w:pPr>
      <w:pStyle w:val="Footer"/>
      <w:tabs>
        <w:tab w:val="right" w:pos="9638"/>
      </w:tabs>
    </w:pPr>
    <w:r w:rsidRPr="00CA0361">
      <w:rPr>
        <w:b/>
        <w:sz w:val="18"/>
      </w:rPr>
      <w:fldChar w:fldCharType="begin"/>
    </w:r>
    <w:r w:rsidRPr="00CA0361">
      <w:rPr>
        <w:b/>
        <w:sz w:val="18"/>
      </w:rPr>
      <w:instrText xml:space="preserve"> PAGE  \* MERGEFORMAT </w:instrText>
    </w:r>
    <w:r w:rsidRPr="00CA0361">
      <w:rPr>
        <w:b/>
        <w:sz w:val="18"/>
      </w:rPr>
      <w:fldChar w:fldCharType="separate"/>
    </w:r>
    <w:r w:rsidR="00C148B2">
      <w:rPr>
        <w:b/>
        <w:noProof/>
        <w:sz w:val="18"/>
      </w:rPr>
      <w:t>6</w:t>
    </w:r>
    <w:r w:rsidRPr="00CA0361">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2025" w14:textId="5D3FBBD3" w:rsidR="001D7D71" w:rsidRPr="00CA0361" w:rsidRDefault="001D7D71" w:rsidP="00CA0361">
    <w:pPr>
      <w:pStyle w:val="Footer"/>
      <w:tabs>
        <w:tab w:val="right" w:pos="9638"/>
      </w:tabs>
      <w:rPr>
        <w:b/>
        <w:sz w:val="18"/>
      </w:rPr>
    </w:pPr>
    <w:r>
      <w:tab/>
    </w:r>
    <w:r w:rsidRPr="00CA0361">
      <w:rPr>
        <w:b/>
        <w:sz w:val="18"/>
      </w:rPr>
      <w:fldChar w:fldCharType="begin"/>
    </w:r>
    <w:r w:rsidRPr="00CA0361">
      <w:rPr>
        <w:b/>
        <w:sz w:val="18"/>
      </w:rPr>
      <w:instrText xml:space="preserve"> PAGE  \* MERGEFORMAT </w:instrText>
    </w:r>
    <w:r w:rsidRPr="00CA0361">
      <w:rPr>
        <w:b/>
        <w:sz w:val="18"/>
      </w:rPr>
      <w:fldChar w:fldCharType="separate"/>
    </w:r>
    <w:r w:rsidR="00C148B2">
      <w:rPr>
        <w:b/>
        <w:noProof/>
        <w:sz w:val="18"/>
      </w:rPr>
      <w:t>5</w:t>
    </w:r>
    <w:r w:rsidRPr="00CA0361">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59123" w14:textId="5518E27B" w:rsidR="001D7D71" w:rsidRPr="00CA0361" w:rsidRDefault="001D7D71" w:rsidP="00CA0361">
    <w:pPr>
      <w:pStyle w:val="Footer"/>
      <w:tabs>
        <w:tab w:val="right" w:pos="9638"/>
      </w:tabs>
    </w:pPr>
    <w:r w:rsidRPr="00CA0361">
      <w:rPr>
        <w:b/>
        <w:sz w:val="18"/>
      </w:rPr>
      <w:fldChar w:fldCharType="begin"/>
    </w:r>
    <w:r w:rsidRPr="00CA0361">
      <w:rPr>
        <w:b/>
        <w:sz w:val="18"/>
      </w:rPr>
      <w:instrText xml:space="preserve"> PAGE  \* MERGEFORMAT </w:instrText>
    </w:r>
    <w:r w:rsidRPr="00CA0361">
      <w:rPr>
        <w:b/>
        <w:sz w:val="18"/>
      </w:rPr>
      <w:fldChar w:fldCharType="separate"/>
    </w:r>
    <w:r w:rsidR="00C148B2">
      <w:rPr>
        <w:b/>
        <w:noProof/>
        <w:sz w:val="18"/>
      </w:rPr>
      <w:t>8</w:t>
    </w:r>
    <w:r w:rsidRPr="00CA0361">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0FB20" w14:textId="2B91519F" w:rsidR="001D7D71" w:rsidRPr="00CA0361" w:rsidRDefault="001D7D71" w:rsidP="00CA0361">
    <w:pPr>
      <w:pStyle w:val="Footer"/>
      <w:tabs>
        <w:tab w:val="right" w:pos="9638"/>
      </w:tabs>
      <w:rPr>
        <w:b/>
        <w:sz w:val="18"/>
      </w:rPr>
    </w:pPr>
    <w:r>
      <w:tab/>
    </w:r>
    <w:r w:rsidRPr="00CA0361">
      <w:rPr>
        <w:b/>
        <w:sz w:val="18"/>
      </w:rPr>
      <w:fldChar w:fldCharType="begin"/>
    </w:r>
    <w:r w:rsidRPr="00CA0361">
      <w:rPr>
        <w:b/>
        <w:sz w:val="18"/>
      </w:rPr>
      <w:instrText xml:space="preserve"> PAGE  \* MERGEFORMAT </w:instrText>
    </w:r>
    <w:r w:rsidRPr="00CA0361">
      <w:rPr>
        <w:b/>
        <w:sz w:val="18"/>
      </w:rPr>
      <w:fldChar w:fldCharType="separate"/>
    </w:r>
    <w:r w:rsidR="00C148B2">
      <w:rPr>
        <w:b/>
        <w:noProof/>
        <w:sz w:val="18"/>
      </w:rPr>
      <w:t>7</w:t>
    </w:r>
    <w:r w:rsidRPr="00CA0361">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F7A0" w14:textId="7B18E83A" w:rsidR="001D7D71" w:rsidRPr="00CA0361" w:rsidRDefault="001D7D71" w:rsidP="00CA0361">
    <w:pPr>
      <w:pStyle w:val="Footer"/>
      <w:tabs>
        <w:tab w:val="right" w:pos="9638"/>
      </w:tabs>
    </w:pPr>
    <w:r w:rsidRPr="00CA0361">
      <w:rPr>
        <w:b/>
        <w:sz w:val="18"/>
      </w:rPr>
      <w:fldChar w:fldCharType="begin"/>
    </w:r>
    <w:r w:rsidRPr="00CA0361">
      <w:rPr>
        <w:b/>
        <w:sz w:val="18"/>
      </w:rPr>
      <w:instrText xml:space="preserve"> PAGE  \* MERGEFORMAT </w:instrText>
    </w:r>
    <w:r w:rsidRPr="00CA0361">
      <w:rPr>
        <w:b/>
        <w:sz w:val="18"/>
      </w:rPr>
      <w:fldChar w:fldCharType="separate"/>
    </w:r>
    <w:r w:rsidRPr="00CA0361">
      <w:rPr>
        <w:b/>
        <w:noProof/>
        <w:sz w:val="18"/>
      </w:rPr>
      <w:t>11</w:t>
    </w:r>
    <w:r w:rsidRPr="00CA0361">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04474" w14:textId="67A2CB0A" w:rsidR="001D7D71" w:rsidRPr="00CA0361" w:rsidRDefault="001D7D71" w:rsidP="00CA0361">
    <w:pPr>
      <w:pStyle w:val="Footer"/>
      <w:tabs>
        <w:tab w:val="right" w:pos="9638"/>
      </w:tabs>
      <w:rPr>
        <w:b/>
        <w:sz w:val="18"/>
      </w:rPr>
    </w:pPr>
    <w:r>
      <w:tab/>
    </w:r>
    <w:r w:rsidRPr="00CA0361">
      <w:rPr>
        <w:b/>
        <w:sz w:val="18"/>
      </w:rPr>
      <w:fldChar w:fldCharType="begin"/>
    </w:r>
    <w:r w:rsidRPr="00CA0361">
      <w:rPr>
        <w:b/>
        <w:sz w:val="18"/>
      </w:rPr>
      <w:instrText xml:space="preserve"> PAGE  \* MERGEFORMAT </w:instrText>
    </w:r>
    <w:r w:rsidRPr="00CA0361">
      <w:rPr>
        <w:b/>
        <w:sz w:val="18"/>
      </w:rPr>
      <w:fldChar w:fldCharType="separate"/>
    </w:r>
    <w:r w:rsidR="00C148B2">
      <w:rPr>
        <w:b/>
        <w:noProof/>
        <w:sz w:val="18"/>
      </w:rPr>
      <w:t>9</w:t>
    </w:r>
    <w:r w:rsidRPr="00CA0361">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5391F" w14:textId="60DE92D4" w:rsidR="001D7D71" w:rsidRPr="00CA0361" w:rsidRDefault="001D7D71" w:rsidP="00CA0361">
    <w:pPr>
      <w:pStyle w:val="Footer"/>
      <w:tabs>
        <w:tab w:val="right" w:pos="9638"/>
      </w:tabs>
    </w:pPr>
    <w:r w:rsidRPr="00CA0361">
      <w:rPr>
        <w:b/>
        <w:sz w:val="18"/>
      </w:rPr>
      <w:fldChar w:fldCharType="begin"/>
    </w:r>
    <w:r w:rsidRPr="00CA0361">
      <w:rPr>
        <w:b/>
        <w:sz w:val="18"/>
      </w:rPr>
      <w:instrText xml:space="preserve"> PAGE  \* MERGEFORMAT </w:instrText>
    </w:r>
    <w:r w:rsidRPr="00CA0361">
      <w:rPr>
        <w:b/>
        <w:sz w:val="18"/>
      </w:rPr>
      <w:fldChar w:fldCharType="separate"/>
    </w:r>
    <w:r w:rsidR="00C148B2">
      <w:rPr>
        <w:b/>
        <w:noProof/>
        <w:sz w:val="18"/>
      </w:rPr>
      <w:t>10</w:t>
    </w:r>
    <w:r w:rsidRPr="00CA0361">
      <w:rPr>
        <w:b/>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18AFE" w14:textId="77777777" w:rsidR="001D7D71" w:rsidRDefault="001D7D71">
      <w:r>
        <w:separator/>
      </w:r>
    </w:p>
  </w:footnote>
  <w:footnote w:type="continuationSeparator" w:id="0">
    <w:p w14:paraId="4CC7DB37" w14:textId="77777777" w:rsidR="001D7D71" w:rsidRDefault="001D7D71">
      <w:r>
        <w:continuationSeparator/>
      </w:r>
    </w:p>
    <w:p w14:paraId="2A31A15A" w14:textId="77777777" w:rsidR="001D7D71" w:rsidRDefault="001D7D71"/>
  </w:footnote>
  <w:footnote w:type="continuationNotice" w:id="1">
    <w:p w14:paraId="5C1AA8C5" w14:textId="77777777" w:rsidR="001D7D71" w:rsidRDefault="001D7D71">
      <w:pPr>
        <w:spacing w:line="240" w:lineRule="auto"/>
      </w:pPr>
    </w:p>
  </w:footnote>
  <w:footnote w:id="2">
    <w:p w14:paraId="141029C0" w14:textId="77777777" w:rsidR="001D7D71" w:rsidRPr="00ED7795" w:rsidRDefault="001D7D71" w:rsidP="00C149FA">
      <w:pPr>
        <w:pStyle w:val="FootnoteText"/>
        <w:widowControl w:val="0"/>
        <w:rPr>
          <w:lang w:val="en-US"/>
        </w:rPr>
      </w:pPr>
      <w:r>
        <w:tab/>
      </w:r>
      <w:r>
        <w:rPr>
          <w:rStyle w:val="FootnoteReference"/>
        </w:rPr>
        <w:footnoteRef/>
      </w:r>
      <w:r>
        <w:tab/>
      </w:r>
      <w:r>
        <w:rPr>
          <w:lang w:val="en-US"/>
        </w:rPr>
        <w:t>FCCC/KP/CMP/2017/6.</w:t>
      </w:r>
    </w:p>
  </w:footnote>
  <w:footnote w:id="3">
    <w:p w14:paraId="4B1E7394" w14:textId="77777777" w:rsidR="001D7D71" w:rsidRPr="00016607" w:rsidRDefault="001D7D71" w:rsidP="00C149FA">
      <w:pPr>
        <w:pStyle w:val="FootnoteText"/>
        <w:widowControl w:val="0"/>
        <w:rPr>
          <w:lang w:val="en-US"/>
        </w:rPr>
      </w:pPr>
      <w:r>
        <w:tab/>
      </w:r>
      <w:r>
        <w:rPr>
          <w:rStyle w:val="FootnoteReference"/>
        </w:rPr>
        <w:footnoteRef/>
      </w:r>
      <w:r>
        <w:tab/>
        <w:t xml:space="preserve">Available at </w:t>
      </w:r>
      <w:hyperlink r:id="rId1" w:history="1">
        <w:r w:rsidRPr="00C7118C">
          <w:rPr>
            <w:rStyle w:val="Hyperlink"/>
          </w:rPr>
          <w:t>http://unfccc.int/meetings/bonn_nov_2017/in-session/items/10494.php</w:t>
        </w:r>
      </w:hyperlink>
      <w:r>
        <w:t>.</w:t>
      </w:r>
    </w:p>
  </w:footnote>
  <w:footnote w:id="4">
    <w:p w14:paraId="6A44E3E2" w14:textId="22AC7FC6" w:rsidR="001D7D71" w:rsidRPr="002E4BE1" w:rsidRDefault="001D7D71" w:rsidP="00C149FA">
      <w:pPr>
        <w:pStyle w:val="FootnoteText"/>
        <w:rPr>
          <w:lang w:val="en-US"/>
        </w:rPr>
      </w:pPr>
      <w:r>
        <w:tab/>
      </w:r>
      <w:r>
        <w:rPr>
          <w:rStyle w:val="FootnoteReference"/>
        </w:rPr>
        <w:footnoteRef/>
      </w:r>
      <w:r>
        <w:tab/>
        <w:t xml:space="preserve">See </w:t>
      </w:r>
      <w:hyperlink r:id="rId2" w:history="1">
        <w:r w:rsidRPr="007278B4">
          <w:rPr>
            <w:rStyle w:val="Hyperlink"/>
          </w:rPr>
          <w:t>https://www.adaptation-fund.org/wp-content/uploads/2016/12/Ad-Hoc-Complaint-Handling-Mechanism_final_March2017.pdf</w:t>
        </w:r>
      </w:hyperlink>
      <w:r>
        <w:t xml:space="preserve">. </w:t>
      </w:r>
    </w:p>
  </w:footnote>
  <w:footnote w:id="5">
    <w:p w14:paraId="6FE73D40" w14:textId="6A11A6CA" w:rsidR="001D7D71" w:rsidRPr="002E4BE1" w:rsidRDefault="001D7D71" w:rsidP="00C149FA">
      <w:pPr>
        <w:pStyle w:val="FootnoteText"/>
        <w:rPr>
          <w:lang w:val="en-US"/>
        </w:rPr>
      </w:pPr>
      <w:r>
        <w:tab/>
      </w:r>
      <w:r>
        <w:rPr>
          <w:rStyle w:val="FootnoteReference"/>
        </w:rPr>
        <w:footnoteRef/>
      </w:r>
      <w:r>
        <w:tab/>
      </w:r>
      <w:r w:rsidRPr="00E35E3F">
        <w:t xml:space="preserve">See </w:t>
      </w:r>
      <w:r w:rsidRPr="000A2FDA">
        <w:t>Adaptation Fund Board document B.30/5/Rev.1</w:t>
      </w:r>
      <w:r>
        <w:t xml:space="preserve">, available at </w:t>
      </w:r>
      <w:hyperlink r:id="rId3" w:history="1">
        <w:r w:rsidRPr="000A2FDA">
          <w:rPr>
            <w:rStyle w:val="Hyperlink"/>
          </w:rPr>
          <w:t>https://www.adaptation-fund.org/wp-content/uploads/2017/10/AFB.B.30.5.Rev_.1-Draft-medium-term-strategy.pdf</w:t>
        </w:r>
      </w:hyperlink>
      <w:r>
        <w:t xml:space="preserve">. </w:t>
      </w:r>
    </w:p>
  </w:footnote>
  <w:footnote w:id="6">
    <w:p w14:paraId="1525AC86" w14:textId="0AFCE6BA" w:rsidR="001D7D71" w:rsidRPr="00E05C30" w:rsidRDefault="001D7D71" w:rsidP="00C149FA">
      <w:pPr>
        <w:pStyle w:val="FootnoteText"/>
        <w:rPr>
          <w:lang w:val="en-US"/>
        </w:rPr>
      </w:pPr>
      <w:r>
        <w:tab/>
      </w:r>
      <w:r>
        <w:rPr>
          <w:rStyle w:val="FootnoteReference"/>
        </w:rPr>
        <w:footnoteRef/>
      </w:r>
      <w:r>
        <w:tab/>
        <w:t xml:space="preserve">See </w:t>
      </w:r>
      <w:hyperlink r:id="rId4" w:history="1">
        <w:r w:rsidRPr="007278B4">
          <w:rPr>
            <w:rStyle w:val="Hyperlink"/>
          </w:rPr>
          <w:t>https://www.adaptation-fund.org/wp-content/uploads/2017/03/GenderGuidance-Document.pdf</w:t>
        </w:r>
      </w:hyperlink>
      <w:r>
        <w:t xml:space="preserve">. </w:t>
      </w:r>
    </w:p>
  </w:footnote>
  <w:footnote w:id="7">
    <w:p w14:paraId="61585649" w14:textId="3C657786" w:rsidR="001D7D71" w:rsidRPr="00A21CA3" w:rsidRDefault="001D7D71" w:rsidP="00C149FA">
      <w:pPr>
        <w:pStyle w:val="FootnoteText"/>
        <w:rPr>
          <w:lang w:val="en-US"/>
        </w:rPr>
      </w:pPr>
      <w:r>
        <w:rPr>
          <w:lang w:val="en-US"/>
        </w:rPr>
        <w:tab/>
      </w:r>
      <w:r>
        <w:rPr>
          <w:rStyle w:val="FootnoteReference"/>
        </w:rPr>
        <w:footnoteRef/>
      </w:r>
      <w:r>
        <w:tab/>
        <w:t xml:space="preserve">See </w:t>
      </w:r>
      <w:hyperlink r:id="rId5" w:history="1">
        <w:r w:rsidRPr="007278B4">
          <w:rPr>
            <w:rStyle w:val="Hyperlink"/>
          </w:rPr>
          <w:t>https://www.adaptation-fund.org/wp-content/uploads/2017/05/AFB_Resource_mobilization_strategy_for_posting.pdf</w:t>
        </w:r>
      </w:hyperlink>
      <w:r w:rsidRPr="00A21CA3">
        <w:t>.</w:t>
      </w:r>
      <w:r>
        <w:t xml:space="preserve"> </w:t>
      </w:r>
    </w:p>
  </w:footnote>
  <w:footnote w:id="8">
    <w:p w14:paraId="14F324E9" w14:textId="77777777" w:rsidR="001D7D71" w:rsidRPr="005A7FB3" w:rsidRDefault="001D7D71" w:rsidP="00C149FA">
      <w:pPr>
        <w:pStyle w:val="FootnoteText"/>
        <w:rPr>
          <w:lang w:val="en-US"/>
        </w:rPr>
      </w:pPr>
      <w:r>
        <w:tab/>
      </w:r>
      <w:r>
        <w:rPr>
          <w:rStyle w:val="FootnoteReference"/>
        </w:rPr>
        <w:footnoteRef/>
      </w:r>
      <w:r>
        <w:tab/>
        <w:t xml:space="preserve">Decision 2/CMP.12, paragraph 6. </w:t>
      </w:r>
    </w:p>
  </w:footnote>
  <w:footnote w:id="9">
    <w:p w14:paraId="4EDBB1D2" w14:textId="20A0FF4A" w:rsidR="001D7D71" w:rsidRPr="00A558C7" w:rsidRDefault="001D7D71" w:rsidP="00C149FA">
      <w:pPr>
        <w:pStyle w:val="FootnoteText"/>
        <w:rPr>
          <w:lang w:val="en-US"/>
        </w:rPr>
      </w:pPr>
      <w:r>
        <w:tab/>
      </w:r>
      <w:r>
        <w:rPr>
          <w:rStyle w:val="FootnoteReference"/>
        </w:rPr>
        <w:footnoteRef/>
      </w:r>
      <w:r>
        <w:tab/>
        <w:t xml:space="preserve">As footnote 4 above. </w:t>
      </w:r>
    </w:p>
  </w:footnote>
  <w:footnote w:id="10">
    <w:p w14:paraId="3FFB4F91" w14:textId="77777777" w:rsidR="001D7D71" w:rsidRPr="0098593D" w:rsidRDefault="001D7D71" w:rsidP="00C13C4D">
      <w:pPr>
        <w:pStyle w:val="FootnoteText"/>
        <w:rPr>
          <w:lang w:val="en-US"/>
        </w:rPr>
      </w:pPr>
      <w:r>
        <w:tab/>
      </w:r>
      <w:r>
        <w:rPr>
          <w:rStyle w:val="FootnoteReference"/>
        </w:rPr>
        <w:footnoteRef/>
      </w:r>
      <w:r>
        <w:tab/>
        <w:t xml:space="preserve">FCCC/TP/2017/6. </w:t>
      </w:r>
    </w:p>
  </w:footnote>
  <w:footnote w:id="11">
    <w:p w14:paraId="4B2DD969" w14:textId="77777777" w:rsidR="001D7D71" w:rsidRPr="0067735A" w:rsidRDefault="001D7D71" w:rsidP="00C9296A">
      <w:pPr>
        <w:pStyle w:val="FootnoteText"/>
        <w:widowControl w:val="0"/>
        <w:tabs>
          <w:tab w:val="left" w:pos="1418"/>
        </w:tabs>
        <w:rPr>
          <w:lang w:val="en-US"/>
        </w:rPr>
      </w:pPr>
      <w:r>
        <w:tab/>
      </w:r>
      <w:r>
        <w:rPr>
          <w:rStyle w:val="FootnoteReference"/>
        </w:rPr>
        <w:footnoteRef/>
      </w:r>
      <w:r>
        <w:tab/>
      </w:r>
      <w:r w:rsidRPr="0067735A">
        <w:t>FCCC/KP/CMP/201</w:t>
      </w:r>
      <w:r>
        <w:t>7</w:t>
      </w:r>
      <w:r w:rsidRPr="0067735A">
        <w:t>/</w:t>
      </w:r>
      <w:r>
        <w:t>5.</w:t>
      </w:r>
    </w:p>
  </w:footnote>
  <w:footnote w:id="12">
    <w:p w14:paraId="38FA6DFB" w14:textId="7E449401" w:rsidR="001D7D71" w:rsidRPr="008D7040" w:rsidRDefault="001D7D71" w:rsidP="00C9296A">
      <w:pPr>
        <w:pStyle w:val="FootnoteText"/>
        <w:widowControl w:val="0"/>
        <w:tabs>
          <w:tab w:val="left" w:pos="1418"/>
        </w:tabs>
        <w:rPr>
          <w:lang w:val="en-US"/>
        </w:rPr>
      </w:pPr>
      <w:r w:rsidRPr="0067735A">
        <w:tab/>
      </w:r>
      <w:r w:rsidRPr="0067735A">
        <w:rPr>
          <w:rStyle w:val="FootnoteReference"/>
        </w:rPr>
        <w:footnoteRef/>
      </w:r>
      <w:r w:rsidRPr="0067735A">
        <w:tab/>
        <w:t xml:space="preserve">See </w:t>
      </w:r>
      <w:hyperlink r:id="rId6" w:history="1">
        <w:r w:rsidRPr="004C7F4A">
          <w:rPr>
            <w:rStyle w:val="Hyperlink"/>
          </w:rPr>
          <w:t>http://cdm.unfccc.int</w:t>
        </w:r>
      </w:hyperlink>
      <w:r w:rsidRPr="0067735A">
        <w:t>.</w:t>
      </w:r>
    </w:p>
  </w:footnote>
  <w:footnote w:id="13">
    <w:p w14:paraId="7A5A120B" w14:textId="77777777" w:rsidR="001D7D71" w:rsidRPr="00A36E12" w:rsidRDefault="001D7D71" w:rsidP="00C9296A">
      <w:pPr>
        <w:pStyle w:val="FootnoteText"/>
        <w:widowControl w:val="0"/>
        <w:tabs>
          <w:tab w:val="left" w:pos="1418"/>
        </w:tabs>
        <w:rPr>
          <w:lang w:val="en-US"/>
        </w:rPr>
      </w:pPr>
      <w:r>
        <w:tab/>
      </w:r>
      <w:r>
        <w:rPr>
          <w:rStyle w:val="FootnoteReference"/>
        </w:rPr>
        <w:footnoteRef/>
      </w:r>
      <w:r>
        <w:tab/>
      </w:r>
      <w:r>
        <w:rPr>
          <w:lang w:val="en-US"/>
        </w:rPr>
        <w:t>Decision 1/CMP.8.</w:t>
      </w:r>
    </w:p>
  </w:footnote>
  <w:footnote w:id="14">
    <w:p w14:paraId="0EDF66FE" w14:textId="3886BB18" w:rsidR="001D7D71" w:rsidRPr="000C7C5E" w:rsidRDefault="001D7D71" w:rsidP="009F490A">
      <w:pPr>
        <w:pStyle w:val="FootnoteText"/>
        <w:rPr>
          <w:lang w:val="en-US"/>
        </w:rPr>
      </w:pPr>
      <w:r>
        <w:tab/>
      </w:r>
      <w:r>
        <w:rPr>
          <w:rStyle w:val="FootnoteReference"/>
        </w:rPr>
        <w:footnoteRef/>
      </w:r>
      <w:r>
        <w:rPr>
          <w:lang w:val="en-US"/>
        </w:rPr>
        <w:tab/>
      </w:r>
      <w:r w:rsidRPr="000C7C5E">
        <w:rPr>
          <w:lang w:val="en-US"/>
        </w:rPr>
        <w:t>Decision 15/CP.1, annex I</w:t>
      </w:r>
      <w:r>
        <w:rPr>
          <w:lang w:val="en-US"/>
        </w:rPr>
        <w:t>.</w:t>
      </w:r>
    </w:p>
  </w:footnote>
  <w:footnote w:id="15">
    <w:p w14:paraId="3D04D01E" w14:textId="77777777" w:rsidR="001D7D71" w:rsidRPr="004D42B3" w:rsidRDefault="001D7D71" w:rsidP="009F490A">
      <w:pPr>
        <w:pStyle w:val="FootnoteText"/>
        <w:tabs>
          <w:tab w:val="clear" w:pos="1021"/>
          <w:tab w:val="right" w:pos="1020"/>
        </w:tabs>
        <w:rPr>
          <w:lang w:val="en-US"/>
        </w:rPr>
      </w:pPr>
      <w:r>
        <w:tab/>
      </w:r>
      <w:r>
        <w:rPr>
          <w:rStyle w:val="FootnoteReference"/>
        </w:rPr>
        <w:footnoteRef/>
      </w:r>
      <w:r>
        <w:tab/>
        <w:t>FCCC/SBI/2017</w:t>
      </w:r>
      <w:r w:rsidRPr="00D91636">
        <w:t>/13</w:t>
      </w:r>
      <w:r>
        <w:t>, FCCC/SBI/2017/INF.8, FCCC/SBI/2017</w:t>
      </w:r>
      <w:r w:rsidRPr="00D91636">
        <w:t>/INF.14</w:t>
      </w:r>
      <w:r>
        <w:t xml:space="preserve"> and FCCC/SBI/2017</w:t>
      </w:r>
      <w:r w:rsidRPr="00D91636">
        <w:t>/INF.15</w:t>
      </w:r>
      <w:r w:rsidRPr="00D478DC">
        <w:t xml:space="preserve"> and Add.1</w:t>
      </w:r>
      <w:r w:rsidRPr="004D1A1E">
        <w:t>.</w:t>
      </w:r>
    </w:p>
  </w:footnote>
  <w:footnote w:id="16">
    <w:p w14:paraId="7CB0ED74" w14:textId="77777777" w:rsidR="001D7D71" w:rsidRPr="008C6966" w:rsidRDefault="001D7D71" w:rsidP="009F490A">
      <w:pPr>
        <w:pStyle w:val="FootnoteText"/>
        <w:widowControl w:val="0"/>
        <w:tabs>
          <w:tab w:val="clear" w:pos="1021"/>
          <w:tab w:val="right" w:pos="1020"/>
        </w:tabs>
      </w:pPr>
      <w:r>
        <w:tab/>
      </w:r>
      <w:r>
        <w:rPr>
          <w:rStyle w:val="FootnoteReference"/>
        </w:rPr>
        <w:footnoteRef/>
      </w:r>
      <w:r w:rsidRPr="008C6966">
        <w:tab/>
        <w:t>FCCC/SBI/2017/13.</w:t>
      </w:r>
    </w:p>
  </w:footnote>
  <w:footnote w:id="17">
    <w:p w14:paraId="2A928430" w14:textId="77777777" w:rsidR="001D7D71" w:rsidRPr="008C6966" w:rsidRDefault="001D7D71" w:rsidP="009F490A">
      <w:pPr>
        <w:pStyle w:val="FootnoteText"/>
        <w:widowControl w:val="0"/>
        <w:tabs>
          <w:tab w:val="clear" w:pos="1021"/>
          <w:tab w:val="right" w:pos="1020"/>
        </w:tabs>
      </w:pPr>
      <w:r w:rsidRPr="008C6966">
        <w:tab/>
      </w:r>
      <w:r w:rsidRPr="00E5742A">
        <w:rPr>
          <w:rStyle w:val="FootnoteReference"/>
        </w:rPr>
        <w:footnoteRef/>
      </w:r>
      <w:r w:rsidRPr="008C6966">
        <w:tab/>
        <w:t>FCCC/SBI/2017/INF.14.</w:t>
      </w:r>
    </w:p>
  </w:footnote>
  <w:footnote w:id="18">
    <w:p w14:paraId="51E5E174" w14:textId="77777777" w:rsidR="001D7D71" w:rsidRPr="00AC41F5" w:rsidRDefault="001D7D71" w:rsidP="009F490A">
      <w:pPr>
        <w:pStyle w:val="FootnoteText"/>
        <w:widowControl w:val="0"/>
        <w:tabs>
          <w:tab w:val="clear" w:pos="1021"/>
          <w:tab w:val="right" w:pos="1020"/>
        </w:tabs>
        <w:rPr>
          <w:lang w:val="en-US"/>
        </w:rPr>
      </w:pPr>
      <w:r w:rsidRPr="008C6966">
        <w:tab/>
      </w:r>
      <w:r>
        <w:rPr>
          <w:rStyle w:val="FootnoteReference"/>
        </w:rPr>
        <w:footnoteRef/>
      </w:r>
      <w:r>
        <w:tab/>
        <w:t xml:space="preserve">FCCC/SBI/2017/INF.15 and Add.1. </w:t>
      </w:r>
    </w:p>
  </w:footnote>
  <w:footnote w:id="19">
    <w:p w14:paraId="7405C98C" w14:textId="77777777" w:rsidR="001D7D71" w:rsidRPr="002B3CF8" w:rsidRDefault="001D7D71" w:rsidP="009F490A">
      <w:pPr>
        <w:pStyle w:val="FootnoteText"/>
        <w:widowControl w:val="0"/>
        <w:tabs>
          <w:tab w:val="clear" w:pos="1021"/>
          <w:tab w:val="right" w:pos="1020"/>
        </w:tabs>
        <w:rPr>
          <w:lang w:val="en-US"/>
        </w:rPr>
      </w:pPr>
      <w:r w:rsidRPr="00C36784">
        <w:tab/>
      </w:r>
      <w:r w:rsidRPr="00C36784">
        <w:rPr>
          <w:rStyle w:val="FootnoteReference"/>
        </w:rPr>
        <w:footnoteRef/>
      </w:r>
      <w:r w:rsidRPr="00C36784">
        <w:tab/>
        <w:t>FCCC/SBI/2017/4.</w:t>
      </w:r>
      <w:r>
        <w:t xml:space="preserve"> </w:t>
      </w:r>
    </w:p>
  </w:footnote>
  <w:footnote w:id="20">
    <w:p w14:paraId="59162F08" w14:textId="77777777" w:rsidR="001D7D71" w:rsidRPr="00C36784" w:rsidRDefault="001D7D71" w:rsidP="009F490A">
      <w:pPr>
        <w:pStyle w:val="FootnoteText"/>
        <w:widowControl w:val="0"/>
        <w:tabs>
          <w:tab w:val="clear" w:pos="1021"/>
          <w:tab w:val="right" w:pos="1020"/>
        </w:tabs>
        <w:rPr>
          <w:lang w:val="en-US"/>
        </w:rPr>
      </w:pPr>
      <w:r>
        <w:tab/>
      </w:r>
      <w:r>
        <w:rPr>
          <w:rStyle w:val="FootnoteReference"/>
        </w:rPr>
        <w:footnoteRef/>
      </w:r>
      <w:r>
        <w:tab/>
      </w:r>
      <w:r w:rsidRPr="00C36784">
        <w:t>Decision 15/CP.1, annex I.</w:t>
      </w:r>
    </w:p>
  </w:footnote>
  <w:footnote w:id="21">
    <w:p w14:paraId="1C9200BE" w14:textId="77777777" w:rsidR="001D7D71" w:rsidRPr="0015708A" w:rsidRDefault="001D7D71" w:rsidP="00550391">
      <w:pPr>
        <w:pStyle w:val="FootnoteText"/>
        <w:widowControl w:val="0"/>
        <w:tabs>
          <w:tab w:val="clear" w:pos="1021"/>
          <w:tab w:val="right" w:pos="1020"/>
        </w:tabs>
        <w:rPr>
          <w:lang w:val="it-IT"/>
        </w:rPr>
      </w:pPr>
      <w:r w:rsidRPr="008270F4">
        <w:rPr>
          <w:lang w:val="en-US"/>
        </w:rPr>
        <w:tab/>
      </w:r>
      <w:r w:rsidRPr="008270F4">
        <w:rPr>
          <w:rStyle w:val="FootnoteReference"/>
        </w:rPr>
        <w:footnoteRef/>
      </w:r>
      <w:r w:rsidRPr="008270F4">
        <w:rPr>
          <w:lang w:val="it-IT"/>
        </w:rPr>
        <w:tab/>
      </w:r>
      <w:r w:rsidRPr="00821D73">
        <w:rPr>
          <w:lang w:val="it-IT"/>
        </w:rPr>
        <w:t>FCCC/SBI/2017/4/Add.</w:t>
      </w:r>
      <w:r>
        <w:rPr>
          <w:lang w:val="it-IT"/>
        </w:rPr>
        <w:t>2</w:t>
      </w:r>
      <w:r w:rsidRPr="00821D73">
        <w:rPr>
          <w:lang w:val="it-IT"/>
        </w:rPr>
        <w:t>.</w:t>
      </w:r>
      <w:r w:rsidRPr="0015708A">
        <w:rPr>
          <w:lang w:val="it-IT"/>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A8308" w14:textId="5F914002" w:rsidR="001D7D71" w:rsidRPr="00CA0361" w:rsidRDefault="001D7D71" w:rsidP="00CA0361">
    <w:pPr>
      <w:pStyle w:val="Header"/>
    </w:pPr>
    <w:r>
      <w:t>FCCC/KP/CMP/2017/7/Add.1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5ECB6" w14:textId="1A41879C" w:rsidR="001D7D71" w:rsidRPr="00CA0361" w:rsidRDefault="001D7D71" w:rsidP="00CA0361">
    <w:pPr>
      <w:pStyle w:val="Header"/>
      <w:jc w:val="right"/>
    </w:pPr>
    <w:r>
      <w:t>FCCC/KP/CMP/2017/7/Add.1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68DEB" w14:textId="7AFD8EEE" w:rsidR="001D7D71" w:rsidRPr="00CA0361" w:rsidRDefault="001D7D71" w:rsidP="00CA0361">
    <w:pPr>
      <w:pStyle w:val="Header"/>
    </w:pPr>
    <w:r>
      <w:t>FCCC/KP/CMP/2017/7/Add.1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13612" w14:textId="53D4EA55" w:rsidR="001D7D71" w:rsidRPr="00CA0361" w:rsidRDefault="001D7D71" w:rsidP="00CA0361">
    <w:pPr>
      <w:pStyle w:val="Header"/>
      <w:jc w:val="right"/>
    </w:pPr>
    <w:r>
      <w:t>FCCC/KP/CMP/2017/7/Add.1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D4E77" w14:textId="07163F7B" w:rsidR="001D7D71" w:rsidRPr="00CA0361" w:rsidRDefault="001D7D71" w:rsidP="00CA0361">
    <w:pPr>
      <w:pStyle w:val="Header"/>
    </w:pPr>
    <w:r>
      <w:t>FCCC/KP/CMP/2017/7/Add.1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8213D" w14:textId="13B9E867" w:rsidR="001D7D71" w:rsidRPr="00CA0361" w:rsidRDefault="001D7D71" w:rsidP="00CA0361">
    <w:pPr>
      <w:pStyle w:val="Header"/>
      <w:jc w:val="right"/>
    </w:pPr>
    <w:r>
      <w:t>FCCC/KP/CMP/2017/7/Add.1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B6FA9" w14:textId="17BCE61E" w:rsidR="001D7D71" w:rsidRPr="00CA0361" w:rsidRDefault="001D7D71" w:rsidP="00CA0361">
    <w:pPr>
      <w:pStyle w:val="Header"/>
    </w:pPr>
    <w:r>
      <w:t>FCCC/KP/CMP/2017/7/Add.1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DB93A" w14:textId="66F5E973" w:rsidR="001D7D71" w:rsidRPr="009F490A" w:rsidRDefault="001D7D71" w:rsidP="009F490A">
    <w:pPr>
      <w:pStyle w:val="Header"/>
      <w:jc w:val="right"/>
    </w:pPr>
    <w:r>
      <w:t>FCCC/KP/CMP/2017/7/Add.1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8652E" w14:textId="77777777" w:rsidR="001D7D71" w:rsidRDefault="001D7D71" w:rsidP="00550391">
    <w:pPr>
      <w:pStyle w:val="Header"/>
      <w:pBdr>
        <w:bottom w:val="none" w:sz="0" w:space="0"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A97FB" w14:textId="7213D075" w:rsidR="001D7D71" w:rsidRPr="00CA0361" w:rsidRDefault="001D7D71" w:rsidP="00CA0361">
    <w:pPr>
      <w:pStyle w:val="Header"/>
    </w:pPr>
    <w:r>
      <w:t>FCCC/KP/CMP/2017/7/Add.1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A51A2" w14:textId="075E9205" w:rsidR="001D7D71" w:rsidRPr="00CA0361" w:rsidRDefault="001D7D71" w:rsidP="00CA0361">
    <w:pPr>
      <w:pStyle w:val="Header"/>
      <w:jc w:val="right"/>
    </w:pPr>
    <w:r>
      <w:t>FCCC/KP/CMP/2017/7/Add.1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A8309" w14:textId="7BE408EA" w:rsidR="001D7D71" w:rsidRPr="00CA0361" w:rsidRDefault="001D7D71" w:rsidP="00CA0361">
    <w:pPr>
      <w:pStyle w:val="Header"/>
      <w:jc w:val="right"/>
    </w:pPr>
    <w:r>
      <w:t>FCCC/KP/CMP/2017/7/Add.1</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34647" w14:textId="3D21E37A" w:rsidR="001D7D71" w:rsidRPr="00CA0361" w:rsidRDefault="001D7D71" w:rsidP="00CA0361">
    <w:pPr>
      <w:pStyle w:val="Header"/>
    </w:pPr>
    <w:r>
      <w:t>FCCC/KP/CMP/2017/7/Add.1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B47C4" w14:textId="5C163F44" w:rsidR="001D7D71" w:rsidRPr="00CA0361" w:rsidRDefault="001D7D71" w:rsidP="00CA0361">
    <w:pPr>
      <w:pStyle w:val="Header"/>
      <w:jc w:val="right"/>
    </w:pPr>
    <w:r>
      <w:t>FCCC/KP/CMP/2017/7/Add.1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A8B61" w14:textId="77777777" w:rsidR="001D7D71" w:rsidRDefault="001D7D71" w:rsidP="00550391">
    <w:pPr>
      <w:pStyle w:val="Header"/>
      <w:pBdr>
        <w:bottom w:val="none" w:sz="0" w:space="0" w:color="auto"/>
      </w:pBd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6840F" w14:textId="4C936D1F" w:rsidR="001D7D71" w:rsidRPr="00CA0361" w:rsidRDefault="001D7D71" w:rsidP="00CA0361">
    <w:pPr>
      <w:pStyle w:val="Header"/>
      <w:jc w:val="right"/>
    </w:pPr>
    <w:r>
      <w:t>FCCC/KP/CMP/2017/7/Add.1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51384" w14:textId="0270216B" w:rsidR="001D7D71" w:rsidRPr="00CA0361" w:rsidRDefault="001D7D71" w:rsidP="00CA0361">
    <w:pPr>
      <w:pStyle w:val="Header"/>
    </w:pPr>
    <w:r>
      <w:t>FCCC/KP/CMP/2017/7/Add.1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D1C9B" w14:textId="41F46333" w:rsidR="001D7D71" w:rsidRPr="00CA0361" w:rsidRDefault="001D7D71" w:rsidP="00CA0361">
    <w:pPr>
      <w:pStyle w:val="Header"/>
      <w:jc w:val="right"/>
    </w:pPr>
    <w:r>
      <w:t>FCCC/KP/CMP/2017/7/Add.1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1C51E" w14:textId="77777777" w:rsidR="001D7D71" w:rsidRDefault="001D7D71" w:rsidP="000B7955">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6A79F" w14:textId="35526B73" w:rsidR="001D7D71" w:rsidRPr="00CA0361" w:rsidRDefault="001D7D71" w:rsidP="00CA0361">
    <w:pPr>
      <w:pStyle w:val="Header"/>
    </w:pPr>
    <w:r>
      <w:t>FCCC/KP/CMP/2017/7/Add.1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03E88" w14:textId="35A6AAA1" w:rsidR="001D7D71" w:rsidRPr="00CA0361" w:rsidRDefault="001D7D71" w:rsidP="00CA0361">
    <w:pPr>
      <w:pStyle w:val="Header"/>
      <w:jc w:val="right"/>
    </w:pPr>
    <w:r>
      <w:t>FCCC/KP/CMP/2017/7/Add.1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3245B" w14:textId="4749677B" w:rsidR="001D7D71" w:rsidRPr="00CA0361" w:rsidRDefault="001D7D71" w:rsidP="00CA0361">
    <w:pPr>
      <w:pStyle w:val="Header"/>
    </w:pPr>
    <w:r>
      <w:t>FCCC/KP/CMP/2017/7/Add.1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29FC4" w14:textId="71ED2BCA" w:rsidR="001D7D71" w:rsidRPr="00CA0361" w:rsidRDefault="001D7D71" w:rsidP="00CA0361">
    <w:pPr>
      <w:pStyle w:val="Header"/>
      <w:jc w:val="right"/>
    </w:pPr>
    <w:r>
      <w:t>FCCC/KP/CMP/2017/7/Add.1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68EF7" w14:textId="77777777" w:rsidR="001D7D71" w:rsidRDefault="001D7D71" w:rsidP="00550391">
    <w:pPr>
      <w:pStyle w:val="Header"/>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47321" w14:textId="3E89A816" w:rsidR="001D7D71" w:rsidRPr="00C9296A" w:rsidRDefault="001D7D71" w:rsidP="00C9296A">
    <w:pPr>
      <w:pStyle w:val="Header"/>
    </w:pPr>
    <w:r>
      <w:t>FCCC/KP/CMP/2017/7/Add.1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CB27C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0C852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F36C0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ACD4D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2347D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C009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F69C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4AE3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3CABB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E9C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1F344F"/>
    <w:multiLevelType w:val="hybridMultilevel"/>
    <w:tmpl w:val="D1487212"/>
    <w:lvl w:ilvl="0" w:tplc="48E88374">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23354E"/>
    <w:multiLevelType w:val="multilevel"/>
    <w:tmpl w:val="14B83FBC"/>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i w:val="0"/>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5" w15:restartNumberingAfterBreak="0">
    <w:nsid w:val="11A9360A"/>
    <w:multiLevelType w:val="multilevel"/>
    <w:tmpl w:val="FD843F1A"/>
    <w:name w:val="Reg"/>
    <w:lvl w:ilvl="0">
      <w:start w:val="1"/>
      <w:numFmt w:val="upperRoman"/>
      <w:pStyle w:val="RegHead1"/>
      <w:suff w:val="space"/>
      <w:lvlText w:val="%1. "/>
      <w:lvlJc w:val="center"/>
      <w:pPr>
        <w:ind w:left="0" w:firstLine="0"/>
      </w:pPr>
      <w:rPr>
        <w:sz w:val="22"/>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16"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0"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0C7197"/>
    <w:multiLevelType w:val="hybridMultilevel"/>
    <w:tmpl w:val="DA00F372"/>
    <w:lvl w:ilvl="0" w:tplc="5470AE24">
      <w:start w:val="1"/>
      <w:numFmt w:val="lowerLetter"/>
      <w:lvlRestart w:val="0"/>
      <w:suff w:val="space"/>
      <w:lvlText w:val="%1  "/>
      <w:lvlJc w:val="left"/>
      <w:pPr>
        <w:ind w:left="1107" w:firstLine="170"/>
      </w:pPr>
      <w:rPr>
        <w:i/>
        <w:sz w:val="18"/>
        <w:vertAlign w:val="superscript"/>
      </w:rPr>
    </w:lvl>
    <w:lvl w:ilvl="1" w:tplc="04090019" w:tentative="1">
      <w:start w:val="1"/>
      <w:numFmt w:val="lowerLetter"/>
      <w:lvlText w:val="%2."/>
      <w:lvlJc w:val="left"/>
      <w:pPr>
        <w:ind w:left="1413" w:hanging="360"/>
      </w:pPr>
    </w:lvl>
    <w:lvl w:ilvl="2" w:tplc="0409001B" w:tentative="1">
      <w:start w:val="1"/>
      <w:numFmt w:val="lowerRoman"/>
      <w:lvlText w:val="%3."/>
      <w:lvlJc w:val="right"/>
      <w:pPr>
        <w:ind w:left="2133" w:hanging="180"/>
      </w:pPr>
    </w:lvl>
    <w:lvl w:ilvl="3" w:tplc="0409000F" w:tentative="1">
      <w:start w:val="1"/>
      <w:numFmt w:val="decimal"/>
      <w:lvlText w:val="%4."/>
      <w:lvlJc w:val="left"/>
      <w:pPr>
        <w:ind w:left="2853" w:hanging="360"/>
      </w:pPr>
    </w:lvl>
    <w:lvl w:ilvl="4" w:tplc="04090019" w:tentative="1">
      <w:start w:val="1"/>
      <w:numFmt w:val="lowerLetter"/>
      <w:lvlText w:val="%5."/>
      <w:lvlJc w:val="left"/>
      <w:pPr>
        <w:ind w:left="3573" w:hanging="360"/>
      </w:pPr>
    </w:lvl>
    <w:lvl w:ilvl="5" w:tplc="0409001B" w:tentative="1">
      <w:start w:val="1"/>
      <w:numFmt w:val="lowerRoman"/>
      <w:lvlText w:val="%6."/>
      <w:lvlJc w:val="right"/>
      <w:pPr>
        <w:ind w:left="4293" w:hanging="180"/>
      </w:pPr>
    </w:lvl>
    <w:lvl w:ilvl="6" w:tplc="0409000F" w:tentative="1">
      <w:start w:val="1"/>
      <w:numFmt w:val="decimal"/>
      <w:lvlText w:val="%7."/>
      <w:lvlJc w:val="left"/>
      <w:pPr>
        <w:ind w:left="5013" w:hanging="360"/>
      </w:pPr>
    </w:lvl>
    <w:lvl w:ilvl="7" w:tplc="04090019" w:tentative="1">
      <w:start w:val="1"/>
      <w:numFmt w:val="lowerLetter"/>
      <w:lvlText w:val="%8."/>
      <w:lvlJc w:val="left"/>
      <w:pPr>
        <w:ind w:left="5733" w:hanging="360"/>
      </w:pPr>
    </w:lvl>
    <w:lvl w:ilvl="8" w:tplc="0409001B" w:tentative="1">
      <w:start w:val="1"/>
      <w:numFmt w:val="lowerRoman"/>
      <w:lvlText w:val="%9."/>
      <w:lvlJc w:val="right"/>
      <w:pPr>
        <w:ind w:left="6453" w:hanging="180"/>
      </w:pPr>
    </w:lvl>
  </w:abstractNum>
  <w:abstractNum w:abstractNumId="25"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AE3993"/>
    <w:multiLevelType w:val="hybridMultilevel"/>
    <w:tmpl w:val="D360B81E"/>
    <w:lvl w:ilvl="0" w:tplc="46C2EF40">
      <w:start w:val="1"/>
      <w:numFmt w:val="lowerLetter"/>
      <w:lvlRestart w:val="0"/>
      <w:suff w:val="space"/>
      <w:lvlText w:val="%1  "/>
      <w:lvlJc w:val="left"/>
      <w:pPr>
        <w:ind w:left="567" w:firstLine="170"/>
      </w:pPr>
      <w:rPr>
        <w:i/>
        <w:sz w:val="18"/>
        <w:vertAlign w:val="superscrip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num w:numId="1">
    <w:abstractNumId w:val="14"/>
  </w:num>
  <w:num w:numId="2">
    <w:abstractNumId w:val="17"/>
  </w:num>
  <w:num w:numId="3">
    <w:abstractNumId w:val="20"/>
  </w:num>
  <w:num w:numId="4">
    <w:abstractNumId w:val="11"/>
  </w:num>
  <w:num w:numId="5">
    <w:abstractNumId w:val="10"/>
  </w:num>
  <w:num w:numId="6">
    <w:abstractNumId w:val="26"/>
  </w:num>
  <w:num w:numId="7">
    <w:abstractNumId w:val="19"/>
  </w:num>
  <w:num w:numId="8">
    <w:abstractNumId w:val="14"/>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3"/>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oNotTrackMoves/>
  <w:documentProtection w:formatting="1" w:enforcement="0"/>
  <w:defaultTabStop w:val="567"/>
  <w:hyphenationZone w:val="425"/>
  <w:evenAndOddHeaders/>
  <w:drawingGridHorizontalSpacing w:val="100"/>
  <w:displayHorizontalDrawingGridEvery w:val="2"/>
  <w:displayVerticalDrawingGridEvery w:val="2"/>
  <w:noPunctuationKerning/>
  <w:characterSpacingControl w:val="doNotCompress"/>
  <w:hdrShapeDefaults>
    <o:shapedefaults v:ext="edit" spidmax="53249"/>
  </w:hdrShapeDefaults>
  <w:footnotePr>
    <w:numRestart w:val="eachSect"/>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6618"/>
    <w:rsid w:val="00002558"/>
    <w:rsid w:val="00004A30"/>
    <w:rsid w:val="00007089"/>
    <w:rsid w:val="0001390A"/>
    <w:rsid w:val="00021BB6"/>
    <w:rsid w:val="0002382B"/>
    <w:rsid w:val="00032DDE"/>
    <w:rsid w:val="00037650"/>
    <w:rsid w:val="0003776D"/>
    <w:rsid w:val="000423A6"/>
    <w:rsid w:val="00052463"/>
    <w:rsid w:val="000555B3"/>
    <w:rsid w:val="000561BD"/>
    <w:rsid w:val="00062505"/>
    <w:rsid w:val="00072780"/>
    <w:rsid w:val="00074855"/>
    <w:rsid w:val="00074EC5"/>
    <w:rsid w:val="00074FC8"/>
    <w:rsid w:val="00076113"/>
    <w:rsid w:val="000773C8"/>
    <w:rsid w:val="00081C44"/>
    <w:rsid w:val="00083647"/>
    <w:rsid w:val="0008756E"/>
    <w:rsid w:val="00087BE9"/>
    <w:rsid w:val="00090016"/>
    <w:rsid w:val="000913E6"/>
    <w:rsid w:val="00092E29"/>
    <w:rsid w:val="00093044"/>
    <w:rsid w:val="000A2FDA"/>
    <w:rsid w:val="000A399F"/>
    <w:rsid w:val="000A4C99"/>
    <w:rsid w:val="000A566F"/>
    <w:rsid w:val="000A7C2B"/>
    <w:rsid w:val="000B1FD0"/>
    <w:rsid w:val="000B7955"/>
    <w:rsid w:val="000C0E05"/>
    <w:rsid w:val="000C24E3"/>
    <w:rsid w:val="000C5173"/>
    <w:rsid w:val="000C7FAF"/>
    <w:rsid w:val="000D5DED"/>
    <w:rsid w:val="000D6922"/>
    <w:rsid w:val="000D6D4A"/>
    <w:rsid w:val="000E343D"/>
    <w:rsid w:val="000E5A58"/>
    <w:rsid w:val="000E682E"/>
    <w:rsid w:val="000E6E68"/>
    <w:rsid w:val="000F13AC"/>
    <w:rsid w:val="000F379C"/>
    <w:rsid w:val="000F4528"/>
    <w:rsid w:val="000F5020"/>
    <w:rsid w:val="001007C9"/>
    <w:rsid w:val="00106384"/>
    <w:rsid w:val="00107536"/>
    <w:rsid w:val="00107B0E"/>
    <w:rsid w:val="0011157B"/>
    <w:rsid w:val="001161E5"/>
    <w:rsid w:val="0011781E"/>
    <w:rsid w:val="00120826"/>
    <w:rsid w:val="00120901"/>
    <w:rsid w:val="001209A8"/>
    <w:rsid w:val="00120E84"/>
    <w:rsid w:val="00123C52"/>
    <w:rsid w:val="00124496"/>
    <w:rsid w:val="00127311"/>
    <w:rsid w:val="001328F9"/>
    <w:rsid w:val="001349EC"/>
    <w:rsid w:val="00134F15"/>
    <w:rsid w:val="00136D61"/>
    <w:rsid w:val="00140113"/>
    <w:rsid w:val="001405C6"/>
    <w:rsid w:val="00141710"/>
    <w:rsid w:val="00142A35"/>
    <w:rsid w:val="00152A6E"/>
    <w:rsid w:val="001600D9"/>
    <w:rsid w:val="00172CF0"/>
    <w:rsid w:val="001738F1"/>
    <w:rsid w:val="00174A05"/>
    <w:rsid w:val="00177074"/>
    <w:rsid w:val="00184C03"/>
    <w:rsid w:val="00186A4F"/>
    <w:rsid w:val="00186E35"/>
    <w:rsid w:val="001906D0"/>
    <w:rsid w:val="001915EF"/>
    <w:rsid w:val="0019430F"/>
    <w:rsid w:val="001945C7"/>
    <w:rsid w:val="00194BFA"/>
    <w:rsid w:val="00194E11"/>
    <w:rsid w:val="00195018"/>
    <w:rsid w:val="00196E77"/>
    <w:rsid w:val="001A1FC1"/>
    <w:rsid w:val="001A3E9A"/>
    <w:rsid w:val="001A594B"/>
    <w:rsid w:val="001A5FE8"/>
    <w:rsid w:val="001A70E2"/>
    <w:rsid w:val="001B085A"/>
    <w:rsid w:val="001B1483"/>
    <w:rsid w:val="001C3DE7"/>
    <w:rsid w:val="001C40F0"/>
    <w:rsid w:val="001C4688"/>
    <w:rsid w:val="001C7B87"/>
    <w:rsid w:val="001D012A"/>
    <w:rsid w:val="001D0F0F"/>
    <w:rsid w:val="001D2FD8"/>
    <w:rsid w:val="001D621F"/>
    <w:rsid w:val="001D7D71"/>
    <w:rsid w:val="001E73DC"/>
    <w:rsid w:val="001E7D13"/>
    <w:rsid w:val="001F0C87"/>
    <w:rsid w:val="001F2BBF"/>
    <w:rsid w:val="002008AA"/>
    <w:rsid w:val="00201B92"/>
    <w:rsid w:val="002025E1"/>
    <w:rsid w:val="00202C1D"/>
    <w:rsid w:val="00207452"/>
    <w:rsid w:val="0021446A"/>
    <w:rsid w:val="00216589"/>
    <w:rsid w:val="00223453"/>
    <w:rsid w:val="00224111"/>
    <w:rsid w:val="00226DD0"/>
    <w:rsid w:val="00230D0F"/>
    <w:rsid w:val="00231FB5"/>
    <w:rsid w:val="00232479"/>
    <w:rsid w:val="00232659"/>
    <w:rsid w:val="00232EAA"/>
    <w:rsid w:val="0024447B"/>
    <w:rsid w:val="00246888"/>
    <w:rsid w:val="00247BF6"/>
    <w:rsid w:val="00250037"/>
    <w:rsid w:val="00251FF9"/>
    <w:rsid w:val="00256CFB"/>
    <w:rsid w:val="00257AA3"/>
    <w:rsid w:val="00260BFA"/>
    <w:rsid w:val="00264F17"/>
    <w:rsid w:val="00266D68"/>
    <w:rsid w:val="00267B98"/>
    <w:rsid w:val="00273E8E"/>
    <w:rsid w:val="0027419E"/>
    <w:rsid w:val="00276A17"/>
    <w:rsid w:val="002776B4"/>
    <w:rsid w:val="002779EB"/>
    <w:rsid w:val="002823A1"/>
    <w:rsid w:val="00283275"/>
    <w:rsid w:val="002859C9"/>
    <w:rsid w:val="0029007C"/>
    <w:rsid w:val="00290409"/>
    <w:rsid w:val="00292DC3"/>
    <w:rsid w:val="002933A4"/>
    <w:rsid w:val="002954CD"/>
    <w:rsid w:val="00295866"/>
    <w:rsid w:val="0029733B"/>
    <w:rsid w:val="00297C1E"/>
    <w:rsid w:val="002A01B0"/>
    <w:rsid w:val="002A7B52"/>
    <w:rsid w:val="002B00DA"/>
    <w:rsid w:val="002B0283"/>
    <w:rsid w:val="002B3984"/>
    <w:rsid w:val="002B446B"/>
    <w:rsid w:val="002B71EA"/>
    <w:rsid w:val="002B72CE"/>
    <w:rsid w:val="002B7532"/>
    <w:rsid w:val="002C051E"/>
    <w:rsid w:val="002C11F7"/>
    <w:rsid w:val="002C52A6"/>
    <w:rsid w:val="002C64AC"/>
    <w:rsid w:val="002D0DEE"/>
    <w:rsid w:val="002D154A"/>
    <w:rsid w:val="002D1F6E"/>
    <w:rsid w:val="002D5EBA"/>
    <w:rsid w:val="002D737B"/>
    <w:rsid w:val="002E3ED8"/>
    <w:rsid w:val="002E548E"/>
    <w:rsid w:val="002F304A"/>
    <w:rsid w:val="002F60E8"/>
    <w:rsid w:val="002F7B01"/>
    <w:rsid w:val="003003CC"/>
    <w:rsid w:val="003012AF"/>
    <w:rsid w:val="00303B3F"/>
    <w:rsid w:val="00304BA1"/>
    <w:rsid w:val="00306423"/>
    <w:rsid w:val="003132EC"/>
    <w:rsid w:val="003147E4"/>
    <w:rsid w:val="00317B8C"/>
    <w:rsid w:val="003250E7"/>
    <w:rsid w:val="00327575"/>
    <w:rsid w:val="00327B89"/>
    <w:rsid w:val="00332592"/>
    <w:rsid w:val="00334670"/>
    <w:rsid w:val="003354A0"/>
    <w:rsid w:val="00336DC3"/>
    <w:rsid w:val="00340554"/>
    <w:rsid w:val="00341289"/>
    <w:rsid w:val="003415A2"/>
    <w:rsid w:val="00344AD3"/>
    <w:rsid w:val="00350710"/>
    <w:rsid w:val="00355B23"/>
    <w:rsid w:val="00357684"/>
    <w:rsid w:val="0036068D"/>
    <w:rsid w:val="00361821"/>
    <w:rsid w:val="00361A9D"/>
    <w:rsid w:val="003643C9"/>
    <w:rsid w:val="00364B85"/>
    <w:rsid w:val="00375F53"/>
    <w:rsid w:val="003762C2"/>
    <w:rsid w:val="00381632"/>
    <w:rsid w:val="00383494"/>
    <w:rsid w:val="00391595"/>
    <w:rsid w:val="003A04B4"/>
    <w:rsid w:val="003A4936"/>
    <w:rsid w:val="003B1229"/>
    <w:rsid w:val="003B2C11"/>
    <w:rsid w:val="003B3C25"/>
    <w:rsid w:val="003B4C6A"/>
    <w:rsid w:val="003B4D23"/>
    <w:rsid w:val="003C3854"/>
    <w:rsid w:val="003C75B9"/>
    <w:rsid w:val="003D1A53"/>
    <w:rsid w:val="003D36AD"/>
    <w:rsid w:val="003D6B47"/>
    <w:rsid w:val="003E05CD"/>
    <w:rsid w:val="003E3A52"/>
    <w:rsid w:val="003E7CA8"/>
    <w:rsid w:val="003F0BC6"/>
    <w:rsid w:val="003F1E27"/>
    <w:rsid w:val="003F3102"/>
    <w:rsid w:val="003F3389"/>
    <w:rsid w:val="003F5FEE"/>
    <w:rsid w:val="003F7301"/>
    <w:rsid w:val="00403E2E"/>
    <w:rsid w:val="004061BF"/>
    <w:rsid w:val="00410508"/>
    <w:rsid w:val="00412CF2"/>
    <w:rsid w:val="00415EFB"/>
    <w:rsid w:val="00417292"/>
    <w:rsid w:val="00422A48"/>
    <w:rsid w:val="00422A55"/>
    <w:rsid w:val="00424965"/>
    <w:rsid w:val="00427DA2"/>
    <w:rsid w:val="0043729E"/>
    <w:rsid w:val="00437435"/>
    <w:rsid w:val="00442AFD"/>
    <w:rsid w:val="00445627"/>
    <w:rsid w:val="00455747"/>
    <w:rsid w:val="00456080"/>
    <w:rsid w:val="004578AD"/>
    <w:rsid w:val="00460C51"/>
    <w:rsid w:val="00464BE9"/>
    <w:rsid w:val="004812E6"/>
    <w:rsid w:val="0048196D"/>
    <w:rsid w:val="00484B74"/>
    <w:rsid w:val="0048523B"/>
    <w:rsid w:val="00485971"/>
    <w:rsid w:val="00487DED"/>
    <w:rsid w:val="004903C5"/>
    <w:rsid w:val="004977C3"/>
    <w:rsid w:val="004A0F26"/>
    <w:rsid w:val="004A36EC"/>
    <w:rsid w:val="004A67DD"/>
    <w:rsid w:val="004B034F"/>
    <w:rsid w:val="004B2869"/>
    <w:rsid w:val="004B501A"/>
    <w:rsid w:val="004C022A"/>
    <w:rsid w:val="004C1052"/>
    <w:rsid w:val="004C604C"/>
    <w:rsid w:val="004D1BD9"/>
    <w:rsid w:val="004D26DD"/>
    <w:rsid w:val="004D72AF"/>
    <w:rsid w:val="004E2287"/>
    <w:rsid w:val="004E4B8F"/>
    <w:rsid w:val="004E5A04"/>
    <w:rsid w:val="004E7437"/>
    <w:rsid w:val="004F0D45"/>
    <w:rsid w:val="004F2183"/>
    <w:rsid w:val="004F615A"/>
    <w:rsid w:val="005030B1"/>
    <w:rsid w:val="00503373"/>
    <w:rsid w:val="00521929"/>
    <w:rsid w:val="005255F0"/>
    <w:rsid w:val="00527573"/>
    <w:rsid w:val="005279BE"/>
    <w:rsid w:val="00530ABC"/>
    <w:rsid w:val="005324FA"/>
    <w:rsid w:val="00533AB8"/>
    <w:rsid w:val="00536158"/>
    <w:rsid w:val="005416D2"/>
    <w:rsid w:val="00545616"/>
    <w:rsid w:val="005464AA"/>
    <w:rsid w:val="00546735"/>
    <w:rsid w:val="005474C8"/>
    <w:rsid w:val="00550391"/>
    <w:rsid w:val="00553296"/>
    <w:rsid w:val="005549B8"/>
    <w:rsid w:val="00556333"/>
    <w:rsid w:val="0055700C"/>
    <w:rsid w:val="0056212D"/>
    <w:rsid w:val="0056250B"/>
    <w:rsid w:val="005627AB"/>
    <w:rsid w:val="005653A9"/>
    <w:rsid w:val="00565AF2"/>
    <w:rsid w:val="0056758F"/>
    <w:rsid w:val="0057038E"/>
    <w:rsid w:val="00570F55"/>
    <w:rsid w:val="00573130"/>
    <w:rsid w:val="005760DB"/>
    <w:rsid w:val="00576132"/>
    <w:rsid w:val="00576F19"/>
    <w:rsid w:val="00577949"/>
    <w:rsid w:val="0058341F"/>
    <w:rsid w:val="005857A1"/>
    <w:rsid w:val="0059193B"/>
    <w:rsid w:val="00592405"/>
    <w:rsid w:val="005A0171"/>
    <w:rsid w:val="005A1844"/>
    <w:rsid w:val="005A30EA"/>
    <w:rsid w:val="005A3292"/>
    <w:rsid w:val="005B1D36"/>
    <w:rsid w:val="005B28D8"/>
    <w:rsid w:val="005B47F8"/>
    <w:rsid w:val="005C08EC"/>
    <w:rsid w:val="005C4BBD"/>
    <w:rsid w:val="005C683F"/>
    <w:rsid w:val="005C6895"/>
    <w:rsid w:val="005D3EA8"/>
    <w:rsid w:val="005D6C7A"/>
    <w:rsid w:val="005E432D"/>
    <w:rsid w:val="005F7584"/>
    <w:rsid w:val="006002E5"/>
    <w:rsid w:val="00601526"/>
    <w:rsid w:val="00603D73"/>
    <w:rsid w:val="0060436D"/>
    <w:rsid w:val="0061173F"/>
    <w:rsid w:val="00611E89"/>
    <w:rsid w:val="00617B57"/>
    <w:rsid w:val="00622643"/>
    <w:rsid w:val="00622B9F"/>
    <w:rsid w:val="00624D03"/>
    <w:rsid w:val="00631EE2"/>
    <w:rsid w:val="00633BF3"/>
    <w:rsid w:val="00634DBB"/>
    <w:rsid w:val="0063652F"/>
    <w:rsid w:val="0063667C"/>
    <w:rsid w:val="006379C7"/>
    <w:rsid w:val="00641F29"/>
    <w:rsid w:val="0064579B"/>
    <w:rsid w:val="00651BDB"/>
    <w:rsid w:val="00655F79"/>
    <w:rsid w:val="0066159F"/>
    <w:rsid w:val="0066323E"/>
    <w:rsid w:val="00664ABD"/>
    <w:rsid w:val="00664E65"/>
    <w:rsid w:val="0066779B"/>
    <w:rsid w:val="00671981"/>
    <w:rsid w:val="0067381B"/>
    <w:rsid w:val="006771A4"/>
    <w:rsid w:val="006810D8"/>
    <w:rsid w:val="0068552D"/>
    <w:rsid w:val="00687740"/>
    <w:rsid w:val="0069134B"/>
    <w:rsid w:val="00693901"/>
    <w:rsid w:val="006973FA"/>
    <w:rsid w:val="006A3385"/>
    <w:rsid w:val="006A56FD"/>
    <w:rsid w:val="006A63F7"/>
    <w:rsid w:val="006B06DB"/>
    <w:rsid w:val="006B13CC"/>
    <w:rsid w:val="006B2FFC"/>
    <w:rsid w:val="006B62F2"/>
    <w:rsid w:val="006B6D3A"/>
    <w:rsid w:val="006C590B"/>
    <w:rsid w:val="006C6896"/>
    <w:rsid w:val="006D0BDC"/>
    <w:rsid w:val="006D1991"/>
    <w:rsid w:val="006D59B8"/>
    <w:rsid w:val="006E2336"/>
    <w:rsid w:val="006E62D7"/>
    <w:rsid w:val="006E6852"/>
    <w:rsid w:val="006F1BFA"/>
    <w:rsid w:val="006F2373"/>
    <w:rsid w:val="00700EEF"/>
    <w:rsid w:val="00706ACC"/>
    <w:rsid w:val="00710E60"/>
    <w:rsid w:val="007112BE"/>
    <w:rsid w:val="0071428F"/>
    <w:rsid w:val="00717BC5"/>
    <w:rsid w:val="00721FF8"/>
    <w:rsid w:val="00726562"/>
    <w:rsid w:val="007334B2"/>
    <w:rsid w:val="007334C8"/>
    <w:rsid w:val="00733560"/>
    <w:rsid w:val="007340B9"/>
    <w:rsid w:val="007360DA"/>
    <w:rsid w:val="007367AC"/>
    <w:rsid w:val="00740984"/>
    <w:rsid w:val="00741FEC"/>
    <w:rsid w:val="00742F78"/>
    <w:rsid w:val="00745602"/>
    <w:rsid w:val="00746018"/>
    <w:rsid w:val="00750AE3"/>
    <w:rsid w:val="00750CCE"/>
    <w:rsid w:val="00752275"/>
    <w:rsid w:val="00752FEF"/>
    <w:rsid w:val="00754145"/>
    <w:rsid w:val="00756BC7"/>
    <w:rsid w:val="00756CAC"/>
    <w:rsid w:val="007626E6"/>
    <w:rsid w:val="00762974"/>
    <w:rsid w:val="00763695"/>
    <w:rsid w:val="007658FD"/>
    <w:rsid w:val="007662FB"/>
    <w:rsid w:val="007712B0"/>
    <w:rsid w:val="007719B7"/>
    <w:rsid w:val="00774D1B"/>
    <w:rsid w:val="007760E2"/>
    <w:rsid w:val="00783616"/>
    <w:rsid w:val="0078549A"/>
    <w:rsid w:val="0079037F"/>
    <w:rsid w:val="007965C4"/>
    <w:rsid w:val="007B07E9"/>
    <w:rsid w:val="007B0DFC"/>
    <w:rsid w:val="007B282F"/>
    <w:rsid w:val="007B2CE5"/>
    <w:rsid w:val="007C186F"/>
    <w:rsid w:val="007C23B8"/>
    <w:rsid w:val="007C4046"/>
    <w:rsid w:val="007C4282"/>
    <w:rsid w:val="007C43B0"/>
    <w:rsid w:val="007C60C6"/>
    <w:rsid w:val="007C6AE7"/>
    <w:rsid w:val="007D0DEF"/>
    <w:rsid w:val="007D3A77"/>
    <w:rsid w:val="007D46D9"/>
    <w:rsid w:val="007E2A04"/>
    <w:rsid w:val="007E5A0D"/>
    <w:rsid w:val="007E5C76"/>
    <w:rsid w:val="007F0C6B"/>
    <w:rsid w:val="007F11A7"/>
    <w:rsid w:val="007F1AEE"/>
    <w:rsid w:val="007F5855"/>
    <w:rsid w:val="007F6C8A"/>
    <w:rsid w:val="00802646"/>
    <w:rsid w:val="00805529"/>
    <w:rsid w:val="008071D5"/>
    <w:rsid w:val="00810726"/>
    <w:rsid w:val="0081743A"/>
    <w:rsid w:val="00820954"/>
    <w:rsid w:val="00821927"/>
    <w:rsid w:val="00822406"/>
    <w:rsid w:val="00824785"/>
    <w:rsid w:val="00824D92"/>
    <w:rsid w:val="008263F2"/>
    <w:rsid w:val="00826893"/>
    <w:rsid w:val="00827816"/>
    <w:rsid w:val="0083172F"/>
    <w:rsid w:val="00831B3D"/>
    <w:rsid w:val="008355D2"/>
    <w:rsid w:val="008370E0"/>
    <w:rsid w:val="0084026C"/>
    <w:rsid w:val="00840A8E"/>
    <w:rsid w:val="00840B77"/>
    <w:rsid w:val="008419FD"/>
    <w:rsid w:val="00841F6A"/>
    <w:rsid w:val="008421F3"/>
    <w:rsid w:val="00842245"/>
    <w:rsid w:val="0084341D"/>
    <w:rsid w:val="00845317"/>
    <w:rsid w:val="00847A56"/>
    <w:rsid w:val="00850BA0"/>
    <w:rsid w:val="00854822"/>
    <w:rsid w:val="00854F81"/>
    <w:rsid w:val="00857A55"/>
    <w:rsid w:val="0086015C"/>
    <w:rsid w:val="00863B98"/>
    <w:rsid w:val="00871E36"/>
    <w:rsid w:val="00873FF2"/>
    <w:rsid w:val="00876FDD"/>
    <w:rsid w:val="00877791"/>
    <w:rsid w:val="00885EE0"/>
    <w:rsid w:val="00891172"/>
    <w:rsid w:val="00892684"/>
    <w:rsid w:val="008947F8"/>
    <w:rsid w:val="008A7864"/>
    <w:rsid w:val="008B0BDE"/>
    <w:rsid w:val="008B17FB"/>
    <w:rsid w:val="008B2230"/>
    <w:rsid w:val="008B4372"/>
    <w:rsid w:val="008C05BD"/>
    <w:rsid w:val="008C3312"/>
    <w:rsid w:val="008C42B4"/>
    <w:rsid w:val="008C485C"/>
    <w:rsid w:val="008C5042"/>
    <w:rsid w:val="008C6966"/>
    <w:rsid w:val="008D1D78"/>
    <w:rsid w:val="008D2969"/>
    <w:rsid w:val="008D3EE8"/>
    <w:rsid w:val="008D4009"/>
    <w:rsid w:val="008D49EA"/>
    <w:rsid w:val="008D680A"/>
    <w:rsid w:val="008D7CC1"/>
    <w:rsid w:val="008E2B17"/>
    <w:rsid w:val="008E4889"/>
    <w:rsid w:val="008E4AAA"/>
    <w:rsid w:val="008E64F0"/>
    <w:rsid w:val="008F0DA9"/>
    <w:rsid w:val="008F48FC"/>
    <w:rsid w:val="008F4C57"/>
    <w:rsid w:val="008F6651"/>
    <w:rsid w:val="008F7B36"/>
    <w:rsid w:val="009034BB"/>
    <w:rsid w:val="00906948"/>
    <w:rsid w:val="0091113E"/>
    <w:rsid w:val="0091119B"/>
    <w:rsid w:val="009137D2"/>
    <w:rsid w:val="00917177"/>
    <w:rsid w:val="00917213"/>
    <w:rsid w:val="009179D6"/>
    <w:rsid w:val="00921DB5"/>
    <w:rsid w:val="0092263E"/>
    <w:rsid w:val="009230A8"/>
    <w:rsid w:val="009252FD"/>
    <w:rsid w:val="00933228"/>
    <w:rsid w:val="00936AAC"/>
    <w:rsid w:val="0094334C"/>
    <w:rsid w:val="0094674B"/>
    <w:rsid w:val="009476D3"/>
    <w:rsid w:val="00957A10"/>
    <w:rsid w:val="00960298"/>
    <w:rsid w:val="009617EB"/>
    <w:rsid w:val="0096262A"/>
    <w:rsid w:val="00963690"/>
    <w:rsid w:val="00965737"/>
    <w:rsid w:val="00970F53"/>
    <w:rsid w:val="00971B44"/>
    <w:rsid w:val="00980E44"/>
    <w:rsid w:val="009929D4"/>
    <w:rsid w:val="00996312"/>
    <w:rsid w:val="009979A7"/>
    <w:rsid w:val="009A180C"/>
    <w:rsid w:val="009A1EFD"/>
    <w:rsid w:val="009A2813"/>
    <w:rsid w:val="009A38FD"/>
    <w:rsid w:val="009A71AA"/>
    <w:rsid w:val="009B064C"/>
    <w:rsid w:val="009B1CB9"/>
    <w:rsid w:val="009B6667"/>
    <w:rsid w:val="009D186B"/>
    <w:rsid w:val="009D7644"/>
    <w:rsid w:val="009D7985"/>
    <w:rsid w:val="009E3F82"/>
    <w:rsid w:val="009F29D4"/>
    <w:rsid w:val="009F3514"/>
    <w:rsid w:val="009F3A00"/>
    <w:rsid w:val="009F490A"/>
    <w:rsid w:val="009F4969"/>
    <w:rsid w:val="009F65C0"/>
    <w:rsid w:val="009F7619"/>
    <w:rsid w:val="009F7990"/>
    <w:rsid w:val="009F7A41"/>
    <w:rsid w:val="00A029EC"/>
    <w:rsid w:val="00A02E12"/>
    <w:rsid w:val="00A03220"/>
    <w:rsid w:val="00A04983"/>
    <w:rsid w:val="00A05C5E"/>
    <w:rsid w:val="00A060B4"/>
    <w:rsid w:val="00A0753F"/>
    <w:rsid w:val="00A078E1"/>
    <w:rsid w:val="00A10FFD"/>
    <w:rsid w:val="00A11347"/>
    <w:rsid w:val="00A11818"/>
    <w:rsid w:val="00A30DE3"/>
    <w:rsid w:val="00A31DAA"/>
    <w:rsid w:val="00A32408"/>
    <w:rsid w:val="00A35DA3"/>
    <w:rsid w:val="00A36552"/>
    <w:rsid w:val="00A41DEF"/>
    <w:rsid w:val="00A46476"/>
    <w:rsid w:val="00A47AB3"/>
    <w:rsid w:val="00A51559"/>
    <w:rsid w:val="00A55AAA"/>
    <w:rsid w:val="00A60427"/>
    <w:rsid w:val="00A63C00"/>
    <w:rsid w:val="00A64947"/>
    <w:rsid w:val="00A65FBE"/>
    <w:rsid w:val="00A66451"/>
    <w:rsid w:val="00A71AF4"/>
    <w:rsid w:val="00A72AC2"/>
    <w:rsid w:val="00A72AC5"/>
    <w:rsid w:val="00A72B5C"/>
    <w:rsid w:val="00A73BA9"/>
    <w:rsid w:val="00A76791"/>
    <w:rsid w:val="00A77684"/>
    <w:rsid w:val="00A7768C"/>
    <w:rsid w:val="00A77BFF"/>
    <w:rsid w:val="00A81C8B"/>
    <w:rsid w:val="00A85038"/>
    <w:rsid w:val="00A866D7"/>
    <w:rsid w:val="00A86746"/>
    <w:rsid w:val="00A86EF7"/>
    <w:rsid w:val="00A9001C"/>
    <w:rsid w:val="00A9402E"/>
    <w:rsid w:val="00AA79D8"/>
    <w:rsid w:val="00AB075E"/>
    <w:rsid w:val="00AB1658"/>
    <w:rsid w:val="00AB2E3D"/>
    <w:rsid w:val="00AC1F08"/>
    <w:rsid w:val="00AD40C4"/>
    <w:rsid w:val="00AD4D69"/>
    <w:rsid w:val="00AE03E0"/>
    <w:rsid w:val="00AE2044"/>
    <w:rsid w:val="00AE550C"/>
    <w:rsid w:val="00AE73B8"/>
    <w:rsid w:val="00AF45B0"/>
    <w:rsid w:val="00B03244"/>
    <w:rsid w:val="00B10A7F"/>
    <w:rsid w:val="00B11668"/>
    <w:rsid w:val="00B13218"/>
    <w:rsid w:val="00B217B4"/>
    <w:rsid w:val="00B24666"/>
    <w:rsid w:val="00B2560F"/>
    <w:rsid w:val="00B27F33"/>
    <w:rsid w:val="00B30815"/>
    <w:rsid w:val="00B314CC"/>
    <w:rsid w:val="00B33E91"/>
    <w:rsid w:val="00B3411F"/>
    <w:rsid w:val="00B37C98"/>
    <w:rsid w:val="00B40093"/>
    <w:rsid w:val="00B43CCA"/>
    <w:rsid w:val="00B44597"/>
    <w:rsid w:val="00B465AB"/>
    <w:rsid w:val="00B52E86"/>
    <w:rsid w:val="00B62A21"/>
    <w:rsid w:val="00B64660"/>
    <w:rsid w:val="00B64FBF"/>
    <w:rsid w:val="00B67031"/>
    <w:rsid w:val="00B7185B"/>
    <w:rsid w:val="00B73ACE"/>
    <w:rsid w:val="00B7462C"/>
    <w:rsid w:val="00B771ED"/>
    <w:rsid w:val="00B82BB6"/>
    <w:rsid w:val="00B82F22"/>
    <w:rsid w:val="00B90BC9"/>
    <w:rsid w:val="00B91CC2"/>
    <w:rsid w:val="00B9424B"/>
    <w:rsid w:val="00B946F3"/>
    <w:rsid w:val="00B955EC"/>
    <w:rsid w:val="00B961E8"/>
    <w:rsid w:val="00BA0582"/>
    <w:rsid w:val="00BA0BF9"/>
    <w:rsid w:val="00BA151F"/>
    <w:rsid w:val="00BA5F8A"/>
    <w:rsid w:val="00BA707B"/>
    <w:rsid w:val="00BA7377"/>
    <w:rsid w:val="00BB0700"/>
    <w:rsid w:val="00BB4988"/>
    <w:rsid w:val="00BB7CEE"/>
    <w:rsid w:val="00BC1129"/>
    <w:rsid w:val="00BC36B3"/>
    <w:rsid w:val="00BC43C0"/>
    <w:rsid w:val="00BC5A44"/>
    <w:rsid w:val="00BD4436"/>
    <w:rsid w:val="00BD7715"/>
    <w:rsid w:val="00BE0EAC"/>
    <w:rsid w:val="00BE2DE5"/>
    <w:rsid w:val="00BE5A78"/>
    <w:rsid w:val="00BE6757"/>
    <w:rsid w:val="00BF0EE6"/>
    <w:rsid w:val="00BF18B1"/>
    <w:rsid w:val="00C0105B"/>
    <w:rsid w:val="00C073F7"/>
    <w:rsid w:val="00C120C7"/>
    <w:rsid w:val="00C12D57"/>
    <w:rsid w:val="00C13C4D"/>
    <w:rsid w:val="00C148B2"/>
    <w:rsid w:val="00C149FA"/>
    <w:rsid w:val="00C15432"/>
    <w:rsid w:val="00C16295"/>
    <w:rsid w:val="00C200A6"/>
    <w:rsid w:val="00C20DA0"/>
    <w:rsid w:val="00C238D6"/>
    <w:rsid w:val="00C24427"/>
    <w:rsid w:val="00C248D8"/>
    <w:rsid w:val="00C251F3"/>
    <w:rsid w:val="00C27B1F"/>
    <w:rsid w:val="00C3075C"/>
    <w:rsid w:val="00C33E96"/>
    <w:rsid w:val="00C34623"/>
    <w:rsid w:val="00C34D9C"/>
    <w:rsid w:val="00C3697F"/>
    <w:rsid w:val="00C4675C"/>
    <w:rsid w:val="00C54200"/>
    <w:rsid w:val="00C631AC"/>
    <w:rsid w:val="00C6567C"/>
    <w:rsid w:val="00C67050"/>
    <w:rsid w:val="00C670E6"/>
    <w:rsid w:val="00C72C22"/>
    <w:rsid w:val="00C737CA"/>
    <w:rsid w:val="00C749E5"/>
    <w:rsid w:val="00C77A2E"/>
    <w:rsid w:val="00C80E9D"/>
    <w:rsid w:val="00C81DAB"/>
    <w:rsid w:val="00C83DFC"/>
    <w:rsid w:val="00C87683"/>
    <w:rsid w:val="00C90A51"/>
    <w:rsid w:val="00C92592"/>
    <w:rsid w:val="00C9296A"/>
    <w:rsid w:val="00C965B8"/>
    <w:rsid w:val="00C970D7"/>
    <w:rsid w:val="00CA0361"/>
    <w:rsid w:val="00CA22E2"/>
    <w:rsid w:val="00CA64BF"/>
    <w:rsid w:val="00CA7918"/>
    <w:rsid w:val="00CA7E68"/>
    <w:rsid w:val="00CA7E96"/>
    <w:rsid w:val="00CB0F75"/>
    <w:rsid w:val="00CB3FFE"/>
    <w:rsid w:val="00CB5ECE"/>
    <w:rsid w:val="00CB6A6E"/>
    <w:rsid w:val="00CB7ED6"/>
    <w:rsid w:val="00CC7923"/>
    <w:rsid w:val="00CD2376"/>
    <w:rsid w:val="00CD310E"/>
    <w:rsid w:val="00CD41F3"/>
    <w:rsid w:val="00CD5538"/>
    <w:rsid w:val="00CD6683"/>
    <w:rsid w:val="00CD7578"/>
    <w:rsid w:val="00CE3749"/>
    <w:rsid w:val="00CE3E5B"/>
    <w:rsid w:val="00CE535A"/>
    <w:rsid w:val="00CF07DD"/>
    <w:rsid w:val="00CF0A1D"/>
    <w:rsid w:val="00CF170E"/>
    <w:rsid w:val="00CF31BB"/>
    <w:rsid w:val="00CF3297"/>
    <w:rsid w:val="00CF3733"/>
    <w:rsid w:val="00CF5E23"/>
    <w:rsid w:val="00D0121B"/>
    <w:rsid w:val="00D01EC6"/>
    <w:rsid w:val="00D02E98"/>
    <w:rsid w:val="00D07E3E"/>
    <w:rsid w:val="00D10569"/>
    <w:rsid w:val="00D11FDC"/>
    <w:rsid w:val="00D12D12"/>
    <w:rsid w:val="00D13357"/>
    <w:rsid w:val="00D136DA"/>
    <w:rsid w:val="00D13A89"/>
    <w:rsid w:val="00D1446B"/>
    <w:rsid w:val="00D14C72"/>
    <w:rsid w:val="00D16BEF"/>
    <w:rsid w:val="00D21910"/>
    <w:rsid w:val="00D22A75"/>
    <w:rsid w:val="00D33395"/>
    <w:rsid w:val="00D3426A"/>
    <w:rsid w:val="00D35384"/>
    <w:rsid w:val="00D35786"/>
    <w:rsid w:val="00D41489"/>
    <w:rsid w:val="00D44A37"/>
    <w:rsid w:val="00D463CF"/>
    <w:rsid w:val="00D50E2F"/>
    <w:rsid w:val="00D54D60"/>
    <w:rsid w:val="00D56153"/>
    <w:rsid w:val="00D574F2"/>
    <w:rsid w:val="00D61765"/>
    <w:rsid w:val="00D621AE"/>
    <w:rsid w:val="00D632AA"/>
    <w:rsid w:val="00D6462F"/>
    <w:rsid w:val="00D64B72"/>
    <w:rsid w:val="00D74206"/>
    <w:rsid w:val="00D756F9"/>
    <w:rsid w:val="00D7598E"/>
    <w:rsid w:val="00D85EA8"/>
    <w:rsid w:val="00D87844"/>
    <w:rsid w:val="00D87C8B"/>
    <w:rsid w:val="00D94CD8"/>
    <w:rsid w:val="00D94FDF"/>
    <w:rsid w:val="00D96472"/>
    <w:rsid w:val="00D97990"/>
    <w:rsid w:val="00D97FBC"/>
    <w:rsid w:val="00DA0633"/>
    <w:rsid w:val="00DA31E9"/>
    <w:rsid w:val="00DA5A75"/>
    <w:rsid w:val="00DA6A25"/>
    <w:rsid w:val="00DB2054"/>
    <w:rsid w:val="00DB3143"/>
    <w:rsid w:val="00DB41D1"/>
    <w:rsid w:val="00DB7EA6"/>
    <w:rsid w:val="00DC11B2"/>
    <w:rsid w:val="00DD75FC"/>
    <w:rsid w:val="00DD765F"/>
    <w:rsid w:val="00DE0F91"/>
    <w:rsid w:val="00DE2BF4"/>
    <w:rsid w:val="00DE5CA5"/>
    <w:rsid w:val="00DE7CB0"/>
    <w:rsid w:val="00E03ED0"/>
    <w:rsid w:val="00E10A1A"/>
    <w:rsid w:val="00E17BB7"/>
    <w:rsid w:val="00E21A8F"/>
    <w:rsid w:val="00E21DBF"/>
    <w:rsid w:val="00E26BE6"/>
    <w:rsid w:val="00E33BDC"/>
    <w:rsid w:val="00E34EE4"/>
    <w:rsid w:val="00E35E3F"/>
    <w:rsid w:val="00E36A20"/>
    <w:rsid w:val="00E37CB8"/>
    <w:rsid w:val="00E405D1"/>
    <w:rsid w:val="00E4082B"/>
    <w:rsid w:val="00E42000"/>
    <w:rsid w:val="00E42EA9"/>
    <w:rsid w:val="00E43076"/>
    <w:rsid w:val="00E466BB"/>
    <w:rsid w:val="00E50AEE"/>
    <w:rsid w:val="00E569BC"/>
    <w:rsid w:val="00E57B62"/>
    <w:rsid w:val="00E6392A"/>
    <w:rsid w:val="00E6745D"/>
    <w:rsid w:val="00E7000B"/>
    <w:rsid w:val="00E702C1"/>
    <w:rsid w:val="00E731A7"/>
    <w:rsid w:val="00E75D67"/>
    <w:rsid w:val="00E83BD5"/>
    <w:rsid w:val="00E8410C"/>
    <w:rsid w:val="00E847EA"/>
    <w:rsid w:val="00E85D4E"/>
    <w:rsid w:val="00E86618"/>
    <w:rsid w:val="00E86C47"/>
    <w:rsid w:val="00E87FC3"/>
    <w:rsid w:val="00E91D48"/>
    <w:rsid w:val="00E967CB"/>
    <w:rsid w:val="00EA1029"/>
    <w:rsid w:val="00EA161C"/>
    <w:rsid w:val="00EA2634"/>
    <w:rsid w:val="00EA3D09"/>
    <w:rsid w:val="00EA5F63"/>
    <w:rsid w:val="00EB0442"/>
    <w:rsid w:val="00EB1254"/>
    <w:rsid w:val="00EB5BB3"/>
    <w:rsid w:val="00EC1E2B"/>
    <w:rsid w:val="00EC3A3D"/>
    <w:rsid w:val="00EC3BBD"/>
    <w:rsid w:val="00ED2F8E"/>
    <w:rsid w:val="00EE03DB"/>
    <w:rsid w:val="00EE25C4"/>
    <w:rsid w:val="00EE2DC5"/>
    <w:rsid w:val="00EE379D"/>
    <w:rsid w:val="00EE4C98"/>
    <w:rsid w:val="00EE7958"/>
    <w:rsid w:val="00EF28C1"/>
    <w:rsid w:val="00EF3D5F"/>
    <w:rsid w:val="00EF4682"/>
    <w:rsid w:val="00EF6F93"/>
    <w:rsid w:val="00F03595"/>
    <w:rsid w:val="00F12D8F"/>
    <w:rsid w:val="00F1380E"/>
    <w:rsid w:val="00F1390B"/>
    <w:rsid w:val="00F204B3"/>
    <w:rsid w:val="00F27235"/>
    <w:rsid w:val="00F3393A"/>
    <w:rsid w:val="00F43434"/>
    <w:rsid w:val="00F44C6A"/>
    <w:rsid w:val="00F516A8"/>
    <w:rsid w:val="00F51990"/>
    <w:rsid w:val="00F530B7"/>
    <w:rsid w:val="00F54973"/>
    <w:rsid w:val="00F5595C"/>
    <w:rsid w:val="00F55BA0"/>
    <w:rsid w:val="00F576A9"/>
    <w:rsid w:val="00F62419"/>
    <w:rsid w:val="00F650DD"/>
    <w:rsid w:val="00F6546F"/>
    <w:rsid w:val="00F71266"/>
    <w:rsid w:val="00F71D7E"/>
    <w:rsid w:val="00F71FB8"/>
    <w:rsid w:val="00F73B1E"/>
    <w:rsid w:val="00F74E04"/>
    <w:rsid w:val="00F805CB"/>
    <w:rsid w:val="00F819FA"/>
    <w:rsid w:val="00F82445"/>
    <w:rsid w:val="00F87228"/>
    <w:rsid w:val="00F87B82"/>
    <w:rsid w:val="00F93BD2"/>
    <w:rsid w:val="00F93E30"/>
    <w:rsid w:val="00F954FE"/>
    <w:rsid w:val="00F9629C"/>
    <w:rsid w:val="00FA1A46"/>
    <w:rsid w:val="00FA3CE0"/>
    <w:rsid w:val="00FA4306"/>
    <w:rsid w:val="00FB3781"/>
    <w:rsid w:val="00FB3FA3"/>
    <w:rsid w:val="00FC024D"/>
    <w:rsid w:val="00FC386E"/>
    <w:rsid w:val="00FC3E05"/>
    <w:rsid w:val="00FC564E"/>
    <w:rsid w:val="00FC5DA9"/>
    <w:rsid w:val="00FC7B0B"/>
    <w:rsid w:val="00FD1D7B"/>
    <w:rsid w:val="00FD3B5A"/>
    <w:rsid w:val="00FD4BA4"/>
    <w:rsid w:val="00FE11D1"/>
    <w:rsid w:val="00FE447E"/>
    <w:rsid w:val="00FE59A0"/>
    <w:rsid w:val="00FE622D"/>
    <w:rsid w:val="00FE7456"/>
    <w:rsid w:val="00FE746E"/>
    <w:rsid w:val="00FF194A"/>
    <w:rsid w:val="00FF21B8"/>
    <w:rsid w:val="00FF2D2B"/>
    <w:rsid w:val="00FF5CF1"/>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5F5A82D0"/>
  <w15:docId w15:val="{56CF3A5D-FBF6-4FAC-92AC-82FA5F64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1595"/>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5"/>
      </w:numPr>
      <w:spacing w:after="120"/>
      <w:ind w:right="1134"/>
      <w:jc w:val="both"/>
    </w:pPr>
  </w:style>
  <w:style w:type="paragraph" w:customStyle="1" w:styleId="Bullet2G">
    <w:name w:val="_Bullet 2_G"/>
    <w:basedOn w:val="Normal"/>
    <w:rsid w:val="00FA1A46"/>
    <w:pPr>
      <w:numPr>
        <w:numId w:val="6"/>
      </w:numPr>
      <w:spacing w:after="120"/>
      <w:ind w:right="1134"/>
      <w:jc w:val="both"/>
    </w:pPr>
  </w:style>
  <w:style w:type="paragraph" w:customStyle="1" w:styleId="AnnoHCHG">
    <w:name w:val="Anno _ H_CH_G"/>
    <w:basedOn w:val="Normal"/>
    <w:next w:val="AnnoH1G"/>
    <w:rsid w:val="00FA1A46"/>
    <w:pPr>
      <w:keepNext/>
      <w:keepLines/>
      <w:numPr>
        <w:numId w:val="7"/>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7"/>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7"/>
      </w:numPr>
      <w:spacing w:before="240" w:after="120" w:line="240" w:lineRule="exact"/>
      <w:ind w:right="1134"/>
    </w:pPr>
    <w:rPr>
      <w:u w:val="single"/>
    </w:rPr>
  </w:style>
  <w:style w:type="paragraph" w:customStyle="1" w:styleId="AnnoSingleTxtG">
    <w:name w:val="Anno_ Single Txt_G"/>
    <w:basedOn w:val="Normal"/>
    <w:rsid w:val="00FA1A46"/>
    <w:pPr>
      <w:numPr>
        <w:ilvl w:val="3"/>
        <w:numId w:val="7"/>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E FNZ"/>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rsid w:val="00FA1A46"/>
  </w:style>
  <w:style w:type="paragraph" w:styleId="FootnoteText">
    <w:name w:val="footnote text"/>
    <w:aliases w:val="5_G,fn,footnote text,Footnotes,Footnote ak,Geneva 9,Font: Geneva 9,Boston 10,f,Char,Char Char Char Char,Default Paragraph Font Char Char,Default Paragraph Font Para Char Char Char Char,Default Paragraph Font Char Char11,Footno,single space"/>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FA1A46"/>
    <w:pPr>
      <w:spacing w:line="240" w:lineRule="auto"/>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rsid w:val="00FA1A46"/>
    <w:pPr>
      <w:keepNext/>
      <w:keepLines/>
      <w:numPr>
        <w:numId w:val="8"/>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8"/>
      </w:numPr>
      <w:spacing w:before="360" w:after="240" w:line="270" w:lineRule="exact"/>
      <w:ind w:right="1134"/>
    </w:pPr>
    <w:rPr>
      <w:b/>
      <w:sz w:val="24"/>
    </w:rPr>
  </w:style>
  <w:style w:type="paragraph" w:customStyle="1" w:styleId="RegH23G">
    <w:name w:val="Reg_H_2/3_G"/>
    <w:basedOn w:val="Normal"/>
    <w:next w:val="RegH4G"/>
    <w:rsid w:val="00FA1A46"/>
    <w:pPr>
      <w:keepNext/>
      <w:keepLines/>
      <w:numPr>
        <w:ilvl w:val="2"/>
        <w:numId w:val="8"/>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8"/>
      </w:numPr>
      <w:tabs>
        <w:tab w:val="left" w:pos="1701"/>
      </w:tabs>
      <w:spacing w:after="120"/>
      <w:ind w:right="1134"/>
      <w:jc w:val="both"/>
    </w:pPr>
  </w:style>
  <w:style w:type="paragraph" w:styleId="TOC1">
    <w:name w:val="toc 1"/>
    <w:basedOn w:val="Normal"/>
    <w:next w:val="Normal"/>
    <w:autoRedefine/>
    <w:rsid w:val="00FA1A46"/>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spacing w:before="60"/>
      <w:ind w:left="1134" w:right="1134" w:firstLine="170"/>
      <w:contextualSpacing/>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2"/>
      </w:numPr>
    </w:pPr>
  </w:style>
  <w:style w:type="numbering" w:customStyle="1" w:styleId="FCCCTextboxfootnote">
    <w:name w:val="FCCC Textbox footnote"/>
    <w:uiPriority w:val="99"/>
    <w:rsid w:val="00FC386E"/>
    <w:pPr>
      <w:numPr>
        <w:numId w:val="3"/>
      </w:numPr>
    </w:pPr>
  </w:style>
  <w:style w:type="numbering" w:customStyle="1" w:styleId="FigureFootnote">
    <w:name w:val="Figure Footnote"/>
    <w:uiPriority w:val="99"/>
    <w:rsid w:val="00FE622D"/>
    <w:pPr>
      <w:numPr>
        <w:numId w:val="4"/>
      </w:numPr>
    </w:pPr>
  </w:style>
  <w:style w:type="table" w:styleId="TableGrid">
    <w:name w:val="Table Grid"/>
    <w:basedOn w:val="TableNormal"/>
    <w:rsid w:val="00E8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aliases w:val="5_G Char,fn Char,footnote text Char,Footnotes Char,Footnote ak Char,Geneva 9 Char,Font: Geneva 9 Char,Boston 10 Char,f Char,Char Char,Char Char Char Char Char,Default Paragraph Font Char Char Char,Footno Char,single space Char"/>
    <w:link w:val="FootnoteText"/>
    <w:rsid w:val="00C9296A"/>
    <w:rPr>
      <w:rFonts w:eastAsia="SimSun"/>
      <w:sz w:val="18"/>
      <w:lang w:val="en-GB" w:eastAsia="zh-CN"/>
    </w:rPr>
  </w:style>
  <w:style w:type="character" w:customStyle="1" w:styleId="FooterChar">
    <w:name w:val="Footer Char"/>
    <w:aliases w:val="3_G Char"/>
    <w:link w:val="Footer"/>
    <w:rsid w:val="00C9296A"/>
    <w:rPr>
      <w:rFonts w:eastAsia="SimSun"/>
      <w:sz w:val="16"/>
      <w:lang w:val="en-GB" w:eastAsia="zh-CN"/>
    </w:rPr>
  </w:style>
  <w:style w:type="character" w:customStyle="1" w:styleId="HeaderChar">
    <w:name w:val="Header Char"/>
    <w:aliases w:val="6_G Char"/>
    <w:link w:val="Header"/>
    <w:rsid w:val="00C9296A"/>
    <w:rPr>
      <w:rFonts w:eastAsia="SimSun"/>
      <w:b/>
      <w:sz w:val="18"/>
      <w:lang w:val="en-GB" w:eastAsia="zh-CN"/>
    </w:rPr>
  </w:style>
  <w:style w:type="character" w:styleId="Hyperlink">
    <w:name w:val="Hyperlink"/>
    <w:rsid w:val="00C9296A"/>
    <w:rPr>
      <w:color w:val="0000FF"/>
      <w:u w:val="single"/>
    </w:rPr>
  </w:style>
  <w:style w:type="paragraph" w:customStyle="1" w:styleId="SDMTableBoxParaNotNumbered">
    <w:name w:val="SDMTable&amp;BoxParaNotNumbered"/>
    <w:basedOn w:val="Normal"/>
    <w:qFormat/>
    <w:rsid w:val="00C9296A"/>
    <w:pPr>
      <w:suppressAutoHyphens w:val="0"/>
      <w:spacing w:line="240" w:lineRule="auto"/>
    </w:pPr>
    <w:rPr>
      <w:rFonts w:ascii="Arial" w:eastAsia="Times New Roman" w:hAnsi="Arial"/>
      <w:lang w:eastAsia="de-DE"/>
    </w:rPr>
  </w:style>
  <w:style w:type="character" w:customStyle="1" w:styleId="RegSingleTxtGChar">
    <w:name w:val="Reg_Single Txt_G Char"/>
    <w:link w:val="RegSingleTxtG"/>
    <w:rsid w:val="00C149FA"/>
    <w:rPr>
      <w:rFonts w:eastAsia="SimSun"/>
      <w:lang w:val="en-GB" w:eastAsia="zh-CN"/>
    </w:rPr>
  </w:style>
  <w:style w:type="paragraph" w:customStyle="1" w:styleId="Default">
    <w:name w:val="Default"/>
    <w:rsid w:val="00C13C4D"/>
    <w:pPr>
      <w:autoSpaceDE w:val="0"/>
      <w:autoSpaceDN w:val="0"/>
      <w:adjustRightInd w:val="0"/>
    </w:pPr>
    <w:rPr>
      <w:color w:val="000000"/>
      <w:sz w:val="24"/>
      <w:szCs w:val="24"/>
      <w:lang w:eastAsia="en-GB"/>
    </w:rPr>
  </w:style>
  <w:style w:type="numbering" w:customStyle="1" w:styleId="NoList1">
    <w:name w:val="No List1"/>
    <w:next w:val="NoList"/>
    <w:uiPriority w:val="99"/>
    <w:semiHidden/>
    <w:unhideWhenUsed/>
    <w:rsid w:val="009F490A"/>
  </w:style>
  <w:style w:type="paragraph" w:customStyle="1" w:styleId="RegHead1">
    <w:name w:val="RegHead1"/>
    <w:basedOn w:val="Normal"/>
    <w:next w:val="RegHead2"/>
    <w:rsid w:val="009F490A"/>
    <w:pPr>
      <w:keepNext/>
      <w:numPr>
        <w:numId w:val="14"/>
      </w:numPr>
      <w:suppressAutoHyphens w:val="0"/>
      <w:spacing w:before="180" w:line="240" w:lineRule="auto"/>
      <w:jc w:val="center"/>
    </w:pPr>
    <w:rPr>
      <w:rFonts w:eastAsia="Times New Roman"/>
      <w:b/>
      <w:caps/>
      <w:sz w:val="22"/>
      <w:lang w:eastAsia="en-US"/>
    </w:rPr>
  </w:style>
  <w:style w:type="paragraph" w:customStyle="1" w:styleId="RegHead2">
    <w:name w:val="RegHead2"/>
    <w:basedOn w:val="Normal"/>
    <w:next w:val="RegHead3"/>
    <w:rsid w:val="009F490A"/>
    <w:pPr>
      <w:keepNext/>
      <w:numPr>
        <w:ilvl w:val="1"/>
        <w:numId w:val="14"/>
      </w:numPr>
      <w:suppressAutoHyphens w:val="0"/>
      <w:spacing w:before="180" w:line="240" w:lineRule="auto"/>
      <w:jc w:val="center"/>
    </w:pPr>
    <w:rPr>
      <w:rFonts w:eastAsia="Times New Roman"/>
      <w:b/>
      <w:u w:val="single"/>
      <w:lang w:val="en-US" w:eastAsia="en-US"/>
    </w:rPr>
  </w:style>
  <w:style w:type="paragraph" w:customStyle="1" w:styleId="RegPara">
    <w:name w:val="RegPara"/>
    <w:basedOn w:val="Normal"/>
    <w:rsid w:val="009F490A"/>
    <w:pPr>
      <w:numPr>
        <w:ilvl w:val="3"/>
        <w:numId w:val="14"/>
      </w:numPr>
      <w:suppressAutoHyphens w:val="0"/>
      <w:spacing w:before="180" w:line="240" w:lineRule="auto"/>
    </w:pPr>
    <w:rPr>
      <w:rFonts w:eastAsia="Times New Roman"/>
      <w:sz w:val="22"/>
      <w:lang w:eastAsia="en-US"/>
    </w:rPr>
  </w:style>
  <w:style w:type="paragraph" w:customStyle="1" w:styleId="RegHead3">
    <w:name w:val="RegHead3"/>
    <w:next w:val="RegPara"/>
    <w:rsid w:val="009F490A"/>
    <w:pPr>
      <w:numPr>
        <w:ilvl w:val="2"/>
        <w:numId w:val="14"/>
      </w:numPr>
      <w:spacing w:before="180"/>
      <w:jc w:val="center"/>
    </w:pPr>
    <w:rPr>
      <w:sz w:val="22"/>
      <w:u w:val="single"/>
      <w:lang w:val="en-GB"/>
    </w:rPr>
  </w:style>
  <w:style w:type="character" w:styleId="CommentReference">
    <w:name w:val="annotation reference"/>
    <w:semiHidden/>
    <w:rsid w:val="009F490A"/>
    <w:rPr>
      <w:sz w:val="16"/>
      <w:szCs w:val="16"/>
    </w:rPr>
  </w:style>
  <w:style w:type="paragraph" w:styleId="CommentText">
    <w:name w:val="annotation text"/>
    <w:basedOn w:val="Normal"/>
    <w:link w:val="CommentTextChar"/>
    <w:semiHidden/>
    <w:rsid w:val="009F490A"/>
    <w:pPr>
      <w:suppressAutoHyphens w:val="0"/>
      <w:spacing w:line="240" w:lineRule="auto"/>
    </w:pPr>
    <w:rPr>
      <w:rFonts w:eastAsia="MS Mincho"/>
      <w:lang w:eastAsia="de-DE"/>
    </w:rPr>
  </w:style>
  <w:style w:type="character" w:customStyle="1" w:styleId="CommentTextChar">
    <w:name w:val="Comment Text Char"/>
    <w:link w:val="CommentText"/>
    <w:semiHidden/>
    <w:rsid w:val="009F490A"/>
    <w:rPr>
      <w:rFonts w:eastAsia="MS Mincho"/>
      <w:lang w:val="en-GB" w:eastAsia="de-DE"/>
    </w:rPr>
  </w:style>
  <w:style w:type="paragraph" w:styleId="CommentSubject">
    <w:name w:val="annotation subject"/>
    <w:basedOn w:val="CommentText"/>
    <w:next w:val="CommentText"/>
    <w:link w:val="CommentSubjectChar"/>
    <w:semiHidden/>
    <w:rsid w:val="009F490A"/>
    <w:rPr>
      <w:b/>
      <w:bCs/>
    </w:rPr>
  </w:style>
  <w:style w:type="character" w:customStyle="1" w:styleId="CommentSubjectChar">
    <w:name w:val="Comment Subject Char"/>
    <w:link w:val="CommentSubject"/>
    <w:semiHidden/>
    <w:rsid w:val="009F490A"/>
    <w:rPr>
      <w:rFonts w:eastAsia="MS Mincho"/>
      <w:b/>
      <w:bCs/>
      <w:lang w:val="en-GB" w:eastAsia="de-DE"/>
    </w:rPr>
  </w:style>
  <w:style w:type="character" w:customStyle="1" w:styleId="SingleTxtGChar">
    <w:name w:val="_ Single Txt_G Char"/>
    <w:link w:val="SingleTxtG"/>
    <w:rsid w:val="009F490A"/>
    <w:rPr>
      <w:lang w:val="en-GB"/>
    </w:rPr>
  </w:style>
  <w:style w:type="character" w:customStyle="1" w:styleId="H1GChar">
    <w:name w:val="_ H_1_G Char"/>
    <w:link w:val="H1G"/>
    <w:locked/>
    <w:rsid w:val="009F490A"/>
    <w:rPr>
      <w:rFonts w:eastAsia="SimSun"/>
      <w:b/>
      <w:sz w:val="24"/>
      <w:lang w:val="en-GB" w:eastAsia="zh-CN"/>
    </w:rPr>
  </w:style>
  <w:style w:type="character" w:styleId="FollowedHyperlink">
    <w:name w:val="FollowedHyperlink"/>
    <w:semiHidden/>
    <w:unhideWhenUsed/>
    <w:rsid w:val="00CD6683"/>
    <w:rPr>
      <w:color w:val="800080"/>
      <w:u w:val="single"/>
    </w:rPr>
  </w:style>
  <w:style w:type="paragraph" w:styleId="Revision">
    <w:name w:val="Revision"/>
    <w:hidden/>
    <w:uiPriority w:val="99"/>
    <w:semiHidden/>
    <w:rsid w:val="007C6AE7"/>
    <w:rPr>
      <w:rFonts w:eastAsia="SimSu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17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header" Target="header15.xml"/><Relationship Id="rId21" Type="http://schemas.openxmlformats.org/officeDocument/2006/relationships/footer" Target="footer4.xml"/><Relationship Id="rId34" Type="http://schemas.openxmlformats.org/officeDocument/2006/relationships/footer" Target="footer10.xml"/><Relationship Id="rId42" Type="http://schemas.openxmlformats.org/officeDocument/2006/relationships/footer" Target="footer14.xml"/><Relationship Id="rId47" Type="http://schemas.openxmlformats.org/officeDocument/2006/relationships/footer" Target="footer16.xml"/><Relationship Id="rId50" Type="http://schemas.openxmlformats.org/officeDocument/2006/relationships/header" Target="header21.xml"/><Relationship Id="rId55" Type="http://schemas.openxmlformats.org/officeDocument/2006/relationships/footer" Target="footer20.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footer" Target="footer7.xml"/><Relationship Id="rId11" Type="http://schemas.openxmlformats.org/officeDocument/2006/relationships/image" Target="media/image1.wmf"/><Relationship Id="rId24" Type="http://schemas.openxmlformats.org/officeDocument/2006/relationships/footer" Target="footer5.xml"/><Relationship Id="rId32" Type="http://schemas.openxmlformats.org/officeDocument/2006/relationships/header" Target="header12.xml"/><Relationship Id="rId37" Type="http://schemas.openxmlformats.org/officeDocument/2006/relationships/footer" Target="footer11.xml"/><Relationship Id="rId40" Type="http://schemas.openxmlformats.org/officeDocument/2006/relationships/header" Target="header16.xml"/><Relationship Id="rId45" Type="http://schemas.openxmlformats.org/officeDocument/2006/relationships/header" Target="header18.xml"/><Relationship Id="rId53" Type="http://schemas.openxmlformats.org/officeDocument/2006/relationships/header" Target="header22.xml"/><Relationship Id="rId58" Type="http://schemas.openxmlformats.org/officeDocument/2006/relationships/footer" Target="footer21.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header" Target="header5.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footer" Target="footer8.xml"/><Relationship Id="rId35" Type="http://schemas.openxmlformats.org/officeDocument/2006/relationships/header" Target="header13.xml"/><Relationship Id="rId43" Type="http://schemas.openxmlformats.org/officeDocument/2006/relationships/header" Target="header17.xml"/><Relationship Id="rId48" Type="http://schemas.openxmlformats.org/officeDocument/2006/relationships/footer" Target="footer17.xml"/><Relationship Id="rId56" Type="http://schemas.openxmlformats.org/officeDocument/2006/relationships/header" Target="header24.xml"/><Relationship Id="rId8" Type="http://schemas.openxmlformats.org/officeDocument/2006/relationships/webSettings" Target="webSettings.xml"/><Relationship Id="rId51" Type="http://schemas.openxmlformats.org/officeDocument/2006/relationships/footer" Target="footer18.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footer" Target="footer9.xml"/><Relationship Id="rId38" Type="http://schemas.openxmlformats.org/officeDocument/2006/relationships/footer" Target="footer12.xml"/><Relationship Id="rId46" Type="http://schemas.openxmlformats.org/officeDocument/2006/relationships/header" Target="header19.xml"/><Relationship Id="rId59" Type="http://schemas.openxmlformats.org/officeDocument/2006/relationships/footer" Target="footer22.xml"/><Relationship Id="rId20" Type="http://schemas.openxmlformats.org/officeDocument/2006/relationships/footer" Target="footer3.xml"/><Relationship Id="rId41" Type="http://schemas.openxmlformats.org/officeDocument/2006/relationships/footer" Target="footer13.xml"/><Relationship Id="rId54"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header" Target="header14.xml"/><Relationship Id="rId49" Type="http://schemas.openxmlformats.org/officeDocument/2006/relationships/header" Target="header20.xml"/><Relationship Id="rId57" Type="http://schemas.openxmlformats.org/officeDocument/2006/relationships/header" Target="header25.xml"/><Relationship Id="rId10" Type="http://schemas.openxmlformats.org/officeDocument/2006/relationships/endnotes" Target="endnotes.xml"/><Relationship Id="rId31" Type="http://schemas.openxmlformats.org/officeDocument/2006/relationships/header" Target="header11.xml"/><Relationship Id="rId44" Type="http://schemas.openxmlformats.org/officeDocument/2006/relationships/footer" Target="footer15.xml"/><Relationship Id="rId52" Type="http://schemas.openxmlformats.org/officeDocument/2006/relationships/footer" Target="footer19.xm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adaptation-fund.org/wp-content/uploads/2017/10/AFB.B.30.5.Rev_.1-Draft-medium-term-strategy.pdf" TargetMode="External"/><Relationship Id="rId2" Type="http://schemas.openxmlformats.org/officeDocument/2006/relationships/hyperlink" Target="https://www.adaptation-fund.org/wp-content/uploads/2016/12/Ad-Hoc-Complaint-Handling-Mechanism_final_March2017.pdf" TargetMode="External"/><Relationship Id="rId1" Type="http://schemas.openxmlformats.org/officeDocument/2006/relationships/hyperlink" Target="http://unfccc.int/meetings/bonn_nov_2017/in-session/items/10494.php" TargetMode="External"/><Relationship Id="rId6" Type="http://schemas.openxmlformats.org/officeDocument/2006/relationships/hyperlink" Target="http://cdm.unfccc.int/" TargetMode="External"/><Relationship Id="rId5" Type="http://schemas.openxmlformats.org/officeDocument/2006/relationships/hyperlink" Target="https://www.adaptation-fund.org/wp-content/uploads/2017/05/AFB_Resource_mobilization_strategy_for_posting.pdf" TargetMode="External"/><Relationship Id="rId4" Type="http://schemas.openxmlformats.org/officeDocument/2006/relationships/hyperlink" Target="https://www.adaptation-fund.org/wp-content/uploads/2017/03/GenderGuidance-Documen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9d8c265a-5436-43a7-80c1-713d2827ffde" ContentTypeId="0x0101" PreviousValue="false"/>
</file>

<file path=customXml/itemProps1.xml><?xml version="1.0" encoding="utf-8"?>
<ds:datastoreItem xmlns:ds="http://schemas.openxmlformats.org/officeDocument/2006/customXml" ds:itemID="{FC77C42A-9D66-47CD-827A-93D6070AF790}">
  <ds:schemaRefs>
    <ds:schemaRef ds:uri="http://schemas.microsoft.com/sharepoint/v3"/>
    <ds:schemaRef ds:uri="64b3d476-47ee-4495-b3b7-54eb7dcbd722"/>
    <ds:schemaRef ds:uri="http://schemas.openxmlformats.org/package/2006/metadata/core-properties"/>
    <ds:schemaRef ds:uri="67dad47e-2fca-4711-b9e4-b0642648f99b"/>
    <ds:schemaRef ds:uri="http://schemas.microsoft.com/office/infopath/2007/PartnerControls"/>
    <ds:schemaRef ds:uri="http://purl.org/dc/elements/1.1/"/>
    <ds:schemaRef ds:uri="http://purl.org/dc/terms/"/>
    <ds:schemaRef ds:uri="http://schemas.microsoft.com/office/2006/documentManagement/type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2E15E8BA-5BE7-474F-8BBF-F4B8836C8554}"/>
</file>

<file path=customXml/itemProps3.xml><?xml version="1.0" encoding="utf-8"?>
<ds:datastoreItem xmlns:ds="http://schemas.openxmlformats.org/officeDocument/2006/customXml" ds:itemID="{44A14E25-CEB7-444B-B50C-BFD7E84EFAD6}">
  <ds:schemaRefs>
    <ds:schemaRef ds:uri="http://schemas.microsoft.com/sharepoint/v3/contenttype/forms"/>
  </ds:schemaRefs>
</ds:datastoreItem>
</file>

<file path=customXml/itemProps4.xml><?xml version="1.0" encoding="utf-8"?>
<ds:datastoreItem xmlns:ds="http://schemas.openxmlformats.org/officeDocument/2006/customXml" ds:itemID="{77393509-DE9E-4B03-9091-8B20F0E39BBC}">
  <ds:schemaRefs>
    <ds:schemaRef ds:uri="http://schemas.openxmlformats.org/officeDocument/2006/bibliography"/>
  </ds:schemaRefs>
</ds:datastoreItem>
</file>

<file path=customXml/itemProps5.xml><?xml version="1.0" encoding="utf-8"?>
<ds:datastoreItem xmlns:ds="http://schemas.openxmlformats.org/officeDocument/2006/customXml" ds:itemID="{C57022CB-11A6-4BE7-8A4F-F02562BC2A2C}"/>
</file>

<file path=docProps/app.xml><?xml version="1.0" encoding="utf-8"?>
<Properties xmlns="http://schemas.openxmlformats.org/officeDocument/2006/extended-properties" xmlns:vt="http://schemas.openxmlformats.org/officeDocument/2006/docPropsVTypes">
  <Template>FCCC.dotm</Template>
  <TotalTime>3</TotalTime>
  <Pages>21</Pages>
  <Words>6329</Words>
  <Characters>36081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Kyoto Protocol on its thirteenth session, held in Bonn from 6 to 17 November 2017. Part two: Action taken by the Conference of the Parties serving as the meeting of the P</vt:lpstr>
    </vt:vector>
  </TitlesOfParts>
  <Company>UNFCCC</Company>
  <LinksUpToDate>false</LinksUpToDate>
  <CharactersWithSpaces>42326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Kyoto Protocol on its thirteenth session, held in Bonn from 6 to 17 November 2017. Part two: Action taken by the Conference of the Parties serving as the meeting of the P</dc:title>
  <dc:subject/>
  <dc:creator>Katherine Infantino</dc:creator>
  <cp:keywords/>
  <dc:description/>
  <cp:lastModifiedBy>Corinne Loeschner</cp:lastModifiedBy>
  <cp:revision>5</cp:revision>
  <cp:lastPrinted>2016-08-22T08:12:00Z</cp:lastPrinted>
  <dcterms:created xsi:type="dcterms:W3CDTF">2018-01-31T11:52:00Z</dcterms:created>
  <dcterms:modified xsi:type="dcterms:W3CDTF">2018-03-28T11:56:00Z</dcterms:modified>
  <cp:category>UNFCCC Template 2017</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0x0101002BEBFA4AD3D067488A4F8AE22F38BF68</vt:lpwstr>
  </property>
  <property fmtid="{D5CDD505-2E9C-101B-9397-08002B2CF9AE}" pid="3" name="Bodies">
    <vt:lpwstr>10;#CMP|38118d30-6ed6-42bf-9f20-9c3046d01012</vt:lpwstr>
  </property>
  <property fmtid="{D5CDD505-2E9C-101B-9397-08002B2CF9AE}" pid="4" name="Order">
    <vt:r8>6100</vt:r8>
  </property>
  <property fmtid="{D5CDD505-2E9C-101B-9397-08002B2CF9AE}" pid="5" name="UNFC3CoreFunction">
    <vt:lpwstr/>
  </property>
  <property fmtid="{D5CDD505-2E9C-101B-9397-08002B2CF9AE}" pid="6" name="UNFC3CoreCountry">
    <vt:lpwstr/>
  </property>
  <property fmtid="{D5CDD505-2E9C-101B-9397-08002B2CF9AE}" pid="7" name="UNFC3CoreSensitivity">
    <vt:lpwstr/>
  </property>
  <property fmtid="{D5CDD505-2E9C-101B-9397-08002B2CF9AE}" pid="8" name="docSymbol1">
    <vt:lpwstr>FCCC/KP/CMP/2017/7/Add.1</vt:lpwstr>
  </property>
  <property fmtid="{D5CDD505-2E9C-101B-9397-08002B2CF9AE}" pid="9" name="docSymbol2">
    <vt:lpwstr/>
  </property>
  <property fmtid="{D5CDD505-2E9C-101B-9397-08002B2CF9AE}" pid="10" name="templateVersion">
    <vt:lpwstr>v.July2017</vt:lpwstr>
  </property>
</Properties>
</file>