
<file path=[Content_Types].xml><?xml version="1.0" encoding="utf-8"?>
<Types xmlns="http://schemas.openxmlformats.org/package/2006/content-types">
  <Default Extension="emf" ContentType="application/x-msmetafile"/>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&#65279;<?xml version="1.0" encoding="utf-8"?><Relationships xmlns="http://schemas.openxmlformats.org/package/2006/relationships"><Relationship Id="R3C56F589" Type="http://schemas.openxmlformats.org/officeDocument/2006/relationships/officeDocument" Target="/word/document.xml" /><Relationship Id="coreR3C56F589" Type="http://schemas.openxmlformats.org/package/2006/relationships/metadata/core-properties" Target="/docProps/core.xml" /><Relationship Id="customR3C56F5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pPr w:leftFromText="142" w:rightFromText="142" w:tblpX="1135" w:tblpY="285" w:horzAnchor="page" w:vertAnchor="page"/>
        <w:tblOverlap w:val="never"/>
        <w:tblW w:w="9639" w:type="dxa"/>
        <w:tblInd w:w="0" w:type="dxa"/>
        <w:tblBorders>
          <w:top w:val="none" w:sz="0" w:space="0" w:shadow="0" w:frame="0" w:color="000000"/>
          <w:left w:val="none" w:sz="0" w:space="0" w:shadow="0" w:frame="0" w:color="000000"/>
          <w:bottom w:val="single" w:sz="12" w:space="0" w:shadow="0" w:frame="0"/>
          <w:right w:val="none" w:sz="0" w:space="0" w:shadow="0" w:frame="0" w:color="000000"/>
          <w:insideH w:val="single" w:sz="4" w:space="0" w:shadow="0" w:frame="0"/>
          <w:insideV w:val="none" w:sz="0" w:space="0" w:shadow="0" w:frame="0" w:color="000000"/>
        </w:tblBorders>
        <w:tblLayout w:type="fixed"/>
        <w:tblCellMar>
          <w:top w:w="0" w:type="dxa"/>
          <w:left w:w="0" w:type="dxa"/>
          <w:bottom w:w="0" w:type="dxa"/>
          <w:right w:w="0" w:type="dxa"/>
        </w:tblCellMar>
      </w:tblPr>
      <w:tblGrid/>
      <w:tr>
        <w:trPr>
          <w:trHeight w:hRule="exact" w:val="1134"/>
        </w:trPr>
        <w:tc>
          <w:tcPr>
            <w:tcW w:w="1242" w:type="dxa"/>
            <w:vAlign w:val="bottom"/>
          </w:tcPr>
          <w:p>
            <w:pPr>
              <w:rPr>
                <w:sz w:val="22"/>
              </w:rPr>
            </w:pPr>
            <w:bookmarkStart w:id="0" w:name="_GoBack"/>
            <w:r>
              <w:drawing>
                <wp:inline xmlns:wp="http://schemas.openxmlformats.org/drawingml/2006/wordprocessingDrawing">
                  <wp:extent cx="721995" cy="53784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721995" cy="537845"/>
                          </a:xfrm>
                          <a:prstGeom prst="rect"/>
                          <a:noFill/>
                        </pic:spPr>
                      </pic:pic>
                    </a:graphicData>
                  </a:graphic>
                </wp:inline>
              </w:drawing>
            </w:r>
          </w:p>
        </w:tc>
        <w:tc>
          <w:tcPr>
            <w:tcW w:w="2552" w:type="dxa"/>
            <w:vAlign w:val="bottom"/>
          </w:tcPr>
          <w:p>
            <w:pPr>
              <w:ind w:left="113"/>
              <w:rPr>
                <w:sz w:val="28"/>
              </w:rPr>
            </w:pPr>
            <w:r>
              <w:rPr>
                <w:sz w:val="28"/>
              </w:rPr>
              <w:t>United Nations</w:t>
            </w:r>
          </w:p>
        </w:tc>
        <w:tc>
          <w:tcPr>
            <w:tcW w:w="5845" w:type="dxa"/>
            <w:gridSpan w:val="3"/>
            <w:vAlign w:val="bottom"/>
          </w:tcPr>
          <w:p>
            <w:pPr>
              <w:jc w:val="right"/>
              <w:rPr>
                <w:sz w:val="22"/>
              </w:rPr>
            </w:pPr>
            <w:r>
              <w:rPr>
                <w:sz w:val="40"/>
              </w:rPr>
              <w:t>FCCC</w:t>
            </w:r>
            <w:r>
              <w:rPr>
                <w:sz w:val="22"/>
              </w:rPr>
              <w:t>/KP/CMP/2018/8/Add.1</w:t>
            </w:r>
          </w:p>
        </w:tc>
      </w:tr>
      <w:tr>
        <w:trPr>
          <w:trHeight w:hRule="exact" w:val="2552"/>
        </w:trPr>
        <w:tc>
          <w:tcPr>
            <w:tcW w:w="4511" w:type="dxa"/>
            <w:gridSpan w:val="3"/>
          </w:tcPr>
          <w:p>
            <w:pPr>
              <w:rPr>
                <w:sz w:val="22"/>
              </w:rPr>
            </w:pPr>
            <w:bookmarkEnd w:id="0"/>
            <w:r>
              <w:rPr>
                <w:sz w:val="22"/>
              </w:rPr>
              <w:drawing>
                <wp:anchor xmlns:wp="http://schemas.openxmlformats.org/drawingml/2006/wordprocessingDrawing" simplePos="0" allowOverlap="0" behindDoc="1" layoutInCell="1" locked="0" relativeHeight="1" distL="114300" distR="114300">
                  <wp:simplePos x="0" y="0"/>
                  <wp:positionH relativeFrom="column">
                    <wp:posOffset>3810</wp:posOffset>
                  </wp:positionH>
                  <wp:positionV relativeFrom="paragraph">
                    <wp:posOffset>-3810</wp:posOffset>
                  </wp:positionV>
                  <wp:extent cx="2408555" cy="552450"/>
                  <wp:wrapNone/>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408555" cy="552450"/>
                          </a:xfrm>
                          <a:prstGeom prst="rect"/>
                          <a:solidFill>
                            <a:srgbClr val="FFFFFF"/>
                          </a:solidFill>
                          <a:ln>
                            <a:solidFill>
                              <a:srgbClr val="000000"/>
                            </a:solidFill>
                          </a:ln>
                        </pic:spPr>
                      </pic:pic>
                    </a:graphicData>
                  </a:graphic>
                  <wp14:sizeRelH relativeFrom="page">
                    <wp14:pctWidth>0</wp14:pctWidth>
                  </wp14:sizeRelH>
                  <wp14:sizeRelV relativeFrom="page">
                    <wp14:pctHeight>0</wp14:pctHeight>
                  </wp14:sizeRelV>
                </wp:anchor>
              </w:drawing>
            </w:r>
          </w:p>
        </w:tc>
        <w:tc>
          <w:tcPr>
            <w:tcW w:w="2293" w:type="dxa"/>
          </w:tcPr>
          <w:p>
            <w:pPr>
              <w:rPr>
                <w:sz w:val="22"/>
              </w:rPr>
            </w:pPr>
          </w:p>
        </w:tc>
        <w:tc>
          <w:tcPr>
            <w:tcW w:w="2835" w:type="dxa"/>
          </w:tcPr>
          <w:p>
            <w:pPr>
              <w:spacing w:lineRule="exact" w:line="240" w:before="240" w:beforeAutospacing="0" w:afterAutospacing="0"/>
              <w:ind w:left="143"/>
              <w:rPr>
                <w:sz w:val="22"/>
              </w:rPr>
            </w:pPr>
            <w:r>
              <w:rPr>
                <w:sz w:val="22"/>
              </w:rPr>
              <w:t>Distr.: General</w:t>
            </w:r>
          </w:p>
          <w:p>
            <w:pPr>
              <w:spacing w:lineRule="exact" w:line="240" w:beforeAutospacing="0" w:afterAutospacing="0"/>
              <w:ind w:left="143"/>
              <w:rPr>
                <w:sz w:val="22"/>
              </w:rPr>
            </w:pPr>
            <w:r>
              <w:rPr>
                <w:sz w:val="22"/>
              </w:rPr>
              <w:t>19 March 2019</w:t>
            </w:r>
          </w:p>
          <w:p>
            <w:pPr>
              <w:spacing w:lineRule="exact" w:line="240" w:beforeAutospacing="0" w:afterAutospacing="0"/>
              <w:ind w:left="143"/>
              <w:rPr>
                <w:sz w:val="22"/>
              </w:rPr>
            </w:pPr>
          </w:p>
          <w:p>
            <w:pPr>
              <w:spacing w:lineRule="exact" w:line="240" w:beforeAutospacing="0" w:afterAutospacing="0"/>
              <w:ind w:left="143"/>
              <w:rPr>
                <w:sz w:val="22"/>
              </w:rPr>
            </w:pPr>
            <w:r>
              <w:rPr>
                <w:sz w:val="22"/>
              </w:rPr>
              <w:t>Original: English</w:t>
            </w:r>
          </w:p>
        </w:tc>
      </w:tr>
    </w:tbl>
    <w:p>
      <w:pPr>
        <w:spacing w:before="120" w:beforeAutospacing="0" w:afterAutospacing="0"/>
        <w:rPr>
          <w:b w:val="1"/>
          <w:sz w:val="24"/>
        </w:rPr>
      </w:pPr>
      <w:r>
        <w:rPr>
          <w:b w:val="1"/>
          <w:sz w:val="24"/>
        </w:rPr>
        <w:t>Conference of the Parties serving as the meeting</w:t>
        <w:br w:type="textWrapping"/>
        <w:t>of the Parties to the Kyoto Protocol</w:t>
      </w:r>
    </w:p>
    <w:p>
      <w:pPr>
        <w:pStyle w:val="P10"/>
      </w:pPr>
      <w:r>
        <w:tab/>
        <w:tab/>
        <w:t>Report of the Conference of the Parties serving as the meeting of the Parties to the Kyoto Protocol on its fourteenth session, held in Katowice from 2 to 15 December 2018</w:t>
      </w:r>
    </w:p>
    <w:p>
      <w:pPr>
        <w:pStyle w:val="P11"/>
        <w:ind w:firstLine="0"/>
      </w:pPr>
      <w:r>
        <w:t>Addendum</w:t>
      </w:r>
    </w:p>
    <w:p>
      <w:pPr>
        <w:pStyle w:val="P11"/>
        <w:ind w:firstLine="0"/>
      </w:pPr>
      <w:r>
        <w:t>Part two: Action taken by the Conference of the Parties serving as the meeting of the Parties to the Kyoto Protocol at its fourteenth session</w:t>
      </w:r>
    </w:p>
    <w:p>
      <w:pPr>
        <w:pStyle w:val="P10"/>
      </w:pPr>
      <w:r>
        <w:rPr>
          <w:b w:val="0"/>
        </w:rPr>
        <w:t>Contents</w:t>
      </w:r>
    </w:p>
    <w:p>
      <w:pPr>
        <w:pStyle w:val="P10"/>
      </w:pPr>
      <w:r>
        <w:tab/>
        <w:tab/>
        <w:t>Decisions adopted by the Conference of the Parties serving as the meeting of the Parties to the Kyoto Protocol</w:t>
      </w:r>
    </w:p>
    <w:p>
      <w:pPr>
        <w:tabs>
          <w:tab w:val="right" w:pos="8929" w:leader="none"/>
          <w:tab w:val="right" w:pos="9638" w:leader="none"/>
        </w:tabs>
        <w:spacing w:before="60" w:after="120" w:beforeAutospacing="0" w:afterAutospacing="0"/>
        <w:ind w:left="1134"/>
        <w:rPr>
          <w:sz w:val="22"/>
        </w:rPr>
      </w:pPr>
      <w:r>
        <w:rPr>
          <w:i w:val="1"/>
          <w:sz w:val="18"/>
        </w:rPr>
        <w:t>Decision</w:t>
        <w:tab/>
        <w:tab/>
        <w:t>Page</w:t>
      </w:r>
    </w:p>
    <w:p>
      <w:pPr>
        <w:tabs>
          <w:tab w:val="right" w:pos="850" w:leader="none"/>
          <w:tab w:val="left" w:pos="1134" w:leader="none"/>
          <w:tab w:val="left" w:pos="1559" w:leader="none"/>
          <w:tab w:val="left" w:pos="2268" w:leader="none"/>
          <w:tab w:val="left" w:pos="7654" w:leader="dot"/>
          <w:tab w:val="right" w:pos="8929" w:leader="none"/>
          <w:tab w:val="right" w:pos="9638" w:leader="none"/>
        </w:tabs>
        <w:spacing w:after="120" w:beforeAutospacing="0" w:afterAutospacing="0"/>
        <w:ind w:hanging="2265" w:left="2265"/>
        <w:rPr>
          <w:sz w:val="22"/>
        </w:rPr>
      </w:pPr>
      <w:r>
        <w:rPr>
          <w:sz w:val="22"/>
        </w:rPr>
        <w:tab/>
        <w:tab/>
      </w:r>
      <w:r>
        <w:rPr>
          <w:sz w:val="22"/>
        </w:rPr>
        <w:fldChar w:fldCharType="begin"/>
      </w:r>
      <w:r>
        <w:rPr>
          <w:sz w:val="22"/>
        </w:rPr>
        <w:instrText>HYPERLINK \l "D1"</w:instrText>
      </w:r>
      <w:r>
        <w:rPr>
          <w:sz w:val="22"/>
        </w:rPr>
        <w:fldChar w:fldCharType="separate"/>
      </w:r>
      <w:r>
        <w:rPr>
          <w:rStyle w:val="C2"/>
        </w:rPr>
        <w:t>1/CMP.14</w:t>
      </w:r>
      <w:r>
        <w:rPr>
          <w:rStyle w:val="C2"/>
        </w:rPr>
        <w:fldChar w:fldCharType="end"/>
      </w:r>
      <w:r>
        <w:rPr>
          <w:sz w:val="22"/>
        </w:rPr>
        <w:tab/>
        <w:t>Matters relating to the Adaptation Fund</w:t>
        <w:tab/>
        <w:tab/>
        <w:tab/>
        <w:t>2</w:t>
      </w:r>
    </w:p>
    <w:p>
      <w:pPr>
        <w:tabs>
          <w:tab w:val="right" w:pos="850" w:leader="none"/>
          <w:tab w:val="left" w:pos="1134" w:leader="none"/>
          <w:tab w:val="left" w:pos="1559" w:leader="none"/>
          <w:tab w:val="left" w:pos="2268" w:leader="none"/>
          <w:tab w:val="left" w:pos="7654" w:leader="dot"/>
          <w:tab w:val="right" w:pos="8929" w:leader="none"/>
          <w:tab w:val="right" w:pos="9638" w:leader="none"/>
        </w:tabs>
        <w:spacing w:after="120" w:beforeAutospacing="0" w:afterAutospacing="0"/>
        <w:rPr>
          <w:sz w:val="22"/>
        </w:rPr>
      </w:pPr>
      <w:r>
        <w:rPr>
          <w:sz w:val="22"/>
        </w:rPr>
        <w:tab/>
        <w:tab/>
      </w:r>
      <w:r>
        <w:rPr>
          <w:sz w:val="22"/>
        </w:rPr>
        <w:fldChar w:fldCharType="begin"/>
      </w:r>
      <w:r>
        <w:rPr>
          <w:sz w:val="22"/>
        </w:rPr>
        <w:instrText>HYPERLINK \l "D2"</w:instrText>
      </w:r>
      <w:r>
        <w:rPr>
          <w:sz w:val="22"/>
        </w:rPr>
        <w:fldChar w:fldCharType="separate"/>
      </w:r>
      <w:r>
        <w:rPr>
          <w:rStyle w:val="C2"/>
        </w:rPr>
        <w:t>2/CMP.14</w:t>
      </w:r>
      <w:r>
        <w:rPr>
          <w:rStyle w:val="C2"/>
        </w:rPr>
        <w:fldChar w:fldCharType="end"/>
      </w:r>
      <w:r>
        <w:rPr>
          <w:sz w:val="22"/>
        </w:rPr>
        <w:tab/>
        <w:t>Report of the Adaptation Fund Board</w:t>
        <w:tab/>
        <w:tab/>
        <w:tab/>
        <w:t>3</w:t>
      </w:r>
    </w:p>
    <w:p>
      <w:pPr>
        <w:tabs>
          <w:tab w:val="right" w:pos="850" w:leader="none"/>
          <w:tab w:val="left" w:pos="1134" w:leader="none"/>
          <w:tab w:val="left" w:pos="1559" w:leader="none"/>
          <w:tab w:val="left" w:pos="2268" w:leader="none"/>
          <w:tab w:val="left" w:pos="7654" w:leader="dot"/>
          <w:tab w:val="right" w:pos="8929" w:leader="none"/>
          <w:tab w:val="right" w:pos="9638" w:leader="none"/>
        </w:tabs>
        <w:spacing w:after="120" w:beforeAutospacing="0" w:afterAutospacing="0"/>
        <w:ind w:hanging="2265" w:left="2265"/>
        <w:rPr>
          <w:sz w:val="22"/>
        </w:rPr>
      </w:pPr>
      <w:r>
        <w:rPr>
          <w:sz w:val="22"/>
        </w:rPr>
        <w:tab/>
        <w:tab/>
      </w:r>
      <w:r>
        <w:rPr>
          <w:sz w:val="22"/>
        </w:rPr>
        <w:fldChar w:fldCharType="begin"/>
      </w:r>
      <w:r>
        <w:rPr>
          <w:sz w:val="22"/>
        </w:rPr>
        <w:instrText>HYPERLINK \l "D3"</w:instrText>
      </w:r>
      <w:r>
        <w:rPr>
          <w:sz w:val="22"/>
        </w:rPr>
        <w:fldChar w:fldCharType="separate"/>
      </w:r>
      <w:r>
        <w:rPr>
          <w:rStyle w:val="C2"/>
        </w:rPr>
        <w:t>3/CMP.14</w:t>
      </w:r>
      <w:r>
        <w:rPr>
          <w:rStyle w:val="C2"/>
        </w:rPr>
        <w:fldChar w:fldCharType="end"/>
      </w:r>
      <w:r>
        <w:rPr>
          <w:sz w:val="22"/>
        </w:rPr>
        <w:tab/>
        <w:t xml:space="preserve">Modalities, work programme and functions under the Kyoto </w:t>
        <w:br w:type="textWrapping"/>
        <w:t xml:space="preserve">Protocol of the forum on the impact of the implementation of </w:t>
        <w:br w:type="textWrapping"/>
        <w:t>response measures</w:t>
        <w:tab/>
        <w:tab/>
        <w:tab/>
        <w:t>5</w:t>
      </w:r>
    </w:p>
    <w:p>
      <w:pPr>
        <w:tabs>
          <w:tab w:val="right" w:pos="850" w:leader="none"/>
          <w:tab w:val="left" w:pos="1134" w:leader="none"/>
          <w:tab w:val="left" w:pos="1559" w:leader="none"/>
          <w:tab w:val="left" w:pos="2268" w:leader="none"/>
          <w:tab w:val="left" w:pos="7654" w:leader="dot"/>
          <w:tab w:val="right" w:pos="8929" w:leader="none"/>
          <w:tab w:val="right" w:pos="9638" w:leader="none"/>
        </w:tabs>
        <w:spacing w:after="120" w:beforeAutospacing="0" w:afterAutospacing="0"/>
        <w:ind w:hanging="2268" w:left="2268"/>
        <w:rPr>
          <w:sz w:val="22"/>
        </w:rPr>
      </w:pPr>
      <w:r>
        <w:rPr>
          <w:sz w:val="22"/>
        </w:rPr>
        <w:tab/>
        <w:tab/>
      </w:r>
      <w:r>
        <w:rPr>
          <w:sz w:val="22"/>
        </w:rPr>
        <w:fldChar w:fldCharType="begin"/>
      </w:r>
      <w:r>
        <w:rPr>
          <w:sz w:val="22"/>
        </w:rPr>
        <w:instrText>HYPERLINK \l "D4"</w:instrText>
      </w:r>
      <w:r>
        <w:rPr>
          <w:sz w:val="22"/>
        </w:rPr>
        <w:fldChar w:fldCharType="separate"/>
      </w:r>
      <w:r>
        <w:rPr>
          <w:rStyle w:val="C2"/>
        </w:rPr>
        <w:t>4/CMP.14</w:t>
      </w:r>
      <w:r>
        <w:rPr>
          <w:rStyle w:val="C2"/>
        </w:rPr>
        <w:fldChar w:fldCharType="end"/>
      </w:r>
      <w:r>
        <w:rPr>
          <w:sz w:val="22"/>
        </w:rPr>
        <w:tab/>
        <w:t>Guidance relating to the clean development mechanism</w:t>
        <w:tab/>
        <w:tab/>
        <w:tab/>
        <w:t>6</w:t>
      </w:r>
    </w:p>
    <w:p>
      <w:pPr>
        <w:tabs>
          <w:tab w:val="right" w:pos="850" w:leader="none"/>
          <w:tab w:val="left" w:pos="1134" w:leader="none"/>
          <w:tab w:val="left" w:pos="1559" w:leader="none"/>
          <w:tab w:val="left" w:pos="2268" w:leader="none"/>
          <w:tab w:val="left" w:pos="7654" w:leader="dot"/>
          <w:tab w:val="right" w:pos="8929" w:leader="none"/>
          <w:tab w:val="right" w:pos="9638" w:leader="none"/>
        </w:tabs>
        <w:spacing w:after="120" w:beforeAutospacing="0" w:afterAutospacing="0"/>
        <w:ind w:hanging="2268" w:left="2268"/>
        <w:rPr>
          <w:sz w:val="22"/>
        </w:rPr>
      </w:pPr>
      <w:r>
        <w:rPr>
          <w:sz w:val="22"/>
        </w:rPr>
        <w:tab/>
        <w:tab/>
      </w:r>
      <w:r>
        <w:rPr>
          <w:sz w:val="22"/>
        </w:rPr>
        <w:fldChar w:fldCharType="begin"/>
      </w:r>
      <w:r>
        <w:rPr>
          <w:sz w:val="22"/>
        </w:rPr>
        <w:instrText>HYPERLINK \l "D5"</w:instrText>
      </w:r>
      <w:r>
        <w:rPr>
          <w:sz w:val="22"/>
        </w:rPr>
        <w:fldChar w:fldCharType="separate"/>
      </w:r>
      <w:r>
        <w:rPr>
          <w:rStyle w:val="C2"/>
        </w:rPr>
        <w:t>5/CMP.14</w:t>
      </w:r>
      <w:r>
        <w:rPr>
          <w:rStyle w:val="C2"/>
        </w:rPr>
        <w:fldChar w:fldCharType="end"/>
      </w:r>
      <w:r>
        <w:rPr>
          <w:sz w:val="22"/>
        </w:rPr>
        <w:tab/>
        <w:t>Administrative, financial and institutional matters</w:t>
        <w:tab/>
        <w:tab/>
        <w:tab/>
        <w:t>8</w:t>
      </w:r>
    </w:p>
    <w:p>
      <w:pPr>
        <w:tabs>
          <w:tab w:val="right" w:pos="850" w:leader="none"/>
          <w:tab w:val="left" w:pos="1134" w:leader="none"/>
          <w:tab w:val="left" w:pos="1559" w:leader="none"/>
          <w:tab w:val="left" w:pos="2268" w:leader="none"/>
          <w:tab w:val="left" w:pos="7654" w:leader="dot"/>
          <w:tab w:val="right" w:pos="8929" w:leader="none"/>
          <w:tab w:val="right" w:pos="9638" w:leader="none"/>
        </w:tabs>
        <w:spacing w:after="120" w:beforeAutospacing="0" w:afterAutospacing="0"/>
        <w:ind w:hanging="2268" w:left="2268"/>
        <w:rPr>
          <w:sz w:val="22"/>
        </w:rPr>
      </w:pPr>
      <w:r>
        <w:rPr>
          <w:sz w:val="22"/>
        </w:rPr>
        <w:tab/>
        <w:tab/>
      </w:r>
    </w:p>
    <w:p>
      <w:pPr>
        <w:tabs>
          <w:tab w:val="right" w:pos="850" w:leader="none"/>
          <w:tab w:val="left" w:pos="1134" w:leader="none"/>
          <w:tab w:val="left" w:pos="1559" w:leader="none"/>
          <w:tab w:val="left" w:pos="2268" w:leader="none"/>
          <w:tab w:val="left" w:pos="7654" w:leader="dot"/>
          <w:tab w:val="right" w:pos="8929" w:leader="none"/>
          <w:tab w:val="right" w:pos="9638" w:leader="none"/>
        </w:tabs>
        <w:spacing w:after="120" w:beforeAutospacing="0" w:afterAutospacing="0"/>
        <w:ind w:hanging="2268" w:left="2268"/>
        <w:rPr>
          <w:i w:val="1"/>
          <w:sz w:val="22"/>
        </w:rPr>
      </w:pPr>
      <w:r>
        <w:rPr>
          <w:sz w:val="22"/>
        </w:rPr>
        <w:tab/>
        <w:tab/>
      </w:r>
      <w:r>
        <w:rPr>
          <w:i w:val="1"/>
          <w:sz w:val="22"/>
        </w:rPr>
        <w:t>Resolution</w:t>
      </w:r>
    </w:p>
    <w:p>
      <w:pPr>
        <w:tabs>
          <w:tab w:val="right" w:pos="850" w:leader="none"/>
          <w:tab w:val="left" w:pos="1134" w:leader="none"/>
          <w:tab w:val="left" w:pos="1559" w:leader="none"/>
          <w:tab w:val="left" w:pos="2268" w:leader="none"/>
          <w:tab w:val="left" w:pos="7654" w:leader="dot"/>
          <w:tab w:val="right" w:pos="8929" w:leader="none"/>
          <w:tab w:val="right" w:pos="9638" w:leader="none"/>
        </w:tabs>
        <w:spacing w:after="120" w:beforeAutospacing="0" w:afterAutospacing="0"/>
        <w:ind w:hanging="2268" w:left="2268"/>
        <w:rPr>
          <w:sz w:val="22"/>
        </w:rPr>
      </w:pPr>
      <w:r>
        <w:rPr>
          <w:sz w:val="22"/>
        </w:rPr>
        <w:tab/>
        <w:tab/>
      </w:r>
      <w:r>
        <w:rPr>
          <w:sz w:val="22"/>
        </w:rPr>
        <w:fldChar w:fldCharType="begin"/>
      </w:r>
      <w:r>
        <w:rPr>
          <w:sz w:val="22"/>
        </w:rPr>
        <w:instrText>HYPERLINK \l "R1"</w:instrText>
      </w:r>
      <w:r>
        <w:rPr>
          <w:sz w:val="22"/>
        </w:rPr>
        <w:fldChar w:fldCharType="separate"/>
      </w:r>
      <w:r>
        <w:rPr>
          <w:rStyle w:val="C2"/>
        </w:rPr>
        <w:t>1/CMP.14</w:t>
      </w:r>
      <w:r>
        <w:rPr>
          <w:rStyle w:val="C2"/>
        </w:rPr>
        <w:fldChar w:fldCharType="end"/>
      </w:r>
      <w:r>
        <w:rPr>
          <w:sz w:val="22"/>
        </w:rPr>
        <w:tab/>
        <w:t xml:space="preserve">Expression of gratitude to the Government of the Republic of </w:t>
        <w:br w:type="textWrapping"/>
        <w:t>Poland and the people of the city of Katowice</w:t>
        <w:tab/>
        <w:tab/>
        <w:tab/>
        <w:t>10</w:t>
      </w:r>
    </w:p>
    <w:p>
      <w:pPr>
        <w:rPr>
          <w:sz w:val="22"/>
        </w:rPr>
      </w:pPr>
    </w:p>
    <w:p>
      <w:pPr>
        <w:pStyle w:val="P10"/>
        <w:ind w:firstLine="0"/>
      </w:pPr>
      <w:r>
        <w:br w:type="page"/>
      </w:r>
      <w:bookmarkStart w:id="1" w:name="D1"/>
      <w:r>
        <w:t>Decision 1/CMP.14</w:t>
      </w:r>
      <w:bookmarkEnd w:id="1"/>
    </w:p>
    <w:p>
      <w:pPr>
        <w:keepNext w:val="1"/>
        <w:keepLines w:val="1"/>
        <w:tabs>
          <w:tab w:val="right" w:pos="851" w:leader="none"/>
        </w:tabs>
        <w:spacing w:lineRule="exact" w:line="300" w:before="360" w:after="240" w:beforeAutospacing="0" w:afterAutospacing="0"/>
        <w:ind w:hanging="1134" w:left="1134" w:right="1134"/>
        <w:rPr>
          <w:b w:val="1"/>
          <w:sz w:val="28"/>
        </w:rPr>
      </w:pPr>
      <w:r>
        <w:rPr>
          <w:sz w:val="22"/>
        </w:rPr>
        <w:tab/>
        <w:tab/>
      </w:r>
      <w:r>
        <w:rPr>
          <w:b w:val="1"/>
          <w:sz w:val="28"/>
        </w:rPr>
        <w:t xml:space="preserve">Matters relating to the Adaptation Fund </w:t>
      </w:r>
    </w:p>
    <w:p>
      <w:pPr>
        <w:suppressAutoHyphens w:val="0"/>
        <w:spacing w:lineRule="auto" w:line="258" w:after="160" w:beforeAutospacing="0" w:afterAutospacing="0"/>
        <w:ind w:firstLine="567" w:left="1134" w:right="1133"/>
        <w:jc w:val="both"/>
        <w:rPr>
          <w:i w:val="1"/>
          <w:sz w:val="22"/>
        </w:rPr>
      </w:pPr>
      <w:r>
        <w:rPr>
          <w:i w:val="1"/>
          <w:sz w:val="22"/>
        </w:rPr>
        <w:t>The Conference of the Parties serving as the meeting of the Parties to the Kyoto Protocol</w:t>
      </w:r>
      <w:r>
        <w:rPr>
          <w:sz w:val="22"/>
        </w:rPr>
        <w:t>,</w:t>
      </w:r>
    </w:p>
    <w:p>
      <w:pPr>
        <w:tabs>
          <w:tab w:val="left" w:pos="1701" w:leader="none"/>
        </w:tabs>
        <w:spacing w:before="120" w:after="120" w:beforeAutospacing="0" w:afterAutospacing="0"/>
        <w:ind w:left="1134" w:right="1134"/>
        <w:jc w:val="both"/>
        <w:rPr>
          <w:sz w:val="22"/>
        </w:rPr>
      </w:pPr>
      <w:r>
        <w:rPr>
          <w:sz w:val="22"/>
        </w:rPr>
        <w:t>1.</w:t>
        <w:tab/>
      </w:r>
      <w:r>
        <w:rPr>
          <w:i w:val="1"/>
          <w:sz w:val="22"/>
        </w:rPr>
        <w:t xml:space="preserve">Takes note </w:t>
      </w:r>
      <w:r>
        <w:rPr>
          <w:sz w:val="22"/>
        </w:rPr>
        <w:t>of decision 13/CMA.1, whereby the Conference of the Parties serving as the meeting of the Parties to the Paris Agreement decided that the Adaptation Fund shall serve the Paris Agreement under the guidance of, and be accountable to, the Conference of the Parties serving as the meeting of the Parties to the Paris Agreement with respect to all matters relating to the Paris Agreement, effective 1 January 2019;</w:t>
      </w:r>
    </w:p>
    <w:p>
      <w:pPr>
        <w:tabs>
          <w:tab w:val="left" w:pos="1701" w:leader="none"/>
        </w:tabs>
        <w:spacing w:before="120" w:after="120" w:beforeAutospacing="0" w:afterAutospacing="0"/>
        <w:ind w:left="1134" w:right="1134"/>
        <w:jc w:val="both"/>
        <w:rPr>
          <w:sz w:val="22"/>
        </w:rPr>
      </w:pPr>
      <w:r>
        <w:rPr>
          <w:sz w:val="22"/>
        </w:rPr>
        <w:t>2.</w:t>
        <w:tab/>
      </w:r>
      <w:r>
        <w:rPr>
          <w:i w:val="1"/>
          <w:sz w:val="22"/>
        </w:rPr>
        <w:t>Decides</w:t>
      </w:r>
      <w:r>
        <w:rPr>
          <w:sz w:val="22"/>
        </w:rPr>
        <w:t xml:space="preserve"> that the Adaptation Fund shall exclusively serve the Paris Agreement and shall no longer serve the Kyoto Protocol once the share of proceeds under Article 6, paragraph 4, of the Paris Agreement becomes available; </w:t>
      </w:r>
    </w:p>
    <w:p>
      <w:pPr>
        <w:tabs>
          <w:tab w:val="left" w:pos="1701" w:leader="none"/>
        </w:tabs>
        <w:spacing w:before="120" w:after="120" w:beforeAutospacing="0" w:afterAutospacing="0"/>
        <w:ind w:left="1134" w:right="1134"/>
        <w:jc w:val="both"/>
        <w:rPr>
          <w:sz w:val="22"/>
        </w:rPr>
      </w:pPr>
      <w:r>
        <w:rPr>
          <w:sz w:val="22"/>
        </w:rPr>
        <w:t>3.</w:t>
        <w:tab/>
      </w:r>
      <w:r>
        <w:rPr>
          <w:i w:val="1"/>
          <w:sz w:val="22"/>
        </w:rPr>
        <w:t>Also decides</w:t>
      </w:r>
      <w:r>
        <w:rPr>
          <w:sz w:val="22"/>
        </w:rPr>
        <w:t>, pursuant to paragraph 2 above, that the Adaptation Fund shall continue to receive the share of proceeds, if available, from activities under Articles 6, 12 and 17 of the Kyoto Protocol;</w:t>
      </w:r>
    </w:p>
    <w:p>
      <w:pPr>
        <w:tabs>
          <w:tab w:val="left" w:pos="1701" w:leader="none"/>
        </w:tabs>
        <w:spacing w:before="120" w:after="120" w:beforeAutospacing="0" w:afterAutospacing="0"/>
        <w:ind w:left="1134" w:right="1134"/>
        <w:jc w:val="both"/>
        <w:rPr>
          <w:sz w:val="22"/>
        </w:rPr>
      </w:pPr>
      <w:r>
        <w:rPr>
          <w:sz w:val="22"/>
        </w:rPr>
        <w:t>4.</w:t>
        <w:tab/>
      </w:r>
      <w:r>
        <w:rPr>
          <w:i w:val="1"/>
          <w:sz w:val="22"/>
        </w:rPr>
        <w:t>Further decides</w:t>
      </w:r>
      <w:r>
        <w:rPr>
          <w:sz w:val="22"/>
        </w:rPr>
        <w:t xml:space="preserve"> to ensure that developing country Parties and developed country Parties that are Parties to the Paris Agreement are eligible for membership on the Adaptation Fund Board;</w:t>
      </w:r>
    </w:p>
    <w:p>
      <w:pPr>
        <w:tabs>
          <w:tab w:val="left" w:pos="1701" w:leader="none"/>
        </w:tabs>
        <w:spacing w:before="120" w:after="120" w:beforeAutospacing="0" w:afterAutospacing="0"/>
        <w:ind w:left="1134" w:right="1134"/>
        <w:jc w:val="both"/>
        <w:rPr>
          <w:sz w:val="22"/>
        </w:rPr>
      </w:pPr>
      <w:r>
        <w:rPr>
          <w:sz w:val="22"/>
        </w:rPr>
        <w:t>5.</w:t>
        <w:tab/>
      </w:r>
      <w:r>
        <w:rPr>
          <w:i w:val="1"/>
          <w:sz w:val="22"/>
        </w:rPr>
        <w:t>Requests</w:t>
      </w:r>
      <w:r>
        <w:rPr>
          <w:sz w:val="22"/>
        </w:rPr>
        <w:t xml:space="preserve"> the Subsidiary Body for Implementation, at its fiftieth session (June 2019), to consider the matter referred to in paragraph 4 above, and to forward a recommendation to the Conference of the Parties serving as the meeting of the Parties to the Kyoto Protocol for consideration at its fifteenth session (December 2019);</w:t>
      </w:r>
    </w:p>
    <w:p>
      <w:pPr>
        <w:tabs>
          <w:tab w:val="left" w:pos="1701" w:leader="none"/>
        </w:tabs>
        <w:spacing w:before="120" w:after="120" w:beforeAutospacing="0" w:afterAutospacing="0"/>
        <w:ind w:left="1134" w:right="1134"/>
        <w:jc w:val="both"/>
        <w:rPr>
          <w:sz w:val="22"/>
        </w:rPr>
      </w:pPr>
      <w:r>
        <w:rPr>
          <w:sz w:val="22"/>
        </w:rPr>
        <w:t>6.</w:t>
        <w:tab/>
      </w:r>
      <w:r>
        <w:rPr>
          <w:i w:val="1"/>
          <w:sz w:val="22"/>
        </w:rPr>
        <w:t>Also requests</w:t>
      </w:r>
      <w:r>
        <w:rPr>
          <w:sz w:val="22"/>
        </w:rPr>
        <w:t xml:space="preserve"> the Adaptation Fund Board to consider the rules of procedure of the Board, the arrangements of the Adaptation Fund with respect to the Paris Agreement and any other matter so as to ensure the Adaptation Fund serves the Paris Agreement smoothly; to consider the implications of the Adaptation Fund receiving the share of proceeds from activities under Articles 6, 12 and 17 of the Kyoto Protocol when the Adaptation Fund serves the Paris Agreement; and to make recommendations to the Conference of the Parties serving as the meeting of the Parties to the Kyoto Protocol at its fifteenth session with a view to the recommendations being forwarded to the Conference of the Parties serving as the meeting of the Parties to the Paris Agreement for consideration at its second session (December 2019).</w:t>
      </w:r>
    </w:p>
    <w:p>
      <w:pPr>
        <w:spacing w:before="120" w:beforeAutospacing="0" w:afterAutospacing="0"/>
        <w:ind w:firstLine="567" w:left="1134" w:right="-1"/>
        <w:jc w:val="right"/>
        <w:rPr>
          <w:i w:val="1"/>
          <w:sz w:val="22"/>
        </w:rPr>
      </w:pPr>
      <w:r>
        <w:rPr>
          <w:i w:val="1"/>
          <w:sz w:val="22"/>
        </w:rPr>
        <w:t>8</w:t>
      </w:r>
      <w:r>
        <w:rPr>
          <w:i w:val="1"/>
          <w:sz w:val="22"/>
          <w:vertAlign w:val="superscript"/>
        </w:rPr>
        <w:t>th</w:t>
      </w:r>
      <w:r>
        <w:rPr>
          <w:i w:val="1"/>
          <w:sz w:val="22"/>
        </w:rPr>
        <w:t xml:space="preserve"> plenary meeting</w:t>
        <w:br w:type="textWrapping"/>
        <w:t>15 December 2018</w:t>
      </w:r>
    </w:p>
    <w:p>
      <w:pPr>
        <w:suppressAutoHyphens w:val="0"/>
        <w:spacing w:lineRule="auto" w:line="240" w:beforeAutospacing="0" w:afterAutospacing="0"/>
        <w:rPr>
          <w:i w:val="1"/>
          <w:sz w:val="22"/>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6" w:h="16838" w:code="0"/>
          <w:pgMar w:left="1134" w:right="1134" w:top="1418" w:bottom="1134" w:header="851" w:footer="567" w:gutter="0"/>
          <w:pgNumType w:chapSep="hyphen"/>
          <w:titlePg w:val="1"/>
        </w:sectPr>
      </w:pPr>
    </w:p>
    <w:p>
      <w:pPr>
        <w:pStyle w:val="P10"/>
        <w:spacing w:before="0" w:beforeAutospacing="0" w:afterAutospacing="0"/>
      </w:pPr>
      <w:r>
        <w:tab/>
        <w:tab/>
      </w:r>
      <w:bookmarkStart w:id="2" w:name="D2"/>
      <w:r>
        <w:t>Decision 2/CMP.14</w:t>
      </w:r>
      <w:bookmarkEnd w:id="2"/>
    </w:p>
    <w:p>
      <w:pPr>
        <w:pStyle w:val="P10"/>
      </w:pPr>
      <w:r>
        <w:tab/>
        <w:tab/>
        <w:t>Report of the Adaptation Fund Board</w:t>
      </w:r>
    </w:p>
    <w:p>
      <w:pPr>
        <w:spacing w:before="120" w:beforeAutospacing="0" w:afterAutospacing="0"/>
        <w:ind w:firstLine="567" w:left="1134" w:right="1174"/>
        <w:jc w:val="both"/>
        <w:rPr>
          <w:i w:val="1"/>
          <w:sz w:val="22"/>
        </w:rPr>
      </w:pPr>
      <w:r>
        <w:rPr>
          <w:i w:val="1"/>
          <w:sz w:val="22"/>
        </w:rPr>
        <w:t>The Conference of the Parties serving as the meeting of the Parties to the Kyoto Protocol</w:t>
      </w:r>
      <w:r>
        <w:rPr>
          <w:sz w:val="22"/>
        </w:rPr>
        <w:t>,</w:t>
      </w:r>
    </w:p>
    <w:p>
      <w:pPr>
        <w:spacing w:before="120" w:beforeAutospacing="0" w:afterAutospacing="0"/>
        <w:ind w:firstLine="567" w:left="1134" w:right="1174"/>
        <w:jc w:val="both"/>
        <w:rPr>
          <w:sz w:val="22"/>
        </w:rPr>
      </w:pPr>
      <w:r>
        <w:rPr>
          <w:i w:val="1"/>
          <w:sz w:val="22"/>
        </w:rPr>
        <w:t>Recalling</w:t>
      </w:r>
      <w:r>
        <w:rPr>
          <w:sz w:val="22"/>
        </w:rPr>
        <w:t xml:space="preserve"> decisions 1/CMP.3, 1/CMP.4, 2/CMP.10, 1/CMP.11 and 1/CMP.13,</w:t>
      </w:r>
    </w:p>
    <w:p>
      <w:pPr>
        <w:tabs>
          <w:tab w:val="left" w:pos="568" w:leader="none"/>
          <w:tab w:val="left" w:pos="1701" w:leader="none"/>
        </w:tabs>
        <w:spacing w:before="120" w:after="120" w:beforeAutospacing="0" w:afterAutospacing="0"/>
        <w:ind w:left="1135" w:right="1134"/>
        <w:jc w:val="both"/>
        <w:rPr>
          <w:i w:val="1"/>
          <w:sz w:val="22"/>
        </w:rPr>
      </w:pPr>
      <w:r>
        <w:rPr>
          <w:sz w:val="22"/>
        </w:rPr>
        <w:t>1.</w:t>
        <w:tab/>
      </w:r>
      <w:r>
        <w:rPr>
          <w:i w:val="1"/>
          <w:sz w:val="22"/>
        </w:rPr>
        <w:t xml:space="preserve">Takes note </w:t>
      </w:r>
      <w:r>
        <w:rPr>
          <w:sz w:val="22"/>
        </w:rPr>
        <w:t>of</w:t>
      </w:r>
      <w:r>
        <w:rPr>
          <w:i w:val="1"/>
          <w:sz w:val="22"/>
        </w:rPr>
        <w:t xml:space="preserve"> </w:t>
      </w:r>
      <w:r>
        <w:rPr>
          <w:sz w:val="22"/>
        </w:rPr>
        <w:t>the</w:t>
      </w:r>
      <w:r>
        <w:rPr>
          <w:i w:val="1"/>
          <w:sz w:val="22"/>
        </w:rPr>
        <w:t xml:space="preserve"> </w:t>
      </w:r>
      <w:r>
        <w:rPr>
          <w:sz w:val="22"/>
        </w:rPr>
        <w:t>annual report of the Adaptation Fund Board, including its addendum, and the information contained therein;</w:t>
      </w:r>
      <w:r>
        <w:rPr>
          <w:sz w:val="18"/>
          <w:vertAlign w:val="superscript"/>
        </w:rPr>
        <w:footnoteReference w:id="0"/>
      </w:r>
    </w:p>
    <w:p>
      <w:pPr>
        <w:tabs>
          <w:tab w:val="left" w:pos="568" w:leader="none"/>
          <w:tab w:val="left" w:pos="1701" w:leader="none"/>
        </w:tabs>
        <w:spacing w:before="120" w:after="120" w:beforeAutospacing="0" w:afterAutospacing="0"/>
        <w:ind w:left="1135" w:right="1134"/>
        <w:jc w:val="both"/>
        <w:rPr>
          <w:sz w:val="22"/>
        </w:rPr>
      </w:pPr>
      <w:r>
        <w:rPr>
          <w:sz w:val="22"/>
        </w:rPr>
        <w:t>2.</w:t>
        <w:tab/>
      </w:r>
      <w:r>
        <w:rPr>
          <w:i w:val="1"/>
          <w:sz w:val="22"/>
        </w:rPr>
        <w:t xml:space="preserve">Notes </w:t>
      </w:r>
      <w:r>
        <w:rPr>
          <w:sz w:val="22"/>
        </w:rPr>
        <w:t>the following information, actions and decisions relating to the Adaptation Fund Board presented in the report referred to in paragraph 1 above:</w:t>
      </w:r>
    </w:p>
    <w:p>
      <w:pPr>
        <w:tabs>
          <w:tab w:val="left" w:pos="1701" w:leader="none"/>
          <w:tab w:val="left" w:pos="2269" w:leader="none"/>
        </w:tabs>
        <w:spacing w:before="120" w:after="120" w:beforeAutospacing="0" w:afterAutospacing="0"/>
        <w:ind w:firstLine="567" w:left="1135" w:right="1134"/>
        <w:jc w:val="both"/>
        <w:rPr>
          <w:sz w:val="22"/>
        </w:rPr>
      </w:pPr>
      <w:r>
        <w:rPr>
          <w:sz w:val="22"/>
        </w:rPr>
        <w:t>(a)</w:t>
        <w:tab/>
        <w:t>The accreditation of 28 national implementing entities for accessing resources from the Adaptation Fund directly;</w:t>
      </w:r>
    </w:p>
    <w:p>
      <w:pPr>
        <w:tabs>
          <w:tab w:val="left" w:pos="1701" w:leader="none"/>
          <w:tab w:val="left" w:pos="2269" w:leader="none"/>
        </w:tabs>
        <w:spacing w:before="120" w:after="120" w:beforeAutospacing="0" w:afterAutospacing="0"/>
        <w:ind w:firstLine="567" w:left="1135" w:right="1134"/>
        <w:jc w:val="both"/>
        <w:rPr>
          <w:sz w:val="22"/>
        </w:rPr>
      </w:pPr>
      <w:r>
        <w:rPr>
          <w:sz w:val="22"/>
        </w:rPr>
        <w:t>(b)</w:t>
        <w:tab/>
        <w:t>Cumulative project and programme approvals reaching USD 476.8 million as at 30 June 2018;</w:t>
      </w:r>
    </w:p>
    <w:p>
      <w:pPr>
        <w:tabs>
          <w:tab w:val="left" w:pos="1701" w:leader="none"/>
          <w:tab w:val="left" w:pos="2269" w:leader="none"/>
        </w:tabs>
        <w:spacing w:before="120" w:after="120" w:beforeAutospacing="0" w:afterAutospacing="0"/>
        <w:ind w:firstLine="567" w:left="1135" w:right="1134"/>
        <w:jc w:val="both"/>
        <w:rPr>
          <w:sz w:val="22"/>
        </w:rPr>
      </w:pPr>
      <w:r>
        <w:rPr>
          <w:sz w:val="22"/>
        </w:rPr>
        <w:t>(c)</w:t>
        <w:tab/>
        <w:t xml:space="preserve">Funds available for new funding approvals amounting to USD 225.7 million as at 30 June 2018; </w:t>
      </w:r>
    </w:p>
    <w:p>
      <w:pPr>
        <w:tabs>
          <w:tab w:val="left" w:pos="1701" w:leader="none"/>
          <w:tab w:val="left" w:pos="2269" w:leader="none"/>
        </w:tabs>
        <w:spacing w:before="120" w:after="120" w:beforeAutospacing="0" w:afterAutospacing="0"/>
        <w:ind w:firstLine="567" w:left="1135" w:right="1134"/>
        <w:jc w:val="both"/>
        <w:rPr>
          <w:sz w:val="22"/>
        </w:rPr>
      </w:pPr>
      <w:r>
        <w:rPr>
          <w:sz w:val="22"/>
        </w:rPr>
        <w:t>(d)</w:t>
        <w:tab/>
        <w:t>The value of projects and programmes in the active pipeline estimated at over USD 270 million as at 30 June 2018;</w:t>
      </w:r>
    </w:p>
    <w:p>
      <w:pPr>
        <w:tabs>
          <w:tab w:val="left" w:pos="1701" w:leader="none"/>
          <w:tab w:val="left" w:pos="2269" w:leader="none"/>
        </w:tabs>
        <w:spacing w:before="120" w:after="120" w:beforeAutospacing="0" w:afterAutospacing="0"/>
        <w:ind w:firstLine="567" w:left="1135" w:right="1134"/>
        <w:jc w:val="both"/>
        <w:rPr>
          <w:sz w:val="22"/>
        </w:rPr>
      </w:pPr>
      <w:r>
        <w:rPr>
          <w:sz w:val="22"/>
        </w:rPr>
        <w:t>(e)</w:t>
        <w:tab/>
        <w:t>The approval, under the pilot phase of the readiness support package, of the first readiness support package grant (in July 2018), amounting to USD 100,000, to provide tailored technical assistance and capacity-building through a suite of tools for supporting developing country entities in accessing the Fund’s resources through direct access;</w:t>
      </w:r>
    </w:p>
    <w:p>
      <w:pPr>
        <w:tabs>
          <w:tab w:val="left" w:pos="1701" w:leader="none"/>
          <w:tab w:val="left" w:pos="2269" w:leader="none"/>
        </w:tabs>
        <w:spacing w:before="120" w:after="120" w:beforeAutospacing="0" w:afterAutospacing="0"/>
        <w:ind w:firstLine="567" w:left="1135" w:right="1134"/>
        <w:jc w:val="both"/>
        <w:rPr>
          <w:sz w:val="22"/>
        </w:rPr>
      </w:pPr>
      <w:r>
        <w:rPr>
          <w:sz w:val="22"/>
        </w:rPr>
        <w:t>(f)</w:t>
        <w:tab/>
        <w:t>The approval of funding decisions for readiness grants amounting to USD 175,000, consisting of USD 150,000 in South–South cooperation grants and a USD 25,000 technical assistance grant for the environmental and social safeguards policy and the gender policy;</w:t>
      </w:r>
    </w:p>
    <w:p>
      <w:pPr>
        <w:tabs>
          <w:tab w:val="left" w:pos="1701" w:leader="none"/>
          <w:tab w:val="left" w:pos="2269" w:leader="none"/>
        </w:tabs>
        <w:spacing w:before="120" w:after="120" w:beforeAutospacing="0" w:afterAutospacing="0"/>
        <w:ind w:firstLine="567" w:left="1135" w:right="1134"/>
        <w:jc w:val="both"/>
        <w:rPr>
          <w:sz w:val="22"/>
        </w:rPr>
      </w:pPr>
      <w:r>
        <w:rPr>
          <w:sz w:val="22"/>
        </w:rPr>
        <w:t>(g)</w:t>
        <w:tab/>
        <w:t>The cumulative receipts of USD 753.5 million into the Adaptation Trust Fund, as at 30 June 2018, comprising USD 199.4 million from the monetization of certified emission reductions, USD 538.3 million from additional contributions and USD 15.8 million from investment income earned on the trust fund balance;</w:t>
      </w:r>
    </w:p>
    <w:p>
      <w:pPr>
        <w:tabs>
          <w:tab w:val="left" w:pos="1701" w:leader="none"/>
          <w:tab w:val="left" w:pos="2269" w:leader="none"/>
        </w:tabs>
        <w:spacing w:before="120" w:after="120" w:beforeAutospacing="0" w:afterAutospacing="0"/>
        <w:ind w:firstLine="567" w:left="1135" w:right="1134"/>
        <w:jc w:val="both"/>
        <w:rPr>
          <w:sz w:val="22"/>
        </w:rPr>
      </w:pPr>
      <w:r>
        <w:rPr>
          <w:sz w:val="22"/>
        </w:rPr>
        <w:t>(h)</w:t>
        <w:tab/>
        <w:t>The adoption, by the Board, of the first medium-term strategy for the Fund for the period 2018–2022 (in October 2017) and of an implementation plan for the strategy (in March 2018);</w:t>
      </w:r>
    </w:p>
    <w:p>
      <w:pPr>
        <w:tabs>
          <w:tab w:val="left" w:pos="1701" w:leader="none"/>
          <w:tab w:val="left" w:pos="2269" w:leader="none"/>
        </w:tabs>
        <w:spacing w:before="120" w:after="120" w:beforeAutospacing="0" w:afterAutospacing="0"/>
        <w:ind w:firstLine="567" w:left="1135" w:right="1134"/>
        <w:jc w:val="both"/>
        <w:rPr>
          <w:sz w:val="22"/>
        </w:rPr>
      </w:pPr>
      <w:r>
        <w:rPr>
          <w:sz w:val="22"/>
        </w:rPr>
        <w:t>(i)</w:t>
        <w:tab/>
        <w:t>The approval of eight single-country project/programme proposals submitted by implementing entities, totalling USD 39.0 million, including four proposals submitted by national implementing entities amounting to USD 10.3 million, one proposal submitted by a regional implementing entity to the amount of USD 10.0 million, and three proposals submitted by multilateral implementing entities to the amount of USD 18.6 million;</w:t>
      </w:r>
    </w:p>
    <w:p>
      <w:pPr>
        <w:tabs>
          <w:tab w:val="left" w:pos="1701" w:leader="none"/>
          <w:tab w:val="left" w:pos="2269" w:leader="none"/>
        </w:tabs>
        <w:spacing w:before="120" w:after="120" w:beforeAutospacing="0" w:afterAutospacing="0"/>
        <w:ind w:firstLine="567" w:left="1135" w:right="1134"/>
        <w:jc w:val="both"/>
        <w:rPr>
          <w:sz w:val="22"/>
        </w:rPr>
      </w:pPr>
      <w:r>
        <w:rPr>
          <w:sz w:val="22"/>
        </w:rPr>
        <w:t>(j)</w:t>
        <w:tab/>
        <w:t>The approval of two regional (multi-country) projects, with total funding of USD 19 million, and the decision to provide funding up to the amount of USD 60 million for regional project and programme proposals in fiscal year 2019 (1 July 2018 to 30 June 2019);</w:t>
      </w:r>
    </w:p>
    <w:p>
      <w:pPr>
        <w:tabs>
          <w:tab w:val="left" w:pos="1701" w:leader="none"/>
          <w:tab w:val="left" w:pos="2269" w:leader="none"/>
        </w:tabs>
        <w:spacing w:before="120" w:after="120" w:beforeAutospacing="0" w:afterAutospacing="0"/>
        <w:ind w:firstLine="567" w:left="1135" w:right="1134"/>
        <w:jc w:val="both"/>
        <w:rPr>
          <w:sz w:val="22"/>
        </w:rPr>
      </w:pPr>
      <w:r>
        <w:rPr>
          <w:sz w:val="22"/>
        </w:rPr>
        <w:t>(k)</w:t>
        <w:tab/>
        <w:t>The contributions received from 1 July 2017 to 30 June 2018, amounting to USD 95.9 million, from Germany, Ireland, Italy and Sweden, and the Brussels-Capital and Walloon Regions of Belgium;</w:t>
      </w:r>
    </w:p>
    <w:p>
      <w:pPr>
        <w:tabs>
          <w:tab w:val="left" w:pos="568" w:leader="none"/>
          <w:tab w:val="left" w:pos="1701" w:leader="none"/>
        </w:tabs>
        <w:spacing w:before="120" w:after="120" w:beforeAutospacing="0" w:afterAutospacing="0"/>
        <w:ind w:left="1135" w:right="1134"/>
        <w:jc w:val="both"/>
        <w:rPr>
          <w:sz w:val="22"/>
        </w:rPr>
      </w:pPr>
      <w:r>
        <w:rPr>
          <w:sz w:val="22"/>
        </w:rPr>
        <w:t>3.</w:t>
        <w:tab/>
      </w:r>
      <w:r>
        <w:rPr>
          <w:i w:val="1"/>
          <w:sz w:val="22"/>
        </w:rPr>
        <w:t>Also notes</w:t>
      </w:r>
      <w:r>
        <w:rPr>
          <w:sz w:val="22"/>
        </w:rPr>
        <w:t xml:space="preserve"> the total amount of USD 95.9 million in contributions made to the Adaptation Fund in 2017, surpassing the fundraising target of the Adaptation Fund Board of USD 80 million for the 2017 calendar year;</w:t>
      </w:r>
    </w:p>
    <w:p>
      <w:pPr>
        <w:tabs>
          <w:tab w:val="left" w:pos="568" w:leader="none"/>
          <w:tab w:val="left" w:pos="1701" w:leader="none"/>
        </w:tabs>
        <w:spacing w:after="120" w:beforeAutospacing="0" w:afterAutospacing="0"/>
        <w:ind w:left="1135" w:right="1134"/>
        <w:jc w:val="both"/>
        <w:rPr>
          <w:sz w:val="22"/>
          <w:u w:val="single"/>
        </w:rPr>
      </w:pPr>
      <w:r>
        <w:rPr>
          <w:sz w:val="22"/>
        </w:rPr>
        <w:t>4.</w:t>
        <w:tab/>
      </w:r>
      <w:r>
        <w:rPr>
          <w:i w:val="1"/>
          <w:sz w:val="22"/>
        </w:rPr>
        <w:t>Welcomes</w:t>
      </w:r>
      <w:r>
        <w:rPr>
          <w:sz w:val="22"/>
        </w:rPr>
        <w:t xml:space="preserve"> the financial pledges to the Adaptation Fund made by the European Union, France, Germany, Ireland, Italy, New Zealand and Sweden, and the Brussels-Capital and Walloon Regions of Belgium, equivalent to USD 129.0 million;</w:t>
      </w:r>
    </w:p>
    <w:p>
      <w:pPr>
        <w:tabs>
          <w:tab w:val="left" w:pos="568" w:leader="none"/>
          <w:tab w:val="left" w:pos="1701" w:leader="none"/>
        </w:tabs>
        <w:spacing w:after="120" w:beforeAutospacing="0" w:afterAutospacing="0"/>
        <w:ind w:left="1135" w:right="1134"/>
        <w:jc w:val="both"/>
        <w:rPr>
          <w:sz w:val="22"/>
          <w:u w:val="single"/>
        </w:rPr>
      </w:pPr>
      <w:r>
        <w:rPr>
          <w:sz w:val="22"/>
        </w:rPr>
        <w:t>5.</w:t>
        <w:tab/>
      </w:r>
      <w:r>
        <w:rPr>
          <w:i w:val="1"/>
          <w:sz w:val="22"/>
        </w:rPr>
        <w:t xml:space="preserve">Notes </w:t>
      </w:r>
      <w:r>
        <w:rPr>
          <w:sz w:val="22"/>
        </w:rPr>
        <w:t>that, with the pledges referred to in paragraph 4 above, the fundraising target of the Adaptation Fund Board of USD 90 million for the 2018 calendar year has been surpassed;</w:t>
      </w:r>
    </w:p>
    <w:p>
      <w:pPr>
        <w:tabs>
          <w:tab w:val="left" w:pos="568" w:leader="none"/>
          <w:tab w:val="left" w:pos="1701" w:leader="none"/>
        </w:tabs>
        <w:spacing w:before="120" w:after="120" w:beforeAutospacing="0" w:afterAutospacing="0"/>
        <w:ind w:left="1135" w:right="1134"/>
        <w:jc w:val="both"/>
        <w:rPr>
          <w:sz w:val="22"/>
        </w:rPr>
      </w:pPr>
      <w:r>
        <w:rPr>
          <w:sz w:val="22"/>
        </w:rPr>
        <w:t>6.</w:t>
        <w:tab/>
      </w:r>
      <w:r>
        <w:rPr>
          <w:i w:val="1"/>
          <w:sz w:val="22"/>
        </w:rPr>
        <w:t>Reiterates</w:t>
      </w:r>
      <w:r>
        <w:rPr>
          <w:sz w:val="22"/>
        </w:rPr>
        <w:t xml:space="preserve"> its concern regarding</w:t>
      </w:r>
      <w:r>
        <w:rPr>
          <w:i w:val="1"/>
          <w:sz w:val="22"/>
        </w:rPr>
        <w:t xml:space="preserve"> </w:t>
      </w:r>
      <w:r>
        <w:rPr>
          <w:sz w:val="22"/>
        </w:rPr>
        <w:t>the issues related to the sustainability, adequacy and predictability of funding for the Adaptation Fund due to the current uncertainty about the prices of certified emission reductions;</w:t>
      </w:r>
      <w:r>
        <w:rPr>
          <w:sz w:val="18"/>
          <w:vertAlign w:val="superscript"/>
        </w:rPr>
        <w:footnoteReference w:id="1"/>
      </w:r>
    </w:p>
    <w:p>
      <w:pPr>
        <w:tabs>
          <w:tab w:val="left" w:pos="568" w:leader="none"/>
          <w:tab w:val="left" w:pos="1701" w:leader="none"/>
        </w:tabs>
        <w:spacing w:after="120" w:beforeAutospacing="0" w:afterAutospacing="0"/>
        <w:ind w:left="1135" w:right="1134"/>
        <w:jc w:val="both"/>
        <w:rPr>
          <w:sz w:val="22"/>
          <w:u w:val="single"/>
        </w:rPr>
      </w:pPr>
      <w:r>
        <w:rPr>
          <w:sz w:val="22"/>
        </w:rPr>
        <w:t>7.</w:t>
        <w:tab/>
      </w:r>
      <w:r>
        <w:rPr>
          <w:i w:val="1"/>
          <w:sz w:val="22"/>
        </w:rPr>
        <w:t xml:space="preserve">Also reiterates </w:t>
      </w:r>
      <w:r>
        <w:rPr>
          <w:sz w:val="22"/>
        </w:rPr>
        <w:t>the</w:t>
      </w:r>
      <w:r>
        <w:rPr>
          <w:i w:val="1"/>
          <w:sz w:val="22"/>
        </w:rPr>
        <w:t xml:space="preserve"> </w:t>
      </w:r>
      <w:r>
        <w:rPr>
          <w:sz w:val="22"/>
        </w:rPr>
        <w:t>encouragement of the scaling up of financial resources, including the provision of voluntary support, that are additional to the share of proceeds levied on certified emission reductions, in order to support the resource mobilization efforts of the Adaptation Fund Board with a view to strengthening the Adaptation Fund;</w:t>
      </w:r>
      <w:r>
        <w:rPr>
          <w:sz w:val="18"/>
          <w:vertAlign w:val="superscript"/>
        </w:rPr>
        <w:footnoteReference w:id="2"/>
      </w:r>
      <w:r>
        <w:rPr>
          <w:sz w:val="22"/>
        </w:rPr>
        <w:t xml:space="preserve"> </w:t>
      </w:r>
    </w:p>
    <w:p>
      <w:pPr>
        <w:tabs>
          <w:tab w:val="left" w:pos="568" w:leader="none"/>
          <w:tab w:val="left" w:pos="1701" w:leader="none"/>
        </w:tabs>
        <w:spacing w:after="120" w:beforeAutospacing="0" w:afterAutospacing="0"/>
        <w:ind w:left="1135" w:right="1134"/>
        <w:jc w:val="both"/>
        <w:rPr>
          <w:sz w:val="22"/>
          <w:u w:val="single"/>
        </w:rPr>
      </w:pPr>
      <w:r>
        <w:rPr>
          <w:sz w:val="22"/>
        </w:rPr>
        <w:t>8.</w:t>
        <w:tab/>
      </w:r>
      <w:r>
        <w:rPr>
          <w:i w:val="1"/>
          <w:sz w:val="22"/>
        </w:rPr>
        <w:t>Welcomes</w:t>
      </w:r>
      <w:r>
        <w:rPr>
          <w:sz w:val="22"/>
        </w:rPr>
        <w:t xml:space="preserve"> </w:t>
      </w:r>
      <w:r>
        <w:rPr>
          <w:i w:val="1"/>
          <w:sz w:val="22"/>
        </w:rPr>
        <w:t>with appreciation</w:t>
      </w:r>
      <w:r>
        <w:rPr>
          <w:sz w:val="22"/>
        </w:rPr>
        <w:t xml:space="preserve"> the Adaptation Fund Board’s consideration of and report on linkages to other funds to ensure coherence and complementarity;</w:t>
      </w:r>
      <w:r>
        <w:rPr>
          <w:sz w:val="18"/>
          <w:vertAlign w:val="superscript"/>
        </w:rPr>
        <w:footnoteReference w:id="3"/>
      </w:r>
    </w:p>
    <w:p>
      <w:pPr>
        <w:tabs>
          <w:tab w:val="left" w:pos="568" w:leader="none"/>
          <w:tab w:val="left" w:pos="1701" w:leader="none"/>
        </w:tabs>
        <w:spacing w:after="120" w:beforeAutospacing="0" w:afterAutospacing="0"/>
        <w:ind w:left="1135" w:right="1134"/>
        <w:jc w:val="both"/>
        <w:rPr>
          <w:sz w:val="22"/>
          <w:u w:val="single"/>
        </w:rPr>
      </w:pPr>
      <w:r>
        <w:rPr>
          <w:sz w:val="22"/>
        </w:rPr>
        <w:t>9.</w:t>
        <w:tab/>
      </w:r>
      <w:r>
        <w:rPr>
          <w:i w:val="1"/>
          <w:sz w:val="22"/>
        </w:rPr>
        <w:t>Encourages</w:t>
      </w:r>
      <w:r>
        <w:rPr>
          <w:sz w:val="22"/>
        </w:rPr>
        <w:t xml:space="preserve"> the Adaptation Fund Board to continue, in line with its existing mandate, its consideration of linkages between the Adaptation Fund and other funds;</w:t>
      </w:r>
    </w:p>
    <w:p>
      <w:pPr>
        <w:tabs>
          <w:tab w:val="left" w:pos="568" w:leader="none"/>
          <w:tab w:val="left" w:pos="1701" w:leader="none"/>
        </w:tabs>
        <w:spacing w:after="120" w:beforeAutospacing="0" w:afterAutospacing="0"/>
        <w:ind w:left="1135" w:right="1134"/>
        <w:jc w:val="both"/>
        <w:rPr>
          <w:sz w:val="22"/>
          <w:u w:val="single"/>
        </w:rPr>
      </w:pPr>
      <w:r>
        <w:rPr>
          <w:sz w:val="22"/>
        </w:rPr>
        <w:t>10.</w:t>
        <w:tab/>
      </w:r>
      <w:r>
        <w:rPr>
          <w:i w:val="1"/>
          <w:sz w:val="22"/>
        </w:rPr>
        <w:t>Also encourages</w:t>
      </w:r>
      <w:r>
        <w:rPr>
          <w:sz w:val="22"/>
        </w:rPr>
        <w:t xml:space="preserve"> the Adaptation Fund Board to continue its efforts to enhance complementarity and coherence with other funds both under and outside the Convention, including to better align processes and leverage financing;</w:t>
      </w:r>
    </w:p>
    <w:p>
      <w:pPr>
        <w:tabs>
          <w:tab w:val="left" w:pos="568" w:leader="none"/>
          <w:tab w:val="left" w:pos="1701" w:leader="none"/>
        </w:tabs>
        <w:spacing w:after="120" w:beforeAutospacing="0" w:afterAutospacing="0"/>
        <w:ind w:left="1135" w:right="1134"/>
        <w:jc w:val="both"/>
        <w:rPr>
          <w:sz w:val="22"/>
        </w:rPr>
      </w:pPr>
      <w:r>
        <w:rPr>
          <w:sz w:val="22"/>
        </w:rPr>
        <w:t>11.</w:t>
        <w:tab/>
      </w:r>
      <w:r>
        <w:rPr>
          <w:i w:val="1"/>
          <w:sz w:val="22"/>
        </w:rPr>
        <w:t>Requests</w:t>
      </w:r>
      <w:r>
        <w:rPr>
          <w:sz w:val="22"/>
        </w:rPr>
        <w:t xml:space="preserve"> the Adaptation Fund Board to report on any outcomes related to paragraphs 9 and 10 above to the Conference of the Parties serving as the meeting of the Parties to the Kyoto Protocol at its fifteenth session (December 2019). </w:t>
      </w:r>
    </w:p>
    <w:p>
      <w:pPr>
        <w:spacing w:before="120" w:beforeAutospacing="0" w:afterAutospacing="0"/>
        <w:ind w:firstLine="567" w:left="1134" w:right="-1"/>
        <w:jc w:val="right"/>
        <w:rPr>
          <w:i w:val="1"/>
          <w:sz w:val="22"/>
        </w:rPr>
      </w:pPr>
      <w:r>
        <w:rPr>
          <w:i w:val="1"/>
          <w:sz w:val="22"/>
        </w:rPr>
        <w:t>8</w:t>
      </w:r>
      <w:r>
        <w:rPr>
          <w:i w:val="1"/>
          <w:sz w:val="22"/>
          <w:vertAlign w:val="superscript"/>
        </w:rPr>
        <w:t>th</w:t>
      </w:r>
      <w:r>
        <w:rPr>
          <w:i w:val="1"/>
          <w:sz w:val="22"/>
        </w:rPr>
        <w:t xml:space="preserve"> plenary meeting</w:t>
        <w:br w:type="textWrapping"/>
        <w:t>15 December 2018</w:t>
      </w:r>
    </w:p>
    <w:p>
      <w:pPr>
        <w:rPr>
          <w:sz w:val="22"/>
        </w:rPr>
        <w:sectPr>
          <w:headerReference xmlns:r="http://schemas.openxmlformats.org/officeDocument/2006/relationships" w:type="first" r:id="RelHdr4"/>
          <w:headerReference xmlns:r="http://schemas.openxmlformats.org/officeDocument/2006/relationships" w:type="default" r:id="RelHdr5"/>
          <w:headerReference xmlns:r="http://schemas.openxmlformats.org/officeDocument/2006/relationships" w:type="even" r:id="RelHdr6"/>
          <w:footerReference xmlns:r="http://schemas.openxmlformats.org/officeDocument/2006/relationships" w:type="default" r:id="RelFtr3"/>
          <w:footerReference xmlns:r="http://schemas.openxmlformats.org/officeDocument/2006/relationships" w:type="even" r:id="RelFtr4"/>
          <w:type w:val="nextPage"/>
          <w:pgSz w:w="11906" w:h="16838" w:code="0"/>
          <w:pgMar w:left="1134" w:right="1134" w:top="1417" w:bottom="1134" w:header="850" w:footer="567" w:gutter="0"/>
          <w:pgNumType w:chapSep="hyphen"/>
        </w:sectPr>
      </w:pPr>
    </w:p>
    <w:p>
      <w:pPr>
        <w:pStyle w:val="P10"/>
        <w:spacing w:before="0" w:beforeAutospacing="0" w:afterAutospacing="0"/>
      </w:pPr>
      <w:r>
        <w:tab/>
        <w:tab/>
      </w:r>
      <w:bookmarkStart w:id="3" w:name="D3"/>
      <w:r>
        <w:t>Decision 3/CMP.14</w:t>
      </w:r>
      <w:bookmarkEnd w:id="3"/>
    </w:p>
    <w:p>
      <w:pPr>
        <w:pStyle w:val="P10"/>
      </w:pPr>
      <w:r>
        <w:tab/>
        <w:tab/>
        <w:t>Modalities, work programme and functions under the Kyoto Protocol of the forum on the impact of the implementation of response measures</w:t>
      </w:r>
    </w:p>
    <w:p>
      <w:pPr>
        <w:spacing w:after="120" w:beforeAutospacing="0" w:afterAutospacing="0"/>
        <w:ind w:firstLine="567" w:left="1134" w:right="1133"/>
        <w:jc w:val="both"/>
        <w:rPr>
          <w:i w:val="1"/>
          <w:sz w:val="22"/>
        </w:rPr>
      </w:pPr>
      <w:r>
        <w:rPr>
          <w:i w:val="1"/>
          <w:sz w:val="22"/>
        </w:rPr>
        <w:t>The Conference of the Parties serving as the meeting of the Parties to the Kyoto Protocol</w:t>
      </w:r>
      <w:r>
        <w:rPr>
          <w:sz w:val="22"/>
        </w:rPr>
        <w:t>,</w:t>
      </w:r>
    </w:p>
    <w:p>
      <w:pPr>
        <w:tabs>
          <w:tab w:val="left" w:pos="1701" w:leader="none"/>
        </w:tabs>
        <w:spacing w:after="120" w:beforeAutospacing="0" w:afterAutospacing="0"/>
        <w:ind w:left="1134" w:right="1134"/>
        <w:jc w:val="both"/>
        <w:rPr>
          <w:sz w:val="22"/>
        </w:rPr>
      </w:pPr>
      <w:r>
        <w:rPr>
          <w:i w:val="1"/>
          <w:sz w:val="22"/>
        </w:rPr>
        <w:tab/>
        <w:t>Recalling</w:t>
      </w:r>
      <w:r>
        <w:rPr>
          <w:sz w:val="22"/>
        </w:rPr>
        <w:t xml:space="preserve"> Article 4 of the Convention, </w:t>
      </w:r>
    </w:p>
    <w:p>
      <w:pPr>
        <w:tabs>
          <w:tab w:val="left" w:pos="1701" w:leader="none"/>
        </w:tabs>
        <w:spacing w:after="120" w:beforeAutospacing="0" w:afterAutospacing="0"/>
        <w:ind w:left="1134" w:right="1134"/>
        <w:jc w:val="both"/>
        <w:rPr>
          <w:sz w:val="22"/>
        </w:rPr>
      </w:pPr>
      <w:r>
        <w:rPr>
          <w:i w:val="1"/>
          <w:sz w:val="22"/>
        </w:rPr>
        <w:tab/>
        <w:tab/>
        <w:t xml:space="preserve">Also recalling </w:t>
      </w:r>
      <w:r>
        <w:rPr>
          <w:sz w:val="22"/>
        </w:rPr>
        <w:t xml:space="preserve">Article 2 and Article 3, paragraph 14, of the Kyoto Protocol, </w:t>
      </w:r>
    </w:p>
    <w:p>
      <w:pPr>
        <w:tabs>
          <w:tab w:val="left" w:pos="1701" w:leader="none"/>
        </w:tabs>
        <w:spacing w:after="120" w:beforeAutospacing="0" w:afterAutospacing="0"/>
        <w:ind w:left="1134" w:right="1134"/>
        <w:jc w:val="both"/>
        <w:rPr>
          <w:sz w:val="22"/>
        </w:rPr>
      </w:pPr>
      <w:r>
        <w:rPr>
          <w:i w:val="1"/>
          <w:sz w:val="22"/>
        </w:rPr>
        <w:tab/>
        <w:tab/>
        <w:t>Reaffirming</w:t>
      </w:r>
      <w:r>
        <w:rPr>
          <w:sz w:val="22"/>
        </w:rPr>
        <w:t xml:space="preserve"> Article 4, paragraph 15, of the Paris Agreement,</w:t>
      </w:r>
    </w:p>
    <w:p>
      <w:pPr>
        <w:tabs>
          <w:tab w:val="left" w:pos="1701" w:leader="none"/>
        </w:tabs>
        <w:spacing w:after="120" w:beforeAutospacing="0" w:afterAutospacing="0"/>
        <w:ind w:left="1134" w:right="1134"/>
        <w:jc w:val="both"/>
        <w:rPr>
          <w:sz w:val="22"/>
        </w:rPr>
      </w:pPr>
      <w:r>
        <w:rPr>
          <w:i w:val="1"/>
          <w:sz w:val="22"/>
        </w:rPr>
        <w:tab/>
        <w:t>Recalling</w:t>
      </w:r>
      <w:r>
        <w:rPr>
          <w:sz w:val="22"/>
        </w:rPr>
        <w:t xml:space="preserve"> decisions 1/CP.16, 2/CP.17, 8/CP.17, 1/CP.21, 11/CP.21 and</w:t>
      </w:r>
      <w:r>
        <w:rPr>
          <w:i w:val="1"/>
          <w:sz w:val="22"/>
        </w:rPr>
        <w:t xml:space="preserve"> </w:t>
      </w:r>
      <w:r>
        <w:rPr>
          <w:sz w:val="22"/>
        </w:rPr>
        <w:t>5/CMP.7, paragraph 4,</w:t>
      </w:r>
    </w:p>
    <w:p>
      <w:pPr>
        <w:tabs>
          <w:tab w:val="left" w:pos="1701" w:leader="none"/>
        </w:tabs>
        <w:spacing w:after="120" w:beforeAutospacing="0" w:afterAutospacing="0"/>
        <w:ind w:left="1134" w:right="1134"/>
        <w:jc w:val="both"/>
        <w:rPr>
          <w:sz w:val="22"/>
        </w:rPr>
      </w:pPr>
      <w:r>
        <w:rPr>
          <w:i w:val="1"/>
          <w:sz w:val="22"/>
        </w:rPr>
        <w:tab/>
        <w:t>Recognizing</w:t>
      </w:r>
      <w:r>
        <w:rPr>
          <w:sz w:val="22"/>
        </w:rPr>
        <w:t xml:space="preserve"> that Parties may be affected not only by climate change but also by the impacts of the measures taken in response to it,</w:t>
      </w:r>
    </w:p>
    <w:p>
      <w:pPr>
        <w:tabs>
          <w:tab w:val="left" w:pos="1701" w:leader="none"/>
        </w:tabs>
        <w:spacing w:after="120" w:beforeAutospacing="0" w:afterAutospacing="0"/>
        <w:ind w:left="1134" w:right="1134"/>
        <w:jc w:val="both"/>
        <w:rPr>
          <w:sz w:val="22"/>
        </w:rPr>
      </w:pPr>
      <w:r>
        <w:rPr>
          <w:i w:val="1"/>
          <w:sz w:val="22"/>
        </w:rPr>
        <w:tab/>
        <w:t>Acknowledging</w:t>
      </w:r>
      <w:r>
        <w:rPr>
          <w:sz w:val="22"/>
        </w:rPr>
        <w:t xml:space="preserve"> that there are both positive and negative impacts associated with measures taken in response to climate change, </w:t>
      </w:r>
    </w:p>
    <w:p>
      <w:pPr>
        <w:tabs>
          <w:tab w:val="left" w:pos="1701" w:leader="none"/>
        </w:tabs>
        <w:spacing w:after="120" w:beforeAutospacing="0" w:afterAutospacing="0"/>
        <w:ind w:left="1134" w:right="1134"/>
        <w:jc w:val="both"/>
        <w:rPr>
          <w:sz w:val="22"/>
        </w:rPr>
      </w:pPr>
      <w:r>
        <w:rPr>
          <w:i w:val="1"/>
          <w:sz w:val="22"/>
        </w:rPr>
        <w:tab/>
        <w:t>Also acknowledging</w:t>
      </w:r>
      <w:r>
        <w:rPr>
          <w:sz w:val="22"/>
        </w:rPr>
        <w:t xml:space="preserve"> that response measures should be understood in the broader context of the transition towards low greenhouse gas emissions and climate-resilient development,</w:t>
      </w:r>
    </w:p>
    <w:p>
      <w:pPr>
        <w:tabs>
          <w:tab w:val="left" w:pos="1701" w:leader="none"/>
        </w:tabs>
        <w:spacing w:after="120" w:beforeAutospacing="0" w:afterAutospacing="0"/>
        <w:ind w:left="1134" w:right="1134"/>
        <w:jc w:val="both"/>
        <w:rPr>
          <w:sz w:val="22"/>
        </w:rPr>
      </w:pPr>
      <w:r>
        <w:rPr>
          <w:i w:val="1"/>
          <w:sz w:val="22"/>
        </w:rPr>
        <w:tab/>
        <w:t>Reaffirming</w:t>
      </w:r>
      <w:r>
        <w:rPr>
          <w:sz w:val="22"/>
        </w:rPr>
        <w:t xml:space="preserve"> that Parties should cooperate to promote a supportive and inclusive international economic system that will lead to sustainable economic growth and development in all Parties,</w:t>
      </w:r>
    </w:p>
    <w:p>
      <w:pPr>
        <w:pStyle w:val="P33"/>
        <w:numPr>
          <w:ilvl w:val="5"/>
          <w:numId w:val="0"/>
        </w:numPr>
        <w:ind w:firstLine="0" w:left="1134"/>
      </w:pPr>
      <w:r>
        <w:t>1.</w:t>
        <w:tab/>
      </w:r>
      <w:r>
        <w:rPr>
          <w:i w:val="1"/>
        </w:rPr>
        <w:t>Acknowledges</w:t>
      </w:r>
      <w:r>
        <w:t xml:space="preserve"> that the existing forum on the impact of the implementation of response measures serves the Kyoto Protocol in relation to matters under the Kyoto Protocol; </w:t>
      </w:r>
    </w:p>
    <w:p>
      <w:pPr>
        <w:pStyle w:val="P33"/>
        <w:numPr>
          <w:ilvl w:val="5"/>
          <w:numId w:val="0"/>
        </w:numPr>
        <w:ind w:firstLine="0" w:left="1134"/>
      </w:pPr>
      <w:r>
        <w:t>2.</w:t>
        <w:tab/>
      </w:r>
      <w:r>
        <w:rPr>
          <w:i w:val="1"/>
        </w:rPr>
        <w:t xml:space="preserve">Adopts </w:t>
      </w:r>
      <w:r>
        <w:t xml:space="preserve">the modalities, work programme and functions of the forum on the impact of the implementation of response measures contained in the annex to decision 7/CMA.1 for the work of the forum under the Kyoto Protocol; </w:t>
      </w:r>
    </w:p>
    <w:p>
      <w:pPr>
        <w:pStyle w:val="P33"/>
        <w:numPr>
          <w:ilvl w:val="5"/>
          <w:numId w:val="0"/>
        </w:numPr>
        <w:ind w:firstLine="0" w:left="1134"/>
      </w:pPr>
      <w:r>
        <w:t>3.</w:t>
        <w:tab/>
      </w:r>
      <w:r>
        <w:rPr>
          <w:i w:val="1"/>
        </w:rPr>
        <w:t xml:space="preserve">Acknowledges </w:t>
      </w:r>
      <w:r>
        <w:t>that there is one single forum that covers the work of the Conference of the Parties, the Conference of the Parties serving as the meeting of the Parties to the Kyoto Protocol and the Conference of the Parties serving as the meeting of the Parties to the Paris Agreement on all matters relating to the impact of the implementation of response measures;</w:t>
      </w:r>
    </w:p>
    <w:p>
      <w:pPr>
        <w:pStyle w:val="P33"/>
        <w:numPr>
          <w:ilvl w:val="5"/>
          <w:numId w:val="0"/>
        </w:numPr>
        <w:spacing w:before="120" w:beforeAutospacing="0" w:afterAutospacing="0"/>
        <w:ind w:firstLine="0" w:left="1134"/>
      </w:pPr>
      <w:r>
        <w:t>4.</w:t>
        <w:tab/>
      </w:r>
      <w:r>
        <w:rPr>
          <w:i w:val="1"/>
        </w:rPr>
        <w:t xml:space="preserve">Affirms </w:t>
      </w:r>
      <w:r>
        <w:t>that the forum shall continue to report to the Conference of the Parties serving as the meeting of the Parties to the Kyoto Protocol in respect of matters falling under Article 2, paragraph 3, and Article 3, paragraph 14, of the Kyoto Protocol, where the forum requires the guidance of the Conference of the Parties serving as the meeting of the Parties to the Kyoto Protocol.</w:t>
      </w:r>
    </w:p>
    <w:p>
      <w:pPr>
        <w:spacing w:before="240" w:beforeAutospacing="0" w:afterAutospacing="0"/>
        <w:jc w:val="right"/>
        <w:rPr>
          <w:i w:val="1"/>
          <w:sz w:val="22"/>
        </w:rPr>
      </w:pPr>
      <w:r>
        <w:rPr>
          <w:i w:val="1"/>
          <w:sz w:val="22"/>
        </w:rPr>
        <w:t>6</w:t>
      </w:r>
      <w:r>
        <w:rPr>
          <w:i w:val="1"/>
          <w:sz w:val="22"/>
          <w:vertAlign w:val="superscript"/>
        </w:rPr>
        <w:t>th</w:t>
      </w:r>
      <w:r>
        <w:rPr>
          <w:i w:val="1"/>
          <w:sz w:val="22"/>
        </w:rPr>
        <w:t xml:space="preserve"> plenary meeting</w:t>
      </w:r>
    </w:p>
    <w:p>
      <w:pPr>
        <w:jc w:val="right"/>
        <w:rPr>
          <w:i w:val="1"/>
          <w:sz w:val="22"/>
        </w:rPr>
      </w:pPr>
      <w:r>
        <w:rPr>
          <w:i w:val="1"/>
          <w:sz w:val="22"/>
        </w:rPr>
        <w:t>13 December 2018</w:t>
      </w:r>
    </w:p>
    <w:p>
      <w:pPr>
        <w:spacing w:before="240" w:beforeAutospacing="0" w:afterAutospacing="0"/>
        <w:ind w:left="1134" w:right="1134"/>
        <w:jc w:val="center"/>
        <w:rPr>
          <w:i w:val="1"/>
          <w:sz w:val="22"/>
          <w:u w:val="single"/>
        </w:rPr>
        <w:sectPr>
          <w:headerReference xmlns:r="http://schemas.openxmlformats.org/officeDocument/2006/relationships" w:type="first" r:id="RelHdr7"/>
          <w:headerReference xmlns:r="http://schemas.openxmlformats.org/officeDocument/2006/relationships" w:type="default" r:id="RelHdr8"/>
          <w:headerReference xmlns:r="http://schemas.openxmlformats.org/officeDocument/2006/relationships" w:type="even" r:id="RelHdr9"/>
          <w:footerReference xmlns:r="http://schemas.openxmlformats.org/officeDocument/2006/relationships" w:type="default" r:id="RelFtr5"/>
          <w:footerReference xmlns:r="http://schemas.openxmlformats.org/officeDocument/2006/relationships" w:type="even" r:id="RelFtr6"/>
          <w:type w:val="nextPage"/>
          <w:pgSz w:w="11906" w:h="16838" w:code="0"/>
          <w:pgMar w:left="1134" w:right="1134" w:top="1417" w:bottom="1134" w:header="850" w:footer="567" w:gutter="0"/>
          <w:pgNumType w:chapSep="hyphen"/>
        </w:sectPr>
      </w:pPr>
    </w:p>
    <w:p>
      <w:pPr>
        <w:pStyle w:val="P10"/>
        <w:spacing w:before="0" w:beforeAutospacing="0" w:afterAutospacing="0"/>
        <w:ind w:firstLine="0" w:left="1106"/>
      </w:pPr>
      <w:bookmarkStart w:id="4" w:name="D4"/>
      <w:r>
        <w:t>Decision 4/CMP.14</w:t>
      </w:r>
      <w:bookmarkEnd w:id="4"/>
    </w:p>
    <w:p>
      <w:pPr>
        <w:pStyle w:val="P10"/>
      </w:pPr>
      <w:r>
        <w:tab/>
        <w:tab/>
        <w:t>Guidance relating to the clean development mechanism</w:t>
      </w:r>
    </w:p>
    <w:p>
      <w:pPr>
        <w:spacing w:before="120" w:beforeAutospacing="0" w:afterAutospacing="0"/>
        <w:ind w:firstLine="567" w:left="1134" w:right="1174"/>
        <w:jc w:val="both"/>
        <w:rPr>
          <w:i w:val="1"/>
          <w:sz w:val="22"/>
        </w:rPr>
      </w:pPr>
      <w:r>
        <w:rPr>
          <w:i w:val="1"/>
          <w:sz w:val="22"/>
        </w:rPr>
        <w:t>The Conference of the Parties serving as the meeting of the Parties to the Kyoto Protocol</w:t>
      </w:r>
      <w:r>
        <w:rPr>
          <w:sz w:val="22"/>
        </w:rPr>
        <w:t>,</w:t>
      </w:r>
    </w:p>
    <w:p>
      <w:pPr>
        <w:spacing w:before="120" w:beforeAutospacing="0" w:afterAutospacing="0"/>
        <w:ind w:firstLine="567" w:left="1134" w:right="1174"/>
        <w:jc w:val="both"/>
        <w:rPr>
          <w:sz w:val="22"/>
        </w:rPr>
      </w:pPr>
      <w:r>
        <w:rPr>
          <w:i w:val="1"/>
          <w:sz w:val="22"/>
        </w:rPr>
        <w:t xml:space="preserve">Recalling </w:t>
      </w:r>
      <w:r>
        <w:rPr>
          <w:sz w:val="22"/>
        </w:rPr>
        <w:t>the provisions of Articles 3 and 12 of the Kyoto Protocol,</w:t>
      </w:r>
    </w:p>
    <w:p>
      <w:pPr>
        <w:spacing w:before="120" w:beforeAutospacing="0" w:afterAutospacing="0"/>
        <w:ind w:firstLine="567" w:left="1134" w:right="1174"/>
        <w:jc w:val="both"/>
        <w:rPr>
          <w:sz w:val="22"/>
        </w:rPr>
      </w:pPr>
      <w:r>
        <w:rPr>
          <w:i w:val="1"/>
          <w:sz w:val="22"/>
        </w:rPr>
        <w:t>Also recalling</w:t>
      </w:r>
      <w:r>
        <w:rPr>
          <w:sz w:val="22"/>
        </w:rPr>
        <w:t xml:space="preserve"> decision 3/CMP.1 and subsequent guidance provided by the Conference of the Parties serving as the meeting of the Parties to the Kyoto Protocol relating to the clean development mechanism,</w:t>
      </w:r>
    </w:p>
    <w:p>
      <w:pPr>
        <w:spacing w:before="120" w:beforeAutospacing="0" w:afterAutospacing="0"/>
        <w:ind w:firstLine="567" w:left="1134" w:right="1174"/>
        <w:jc w:val="both"/>
        <w:rPr>
          <w:i w:val="1"/>
          <w:sz w:val="22"/>
        </w:rPr>
      </w:pPr>
      <w:r>
        <w:rPr>
          <w:i w:val="1"/>
          <w:sz w:val="22"/>
        </w:rPr>
        <w:t xml:space="preserve">Acknowledging </w:t>
      </w:r>
      <w:r>
        <w:rPr>
          <w:sz w:val="22"/>
        </w:rPr>
        <w:t>the contribution to global efforts to address climate change by the clean development mechanism, which as at 2 December 2018 had been responsible for over 7,806 project activities being registered, 316 programmes of activities being registered and over 1.97 billion certified emission reductions being issued, of which over 154 million had been voluntarily cancelled either in national registries or in the clean development mechanism registry,</w:t>
      </w:r>
    </w:p>
    <w:p>
      <w:pPr>
        <w:spacing w:before="120" w:beforeAutospacing="0" w:afterAutospacing="0"/>
        <w:ind w:firstLine="567" w:left="1134" w:right="1174"/>
        <w:jc w:val="both"/>
        <w:rPr>
          <w:sz w:val="22"/>
        </w:rPr>
      </w:pPr>
      <w:r>
        <w:rPr>
          <w:i w:val="1"/>
          <w:sz w:val="22"/>
        </w:rPr>
        <w:t xml:space="preserve">Noting </w:t>
      </w:r>
      <w:r>
        <w:rPr>
          <w:sz w:val="22"/>
        </w:rPr>
        <w:t>decision 1/CP.19, paragraph 5(c), and decision 1/CP.21, paragraph 106, on the role of voluntary cancellation of certified emission reductions,</w:t>
      </w:r>
    </w:p>
    <w:p>
      <w:pPr>
        <w:pStyle w:val="P30"/>
        <w:numPr>
          <w:ilvl w:val="0"/>
          <w:numId w:val="0"/>
        </w:numPr>
        <w:tabs>
          <w:tab w:val="left" w:pos="1135" w:leader="none"/>
        </w:tabs>
        <w:ind w:hanging="454" w:left="1135"/>
      </w:pPr>
      <w:r>
        <w:t>I.</w:t>
        <w:tab/>
        <w:t>General</w:t>
      </w:r>
    </w:p>
    <w:p>
      <w:pPr>
        <w:pStyle w:val="P33"/>
        <w:numPr>
          <w:ilvl w:val="5"/>
          <w:numId w:val="0"/>
        </w:numPr>
        <w:ind w:firstLine="0" w:left="1134"/>
      </w:pPr>
      <w:bookmarkStart w:id="5" w:name="_Ref338291083"/>
      <w:r>
        <w:t>1.</w:t>
        <w:tab/>
      </w:r>
      <w:r>
        <w:rPr>
          <w:i w:val="1"/>
        </w:rPr>
        <w:t>Welcomes</w:t>
      </w:r>
      <w:r>
        <w:t xml:space="preserve"> the report for 2017–2018 of the Executive Board of the clean development mechanism; </w:t>
      </w:r>
    </w:p>
    <w:p>
      <w:pPr>
        <w:pStyle w:val="P33"/>
        <w:numPr>
          <w:ilvl w:val="5"/>
          <w:numId w:val="0"/>
        </w:numPr>
        <w:ind w:firstLine="0" w:left="1134"/>
      </w:pPr>
      <w:r>
        <w:t>2.</w:t>
        <w:tab/>
      </w:r>
      <w:r>
        <w:rPr>
          <w:i w:val="1"/>
        </w:rPr>
        <w:t>Appreciates</w:t>
      </w:r>
      <w:r>
        <w:t xml:space="preserve"> the work undertaken over the past year by the Executive Board, its panels and the secretariat to oversee the implementation of the mechanism and to maintain stakeholder engagement in its operations;</w:t>
      </w:r>
    </w:p>
    <w:p>
      <w:pPr>
        <w:pStyle w:val="P33"/>
        <w:numPr>
          <w:ilvl w:val="5"/>
          <w:numId w:val="0"/>
        </w:numPr>
        <w:ind w:firstLine="0" w:left="1134"/>
      </w:pPr>
      <w:r>
        <w:t>3.</w:t>
        <w:tab/>
      </w:r>
      <w:r>
        <w:rPr>
          <w:i w:val="1"/>
        </w:rPr>
        <w:t>Designates</w:t>
      </w:r>
      <w:r>
        <w:t xml:space="preserve"> as operational entities those entities that have been accredited and provisionally designated as such by the Executive Board to carry out the sector-specific validation functions and/or sector-specific verification functions described in the annex;</w:t>
      </w:r>
    </w:p>
    <w:p>
      <w:pPr>
        <w:pStyle w:val="P30"/>
        <w:numPr>
          <w:ilvl w:val="0"/>
          <w:numId w:val="0"/>
        </w:numPr>
        <w:tabs>
          <w:tab w:val="left" w:pos="1135" w:leader="none"/>
        </w:tabs>
        <w:ind w:hanging="454" w:left="1135"/>
      </w:pPr>
      <w:bookmarkEnd w:id="5"/>
      <w:r>
        <w:t>II.</w:t>
        <w:tab/>
        <w:t>Operation and oversight of the clean development mechanism</w:t>
      </w:r>
    </w:p>
    <w:p>
      <w:pPr>
        <w:pStyle w:val="P33"/>
        <w:numPr>
          <w:ilvl w:val="5"/>
          <w:numId w:val="0"/>
        </w:numPr>
        <w:ind w:firstLine="0" w:left="1134"/>
      </w:pPr>
      <w:r>
        <w:t>4.</w:t>
        <w:tab/>
      </w:r>
      <w:r>
        <w:rPr>
          <w:i w:val="1"/>
        </w:rPr>
        <w:t>Encourages</w:t>
      </w:r>
      <w:r>
        <w:t xml:space="preserve"> the Executive Board to review methodological approaches for calculating emission reductions from project activities, resulting in the reduced use of non-renewable biomass in households;</w:t>
      </w:r>
    </w:p>
    <w:p>
      <w:pPr>
        <w:pStyle w:val="P33"/>
        <w:numPr>
          <w:ilvl w:val="5"/>
          <w:numId w:val="0"/>
        </w:numPr>
        <w:spacing w:after="0" w:beforeAutospacing="0" w:afterAutospacing="0"/>
        <w:ind w:firstLine="0" w:left="1134"/>
      </w:pPr>
      <w:r>
        <w:t>5.</w:t>
        <w:tab/>
      </w:r>
      <w:r>
        <w:rPr>
          <w:i w:val="1"/>
        </w:rPr>
        <w:t xml:space="preserve">Requests </w:t>
      </w:r>
      <w:r>
        <w:t>the</w:t>
      </w:r>
      <w:r>
        <w:rPr>
          <w:i w:val="1"/>
        </w:rPr>
        <w:t xml:space="preserve"> </w:t>
      </w:r>
      <w:r>
        <w:t>Executive Board and the secretariat to ensure the efficient and prudent use of resources of the Trust Fund for the Clean Development Mechanism to the end of the true-up period for the second commitment period of the Kyoto Protocol, and to present a comprehensive report to the Conference of the Parties serving as the meeting of the Parties to the Kyoto Protocol at its fifteenth session (December 2019) on the present financial situation of the clean development mechanism and the foreseen budgets for activities until the end of 2023.</w:t>
      </w:r>
    </w:p>
    <w:p>
      <w:pPr>
        <w:pStyle w:val="P10"/>
        <w:keepNext w:val="0"/>
        <w:keepLines w:val="0"/>
        <w:pageBreakBefore w:val="1"/>
        <w:spacing w:before="0" w:beforeAutospacing="0" w:afterAutospacing="0"/>
      </w:pPr>
      <w:r>
        <w:t>Annex</w:t>
      </w:r>
    </w:p>
    <w:p>
      <w:pPr>
        <w:pStyle w:val="P11"/>
        <w:ind w:firstLine="0"/>
      </w:pPr>
      <w:r>
        <w:rPr>
          <w:sz w:val="28"/>
        </w:rPr>
        <w:t>Designation of operational entities by the Conference of the Parties serving as the meeting of the Parties to the Kyoto Protocol at its fourteenth session</w:t>
      </w:r>
    </w:p>
    <w:p>
      <w:pPr>
        <w:jc w:val="right"/>
        <w:rPr>
          <w:sz w:val="22"/>
        </w:rPr>
      </w:pPr>
      <w:r>
        <w:rPr>
          <w:sz w:val="22"/>
        </w:rPr>
        <w:t>[English only]</w:t>
      </w:r>
    </w:p>
    <w:p>
      <w:pPr>
        <w:rPr>
          <w:sz w:val="22"/>
        </w:rPr>
      </w:pPr>
    </w:p>
    <w:tbl>
      <w:tblPr>
        <w:tblW w:w="8505" w:type="dxa"/>
        <w:tblInd w:w="1134" w:type="dxa"/>
        <w:tblBorders>
          <w:top w:val="single" w:sz="4" w:space="0" w:shadow="0" w:frame="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autofit"/>
        <w:tblCellMar>
          <w:top w:w="0" w:type="dxa"/>
          <w:left w:w="0" w:type="dxa"/>
          <w:bottom w:w="0" w:type="dxa"/>
          <w:right w:w="108" w:type="dxa"/>
        </w:tblCellMar>
      </w:tblPr>
      <w:tblGrid/>
      <w:tr>
        <w:trPr>
          <w:trHeight w:hRule="atLeast" w:val="240"/>
        </w:trPr>
        <w:tc>
          <w:tcPr>
            <w:tcW w:w="3455" w:type="pct"/>
            <w:tcBorders>
              <w:top w:val="single" w:sz="4" w:space="0" w:shadow="0" w:frame="0"/>
              <w:left w:val="none" w:sz="0" w:space="0" w:shadow="0" w:frame="0"/>
              <w:bottom w:val="single" w:sz="12" w:space="0" w:shadow="0" w:frame="0"/>
              <w:right w:val="none" w:sz="0" w:space="0" w:shadow="0" w:frame="0"/>
            </w:tcBorders>
            <w:tcMar>
              <w:top w:w="57" w:type="dxa"/>
              <w:bottom w:w="57" w:type="dxa"/>
            </w:tcMar>
            <w:vAlign w:val="bottom"/>
          </w:tcPr>
          <w:p>
            <w:pPr>
              <w:rPr>
                <w:i w:val="1"/>
                <w:sz w:val="16"/>
              </w:rPr>
            </w:pPr>
            <w:r>
              <w:rPr>
                <w:i w:val="1"/>
                <w:sz w:val="16"/>
              </w:rPr>
              <w:t>Name of entity</w:t>
            </w:r>
          </w:p>
        </w:tc>
        <w:tc>
          <w:tcPr>
            <w:tcW w:w="1545" w:type="pct"/>
            <w:tcBorders>
              <w:top w:val="single" w:sz="4" w:space="0" w:shadow="0" w:frame="0"/>
              <w:left w:val="none" w:sz="0" w:space="0" w:shadow="0" w:frame="0"/>
              <w:bottom w:val="single" w:sz="12" w:space="0" w:shadow="0" w:frame="0"/>
              <w:right w:val="none" w:sz="0" w:space="0" w:shadow="0" w:frame="0"/>
            </w:tcBorders>
            <w:tcMar>
              <w:top w:w="57" w:type="dxa"/>
              <w:bottom w:w="57" w:type="dxa"/>
            </w:tcMar>
            <w:vAlign w:val="bottom"/>
          </w:tcPr>
          <w:p>
            <w:pPr>
              <w:jc w:val="right"/>
              <w:rPr>
                <w:i w:val="1"/>
                <w:sz w:val="16"/>
              </w:rPr>
            </w:pPr>
            <w:r>
              <w:rPr>
                <w:i w:val="1"/>
                <w:sz w:val="16"/>
              </w:rPr>
              <w:t>Sectoral scopes (validation and verification)</w:t>
            </w:r>
          </w:p>
        </w:tc>
      </w:tr>
      <w:tr>
        <w:trPr>
          <w:trHeight w:hRule="atLeast" w:val="240"/>
        </w:trPr>
        <w:tc>
          <w:tcPr>
            <w:tcW w:w="3455" w:type="pct"/>
          </w:tcPr>
          <w:p>
            <w:pPr>
              <w:spacing w:after="60" w:beforeAutospacing="0" w:afterAutospacing="0"/>
              <w:rPr>
                <w:sz w:val="22"/>
              </w:rPr>
            </w:pPr>
            <w:r>
              <w:rPr>
                <w:sz w:val="22"/>
              </w:rPr>
              <w:t>Bureau Veritas India Pvt. Ltd. (BVI)</w:t>
            </w:r>
            <w:r>
              <w:rPr>
                <w:i w:val="1"/>
                <w:sz w:val="18"/>
                <w:vertAlign w:val="superscript"/>
              </w:rPr>
              <w:t>a</w:t>
            </w:r>
          </w:p>
        </w:tc>
        <w:tc>
          <w:tcPr>
            <w:tcW w:w="1545" w:type="pct"/>
          </w:tcPr>
          <w:p>
            <w:pPr>
              <w:spacing w:after="60" w:beforeAutospacing="0" w:afterAutospacing="0"/>
              <w:jc w:val="right"/>
              <w:rPr>
                <w:sz w:val="22"/>
              </w:rPr>
            </w:pPr>
            <w:r>
              <w:rPr>
                <w:sz w:val="22"/>
              </w:rPr>
              <w:t>1–5, 7–10 and 12–15</w:t>
            </w:r>
          </w:p>
        </w:tc>
      </w:tr>
      <w:tr>
        <w:trPr>
          <w:trHeight w:hRule="atLeast" w:val="240"/>
        </w:trPr>
        <w:tc>
          <w:tcPr>
            <w:tcW w:w="3455" w:type="pct"/>
          </w:tcPr>
          <w:p>
            <w:pPr>
              <w:spacing w:after="60" w:beforeAutospacing="0" w:afterAutospacing="0"/>
              <w:rPr>
                <w:sz w:val="22"/>
              </w:rPr>
            </w:pPr>
            <w:r>
              <w:rPr>
                <w:sz w:val="22"/>
              </w:rPr>
              <w:t>CEPREI certification body (CEPREI)</w:t>
            </w:r>
            <w:r>
              <w:rPr>
                <w:i w:val="1"/>
                <w:sz w:val="18"/>
                <w:vertAlign w:val="superscript"/>
              </w:rPr>
              <w:t>a</w:t>
            </w:r>
          </w:p>
        </w:tc>
        <w:tc>
          <w:tcPr>
            <w:tcW w:w="1545" w:type="pct"/>
          </w:tcPr>
          <w:p>
            <w:pPr>
              <w:spacing w:after="60" w:beforeAutospacing="0" w:afterAutospacing="0"/>
              <w:jc w:val="right"/>
              <w:rPr>
                <w:sz w:val="22"/>
              </w:rPr>
            </w:pPr>
            <w:r>
              <w:rPr>
                <w:sz w:val="22"/>
              </w:rPr>
              <w:t>1–5, 8–10, 13 and 15</w:t>
            </w:r>
          </w:p>
        </w:tc>
      </w:tr>
      <w:tr>
        <w:trPr>
          <w:trHeight w:hRule="atLeast" w:val="240"/>
        </w:trPr>
        <w:tc>
          <w:tcPr>
            <w:tcW w:w="3455" w:type="pct"/>
          </w:tcPr>
          <w:p>
            <w:pPr>
              <w:spacing w:after="60" w:beforeAutospacing="0" w:afterAutospacing="0"/>
              <w:rPr>
                <w:sz w:val="22"/>
              </w:rPr>
            </w:pPr>
            <w:r>
              <w:rPr>
                <w:sz w:val="22"/>
              </w:rPr>
              <w:t>EPIC Sustainability Services Pvt. Ltd. (EPIC)</w:t>
            </w:r>
            <w:r>
              <w:rPr>
                <w:i w:val="1"/>
                <w:sz w:val="18"/>
                <w:vertAlign w:val="superscript"/>
              </w:rPr>
              <w:t>a</w:t>
            </w:r>
          </w:p>
        </w:tc>
        <w:tc>
          <w:tcPr>
            <w:tcW w:w="1545" w:type="pct"/>
          </w:tcPr>
          <w:p>
            <w:pPr>
              <w:spacing w:after="60" w:beforeAutospacing="0" w:afterAutospacing="0"/>
              <w:jc w:val="right"/>
              <w:rPr>
                <w:sz w:val="22"/>
              </w:rPr>
            </w:pPr>
            <w:r>
              <w:rPr>
                <w:sz w:val="22"/>
              </w:rPr>
              <w:t>1–16</w:t>
            </w:r>
          </w:p>
        </w:tc>
      </w:tr>
      <w:tr>
        <w:trPr>
          <w:trHeight w:hRule="atLeast" w:val="240"/>
        </w:trPr>
        <w:tc>
          <w:tcPr>
            <w:tcW w:w="3455" w:type="pct"/>
          </w:tcPr>
          <w:p>
            <w:pPr>
              <w:spacing w:after="60" w:beforeAutospacing="0" w:afterAutospacing="0"/>
              <w:rPr>
                <w:sz w:val="22"/>
              </w:rPr>
            </w:pPr>
            <w:r>
              <w:rPr>
                <w:sz w:val="22"/>
              </w:rPr>
              <w:t>GHD Limited (GHD)</w:t>
            </w:r>
            <w:r>
              <w:rPr>
                <w:i w:val="1"/>
                <w:sz w:val="18"/>
                <w:vertAlign w:val="superscript"/>
              </w:rPr>
              <w:t>a</w:t>
            </w:r>
          </w:p>
        </w:tc>
        <w:tc>
          <w:tcPr>
            <w:tcW w:w="1545" w:type="pct"/>
          </w:tcPr>
          <w:p>
            <w:pPr>
              <w:spacing w:after="60" w:beforeAutospacing="0" w:afterAutospacing="0"/>
              <w:jc w:val="right"/>
              <w:rPr>
                <w:sz w:val="22"/>
              </w:rPr>
            </w:pPr>
            <w:r>
              <w:rPr>
                <w:sz w:val="22"/>
              </w:rPr>
              <w:t>1, 4, 5, 8–10, 12 and 13</w:t>
            </w:r>
          </w:p>
        </w:tc>
      </w:tr>
      <w:tr>
        <w:trPr>
          <w:trHeight w:hRule="atLeast" w:val="240"/>
        </w:trPr>
        <w:tc>
          <w:tcPr>
            <w:tcW w:w="3455" w:type="pct"/>
          </w:tcPr>
          <w:p>
            <w:pPr>
              <w:spacing w:after="60" w:beforeAutospacing="0" w:afterAutospacing="0"/>
              <w:rPr>
                <w:sz w:val="22"/>
              </w:rPr>
            </w:pPr>
            <w:r>
              <w:rPr>
                <w:sz w:val="22"/>
              </w:rPr>
              <w:t>LGAI Technological Center, S.A. (LGAI Tech. Center S.A</w:t>
            </w:r>
            <w:r>
              <w:rPr>
                <w:sz w:val="18"/>
              </w:rPr>
              <w:t>)</w:t>
            </w:r>
            <w:r>
              <w:rPr>
                <w:i w:val="1"/>
                <w:sz w:val="18"/>
                <w:vertAlign w:val="superscript"/>
              </w:rPr>
              <w:t>a</w:t>
            </w:r>
          </w:p>
        </w:tc>
        <w:tc>
          <w:tcPr>
            <w:tcW w:w="1545" w:type="pct"/>
          </w:tcPr>
          <w:p>
            <w:pPr>
              <w:spacing w:after="60" w:beforeAutospacing="0" w:afterAutospacing="0"/>
              <w:jc w:val="right"/>
              <w:rPr>
                <w:sz w:val="22"/>
              </w:rPr>
            </w:pPr>
            <w:r>
              <w:rPr>
                <w:sz w:val="22"/>
              </w:rPr>
              <w:t>1, 3 and 13</w:t>
            </w:r>
          </w:p>
        </w:tc>
      </w:tr>
      <w:tr>
        <w:trPr>
          <w:trHeight w:hRule="atLeast" w:val="240"/>
        </w:trPr>
        <w:tc>
          <w:tcPr>
            <w:tcW w:w="3455" w:type="pct"/>
          </w:tcPr>
          <w:p>
            <w:pPr>
              <w:spacing w:after="60" w:beforeAutospacing="0" w:afterAutospacing="0"/>
              <w:rPr>
                <w:sz w:val="22"/>
              </w:rPr>
            </w:pPr>
            <w:r>
              <w:rPr>
                <w:sz w:val="22"/>
              </w:rPr>
              <w:t>Lloyd’s Register Quality Assurance Ltd. (LRQA)</w:t>
            </w:r>
            <w:r>
              <w:rPr>
                <w:i w:val="1"/>
                <w:sz w:val="18"/>
                <w:vertAlign w:val="superscript"/>
              </w:rPr>
              <w:t>a</w:t>
            </w:r>
          </w:p>
        </w:tc>
        <w:tc>
          <w:tcPr>
            <w:tcW w:w="1545" w:type="pct"/>
          </w:tcPr>
          <w:p>
            <w:pPr>
              <w:spacing w:after="60" w:beforeAutospacing="0" w:afterAutospacing="0"/>
              <w:jc w:val="right"/>
              <w:rPr>
                <w:sz w:val="22"/>
              </w:rPr>
            </w:pPr>
            <w:r>
              <w:rPr>
                <w:sz w:val="22"/>
              </w:rPr>
              <w:t>1–3, 7 and 13</w:t>
            </w:r>
          </w:p>
        </w:tc>
      </w:tr>
      <w:tr>
        <w:trPr>
          <w:trHeight w:hRule="atLeast" w:val="240"/>
        </w:trPr>
        <w:tc>
          <w:tcPr>
            <w:tcW w:w="3455" w:type="pct"/>
          </w:tcPr>
          <w:p>
            <w:pPr>
              <w:spacing w:after="60" w:beforeAutospacing="0" w:afterAutospacing="0"/>
              <w:rPr>
                <w:sz w:val="22"/>
              </w:rPr>
            </w:pPr>
            <w:r>
              <w:rPr>
                <w:sz w:val="22"/>
              </w:rPr>
              <w:t>Perry Johnson Registrars Carbon Emissions Services (PJRCES)</w:t>
            </w:r>
            <w:r>
              <w:rPr>
                <w:i w:val="1"/>
                <w:sz w:val="18"/>
                <w:vertAlign w:val="superscript"/>
              </w:rPr>
              <w:t>b</w:t>
            </w:r>
          </w:p>
        </w:tc>
        <w:tc>
          <w:tcPr>
            <w:tcW w:w="1545" w:type="pct"/>
          </w:tcPr>
          <w:p>
            <w:pPr>
              <w:spacing w:after="60" w:beforeAutospacing="0" w:afterAutospacing="0"/>
              <w:jc w:val="right"/>
              <w:rPr>
                <w:sz w:val="22"/>
              </w:rPr>
            </w:pPr>
            <w:r>
              <w:rPr>
                <w:sz w:val="22"/>
              </w:rPr>
              <w:t>4, 7, 10, 12 and 15</w:t>
            </w:r>
          </w:p>
        </w:tc>
      </w:tr>
      <w:tr>
        <w:trPr>
          <w:trHeight w:hRule="atLeast" w:val="240"/>
        </w:trPr>
        <w:tc>
          <w:tcPr>
            <w:tcW w:w="3455" w:type="pct"/>
          </w:tcPr>
          <w:p>
            <w:pPr>
              <w:spacing w:after="60" w:beforeAutospacing="0" w:afterAutospacing="0"/>
              <w:rPr>
                <w:sz w:val="22"/>
              </w:rPr>
            </w:pPr>
            <w:r>
              <w:rPr>
                <w:sz w:val="22"/>
              </w:rPr>
              <w:t>Perry Johnson Registrars Carbon Emissions Services (PJRCES)</w:t>
            </w:r>
            <w:r>
              <w:rPr>
                <w:i w:val="1"/>
                <w:sz w:val="18"/>
                <w:vertAlign w:val="superscript"/>
              </w:rPr>
              <w:t>c</w:t>
            </w:r>
          </w:p>
        </w:tc>
        <w:tc>
          <w:tcPr>
            <w:tcW w:w="1545" w:type="pct"/>
          </w:tcPr>
          <w:p>
            <w:pPr>
              <w:spacing w:after="60" w:beforeAutospacing="0" w:afterAutospacing="0"/>
              <w:jc w:val="right"/>
              <w:rPr>
                <w:sz w:val="22"/>
              </w:rPr>
            </w:pPr>
            <w:r>
              <w:rPr>
                <w:sz w:val="22"/>
              </w:rPr>
              <w:t>1–3, 9 and 13</w:t>
            </w:r>
          </w:p>
        </w:tc>
      </w:tr>
      <w:tr>
        <w:trPr>
          <w:trHeight w:hRule="atLeast" w:val="240"/>
        </w:trPr>
        <w:tc>
          <w:tcPr>
            <w:tcW w:w="3455" w:type="pct"/>
          </w:tcPr>
          <w:p>
            <w:pPr>
              <w:spacing w:after="60" w:beforeAutospacing="0" w:afterAutospacing="0"/>
              <w:rPr>
                <w:sz w:val="22"/>
              </w:rPr>
            </w:pPr>
            <w:r>
              <w:rPr>
                <w:sz w:val="22"/>
              </w:rPr>
              <w:t>Perry Johnson Registrars Carbon Emissions Services (PJRCES)</w:t>
            </w:r>
            <w:r>
              <w:rPr>
                <w:i w:val="1"/>
                <w:sz w:val="18"/>
                <w:vertAlign w:val="superscript"/>
              </w:rPr>
              <w:t>d</w:t>
            </w:r>
          </w:p>
        </w:tc>
        <w:tc>
          <w:tcPr>
            <w:tcW w:w="1545" w:type="pct"/>
          </w:tcPr>
          <w:p>
            <w:pPr>
              <w:spacing w:after="60" w:beforeAutospacing="0" w:afterAutospacing="0"/>
              <w:jc w:val="right"/>
              <w:rPr>
                <w:sz w:val="22"/>
              </w:rPr>
            </w:pPr>
            <w:r>
              <w:rPr>
                <w:sz w:val="22"/>
              </w:rPr>
              <w:t>1–3, 9 and 13</w:t>
            </w:r>
          </w:p>
        </w:tc>
      </w:tr>
      <w:tr>
        <w:trPr>
          <w:trHeight w:hRule="atLeast" w:val="240"/>
        </w:trPr>
        <w:tc>
          <w:tcPr>
            <w:tcW w:w="3455" w:type="pct"/>
          </w:tcPr>
          <w:p>
            <w:pPr>
              <w:spacing w:after="60" w:beforeAutospacing="0" w:afterAutospacing="0"/>
              <w:rPr>
                <w:sz w:val="22"/>
              </w:rPr>
            </w:pPr>
            <w:r>
              <w:rPr>
                <w:sz w:val="22"/>
              </w:rPr>
              <w:t>Shenzhen CTI International Certification Co., Ltd (CTI)</w:t>
            </w:r>
            <w:r>
              <w:rPr>
                <w:i w:val="1"/>
                <w:sz w:val="18"/>
                <w:vertAlign w:val="superscript"/>
              </w:rPr>
              <w:t>a</w:t>
            </w:r>
          </w:p>
        </w:tc>
        <w:tc>
          <w:tcPr>
            <w:tcW w:w="1545" w:type="pct"/>
          </w:tcPr>
          <w:p>
            <w:pPr>
              <w:spacing w:after="60" w:beforeAutospacing="0" w:afterAutospacing="0"/>
              <w:jc w:val="right"/>
              <w:rPr>
                <w:sz w:val="22"/>
              </w:rPr>
            </w:pPr>
            <w:r>
              <w:rPr>
                <w:sz w:val="22"/>
              </w:rPr>
              <w:t>1–15</w:t>
            </w:r>
          </w:p>
        </w:tc>
      </w:tr>
      <w:tr>
        <w:trPr>
          <w:trHeight w:hRule="atLeast" w:val="240"/>
        </w:trPr>
        <w:tc>
          <w:tcPr>
            <w:tcW w:w="3455" w:type="pct"/>
            <w:tcBorders>
              <w:bottom w:val="none" w:sz="0" w:space="0" w:shadow="0" w:frame="0"/>
            </w:tcBorders>
          </w:tcPr>
          <w:p>
            <w:pPr>
              <w:spacing w:after="60" w:beforeAutospacing="0" w:afterAutospacing="0"/>
              <w:rPr>
                <w:sz w:val="22"/>
              </w:rPr>
            </w:pPr>
            <w:r>
              <w:rPr>
                <w:sz w:val="22"/>
              </w:rPr>
              <w:t>TÜV NORD CERT GmbH (TÜV NORD)</w:t>
            </w:r>
            <w:r>
              <w:rPr>
                <w:i w:val="1"/>
                <w:sz w:val="18"/>
                <w:vertAlign w:val="superscript"/>
              </w:rPr>
              <w:t>a</w:t>
            </w:r>
          </w:p>
        </w:tc>
        <w:tc>
          <w:tcPr>
            <w:tcW w:w="1545" w:type="pct"/>
            <w:tcBorders>
              <w:bottom w:val="none" w:sz="0" w:space="0" w:shadow="0" w:frame="0"/>
            </w:tcBorders>
          </w:tcPr>
          <w:p>
            <w:pPr>
              <w:spacing w:after="60" w:beforeAutospacing="0" w:afterAutospacing="0"/>
              <w:jc w:val="right"/>
              <w:rPr>
                <w:sz w:val="22"/>
              </w:rPr>
            </w:pPr>
            <w:r>
              <w:rPr>
                <w:sz w:val="22"/>
              </w:rPr>
              <w:t>1–16</w:t>
            </w:r>
          </w:p>
        </w:tc>
      </w:tr>
      <w:tr>
        <w:trPr>
          <w:trHeight w:hRule="atLeast" w:val="240"/>
        </w:trPr>
        <w:tc>
          <w:tcPr>
            <w:tcW w:w="3455" w:type="pct"/>
            <w:tcBorders>
              <w:top w:val="none" w:sz="0" w:space="0" w:shadow="0" w:frame="0"/>
              <w:bottom w:val="single" w:sz="12" w:space="0" w:shadow="0" w:frame="0"/>
            </w:tcBorders>
          </w:tcPr>
          <w:p>
            <w:pPr>
              <w:spacing w:after="60" w:beforeAutospacing="0" w:afterAutospacing="0"/>
              <w:rPr>
                <w:sz w:val="22"/>
              </w:rPr>
            </w:pPr>
            <w:r>
              <w:rPr>
                <w:sz w:val="22"/>
              </w:rPr>
              <w:t>TÜV SÜD South Asia Private Limited (TÜV SÜD)</w:t>
            </w:r>
            <w:r>
              <w:rPr>
                <w:i w:val="1"/>
                <w:sz w:val="18"/>
                <w:vertAlign w:val="superscript"/>
              </w:rPr>
              <w:t>a</w:t>
            </w:r>
          </w:p>
        </w:tc>
        <w:tc>
          <w:tcPr>
            <w:tcW w:w="1545" w:type="pct"/>
            <w:tcBorders>
              <w:top w:val="none" w:sz="0" w:space="0" w:shadow="0" w:frame="0"/>
              <w:bottom w:val="single" w:sz="12" w:space="0" w:shadow="0" w:frame="0"/>
            </w:tcBorders>
          </w:tcPr>
          <w:p>
            <w:pPr>
              <w:spacing w:after="60" w:beforeAutospacing="0" w:afterAutospacing="0"/>
              <w:jc w:val="right"/>
              <w:rPr>
                <w:sz w:val="22"/>
              </w:rPr>
            </w:pPr>
            <w:r>
              <w:rPr>
                <w:sz w:val="22"/>
              </w:rPr>
              <w:t>1, 3–5, 7, 10, 11 and 13–15</w:t>
            </w:r>
          </w:p>
        </w:tc>
      </w:tr>
    </w:tbl>
    <w:p>
      <w:pPr>
        <w:pStyle w:val="P28"/>
        <w:spacing w:lineRule="exact" w:line="220" w:before="60" w:beforeAutospacing="0" w:afterAutospacing="0"/>
        <w:ind w:firstLine="170" w:left="1134"/>
        <w:jc w:val="left"/>
      </w:pPr>
      <w:r>
        <w:rPr>
          <w:i w:val="1"/>
          <w:vertAlign w:val="superscript"/>
        </w:rPr>
        <w:t xml:space="preserve">a   </w:t>
      </w:r>
      <w:r>
        <w:t>Accreditation granted for five years.</w:t>
      </w:r>
    </w:p>
    <w:p>
      <w:pPr>
        <w:pStyle w:val="P28"/>
        <w:spacing w:lineRule="exact" w:line="220" w:beforeAutospacing="0" w:afterAutospacing="0"/>
        <w:ind w:firstLine="170" w:left="1134" w:right="707"/>
        <w:jc w:val="left"/>
      </w:pPr>
      <w:r>
        <w:rPr>
          <w:i w:val="1"/>
          <w:vertAlign w:val="superscript"/>
        </w:rPr>
        <w:t xml:space="preserve">b   </w:t>
      </w:r>
      <w:r>
        <w:t>Withdrawal of accreditation by the Executive Board of the clean development mechanism; only the withdrawn sectoral scopes are indicated.</w:t>
      </w:r>
    </w:p>
    <w:p>
      <w:pPr>
        <w:pStyle w:val="P28"/>
        <w:suppressAutoHyphens w:val="0"/>
        <w:spacing w:lineRule="exact" w:line="220" w:beforeAutospacing="0" w:afterAutospacing="0"/>
        <w:ind w:firstLine="170" w:left="1134"/>
        <w:jc w:val="left"/>
      </w:pPr>
      <w:r>
        <w:rPr>
          <w:i w:val="1"/>
          <w:vertAlign w:val="superscript"/>
        </w:rPr>
        <w:t xml:space="preserve">c   </w:t>
      </w:r>
      <w:r>
        <w:t>Entity provisionally suspended; only the suspended sectoral scopes are indicated.</w:t>
      </w:r>
    </w:p>
    <w:p>
      <w:pPr>
        <w:pStyle w:val="P28"/>
        <w:suppressAutoHyphens w:val="0"/>
        <w:spacing w:lineRule="exact" w:line="220" w:beforeAutospacing="0" w:afterAutospacing="0"/>
        <w:ind w:firstLine="170" w:left="1134"/>
        <w:jc w:val="left"/>
      </w:pPr>
      <w:r>
        <w:rPr>
          <w:i w:val="1"/>
          <w:vertAlign w:val="superscript"/>
        </w:rPr>
        <w:t xml:space="preserve">d   </w:t>
      </w:r>
      <w:r>
        <w:t>Withdrawal of accreditation in its entirety by the Executive Board of the clean development mechanism; the withdrawn sectoral scopes are indicated.</w:t>
      </w:r>
    </w:p>
    <w:p>
      <w:pPr>
        <w:jc w:val="right"/>
        <w:rPr>
          <w:i w:val="1"/>
          <w:sz w:val="22"/>
        </w:rPr>
      </w:pPr>
      <w:r>
        <w:rPr>
          <w:i w:val="1"/>
          <w:sz w:val="22"/>
        </w:rPr>
        <w:t>6</w:t>
      </w:r>
      <w:r>
        <w:rPr>
          <w:i w:val="1"/>
          <w:sz w:val="22"/>
          <w:vertAlign w:val="superscript"/>
        </w:rPr>
        <w:t>th</w:t>
      </w:r>
      <w:r>
        <w:rPr>
          <w:i w:val="1"/>
          <w:sz w:val="22"/>
        </w:rPr>
        <w:t xml:space="preserve"> plenary meeting</w:t>
      </w:r>
    </w:p>
    <w:p>
      <w:pPr>
        <w:jc w:val="right"/>
        <w:rPr>
          <w:i w:val="1"/>
          <w:sz w:val="22"/>
        </w:rPr>
        <w:sectPr>
          <w:headerReference xmlns:r="http://schemas.openxmlformats.org/officeDocument/2006/relationships" w:type="first" r:id="RelHdr10"/>
          <w:headerReference xmlns:r="http://schemas.openxmlformats.org/officeDocument/2006/relationships" w:type="default" r:id="RelHdr11"/>
          <w:headerReference xmlns:r="http://schemas.openxmlformats.org/officeDocument/2006/relationships" w:type="even" r:id="RelHdr12"/>
          <w:footerReference xmlns:r="http://schemas.openxmlformats.org/officeDocument/2006/relationships" w:type="default" r:id="RelFtr7"/>
          <w:footerReference xmlns:r="http://schemas.openxmlformats.org/officeDocument/2006/relationships" w:type="even" r:id="RelFtr8"/>
          <w:type w:val="nextPage"/>
          <w:pgSz w:w="11906" w:h="16838" w:code="0"/>
          <w:pgMar w:left="1134" w:right="1134" w:top="1417" w:bottom="1134" w:header="850" w:footer="567" w:gutter="0"/>
          <w:pgNumType w:chapSep="hyphen"/>
        </w:sectPr>
      </w:pPr>
      <w:r>
        <w:rPr>
          <w:i w:val="1"/>
          <w:sz w:val="22"/>
        </w:rPr>
        <w:t>13 December 2018</w:t>
      </w:r>
    </w:p>
    <w:p>
      <w:pPr>
        <w:pStyle w:val="P10"/>
        <w:spacing w:before="0" w:beforeAutospacing="0" w:afterAutospacing="0"/>
      </w:pPr>
      <w:r>
        <w:tab/>
        <w:tab/>
      </w:r>
      <w:bookmarkStart w:id="6" w:name="D5"/>
      <w:r>
        <w:t>Decision 5/CMP.14</w:t>
      </w:r>
      <w:bookmarkEnd w:id="6"/>
    </w:p>
    <w:p>
      <w:pPr>
        <w:pStyle w:val="P10"/>
      </w:pPr>
      <w:r>
        <w:tab/>
        <w:tab/>
        <w:t>Administrative, financial and institutional matters</w:t>
      </w:r>
    </w:p>
    <w:p>
      <w:pPr>
        <w:spacing w:before="120" w:beforeAutospacing="0" w:afterAutospacing="0"/>
        <w:ind w:firstLine="567" w:left="1134" w:right="1174"/>
        <w:jc w:val="both"/>
        <w:rPr>
          <w:i w:val="1"/>
          <w:sz w:val="22"/>
        </w:rPr>
      </w:pPr>
      <w:r>
        <w:rPr>
          <w:i w:val="1"/>
          <w:sz w:val="22"/>
        </w:rPr>
        <w:t>The Conference of the Parties serving as the meeting of the Parties to the Kyoto Protocol</w:t>
      </w:r>
      <w:r>
        <w:rPr>
          <w:sz w:val="22"/>
        </w:rPr>
        <w:t>,</w:t>
      </w:r>
    </w:p>
    <w:p>
      <w:pPr>
        <w:spacing w:before="120" w:beforeAutospacing="0" w:afterAutospacing="0"/>
        <w:ind w:firstLine="567" w:left="1134" w:right="1174"/>
        <w:jc w:val="both"/>
        <w:rPr>
          <w:sz w:val="22"/>
        </w:rPr>
      </w:pPr>
      <w:r>
        <w:rPr>
          <w:i w:val="1"/>
          <w:sz w:val="22"/>
        </w:rPr>
        <w:t xml:space="preserve">Recalling </w:t>
      </w:r>
      <w:r>
        <w:rPr>
          <w:sz w:val="22"/>
        </w:rPr>
        <w:t>Article 13, paragraph 5, of the Kyoto Protocol,</w:t>
      </w:r>
    </w:p>
    <w:p>
      <w:pPr>
        <w:spacing w:before="120" w:beforeAutospacing="0" w:afterAutospacing="0"/>
        <w:ind w:firstLine="567" w:left="1134" w:right="1174"/>
        <w:jc w:val="both"/>
        <w:rPr>
          <w:sz w:val="22"/>
        </w:rPr>
      </w:pPr>
      <w:r>
        <w:rPr>
          <w:i w:val="1"/>
          <w:sz w:val="22"/>
        </w:rPr>
        <w:t xml:space="preserve">Also recalling </w:t>
      </w:r>
      <w:r>
        <w:rPr>
          <w:sz w:val="22"/>
        </w:rPr>
        <w:t>the financial procedures for the Conference of the Parties, which also apply to the Kyoto Protocol,</w:t>
      </w:r>
      <w:r>
        <w:rPr>
          <w:rStyle w:val="C3"/>
        </w:rPr>
        <w:footnoteReference w:id="4"/>
      </w:r>
    </w:p>
    <w:p>
      <w:pPr>
        <w:pStyle w:val="P33"/>
        <w:numPr>
          <w:ilvl w:val="5"/>
          <w:numId w:val="0"/>
        </w:numPr>
        <w:spacing w:before="120" w:beforeAutospacing="0" w:afterAutospacing="0"/>
        <w:ind w:firstLine="0" w:left="1701" w:right="1174"/>
      </w:pPr>
      <w:r>
        <w:rPr>
          <w:i w:val="1"/>
        </w:rPr>
        <w:t>Taking note</w:t>
      </w:r>
      <w:r>
        <w:t xml:space="preserve"> of decision 18/CP.24,</w:t>
      </w:r>
    </w:p>
    <w:p>
      <w:pPr>
        <w:spacing w:before="120" w:beforeAutospacing="0" w:afterAutospacing="0"/>
        <w:ind w:firstLine="567" w:left="1134" w:right="1174"/>
        <w:jc w:val="both"/>
        <w:rPr>
          <w:sz w:val="22"/>
        </w:rPr>
      </w:pPr>
      <w:r>
        <w:rPr>
          <w:i w:val="1"/>
          <w:sz w:val="22"/>
        </w:rPr>
        <w:t xml:space="preserve">Having considered </w:t>
      </w:r>
      <w:r>
        <w:rPr>
          <w:sz w:val="22"/>
        </w:rPr>
        <w:t>the information contained in the documents prepared by the secretariat on administrative, financial and institutional matters,</w:t>
      </w:r>
      <w:r>
        <w:rPr>
          <w:rStyle w:val="C3"/>
        </w:rPr>
        <w:footnoteReference w:id="5"/>
      </w:r>
    </w:p>
    <w:p>
      <w:pPr>
        <w:spacing w:before="120" w:beforeAutospacing="0" w:afterAutospacing="0"/>
        <w:ind w:firstLine="567" w:left="1134" w:right="1174"/>
        <w:jc w:val="both"/>
        <w:rPr>
          <w:sz w:val="22"/>
        </w:rPr>
      </w:pPr>
      <w:r>
        <w:rPr>
          <w:i w:val="1"/>
          <w:sz w:val="22"/>
        </w:rPr>
        <w:t xml:space="preserve">Noting </w:t>
      </w:r>
      <w:r>
        <w:rPr>
          <w:sz w:val="22"/>
        </w:rPr>
        <w:t>that notifications to Parties of their contributions for 2019 were sent to them on 30 September 2018,</w:t>
      </w:r>
    </w:p>
    <w:p>
      <w:pPr>
        <w:pStyle w:val="P30"/>
        <w:numPr>
          <w:ilvl w:val="0"/>
          <w:numId w:val="0"/>
        </w:numPr>
        <w:tabs>
          <w:tab w:val="left" w:pos="1135" w:leader="none"/>
        </w:tabs>
        <w:ind w:hanging="454" w:left="1135"/>
      </w:pPr>
      <w:r>
        <w:t>I.</w:t>
        <w:tab/>
        <w:t>Budget performance for the biennium 2018–2019</w:t>
      </w:r>
    </w:p>
    <w:p>
      <w:pPr>
        <w:pStyle w:val="P33"/>
        <w:numPr>
          <w:ilvl w:val="5"/>
          <w:numId w:val="0"/>
        </w:numPr>
        <w:ind w:firstLine="0" w:left="1134"/>
      </w:pPr>
      <w:r>
        <w:t>1.</w:t>
        <w:tab/>
      </w:r>
      <w:r>
        <w:rPr>
          <w:i w:val="1"/>
        </w:rPr>
        <w:t>Takes note</w:t>
      </w:r>
      <w:r>
        <w:t xml:space="preserve"> of the information contained in the report on budget performance for the biennium 2018–2019 as at 30 June 2018</w:t>
      </w:r>
      <w:r>
        <w:rPr>
          <w:vertAlign w:val="superscript"/>
        </w:rPr>
        <w:footnoteReference w:id="6"/>
      </w:r>
      <w:r>
        <w:t xml:space="preserve"> and the note on the status of contributions to the trust funds administered by the secretariat as at 16 November 2018;</w:t>
      </w:r>
      <w:r>
        <w:rPr>
          <w:vertAlign w:val="superscript"/>
        </w:rPr>
        <w:footnoteReference w:id="7"/>
      </w:r>
    </w:p>
    <w:p>
      <w:pPr>
        <w:pStyle w:val="P33"/>
        <w:numPr>
          <w:ilvl w:val="5"/>
          <w:numId w:val="0"/>
        </w:numPr>
        <w:tabs>
          <w:tab w:val="left" w:pos="568" w:leader="none"/>
        </w:tabs>
        <w:ind w:firstLine="0" w:left="1135"/>
      </w:pPr>
      <w:r>
        <w:t>2.</w:t>
        <w:tab/>
      </w:r>
      <w:r>
        <w:rPr>
          <w:i w:val="1"/>
        </w:rPr>
        <w:t>Expresses its appreciation</w:t>
      </w:r>
      <w:r>
        <w:t xml:space="preserve"> to Parties that made contributions to the core budget in a timely manner;</w:t>
      </w:r>
    </w:p>
    <w:p>
      <w:pPr>
        <w:pStyle w:val="P33"/>
        <w:numPr>
          <w:ilvl w:val="5"/>
          <w:numId w:val="0"/>
        </w:numPr>
        <w:tabs>
          <w:tab w:val="left" w:pos="568" w:leader="none"/>
        </w:tabs>
        <w:ind w:firstLine="0" w:left="1135"/>
      </w:pPr>
      <w:r>
        <w:t>3.</w:t>
        <w:tab/>
      </w:r>
      <w:r>
        <w:rPr>
          <w:i w:val="1"/>
        </w:rPr>
        <w:t>Expresses concern</w:t>
      </w:r>
      <w:r>
        <w:t xml:space="preserve"> regarding the high level of outstanding contributions to the core budget for the current and previous bienniums, which has resulted in difficulties with cash flow and the effective implementation of activities;</w:t>
      </w:r>
    </w:p>
    <w:p>
      <w:pPr>
        <w:pStyle w:val="P33"/>
        <w:numPr>
          <w:ilvl w:val="5"/>
          <w:numId w:val="0"/>
        </w:numPr>
        <w:tabs>
          <w:tab w:val="left" w:pos="568" w:leader="none"/>
        </w:tabs>
        <w:ind w:firstLine="0" w:left="1135"/>
      </w:pPr>
      <w:r>
        <w:t>4.</w:t>
        <w:tab/>
      </w:r>
      <w:r>
        <w:rPr>
          <w:i w:val="1"/>
        </w:rPr>
        <w:t>Strongly urges</w:t>
      </w:r>
      <w:r>
        <w:t xml:space="preserve"> Parties that have not made contributions in full to the core budget for the current and/or previous bienniums to do so without further delay;</w:t>
      </w:r>
    </w:p>
    <w:p>
      <w:pPr>
        <w:pStyle w:val="P33"/>
        <w:numPr>
          <w:ilvl w:val="5"/>
          <w:numId w:val="0"/>
        </w:numPr>
        <w:ind w:firstLine="0" w:left="1134"/>
      </w:pPr>
      <w:r>
        <w:t>5.</w:t>
        <w:tab/>
      </w:r>
      <w:r>
        <w:rPr>
          <w:i w:val="1"/>
        </w:rPr>
        <w:t>Calls upon</w:t>
      </w:r>
      <w:r>
        <w:t xml:space="preserve"> Parties to make their contributions to the core budget for 2019 in a timely manner, bearing in mind that contributions are due on 1 January of each year in accordance with the financial procedures for the Conference of the Parties;</w:t>
      </w:r>
    </w:p>
    <w:p>
      <w:pPr>
        <w:pStyle w:val="P33"/>
        <w:numPr>
          <w:ilvl w:val="5"/>
          <w:numId w:val="0"/>
        </w:numPr>
        <w:tabs>
          <w:tab w:val="left" w:pos="568" w:leader="none"/>
        </w:tabs>
        <w:ind w:firstLine="0" w:left="1135"/>
      </w:pPr>
      <w:r>
        <w:t>6.</w:t>
        <w:tab/>
      </w:r>
      <w:r>
        <w:rPr>
          <w:i w:val="1"/>
        </w:rPr>
        <w:t>Expresses its appreciation</w:t>
      </w:r>
      <w:r>
        <w:t xml:space="preserve"> for the contributions to the Trust Fund for Participation in the UNFCCC Process and to the Trust Fund for Supplementary Activities received from Parties, including those contributions that allow for greater flexibility in allocation;</w:t>
      </w:r>
    </w:p>
    <w:p>
      <w:pPr>
        <w:pStyle w:val="P33"/>
        <w:numPr>
          <w:ilvl w:val="5"/>
          <w:numId w:val="0"/>
        </w:numPr>
        <w:ind w:firstLine="0" w:left="1134"/>
      </w:pPr>
      <w:r>
        <w:t>7.</w:t>
        <w:tab/>
      </w:r>
      <w:r>
        <w:rPr>
          <w:i w:val="1"/>
        </w:rPr>
        <w:t>Urges</w:t>
      </w:r>
      <w:r>
        <w:t xml:space="preserve"> Parties to further contribute to the Trust Fund for Participation in the UNFCCC Process in order to ensure the widest possible participation in the negotiations in 2019, and to the Trust Fund for Supplementary Activities;</w:t>
      </w:r>
    </w:p>
    <w:p>
      <w:pPr>
        <w:pStyle w:val="P33"/>
        <w:numPr>
          <w:ilvl w:val="5"/>
          <w:numId w:val="0"/>
        </w:numPr>
        <w:tabs>
          <w:tab w:val="left" w:pos="568" w:leader="none"/>
        </w:tabs>
        <w:ind w:firstLine="0" w:left="1135"/>
      </w:pPr>
      <w:r>
        <w:t>8.</w:t>
        <w:tab/>
      </w:r>
      <w:r>
        <w:rPr>
          <w:i w:val="1"/>
        </w:rPr>
        <w:t>Reiterates its appreciation</w:t>
      </w:r>
      <w:r>
        <w:t xml:space="preserve"> to the Government of Germany for its annual voluntary contribution to the core budget of EUR 766,938 and its special contribution of EUR 1,789,522 as Host Government of the secretariat;</w:t>
      </w:r>
    </w:p>
    <w:p>
      <w:pPr>
        <w:pStyle w:val="P33"/>
        <w:numPr>
          <w:ilvl w:val="5"/>
          <w:numId w:val="0"/>
        </w:numPr>
        <w:tabs>
          <w:tab w:val="left" w:pos="568" w:leader="none"/>
        </w:tabs>
        <w:ind w:firstLine="0" w:left="1135"/>
      </w:pPr>
      <w:r>
        <w:t>9.</w:t>
        <w:tab/>
      </w:r>
      <w:r>
        <w:rPr>
          <w:i w:val="1"/>
        </w:rPr>
        <w:t>Requests</w:t>
      </w:r>
      <w:r>
        <w:t xml:space="preserve"> the Executive Secretary to take further measures to recover outstanding contributions and </w:t>
      </w:r>
      <w:r>
        <w:rPr>
          <w:i w:val="1"/>
        </w:rPr>
        <w:t>encourages</w:t>
      </w:r>
      <w:r>
        <w:t xml:space="preserve"> Parties to pay those outstanding contributions as soon as possible;</w:t>
      </w:r>
    </w:p>
    <w:p>
      <w:pPr>
        <w:pStyle w:val="P30"/>
        <w:numPr>
          <w:ilvl w:val="0"/>
          <w:numId w:val="0"/>
        </w:numPr>
        <w:tabs>
          <w:tab w:val="left" w:pos="1135" w:leader="none"/>
        </w:tabs>
        <w:ind w:hanging="454" w:left="1135"/>
        <w:rPr>
          <w:b w:val="0"/>
        </w:rPr>
      </w:pPr>
      <w:r>
        <w:t>II.</w:t>
        <w:tab/>
        <w:t>Audit report and financial statements for 2017</w:t>
      </w:r>
    </w:p>
    <w:p>
      <w:pPr>
        <w:pStyle w:val="P33"/>
        <w:numPr>
          <w:ilvl w:val="5"/>
          <w:numId w:val="0"/>
        </w:numPr>
        <w:tabs>
          <w:tab w:val="left" w:pos="568" w:leader="none"/>
        </w:tabs>
        <w:ind w:firstLine="0" w:left="1135"/>
      </w:pPr>
      <w:r>
        <w:t>10.</w:t>
        <w:tab/>
      </w:r>
      <w:r>
        <w:rPr>
          <w:i w:val="1"/>
        </w:rPr>
        <w:t>Takes note</w:t>
      </w:r>
      <w:r>
        <w:t xml:space="preserve"> of the audit report of the United Nations Board of Auditors</w:t>
      </w:r>
      <w:r>
        <w:rPr>
          <w:rStyle w:val="C3"/>
        </w:rPr>
        <w:footnoteReference w:id="8"/>
      </w:r>
      <w:r>
        <w:t xml:space="preserve"> and the financial statements for 2017, which include recommendations, and the comments of the secretariat thereon;</w:t>
      </w:r>
    </w:p>
    <w:p>
      <w:pPr>
        <w:pStyle w:val="P33"/>
        <w:numPr>
          <w:ilvl w:val="5"/>
          <w:numId w:val="0"/>
        </w:numPr>
        <w:tabs>
          <w:tab w:val="left" w:pos="568" w:leader="none"/>
        </w:tabs>
        <w:ind w:firstLine="0" w:left="1135"/>
      </w:pPr>
      <w:r>
        <w:t>11.</w:t>
        <w:tab/>
      </w:r>
      <w:r>
        <w:rPr>
          <w:i w:val="1"/>
        </w:rPr>
        <w:t>Expresses its appreciation</w:t>
      </w:r>
      <w:r>
        <w:t xml:space="preserve"> to the United Nations for arranging the audit of the accounts of the Convention;</w:t>
      </w:r>
    </w:p>
    <w:p>
      <w:pPr>
        <w:pStyle w:val="P33"/>
        <w:numPr>
          <w:ilvl w:val="5"/>
          <w:numId w:val="0"/>
        </w:numPr>
        <w:tabs>
          <w:tab w:val="left" w:pos="568" w:leader="none"/>
        </w:tabs>
        <w:ind w:firstLine="0" w:left="1135"/>
      </w:pPr>
      <w:r>
        <w:t>12.</w:t>
        <w:tab/>
      </w:r>
      <w:r>
        <w:rPr>
          <w:i w:val="1"/>
        </w:rPr>
        <w:t>Also expresses its appreciation</w:t>
      </w:r>
      <w:r>
        <w:t xml:space="preserve"> to the auditors for the valuable observations and recommendations and the presentation made thereon to Parties;</w:t>
      </w:r>
    </w:p>
    <w:p>
      <w:pPr>
        <w:pStyle w:val="P33"/>
        <w:numPr>
          <w:ilvl w:val="5"/>
          <w:numId w:val="0"/>
        </w:numPr>
        <w:tabs>
          <w:tab w:val="left" w:pos="568" w:leader="none"/>
        </w:tabs>
        <w:ind w:firstLine="0" w:left="1135"/>
      </w:pPr>
      <w:r>
        <w:t>13.</w:t>
        <w:tab/>
      </w:r>
      <w:r>
        <w:rPr>
          <w:i w:val="1"/>
        </w:rPr>
        <w:t>Requests</w:t>
      </w:r>
      <w:r>
        <w:t xml:space="preserve"> the Executive Secretary to implement the recommendations of the auditors, as appropriate, in particular those related to outstanding contributions and the policies on hiring consultants and individual contractors, and to update Parties on progress in the next audit report;</w:t>
      </w:r>
    </w:p>
    <w:p>
      <w:pPr>
        <w:pStyle w:val="P30"/>
        <w:numPr>
          <w:ilvl w:val="0"/>
          <w:numId w:val="0"/>
        </w:numPr>
        <w:tabs>
          <w:tab w:val="left" w:pos="1135" w:leader="none"/>
        </w:tabs>
        <w:ind w:hanging="454" w:left="1135"/>
        <w:rPr>
          <w:b w:val="0"/>
        </w:rPr>
      </w:pPr>
      <w:r>
        <w:t>III.</w:t>
        <w:tab/>
        <w:t>Other budgetary matters</w:t>
      </w:r>
    </w:p>
    <w:p>
      <w:pPr>
        <w:pStyle w:val="P33"/>
        <w:numPr>
          <w:ilvl w:val="5"/>
          <w:numId w:val="0"/>
        </w:numPr>
        <w:ind w:firstLine="0" w:left="1134"/>
      </w:pPr>
      <w:r>
        <w:t>14.</w:t>
        <w:tab/>
      </w:r>
      <w:r>
        <w:rPr>
          <w:i w:val="1"/>
        </w:rPr>
        <w:t>Also requests</w:t>
      </w:r>
      <w:r>
        <w:t xml:space="preserve"> the Executive Secretary to present the outcome of its review of the secretariat’s operations and structure, including on the synergy and prioritization of its activities, with a view to reducing redundancies and increasing cost-efficiency, in the context of the programme budget for 2020–2021;</w:t>
      </w:r>
    </w:p>
    <w:p>
      <w:pPr>
        <w:pStyle w:val="P33"/>
        <w:numPr>
          <w:ilvl w:val="5"/>
          <w:numId w:val="0"/>
        </w:numPr>
        <w:ind w:firstLine="0" w:left="1134"/>
      </w:pPr>
      <w:r>
        <w:t>15.</w:t>
        <w:tab/>
      </w:r>
      <w:r>
        <w:rPr>
          <w:i w:val="1"/>
        </w:rPr>
        <w:t>Further requests</w:t>
      </w:r>
      <w:r>
        <w:t xml:space="preserve"> the Executive Secretary to prepare, regularly update and publish before each session of the subsidiary bodies brief reports on standard costs and, if available, options for reducing the cost of activities where practicable; </w:t>
      </w:r>
    </w:p>
    <w:p>
      <w:pPr>
        <w:pStyle w:val="P33"/>
        <w:numPr>
          <w:ilvl w:val="5"/>
          <w:numId w:val="0"/>
        </w:numPr>
        <w:ind w:firstLine="0" w:left="1134"/>
      </w:pPr>
      <w:r>
        <w:t>16.</w:t>
        <w:tab/>
      </w:r>
      <w:r>
        <w:rPr>
          <w:i w:val="1"/>
        </w:rPr>
        <w:t>Requests</w:t>
      </w:r>
      <w:r>
        <w:t xml:space="preserve"> the Executive Secretary to provide budgetary cost implications in pre-session documents if they include suggestions for new mandates to the secretariat and if sufficient information is available on the details of the proposed activities;</w:t>
      </w:r>
    </w:p>
    <w:p>
      <w:pPr>
        <w:pStyle w:val="P33"/>
        <w:numPr>
          <w:ilvl w:val="5"/>
          <w:numId w:val="0"/>
        </w:numPr>
        <w:ind w:firstLine="0" w:left="1134"/>
      </w:pPr>
      <w:r>
        <w:t>17.</w:t>
        <w:tab/>
      </w:r>
      <w:r>
        <w:rPr>
          <w:i w:val="1"/>
        </w:rPr>
        <w:t>Also requests</w:t>
      </w:r>
      <w:r>
        <w:t xml:space="preserve"> the Executive Secretary to provide any other such information to Parties as may be required to ensure that the budgetary implications of decisions and conclusions, including those proposed in pre-session documents, can be taken into account in advance of decision-making.</w:t>
      </w:r>
    </w:p>
    <w:p>
      <w:pPr>
        <w:jc w:val="right"/>
        <w:rPr>
          <w:i w:val="1"/>
          <w:sz w:val="22"/>
        </w:rPr>
      </w:pPr>
      <w:r>
        <w:rPr>
          <w:i w:val="1"/>
          <w:sz w:val="22"/>
        </w:rPr>
        <w:t>7</w:t>
      </w:r>
      <w:r>
        <w:rPr>
          <w:i w:val="1"/>
          <w:sz w:val="22"/>
          <w:vertAlign w:val="superscript"/>
        </w:rPr>
        <w:t>th</w:t>
      </w:r>
      <w:r>
        <w:rPr>
          <w:i w:val="1"/>
          <w:sz w:val="22"/>
        </w:rPr>
        <w:t xml:space="preserve"> plenary meeting</w:t>
      </w:r>
    </w:p>
    <w:p>
      <w:pPr>
        <w:jc w:val="right"/>
        <w:rPr>
          <w:i w:val="1"/>
          <w:sz w:val="22"/>
        </w:rPr>
      </w:pPr>
      <w:r>
        <w:rPr>
          <w:i w:val="1"/>
          <w:sz w:val="22"/>
        </w:rPr>
        <w:t>14 December 2018</w:t>
      </w:r>
    </w:p>
    <w:p>
      <w:pPr>
        <w:spacing w:lineRule="auto" w:line="240" w:beforeAutospacing="0" w:afterAutospacing="0"/>
        <w:jc w:val="right"/>
        <w:rPr>
          <w:i w:val="1"/>
          <w:sz w:val="22"/>
        </w:rPr>
        <w:sectPr>
          <w:headerReference xmlns:r="http://schemas.openxmlformats.org/officeDocument/2006/relationships" w:type="first" r:id="RelHdr13"/>
          <w:headerReference xmlns:r="http://schemas.openxmlformats.org/officeDocument/2006/relationships" w:type="default" r:id="RelHdr14"/>
          <w:headerReference xmlns:r="http://schemas.openxmlformats.org/officeDocument/2006/relationships" w:type="even" r:id="RelHdr15"/>
          <w:footerReference xmlns:r="http://schemas.openxmlformats.org/officeDocument/2006/relationships" w:type="default" r:id="RelFtr9"/>
          <w:footerReference xmlns:r="http://schemas.openxmlformats.org/officeDocument/2006/relationships" w:type="even" r:id="RelFtr10"/>
          <w:type w:val="nextPage"/>
          <w:pgSz w:w="11906" w:h="16838" w:code="0"/>
          <w:pgMar w:left="1134" w:right="1134" w:top="1417" w:bottom="1134" w:header="850" w:footer="567" w:gutter="0"/>
          <w:pgNumType w:chapSep="hyphen"/>
        </w:sectPr>
      </w:pPr>
    </w:p>
    <w:p>
      <w:pPr>
        <w:pStyle w:val="P10"/>
        <w:spacing w:before="0" w:beforeAutospacing="0" w:afterAutospacing="0"/>
      </w:pPr>
      <w:r>
        <w:tab/>
        <w:tab/>
      </w:r>
      <w:bookmarkStart w:id="7" w:name="R1"/>
      <w:r>
        <w:t>Resolution 1/CMP.14</w:t>
      </w:r>
      <w:bookmarkEnd w:id="7"/>
    </w:p>
    <w:p>
      <w:pPr>
        <w:pStyle w:val="P10"/>
      </w:pPr>
      <w:r>
        <w:tab/>
        <w:tab/>
        <w:t>Expression of gratitude to the Government of the Republic of Poland and the people of the city of Katowice</w:t>
      </w:r>
    </w:p>
    <w:p>
      <w:pPr>
        <w:pStyle w:val="P11"/>
        <w:jc w:val="both"/>
      </w:pPr>
      <w:r>
        <w:tab/>
        <w:t>Resolution submitted by Fiji</w:t>
      </w:r>
    </w:p>
    <w:p>
      <w:pPr>
        <w:pStyle w:val="P15"/>
        <w:rPr>
          <w:b w:val="1"/>
          <w:i w:val="1"/>
        </w:rPr>
      </w:pPr>
      <w:r>
        <w:tab/>
        <w:tab/>
      </w:r>
      <w:r>
        <w:rPr>
          <w:i w:val="1"/>
        </w:rPr>
        <w:t>The Conference of the Parties, the Conference of the Parties serving as the meeting of the Parties to the Kyoto Protocol and the Conference of the Parties serving as the meeting of the Parties to the Paris Agreement</w:t>
      </w:r>
      <w:r>
        <w:t>,</w:t>
      </w:r>
    </w:p>
    <w:p>
      <w:pPr>
        <w:pStyle w:val="P15"/>
        <w:rPr>
          <w:b w:val="1"/>
        </w:rPr>
      </w:pPr>
      <w:r>
        <w:tab/>
        <w:tab/>
      </w:r>
      <w:r>
        <w:rPr>
          <w:i w:val="1"/>
        </w:rPr>
        <w:t xml:space="preserve">Having met </w:t>
      </w:r>
      <w:r>
        <w:t>in Katowice from 2 to 14 December 2018,</w:t>
      </w:r>
    </w:p>
    <w:p>
      <w:pPr>
        <w:pStyle w:val="P33"/>
        <w:numPr>
          <w:ilvl w:val="5"/>
          <w:numId w:val="0"/>
        </w:numPr>
        <w:ind w:firstLine="0" w:left="1134"/>
      </w:pPr>
      <w:r>
        <w:t>1.</w:t>
        <w:tab/>
      </w:r>
      <w:r>
        <w:rPr>
          <w:i w:val="1"/>
        </w:rPr>
        <w:t xml:space="preserve">Express their profound gratitude </w:t>
      </w:r>
      <w:r>
        <w:t>to the Government of the Republic of Poland for having made it possible for the twenty-fourth session of the Conference of the Parties, the fourteenth session of the Conference of the Parties serving as the meeting of the Parties to the Kyoto Protocol and the third part of the first session of the Conference of the Parties serving as the meeting of the Parties to the Paris Agreement to be held in Katowice;</w:t>
      </w:r>
    </w:p>
    <w:p>
      <w:pPr>
        <w:pStyle w:val="P33"/>
        <w:numPr>
          <w:ilvl w:val="5"/>
          <w:numId w:val="0"/>
        </w:numPr>
        <w:ind w:firstLine="0" w:left="1134"/>
      </w:pPr>
      <w:r>
        <w:t>2.</w:t>
        <w:tab/>
      </w:r>
      <w:r>
        <w:rPr>
          <w:i w:val="1"/>
        </w:rPr>
        <w:t xml:space="preserve">Request </w:t>
      </w:r>
      <w:r>
        <w:t>the Government of the Republic of Poland to convey to the city and people of Katowice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p>
    <w:p>
      <w:pPr>
        <w:jc w:val="right"/>
        <w:rPr>
          <w:i w:val="1"/>
          <w:sz w:val="22"/>
        </w:rPr>
      </w:pPr>
      <w:r>
        <w:rPr>
          <w:i w:val="1"/>
          <w:sz w:val="22"/>
        </w:rPr>
        <w:t>9</w:t>
      </w:r>
      <w:r>
        <w:rPr>
          <w:i w:val="1"/>
          <w:sz w:val="22"/>
          <w:vertAlign w:val="superscript"/>
        </w:rPr>
        <w:t>th</w:t>
      </w:r>
      <w:r>
        <w:rPr>
          <w:i w:val="1"/>
          <w:sz w:val="22"/>
        </w:rPr>
        <w:t xml:space="preserve"> plenary meeting</w:t>
      </w:r>
    </w:p>
    <w:p>
      <w:pPr>
        <w:jc w:val="right"/>
        <w:rPr>
          <w:i w:val="1"/>
          <w:sz w:val="22"/>
        </w:rPr>
      </w:pPr>
      <w:r>
        <w:rPr>
          <w:i w:val="1"/>
          <w:sz w:val="22"/>
        </w:rPr>
        <w:t>15 December 2018</w:t>
      </w:r>
    </w:p>
    <w:p>
      <w:pPr>
        <w:spacing w:before="240" w:beforeAutospacing="0" w:afterAutospacing="0"/>
        <w:ind w:left="1134" w:right="1134"/>
        <w:jc w:val="center"/>
        <w:rPr>
          <w:sz w:val="22"/>
          <w:u w:val="single"/>
        </w:rPr>
      </w:pPr>
      <w:r>
        <w:rPr>
          <w:sz w:val="22"/>
          <w:u w:val="single"/>
        </w:rPr>
        <w:tab/>
        <w:tab/>
        <w:tab/>
        <w:tab/>
      </w:r>
    </w:p>
    <w:sectPr>
      <w:headerReference xmlns:r="http://schemas.openxmlformats.org/officeDocument/2006/relationships" w:type="first" r:id="RelHdr16"/>
      <w:headerReference xmlns:r="http://schemas.openxmlformats.org/officeDocument/2006/relationships" w:type="default" r:id="RelHdr17"/>
      <w:headerReference xmlns:r="http://schemas.openxmlformats.org/officeDocument/2006/relationships" w:type="even" r:id="RelHdr18"/>
      <w:footerReference xmlns:r="http://schemas.openxmlformats.org/officeDocument/2006/relationships" w:type="default" r:id="RelFtr11"/>
      <w:footerReference xmlns:r="http://schemas.openxmlformats.org/officeDocument/2006/relationships" w:type="even" r:id="RelFtr12"/>
      <w:type w:val="nextPage"/>
      <w:pgSz w:w="11906" w:h="16838" w:code="0"/>
      <w:pgMar w:left="1134" w:right="1134" w:top="1418" w:bottom="1134" w:header="851" w:footer="567" w:gutter="0"/>
      <w:pgNumType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1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1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1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footnote w:id="0">
    <w:p>
      <w:pPr>
        <w:pStyle w:val="P26"/>
        <w:widowControl w:val="0"/>
      </w:pPr>
      <w:r>
        <w:tab/>
      </w:r>
      <w:r>
        <w:rPr>
          <w:rStyle w:val="C3"/>
        </w:rPr>
        <w:footnoteRef/>
      </w:r>
      <w:r>
        <w:tab/>
        <w:t>FCCC/KP/CMP/2018/4 and Add.1, as requested in decision 1/CMP.13, paragraph 11.</w:t>
      </w:r>
    </w:p>
  </w:footnote>
  <w:footnote w:id="1">
    <w:p>
      <w:pPr>
        <w:pStyle w:val="P26"/>
      </w:pPr>
      <w:r>
        <w:tab/>
      </w:r>
      <w:r>
        <w:rPr>
          <w:rStyle w:val="C3"/>
        </w:rPr>
        <w:footnoteRef/>
      </w:r>
      <w:r>
        <w:tab/>
        <w:t xml:space="preserve">Decisions 2/CMP.12, paragraph 6, and 1/CMP.13, paragraph 6. </w:t>
      </w:r>
    </w:p>
  </w:footnote>
  <w:footnote w:id="2">
    <w:p>
      <w:pPr>
        <w:pStyle w:val="P26"/>
      </w:pPr>
      <w:r>
        <w:tab/>
      </w:r>
      <w:r>
        <w:rPr>
          <w:rStyle w:val="C3"/>
        </w:rPr>
        <w:footnoteRef/>
      </w:r>
      <w:r>
        <w:tab/>
        <w:t xml:space="preserve">Decision 1/CMP.13, paragraph 7. </w:t>
      </w:r>
    </w:p>
  </w:footnote>
  <w:footnote w:id="3">
    <w:p>
      <w:pPr>
        <w:pStyle w:val="P26"/>
      </w:pPr>
      <w:r>
        <w:tab/>
      </w:r>
      <w:r>
        <w:rPr>
          <w:rStyle w:val="C3"/>
        </w:rPr>
        <w:footnoteRef/>
      </w:r>
      <w:r>
        <w:tab/>
        <w:t xml:space="preserve">FCCC/KP/CMP/2018/4, paragraphs 45–56, and FCCC/KP/CMP/2018/4/Add.1, paragraph 18. </w:t>
      </w:r>
    </w:p>
  </w:footnote>
  <w:footnote w:id="4">
    <w:p>
      <w:pPr>
        <w:pStyle w:val="P26"/>
      </w:pPr>
      <w:r>
        <w:tab/>
      </w:r>
      <w:r>
        <w:rPr>
          <w:rStyle w:val="C3"/>
        </w:rPr>
        <w:footnoteRef/>
      </w:r>
      <w:r>
        <w:tab/>
        <w:t>Decision 15/CP.1, annex I.</w:t>
      </w:r>
    </w:p>
  </w:footnote>
  <w:footnote w:id="5">
    <w:p>
      <w:pPr>
        <w:pStyle w:val="P26"/>
        <w:widowControl w:val="0"/>
        <w:tabs>
          <w:tab w:val="right" w:pos="1020" w:leader="none"/>
          <w:tab w:val="clear" w:pos="1021" w:leader="none"/>
        </w:tabs>
      </w:pPr>
      <w:r>
        <w:tab/>
      </w:r>
      <w:r>
        <w:rPr>
          <w:rStyle w:val="C3"/>
        </w:rPr>
        <w:footnoteRef/>
      </w:r>
      <w:r>
        <w:tab/>
        <w:t>FCCC/SBI/2018/16 and Add.1 and 2, FCCC/SBI/2018/INF.11 and Add.1, FCCC/SBI/2018/INF.12, FCCC/SBI/2018/INF.16, FCCC/SBI/2018/INF.17, FCCC/SBI/2018/INF.18 and FCCC/SBI/2018/INF.19.</w:t>
      </w:r>
    </w:p>
  </w:footnote>
  <w:footnote w:id="6">
    <w:p>
      <w:pPr>
        <w:pStyle w:val="P26"/>
        <w:widowControl w:val="0"/>
        <w:tabs>
          <w:tab w:val="right" w:pos="1020" w:leader="none"/>
          <w:tab w:val="clear" w:pos="1021" w:leader="none"/>
        </w:tabs>
      </w:pPr>
      <w:r>
        <w:tab/>
      </w:r>
      <w:r>
        <w:rPr>
          <w:rStyle w:val="C3"/>
        </w:rPr>
        <w:footnoteRef/>
      </w:r>
      <w:r>
        <w:tab/>
        <w:t>FCCC/SBI/2018/16 and Add.1 and 2.</w:t>
      </w:r>
    </w:p>
  </w:footnote>
  <w:footnote w:id="7">
    <w:p>
      <w:pPr>
        <w:pStyle w:val="P26"/>
        <w:widowControl w:val="0"/>
        <w:tabs>
          <w:tab w:val="right" w:pos="1020" w:leader="none"/>
          <w:tab w:val="clear" w:pos="1021" w:leader="none"/>
        </w:tabs>
      </w:pPr>
      <w:r>
        <w:tab/>
      </w:r>
      <w:r>
        <w:rPr>
          <w:rStyle w:val="C3"/>
        </w:rPr>
        <w:footnoteRef/>
      </w:r>
      <w:r>
        <w:tab/>
        <w:t xml:space="preserve">FCCC/SBI/2018/INF.12. </w:t>
      </w:r>
    </w:p>
  </w:footnote>
  <w:footnote w:id="8">
    <w:p>
      <w:pPr>
        <w:pStyle w:val="P26"/>
        <w:widowControl w:val="0"/>
        <w:tabs>
          <w:tab w:val="right" w:pos="1020" w:leader="none"/>
          <w:tab w:val="clear" w:pos="1021" w:leader="none"/>
        </w:tabs>
      </w:pPr>
      <w:r>
        <w:tab/>
      </w:r>
      <w:r>
        <w:rPr>
          <w:rStyle w:val="C3"/>
        </w:rPr>
        <w:footnoteRef/>
      </w:r>
      <w:r>
        <w:tab/>
        <w:t>FCCC/SBI/2018/INF.11 and Add.1.</w:t>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pBdr>
        <w:top w:val="none" w:sz="0" w:space="0" w:shadow="0" w:frame="0"/>
        <w:left w:val="none" w:sz="0" w:space="0" w:shadow="0" w:frame="0"/>
        <w:bottom w:val="none" w:sz="0" w:space="0" w:shadow="0" w:frame="0"/>
        <w:right w:val="none" w:sz="0" w:space="0" w:shadow="0" w:frame="0"/>
      </w:pBdr>
    </w:pPr>
  </w:p>
</w:hdr>
</file>

<file path=word/header10.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pBdr>
        <w:top w:val="none" w:sz="0" w:space="0" w:shadow="0" w:frame="0"/>
        <w:left w:val="none" w:sz="0" w:space="0" w:shadow="0" w:frame="0"/>
        <w:bottom w:val="none" w:sz="0" w:space="0" w:shadow="0" w:frame="0"/>
        <w:right w:val="none" w:sz="0" w:space="0" w:shadow="0" w:frame="0"/>
      </w:pBdr>
    </w:pPr>
  </w:p>
</w:hdr>
</file>

<file path=word/header1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jc w:val="right"/>
    </w:pPr>
    <w:r>
      <w:t>FCCC/KP/CMP/2018/8/Add.1</w:t>
    </w:r>
  </w:p>
</w:hdr>
</file>

<file path=word/header1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pPr>
    <w:r>
      <w:t>FCCC/KP/CMP/2018/8/Add.1</w:t>
    </w:r>
  </w:p>
</w:hdr>
</file>

<file path=word/header1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pBdr>
        <w:top w:val="none" w:sz="0" w:space="0" w:shadow="0" w:frame="0"/>
        <w:left w:val="none" w:sz="0" w:space="0" w:shadow="0" w:frame="0"/>
        <w:bottom w:val="none" w:sz="0" w:space="0" w:shadow="0" w:frame="0"/>
        <w:right w:val="none" w:sz="0" w:space="0" w:shadow="0" w:frame="0"/>
      </w:pBdr>
    </w:pPr>
  </w:p>
</w:hdr>
</file>

<file path=word/header1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jc w:val="right"/>
    </w:pPr>
    <w:r>
      <w:t>FCCC/KP/CMP/2018/8/Add.1</w:t>
    </w:r>
  </w:p>
</w:hdr>
</file>

<file path=word/header1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pPr>
    <w:r>
      <w:t>FCCC/KP/CMP/2018/8/Add.1</w:t>
    </w:r>
  </w:p>
</w:hdr>
</file>

<file path=word/header1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pBdr>
        <w:top w:val="none" w:sz="0" w:space="0" w:shadow="0" w:frame="0"/>
        <w:left w:val="none" w:sz="0" w:space="0" w:shadow="0" w:frame="0"/>
        <w:bottom w:val="none" w:sz="0" w:space="0" w:shadow="0" w:frame="0"/>
        <w:right w:val="none" w:sz="0" w:space="0" w:shadow="0" w:frame="0"/>
      </w:pBdr>
    </w:pPr>
  </w:p>
</w:hdr>
</file>

<file path=word/header1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jc w:val="right"/>
    </w:pPr>
    <w:r>
      <w:t>FCCC/KP/CMP/2017/7/Add.1</w:t>
    </w:r>
  </w:p>
</w:hdr>
</file>

<file path=word/header1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pPr>
    <w:r>
      <w:t>FCCC/KP/CMP/2018/8/Add.1</w: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jc w:val="right"/>
    </w:pPr>
    <w:r>
      <w:t>FCCC/KP/CMP/2017/7/Add.1</w: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pPr>
    <w:r>
      <w:t>FCCC/KP/CMP/2018/8/Add.1</w:t>
    </w: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pBdr>
        <w:top w:val="none" w:sz="0" w:space="0" w:shadow="0" w:frame="0"/>
        <w:left w:val="none" w:sz="0" w:space="0" w:shadow="0" w:frame="0"/>
        <w:bottom w:val="none" w:sz="0" w:space="0" w:shadow="0" w:frame="0"/>
        <w:right w:val="none" w:sz="0" w:space="0" w:shadow="0" w:frame="0"/>
      </w:pBdr>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jc w:val="right"/>
    </w:pPr>
    <w:r>
      <w:t>FCCC/KP/CMP/2018/8/Add.1</w:t>
    </w: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pPr>
    <w:r>
      <w:t>FCCC/KP/CMP/2018/8/Add.1</w:t>
    </w:r>
  </w:p>
</w:hdr>
</file>

<file path=word/header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pBdr>
        <w:top w:val="none" w:sz="0" w:space="0" w:shadow="0" w:frame="0"/>
        <w:left w:val="none" w:sz="0" w:space="0" w:shadow="0" w:frame="0"/>
        <w:bottom w:val="none" w:sz="0" w:space="0" w:shadow="0" w:frame="0"/>
        <w:right w:val="none" w:sz="0" w:space="0" w:shadow="0" w:frame="0"/>
      </w:pBdr>
    </w:pPr>
  </w:p>
</w:hdr>
</file>

<file path=word/header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jc w:val="right"/>
    </w:pPr>
    <w:r>
      <w:t>FCCC/KP/CMP/2018/8/Add.1</w:t>
    </w:r>
  </w:p>
</w:hdr>
</file>

<file path=word/header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pPr>
    <w:r>
      <w:t>FCCC/KP/CMP/2017/7/Add.1</w:t>
    </w:r>
  </w:p>
</w:hdr>
</file>

<file path=word/numbering.xml><?xml version="1.0" encoding="utf-8"?>
<w:numbering xmlns:w="http://schemas.openxmlformats.org/wordprocessingml/2006/main">
  <w:abstractNum w:abstractNumId="0">
    <w:nsid w:val="00000077"/>
    <w:multiLevelType w:val="hybridMultilevel"/>
    <w:lvl w:ilvl="0" w:tplc="648EE4C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7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7D"/>
    <w:multiLevelType w:val="hybridMultilevel"/>
    <w:lvl w:ilvl="0" w:tplc="1BAA4AAA">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7E"/>
    <w:multiLevelType w:val="hybridMultilevel"/>
    <w:lvl w:ilvl="0" w:tplc="1A1ECB07">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7F"/>
    <w:multiLevelType w:val="hybridMultilevel"/>
    <w:lvl w:ilvl="0" w:tplc="35CD8883">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0000080"/>
    <w:multiLevelType w:val="hybridMultilevel"/>
    <w:lvl w:ilvl="0" w:tplc="0E46C32F">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0000081"/>
    <w:multiLevelType w:val="multilevel"/>
    <w:lvl w:ilvl="0">
      <w:start w:val="1"/>
      <w:numFmt w:val="decimal"/>
      <w:suff w:val="tab"/>
      <w:lvlText w:val="%1."/>
      <w:lvlJc w:val="left"/>
      <w:pPr>
        <w:ind w:hanging="360" w:left="643"/>
        <w:tabs>
          <w:tab w:val="left" w:pos="643"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0000082"/>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0000083"/>
    <w:multiLevelType w:val="multilevel"/>
    <w:lvl w:ilvl="0">
      <w:start w:val="1"/>
      <w:numFmt w:val="decimal"/>
      <w:suff w:val="tab"/>
      <w:lvlText w:val="%1."/>
      <w:lvlJc w:val="left"/>
      <w:pPr>
        <w:ind w:hanging="360" w:left="1209"/>
        <w:tabs>
          <w:tab w:val="left" w:pos="120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0000084"/>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3F2036B"/>
    <w:multiLevelType w:val="hybridMultilevel"/>
    <w:lvl w:ilvl="0" w:tplc="477CDFA7">
      <w:start w:val="1"/>
      <w:numFmt w:val="bullet"/>
      <w:suff w:val="tab"/>
      <w:lvlText w:val="•"/>
      <w:lvlJc w:val="left"/>
      <w:pPr>
        <w:ind w:hanging="170" w:left="1701"/>
        <w:tabs>
          <w:tab w:val="left" w:pos="1701" w:leader="none"/>
        </w:tabs>
      </w:pPr>
      <w:rPr>
        <w:rFonts w:ascii="Times New Roman" w:hAnsi="Times New Roman"/>
      </w:rPr>
    </w:lvl>
    <w:lvl w:ilvl="1" w:tplc="2FD67CB7">
      <w:start w:val="1"/>
      <w:numFmt w:val="bullet"/>
      <w:suff w:val="tab"/>
      <w:lvlText w:val="o"/>
      <w:lvlJc w:val="left"/>
      <w:pPr>
        <w:ind w:hanging="360" w:left="1440"/>
        <w:tabs>
          <w:tab w:val="left" w:pos="1440" w:leader="none"/>
        </w:tabs>
      </w:pPr>
      <w:rPr>
        <w:rFonts w:ascii="Courier New" w:hAnsi="Courier New"/>
      </w:rPr>
    </w:lvl>
    <w:lvl w:ilvl="2" w:tplc="0607FAEA">
      <w:start w:val="1"/>
      <w:numFmt w:val="bullet"/>
      <w:suff w:val="tab"/>
      <w:lvlText w:val=""/>
      <w:lvlJc w:val="left"/>
      <w:pPr>
        <w:ind w:hanging="360" w:left="2160"/>
        <w:tabs>
          <w:tab w:val="left" w:pos="2160" w:leader="none"/>
        </w:tabs>
      </w:pPr>
      <w:rPr>
        <w:rFonts w:ascii="Wingdings" w:hAnsi="Wingdings"/>
      </w:rPr>
    </w:lvl>
    <w:lvl w:ilvl="3" w:tplc="46001611">
      <w:start w:val="1"/>
      <w:numFmt w:val="bullet"/>
      <w:suff w:val="tab"/>
      <w:lvlText w:val=""/>
      <w:lvlJc w:val="left"/>
      <w:pPr>
        <w:ind w:hanging="360" w:left="2880"/>
        <w:tabs>
          <w:tab w:val="left" w:pos="2880" w:leader="none"/>
        </w:tabs>
      </w:pPr>
      <w:rPr>
        <w:rFonts w:ascii="Symbol" w:hAnsi="Symbol"/>
      </w:rPr>
    </w:lvl>
    <w:lvl w:ilvl="4" w:tplc="260400FF">
      <w:start w:val="1"/>
      <w:numFmt w:val="bullet"/>
      <w:suff w:val="tab"/>
      <w:lvlText w:val="o"/>
      <w:lvlJc w:val="left"/>
      <w:pPr>
        <w:ind w:hanging="360" w:left="3600"/>
        <w:tabs>
          <w:tab w:val="left" w:pos="3600" w:leader="none"/>
        </w:tabs>
      </w:pPr>
      <w:rPr>
        <w:rFonts w:ascii="Courier New" w:hAnsi="Courier New"/>
      </w:rPr>
    </w:lvl>
    <w:lvl w:ilvl="5" w:tplc="019B4C46">
      <w:start w:val="1"/>
      <w:numFmt w:val="bullet"/>
      <w:suff w:val="tab"/>
      <w:lvlText w:val=""/>
      <w:lvlJc w:val="left"/>
      <w:pPr>
        <w:ind w:hanging="360" w:left="4320"/>
        <w:tabs>
          <w:tab w:val="left" w:pos="4320" w:leader="none"/>
        </w:tabs>
      </w:pPr>
      <w:rPr>
        <w:rFonts w:ascii="Wingdings" w:hAnsi="Wingdings"/>
      </w:rPr>
    </w:lvl>
    <w:lvl w:ilvl="6" w:tplc="3BBF623C">
      <w:start w:val="1"/>
      <w:numFmt w:val="bullet"/>
      <w:suff w:val="tab"/>
      <w:lvlText w:val=""/>
      <w:lvlJc w:val="left"/>
      <w:pPr>
        <w:ind w:hanging="360" w:left="5040"/>
        <w:tabs>
          <w:tab w:val="left" w:pos="5040" w:leader="none"/>
        </w:tabs>
      </w:pPr>
      <w:rPr>
        <w:rFonts w:ascii="Symbol" w:hAnsi="Symbol"/>
      </w:rPr>
    </w:lvl>
    <w:lvl w:ilvl="7" w:tplc="0A69DF4D">
      <w:start w:val="1"/>
      <w:numFmt w:val="bullet"/>
      <w:suff w:val="tab"/>
      <w:lvlText w:val="o"/>
      <w:lvlJc w:val="left"/>
      <w:pPr>
        <w:ind w:hanging="360" w:left="5760"/>
        <w:tabs>
          <w:tab w:val="left" w:pos="5760" w:leader="none"/>
        </w:tabs>
      </w:pPr>
      <w:rPr>
        <w:rFonts w:ascii="Courier New" w:hAnsi="Courier New"/>
      </w:rPr>
    </w:lvl>
    <w:lvl w:ilvl="8" w:tplc="4AE82009">
      <w:start w:val="1"/>
      <w:numFmt w:val="bullet"/>
      <w:suff w:val="tab"/>
      <w:lvlText w:val=""/>
      <w:lvlJc w:val="left"/>
      <w:pPr>
        <w:ind w:hanging="360" w:left="6480"/>
        <w:tabs>
          <w:tab w:val="left" w:pos="6480" w:leader="none"/>
        </w:tabs>
      </w:pPr>
      <w:rPr>
        <w:rFonts w:ascii="Wingdings" w:hAnsi="Wingdings"/>
      </w:rPr>
    </w:lvl>
  </w:abstractNum>
  <w:abstractNum w:abstractNumId="11">
    <w:nsid w:val="044454B7"/>
    <w:multiLevelType w:val="multilevel"/>
    <w:tmpl w:val="0409001D"/>
    <w:styleLink w:val="N2"/>
    <w:lvl w:ilvl="0">
      <w:start w:val="1"/>
      <w:numFmt w:val="lowerLetter"/>
      <w:suff w:val="space"/>
      <w:lvlText w:val="%1  "/>
      <w:lvlJc w:val="left"/>
      <w:pPr>
        <w:ind w:firstLine="170" w:left="1134"/>
      </w:pPr>
      <w:rPr>
        <w:i w:val="1"/>
        <w:sz w:val="18"/>
        <w:vertAlign w:val="superscript"/>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071E275F"/>
    <w:multiLevelType w:val="multilevel"/>
    <w:lvl w:ilvl="0">
      <w:start w:val="1"/>
      <w:numFmt w:val="lowerLetter"/>
      <w:suff w:val="tab"/>
      <w:lvlText w:val="%1  "/>
      <w:lvlJc w:val="left"/>
      <w:pPr>
        <w:ind w:hanging="363" w:left="720"/>
      </w:pPr>
      <w:rPr>
        <w:i w:val="1"/>
        <w:sz w:val="18"/>
        <w:vertAlign w:val="superscript"/>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3">
    <w:nsid w:val="081F344F"/>
    <w:multiLevelType w:val="multilevel"/>
    <w:lvl w:ilvl="0">
      <w:start w:val="1"/>
      <w:numFmt w:val="lowerLetter"/>
      <w:suff w:val="space"/>
      <w:lvlText w:val="%1  "/>
      <w:lvlJc w:val="left"/>
      <w:pPr>
        <w:ind w:firstLine="170" w:left="1134"/>
      </w:pPr>
      <w:rPr>
        <w:i w:val="1"/>
        <w:sz w:val="18"/>
        <w:vertAlign w:val="superscript"/>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4">
    <w:nsid w:val="1023354E"/>
    <w:multiLevelType w:val="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upperLetter"/>
      <w:suff w:val="tab"/>
      <w:lvlText w:val="%2."/>
      <w:lvlJc w:val="right"/>
      <w:pPr>
        <w:ind w:hanging="284" w:left="1135"/>
        <w:tabs>
          <w:tab w:val="left" w:pos="1135" w:leader="none"/>
        </w:tabs>
      </w:pPr>
      <w:rPr>
        <w:rFonts w:ascii="Times New Roman" w:hAnsi="Times New Roman"/>
        <w:b w:val="1"/>
        <w:i w:val="0"/>
        <w:sz w:val="24"/>
      </w:rPr>
    </w:lvl>
    <w:lvl w:ilvl="2">
      <w:start w:val="1"/>
      <w:numFmt w:val="decimal"/>
      <w:suff w:val="tab"/>
      <w:lvlText w:val="%3."/>
      <w:lvlJc w:val="right"/>
      <w:pPr>
        <w:ind w:hanging="284" w:left="1135"/>
        <w:tabs>
          <w:tab w:val="left" w:pos="1135" w:leader="none"/>
        </w:tabs>
      </w:pPr>
      <w:rPr>
        <w:rFonts w:ascii="Times New Roman" w:hAnsi="Times New Roman"/>
        <w:b w:val="1"/>
        <w:i w:val="0"/>
        <w:sz w:val="20"/>
      </w:rPr>
    </w:lvl>
    <w:lvl w:ilvl="3">
      <w:start w:val="1"/>
      <w:numFmt w:val="lowerLetter"/>
      <w:suff w:val="tab"/>
      <w:lvlText w:val="(%4)"/>
      <w:lvlJc w:val="right"/>
      <w:pPr>
        <w:ind w:hanging="284" w:left="1135"/>
        <w:tabs>
          <w:tab w:val="left" w:pos="1134" w:leader="none"/>
        </w:tabs>
      </w:pPr>
      <w:rPr>
        <w:rFonts w:ascii="Times New Roman" w:hAnsi="Times New Roman"/>
        <w:b w:val="1"/>
        <w:i w:val="0"/>
        <w:sz w:val="20"/>
      </w:rPr>
    </w:lvl>
    <w:lvl w:ilvl="4">
      <w:start w:val="1"/>
      <w:numFmt w:val="lowerRoman"/>
      <w:suff w:val="tab"/>
      <w:lvlText w:val="(%5)"/>
      <w:lvlJc w:val="right"/>
      <w:pPr>
        <w:ind w:hanging="284" w:left="1135"/>
        <w:tabs>
          <w:tab w:val="left" w:pos="1134" w:leader="none"/>
        </w:tabs>
      </w:pPr>
      <w:rPr>
        <w:rFonts w:ascii="Times New Roman" w:hAnsi="Times New Roman"/>
        <w:b w:val="0"/>
        <w:i w:val="1"/>
      </w:rPr>
    </w:lvl>
    <w:lvl w:ilvl="5">
      <w:start w:val="1"/>
      <w:numFmt w:val="decimal"/>
      <w:lvlRestart w:val="0"/>
      <w:suff w:val="tab"/>
      <w:lvlText w:val="%6."/>
      <w:lvlJc w:val="left"/>
      <w:pPr>
        <w:ind w:firstLine="0" w:left="1134"/>
      </w:pPr>
      <w:rPr>
        <w:i w:val="0"/>
        <w:sz w:val="20"/>
      </w:rPr>
    </w:lvl>
    <w:lvl w:ilvl="6">
      <w:start w:val="1"/>
      <w:numFmt w:val="lowerLetter"/>
      <w:suff w:val="tab"/>
      <w:lvlText w:val="(%7)"/>
      <w:lvlJc w:val="left"/>
      <w:pPr>
        <w:ind w:firstLine="567" w:left="1134"/>
        <w:tabs>
          <w:tab w:val="left" w:pos="1702" w:leader="none"/>
        </w:tabs>
      </w:pPr>
      <w:rPr>
        <w:b w:val="0"/>
        <w:i w:val="0"/>
        <w:color w:val="auto"/>
        <w:sz w:val="20"/>
      </w:rPr>
    </w:lvl>
    <w:lvl w:ilvl="7">
      <w:start w:val="1"/>
      <w:numFmt w:val="lowerRoman"/>
      <w:suff w:val="tab"/>
      <w:lvlText w:val="(%8)"/>
      <w:lvlJc w:val="left"/>
      <w:pPr>
        <w:ind w:firstLine="0" w:left="1701"/>
      </w:pPr>
      <w:rPr>
        <w:sz w:val="20"/>
      </w:rPr>
    </w:lvl>
    <w:lvl w:ilvl="8">
      <w:start w:val="1"/>
      <w:numFmt w:val="lowerLetter"/>
      <w:suff w:val="tab"/>
      <w:lvlText w:val="%9."/>
      <w:lvlJc w:val="left"/>
      <w:pPr>
        <w:ind w:firstLine="0" w:left="2268"/>
        <w:tabs>
          <w:tab w:val="left" w:pos="2268" w:leader="none"/>
        </w:tabs>
      </w:pPr>
      <w:rPr/>
    </w:lvl>
  </w:abstractNum>
  <w:abstractNum w:abstractNumId="15">
    <w:nsid w:val="11A9360A"/>
    <w:multiLevelType w:val="multilevel"/>
    <w:lvl w:ilvl="0">
      <w:start w:val="1"/>
      <w:numFmt w:val="upperRoman"/>
      <w:suff w:val="space"/>
      <w:lvlText w:val="%1. "/>
      <w:lvlJc w:val="center"/>
      <w:pPr>
        <w:ind w:firstLine="0" w:left="0"/>
      </w:pPr>
      <w:rPr>
        <w:sz w:val="22"/>
      </w:rPr>
    </w:lvl>
    <w:lvl w:ilvl="1">
      <w:start w:val="1"/>
      <w:numFmt w:val="upperLetter"/>
      <w:suff w:val="space"/>
      <w:lvlText w:val="%2. "/>
      <w:lvlJc w:val="center"/>
      <w:pPr>
        <w:ind w:firstLine="0" w:left="0"/>
      </w:pPr>
      <w:rPr>
        <w:b w:val="1"/>
        <w:sz w:val="22"/>
        <w:u w:val="none"/>
      </w:rPr>
    </w:lvl>
    <w:lvl w:ilvl="2">
      <w:start w:val="1"/>
      <w:numFmt w:val="decimal"/>
      <w:suff w:val="space"/>
      <w:lvlText w:val="%3. "/>
      <w:lvlJc w:val="center"/>
      <w:pPr>
        <w:ind w:firstLine="0" w:left="0"/>
      </w:pPr>
      <w:rPr>
        <w:b w:val="0"/>
        <w:sz w:val="22"/>
        <w:u w:val="none"/>
      </w:rPr>
    </w:lvl>
    <w:lvl w:ilvl="3">
      <w:start w:val="1"/>
      <w:numFmt w:val="decimal"/>
      <w:lvlRestart w:val="0"/>
      <w:suff w:val="tab"/>
      <w:lvlText w:val="%4.  "/>
      <w:lvlJc w:val="left"/>
      <w:pPr>
        <w:ind w:firstLine="0" w:left="0"/>
        <w:tabs>
          <w:tab w:val="left" w:pos="720" w:leader="none"/>
        </w:tabs>
      </w:pPr>
      <w:rPr>
        <w:b w:val="0"/>
        <w:sz w:val="22"/>
      </w:rPr>
    </w:lvl>
    <w:lvl w:ilvl="4">
      <w:start w:val="1"/>
      <w:numFmt w:val="lowerLetter"/>
      <w:suff w:val="tab"/>
      <w:lvlText w:val="(%5)"/>
      <w:lvlJc w:val="left"/>
      <w:pPr>
        <w:ind w:firstLine="720" w:left="0"/>
        <w:tabs>
          <w:tab w:val="left" w:pos="1440" w:leader="none"/>
        </w:tabs>
      </w:pPr>
      <w:rPr>
        <w:b w:val="0"/>
        <w:sz w:val="22"/>
      </w:rPr>
    </w:lvl>
    <w:lvl w:ilvl="5">
      <w:start w:val="1"/>
      <w:numFmt w:val="lowerRoman"/>
      <w:suff w:val="tab"/>
      <w:lvlText w:val="(%6)"/>
      <w:lvlJc w:val="right"/>
      <w:pPr>
        <w:ind w:hanging="573" w:left="2160"/>
        <w:tabs>
          <w:tab w:val="left" w:pos="2160" w:leader="none"/>
        </w:tabs>
      </w:pPr>
      <w:rPr/>
    </w:lvl>
    <w:lvl w:ilvl="6">
      <w:start w:val="1"/>
      <w:numFmt w:val="lowerLetter"/>
      <w:suff w:val="tab"/>
      <w:lvlText w:val=""/>
      <w:lvlJc w:val="left"/>
      <w:pPr>
        <w:ind w:hanging="720" w:left="2880"/>
        <w:tabs>
          <w:tab w:val="left" w:pos="2880" w:leader="none"/>
        </w:tabs>
      </w:pPr>
      <w:rPr>
        <w:rFonts w:ascii="Symbol" w:hAnsi="Symbol"/>
      </w:rPr>
    </w:lvl>
    <w:lvl w:ilvl="7">
      <w:start w:val="1"/>
      <w:numFmt w:val="none"/>
      <w:suff w:val="tab"/>
      <w:lvlText w:val="[%3.%8"/>
      <w:lvlJc w:val="left"/>
      <w:pPr>
        <w:ind w:firstLine="0" w:left="0"/>
        <w:tabs>
          <w:tab w:val="left" w:pos="720" w:leader="none"/>
        </w:tabs>
      </w:pPr>
      <w:rPr/>
    </w:lvl>
    <w:lvl w:ilvl="8">
      <w:start w:val="1"/>
      <w:numFmt w:val="none"/>
      <w:suff w:val="tab"/>
      <w:lvlText w:val="[(%5)%9"/>
      <w:lvlJc w:val="left"/>
      <w:pPr>
        <w:ind w:firstLine="720" w:left="0"/>
        <w:tabs>
          <w:tab w:val="left" w:pos="1440" w:leader="none"/>
        </w:tabs>
      </w:pPr>
      <w:rPr/>
    </w:lvl>
  </w:abstractNum>
  <w:abstractNum w:abstractNumId="16">
    <w:nsid w:val="1BEC5A93"/>
    <w:multiLevelType w:val="hybrid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upperLetter"/>
      <w:suff w:val="tab"/>
      <w:lvlText w:val="%2."/>
      <w:lvlJc w:val="right"/>
      <w:pPr>
        <w:ind w:hanging="284" w:left="1135"/>
        <w:tabs>
          <w:tab w:val="left" w:pos="1135" w:leader="none"/>
        </w:tabs>
      </w:pPr>
      <w:rPr>
        <w:rFonts w:ascii="Times New Roman" w:hAnsi="Times New Roman"/>
        <w:b w:val="1"/>
        <w:i w:val="0"/>
        <w:sz w:val="24"/>
      </w:rPr>
    </w:lvl>
    <w:lvl w:ilvl="2">
      <w:start w:val="1"/>
      <w:numFmt w:val="decimal"/>
      <w:suff w:val="tab"/>
      <w:lvlText w:val="%3."/>
      <w:lvlJc w:val="right"/>
      <w:pPr>
        <w:ind w:hanging="284" w:left="1135"/>
        <w:tabs>
          <w:tab w:val="left" w:pos="1135" w:leader="none"/>
        </w:tabs>
      </w:pPr>
      <w:rPr>
        <w:rFonts w:ascii="Times New Roman" w:hAnsi="Times New Roman"/>
        <w:b w:val="1"/>
        <w:i w:val="0"/>
        <w:sz w:val="20"/>
      </w:rPr>
    </w:lvl>
    <w:lvl w:ilvl="3">
      <w:start w:val="1"/>
      <w:numFmt w:val="decimal"/>
      <w:lvlRestart w:val="0"/>
      <w:suff w:val="tab"/>
      <w:lvlText w:val="%4."/>
      <w:lvlJc w:val="left"/>
      <w:pPr>
        <w:ind w:firstLine="0" w:left="1135"/>
        <w:tabs>
          <w:tab w:val="left" w:pos="568" w:leader="none"/>
        </w:tabs>
      </w:pPr>
      <w:rPr>
        <w:rFonts w:ascii="Times New Roman" w:hAnsi="Times New Roman"/>
        <w:sz w:val="20"/>
      </w:rPr>
    </w:lvl>
    <w:lvl w:ilvl="4">
      <w:start w:val="1"/>
      <w:numFmt w:val="lowerLetter"/>
      <w:suff w:val="tab"/>
      <w:lvlText w:val="(%5)"/>
      <w:lvlJc w:val="left"/>
      <w:pPr>
        <w:ind w:firstLine="567" w:left="1135"/>
        <w:tabs>
          <w:tab w:val="left" w:pos="2269" w:leader="none"/>
        </w:tabs>
      </w:pPr>
      <w:rPr/>
    </w:lvl>
    <w:lvl w:ilvl="5">
      <w:start w:val="1"/>
      <w:numFmt w:val="lowerRoman"/>
      <w:suff w:val="tab"/>
      <w:lvlText w:val="(%6)"/>
      <w:lvlJc w:val="left"/>
      <w:pPr>
        <w:ind w:firstLine="0" w:left="1702"/>
        <w:tabs>
          <w:tab w:val="left" w:pos="2269" w:leader="none"/>
        </w:tabs>
      </w:pPr>
      <w:rPr/>
    </w:lvl>
    <w:lvl w:ilvl="6" w:tplc="5FF9A145">
      <w:start w:val="1"/>
      <w:numFmt w:val="bullet"/>
      <w:suff w:val="tab"/>
      <w:lvlText w:val=""/>
      <w:lvlJc w:val="left"/>
      <w:pPr>
        <w:ind w:hanging="170" w:left="1702"/>
        <w:tabs>
          <w:tab w:val="left" w:pos="1702" w:leader="none"/>
        </w:tabs>
      </w:pPr>
      <w:rPr>
        <w:rFonts w:ascii="Symbol" w:hAnsi="Symbol"/>
        <w:b w:val="0"/>
        <w:i w:val="0"/>
        <w:color w:val="auto"/>
        <w:sz w:val="20"/>
      </w:rPr>
    </w:lvl>
    <w:lvl w:ilvl="7">
      <w:start w:val="1"/>
      <w:numFmt w:val="none"/>
      <w:suff w:val="tab"/>
      <w:lvlText w:val="%8[%3."/>
      <w:lvlJc w:val="left"/>
      <w:pPr>
        <w:ind w:firstLine="0" w:left="1135"/>
        <w:tabs>
          <w:tab w:val="left" w:pos="568" w:leader="none"/>
        </w:tabs>
      </w:pPr>
      <w:rPr/>
    </w:lvl>
    <w:lvl w:ilvl="8">
      <w:start w:val="1"/>
      <w:numFmt w:val="lowerRoman"/>
      <w:suff w:val="tab"/>
      <w:lvlText w:val="%9."/>
      <w:lvlJc w:val="left"/>
      <w:pPr>
        <w:ind w:hanging="363" w:left="4094"/>
        <w:tabs>
          <w:tab w:val="left" w:pos="4094" w:leader="none"/>
        </w:tabs>
      </w:pPr>
      <w:rPr/>
    </w:lvl>
  </w:abstractNum>
  <w:abstractNum w:abstractNumId="17">
    <w:nsid w:val="1F217904"/>
    <w:multiLevelType w:val="multilevel"/>
    <w:lvl w:ilvl="0">
      <w:start w:val="1"/>
      <w:numFmt w:val="lowerLetter"/>
      <w:suff w:val="space"/>
      <w:lvlText w:val="%1  "/>
      <w:lvlJc w:val="left"/>
      <w:pPr>
        <w:ind w:firstLine="170" w:left="1134"/>
      </w:pPr>
      <w:rPr>
        <w:i w:val="1"/>
        <w:sz w:val="18"/>
        <w:vertAlign w:val="superscript"/>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8">
    <w:nsid w:val="203B2E8D"/>
    <w:multiLevelType w:val="multilevel"/>
    <w:tmpl w:val="0409001D"/>
    <w:styleLink w:val="N0"/>
    <w:lvl w:ilvl="0">
      <w:start w:val="1"/>
      <w:numFmt w:val="lowerLetter"/>
      <w:suff w:val="space"/>
      <w:lvlText w:val="%1  "/>
      <w:lvlJc w:val="left"/>
      <w:pPr>
        <w:ind w:firstLine="170" w:left="1134"/>
      </w:pPr>
      <w:rPr>
        <w:i w:val="1"/>
        <w:sz w:val="18"/>
        <w:vertAlign w:val="superscript"/>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9">
    <w:nsid w:val="22C51BCD"/>
    <w:multiLevelType w:val="multilevel"/>
    <w:lvl w:ilvl="0">
      <w:start w:val="1"/>
      <w:numFmt w:val="lowerLetter"/>
      <w:suff w:val="tab"/>
      <w:lvlText w:val="%1  "/>
      <w:lvlJc w:val="left"/>
      <w:pPr>
        <w:ind w:hanging="363" w:left="720"/>
      </w:pPr>
      <w:rPr>
        <w:i w:val="1"/>
        <w:sz w:val="18"/>
        <w:vertAlign w:val="superscript"/>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0">
    <w:nsid w:val="22C64F00"/>
    <w:multiLevelType w:val="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decimal"/>
      <w:suff w:val="tab"/>
      <w:lvlText w:val="%2."/>
      <w:lvlJc w:val="right"/>
      <w:pPr>
        <w:ind w:hanging="284" w:left="1135"/>
        <w:tabs>
          <w:tab w:val="left" w:pos="1135" w:leader="none"/>
        </w:tabs>
      </w:pPr>
      <w:rPr>
        <w:rFonts w:ascii="Times New Roman" w:hAnsi="Times New Roman"/>
        <w:b w:val="1"/>
        <w:i w:val="0"/>
        <w:sz w:val="24"/>
      </w:rPr>
    </w:lvl>
    <w:lvl w:ilvl="2">
      <w:start w:val="1"/>
      <w:numFmt w:val="lowerLetter"/>
      <w:suff w:val="tab"/>
      <w:lvlText w:val="(%3)"/>
      <w:lvlJc w:val="right"/>
      <w:pPr>
        <w:ind w:hanging="284" w:left="1135"/>
        <w:tabs>
          <w:tab w:val="left" w:pos="1135" w:leader="none"/>
        </w:tabs>
      </w:pPr>
      <w:rPr>
        <w:rFonts w:ascii="Times New Roman" w:hAnsi="Times New Roman"/>
        <w:b w:val="0"/>
        <w:i w:val="0"/>
        <w:sz w:val="20"/>
      </w:rPr>
    </w:lvl>
    <w:lvl w:ilvl="3">
      <w:start w:val="1"/>
      <w:numFmt w:val="decimal"/>
      <w:lvlRestart w:val="0"/>
      <w:suff w:val="tab"/>
      <w:lvlText w:val="%4."/>
      <w:lvlJc w:val="left"/>
      <w:pPr>
        <w:ind w:hanging="567" w:left="1702"/>
        <w:tabs>
          <w:tab w:val="left" w:pos="1702" w:leader="none"/>
        </w:tabs>
      </w:pPr>
      <w:rPr/>
    </w:lvl>
    <w:lvl w:ilvl="4">
      <w:start w:val="1"/>
      <w:numFmt w:val="lowerLetter"/>
      <w:suff w:val="tab"/>
      <w:lvlText w:val="(%5)"/>
      <w:lvlJc w:val="left"/>
      <w:pPr>
        <w:ind w:firstLine="0" w:left="1702"/>
        <w:tabs>
          <w:tab w:val="left" w:pos="2269" w:leader="none"/>
        </w:tabs>
      </w:pPr>
      <w:rPr/>
    </w:lvl>
    <w:lvl w:ilvl="5">
      <w:start w:val="1"/>
      <w:numFmt w:val="decimal"/>
      <w:suff w:val="tab"/>
      <w:lvlText w:val="%6."/>
      <w:lvlJc w:val="left"/>
      <w:pPr>
        <w:ind w:hanging="567" w:left="2836"/>
        <w:tabs>
          <w:tab w:val="left" w:pos="2161" w:leader="none"/>
        </w:tabs>
      </w:pPr>
      <w:rPr/>
    </w:lvl>
    <w:lvl w:ilvl="6">
      <w:start w:val="1"/>
      <w:numFmt w:val="lowerLetter"/>
      <w:suff w:val="tab"/>
      <w:lvlText w:val="(%7)"/>
      <w:lvlJc w:val="left"/>
      <w:pPr>
        <w:ind w:hanging="567" w:left="3403"/>
        <w:tabs>
          <w:tab w:val="left" w:pos="3403" w:leader="none"/>
        </w:tabs>
      </w:pPr>
      <w:rPr/>
    </w:lvl>
    <w:lvl w:ilvl="7">
      <w:start w:val="1"/>
      <w:numFmt w:val="none"/>
      <w:suff w:val="tab"/>
      <w:lvlText w:val="[%4."/>
      <w:lvlJc w:val="left"/>
      <w:pPr>
        <w:ind w:hanging="567" w:left="1702"/>
        <w:tabs>
          <w:tab w:val="left" w:pos="1702" w:leader="none"/>
        </w:tabs>
      </w:pPr>
      <w:rPr>
        <w:color w:val="auto"/>
      </w:rPr>
    </w:lvl>
    <w:lvl w:ilvl="8">
      <w:start w:val="1"/>
      <w:numFmt w:val="lowerRoman"/>
      <w:suff w:val="tab"/>
      <w:lvlText w:val="%9."/>
      <w:lvlJc w:val="left"/>
      <w:pPr>
        <w:ind w:hanging="357" w:left="3238"/>
        <w:tabs>
          <w:tab w:val="left" w:pos="3238" w:leader="none"/>
        </w:tabs>
      </w:pPr>
      <w:rPr/>
    </w:lvl>
  </w:abstractNum>
  <w:abstractNum w:abstractNumId="21">
    <w:nsid w:val="2E215943"/>
    <w:multiLevelType w:val="multilevel"/>
    <w:tmpl w:val="0409001D"/>
    <w:styleLink w:val="N1"/>
    <w:lvl w:ilvl="0">
      <w:start w:val="1"/>
      <w:numFmt w:val="lowerLetter"/>
      <w:suff w:val="tab"/>
      <w:lvlText w:val="%1  "/>
      <w:lvlJc w:val="left"/>
      <w:pPr>
        <w:ind w:hanging="363" w:left="720"/>
      </w:pPr>
      <w:rPr>
        <w:i w:val="1"/>
        <w:sz w:val="18"/>
        <w:vertAlign w:val="superscript"/>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lowerLetter"/>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2">
    <w:nsid w:val="2F1F7003"/>
    <w:multiLevelType w:val="multilevel"/>
    <w:lvl w:ilvl="0">
      <w:start w:val="1"/>
      <w:numFmt w:val="lowerLetter"/>
      <w:suff w:val="tab"/>
      <w:lvlText w:val="%1  "/>
      <w:lvlJc w:val="left"/>
      <w:pPr>
        <w:ind w:hanging="363" w:left="720"/>
      </w:pPr>
      <w:rPr>
        <w:i w:val="1"/>
        <w:sz w:val="18"/>
        <w:vertAlign w:val="superscript"/>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3">
    <w:nsid w:val="319C738E"/>
    <w:multiLevelType w:val="multilevel"/>
    <w:lvl w:ilvl="0">
      <w:start w:val="1"/>
      <w:numFmt w:val="lowerLetter"/>
      <w:suff w:val="tab"/>
      <w:lvlText w:val="%1  "/>
      <w:lvlJc w:val="left"/>
      <w:pPr>
        <w:ind w:hanging="363" w:left="720"/>
      </w:pPr>
      <w:rPr>
        <w:i w:val="1"/>
        <w:sz w:val="18"/>
        <w:vertAlign w:val="superscript"/>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4">
    <w:nsid w:val="4547667B"/>
    <w:multiLevelType w:val="multilevel"/>
    <w:lvl w:ilvl="0">
      <w:start w:val="1"/>
      <w:numFmt w:val="lowerLetter"/>
      <w:suff w:val="tab"/>
      <w:lvlText w:val="%1  "/>
      <w:lvlJc w:val="left"/>
      <w:pPr>
        <w:ind w:hanging="363" w:left="720"/>
      </w:pPr>
      <w:rPr>
        <w:i w:val="1"/>
        <w:sz w:val="18"/>
        <w:vertAlign w:val="superscript"/>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5">
    <w:nsid w:val="58CE20E1"/>
    <w:multiLevelType w:val="multilevel"/>
    <w:lvl w:ilvl="0">
      <w:start w:val="1"/>
      <w:numFmt w:val="lowerLetter"/>
      <w:suff w:val="space"/>
      <w:lvlText w:val="%1  "/>
      <w:lvlJc w:val="left"/>
      <w:pPr>
        <w:ind w:firstLine="170" w:left="1134"/>
      </w:pPr>
      <w:rPr>
        <w:i w:val="1"/>
        <w:sz w:val="18"/>
        <w:vertAlign w:val="superscript"/>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6">
    <w:nsid w:val="600C7197"/>
    <w:multiLevelType w:val="multilevel"/>
    <w:lvl w:ilvl="0">
      <w:start w:val="1"/>
      <w:numFmt w:val="lowerLetter"/>
      <w:suff w:val="space"/>
      <w:lvlText w:val="%1  "/>
      <w:lvlJc w:val="left"/>
      <w:pPr>
        <w:ind w:firstLine="170" w:left="1107"/>
      </w:pPr>
      <w:rPr>
        <w:i w:val="1"/>
        <w:sz w:val="18"/>
        <w:vertAlign w:val="superscript"/>
      </w:rPr>
    </w:lvl>
    <w:lvl w:ilvl="1">
      <w:start w:val="1"/>
      <w:numFmt w:val="lowerLetter"/>
      <w:suff w:val="tab"/>
      <w:lvlText w:val="%2."/>
      <w:lvlJc w:val="left"/>
      <w:pPr>
        <w:ind w:hanging="360" w:left="1413"/>
      </w:pPr>
      <w:rPr/>
    </w:lvl>
    <w:lvl w:ilvl="2">
      <w:start w:val="1"/>
      <w:numFmt w:val="lowerRoman"/>
      <w:suff w:val="tab"/>
      <w:lvlText w:val="%3."/>
      <w:lvlJc w:val="right"/>
      <w:pPr>
        <w:ind w:hanging="180" w:left="2133"/>
      </w:pPr>
      <w:rPr/>
    </w:lvl>
    <w:lvl w:ilvl="3">
      <w:start w:val="1"/>
      <w:numFmt w:val="decimal"/>
      <w:suff w:val="tab"/>
      <w:lvlText w:val="%4."/>
      <w:lvlJc w:val="left"/>
      <w:pPr>
        <w:ind w:hanging="360" w:left="2853"/>
      </w:pPr>
      <w:rPr/>
    </w:lvl>
    <w:lvl w:ilvl="4">
      <w:start w:val="1"/>
      <w:numFmt w:val="lowerLetter"/>
      <w:suff w:val="tab"/>
      <w:lvlText w:val="%5."/>
      <w:lvlJc w:val="left"/>
      <w:pPr>
        <w:ind w:hanging="360" w:left="3573"/>
      </w:pPr>
      <w:rPr/>
    </w:lvl>
    <w:lvl w:ilvl="5">
      <w:start w:val="1"/>
      <w:numFmt w:val="lowerRoman"/>
      <w:suff w:val="tab"/>
      <w:lvlText w:val="%6."/>
      <w:lvlJc w:val="right"/>
      <w:pPr>
        <w:ind w:hanging="180" w:left="4293"/>
      </w:pPr>
      <w:rPr/>
    </w:lvl>
    <w:lvl w:ilvl="6">
      <w:start w:val="1"/>
      <w:numFmt w:val="decimal"/>
      <w:suff w:val="tab"/>
      <w:lvlText w:val="%7."/>
      <w:lvlJc w:val="left"/>
      <w:pPr>
        <w:ind w:hanging="360" w:left="5013"/>
      </w:pPr>
      <w:rPr/>
    </w:lvl>
    <w:lvl w:ilvl="7">
      <w:start w:val="1"/>
      <w:numFmt w:val="lowerLetter"/>
      <w:suff w:val="tab"/>
      <w:lvlText w:val="%8."/>
      <w:lvlJc w:val="left"/>
      <w:pPr>
        <w:ind w:hanging="360" w:left="5733"/>
      </w:pPr>
      <w:rPr/>
    </w:lvl>
    <w:lvl w:ilvl="8">
      <w:start w:val="1"/>
      <w:numFmt w:val="lowerRoman"/>
      <w:suff w:val="tab"/>
      <w:lvlText w:val="%9."/>
      <w:lvlJc w:val="right"/>
      <w:pPr>
        <w:ind w:hanging="180" w:left="6453"/>
      </w:pPr>
      <w:rPr/>
    </w:lvl>
  </w:abstractNum>
  <w:abstractNum w:abstractNumId="27">
    <w:nsid w:val="60CA7829"/>
    <w:multiLevelType w:val="multilevel"/>
    <w:lvl w:ilvl="0">
      <w:start w:val="1"/>
      <w:numFmt w:val="lowerLetter"/>
      <w:suff w:val="tab"/>
      <w:lvlText w:val="%1  "/>
      <w:lvlJc w:val="left"/>
      <w:pPr>
        <w:ind w:hanging="360" w:left="720"/>
      </w:pPr>
      <w:rPr>
        <w:i w:val="1"/>
        <w:sz w:val="18"/>
        <w:vertAlign w:val="superscript"/>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8">
    <w:nsid w:val="6674442C"/>
    <w:multiLevelType w:val="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upperLetter"/>
      <w:suff w:val="tab"/>
      <w:lvlText w:val="%2."/>
      <w:lvlJc w:val="right"/>
      <w:pPr>
        <w:ind w:hanging="284" w:left="1135"/>
        <w:tabs>
          <w:tab w:val="left" w:pos="1135" w:leader="none"/>
        </w:tabs>
      </w:pPr>
      <w:rPr>
        <w:rFonts w:ascii="Times New Roman" w:hAnsi="Times New Roman"/>
        <w:b w:val="1"/>
        <w:i w:val="0"/>
        <w:sz w:val="24"/>
      </w:rPr>
    </w:lvl>
    <w:lvl w:ilvl="2">
      <w:start w:val="1"/>
      <w:numFmt w:val="decimal"/>
      <w:suff w:val="tab"/>
      <w:lvlText w:val="%3."/>
      <w:lvlJc w:val="right"/>
      <w:pPr>
        <w:ind w:hanging="284" w:left="1135"/>
        <w:tabs>
          <w:tab w:val="left" w:pos="1135" w:leader="none"/>
        </w:tabs>
      </w:pPr>
      <w:rPr>
        <w:rFonts w:ascii="Times New Roman" w:hAnsi="Times New Roman"/>
        <w:b w:val="1"/>
        <w:i w:val="0"/>
        <w:sz w:val="20"/>
      </w:rPr>
    </w:lvl>
    <w:lvl w:ilvl="3">
      <w:start w:val="1"/>
      <w:numFmt w:val="lowerLetter"/>
      <w:suff w:val="tab"/>
      <w:lvlText w:val="(%4)"/>
      <w:lvlJc w:val="right"/>
      <w:pPr>
        <w:ind w:hanging="284" w:left="1135"/>
        <w:tabs>
          <w:tab w:val="left" w:pos="1134" w:leader="none"/>
        </w:tabs>
      </w:pPr>
      <w:rPr>
        <w:rFonts w:ascii="Times New Roman" w:hAnsi="Times New Roman"/>
        <w:b w:val="1"/>
        <w:i w:val="0"/>
        <w:sz w:val="20"/>
      </w:rPr>
    </w:lvl>
    <w:lvl w:ilvl="4">
      <w:start w:val="1"/>
      <w:numFmt w:val="lowerRoman"/>
      <w:suff w:val="tab"/>
      <w:lvlText w:val="(%5)"/>
      <w:lvlJc w:val="right"/>
      <w:pPr>
        <w:ind w:hanging="284" w:left="1135"/>
        <w:tabs>
          <w:tab w:val="left" w:pos="1134" w:leader="none"/>
        </w:tabs>
      </w:pPr>
      <w:rPr>
        <w:rFonts w:ascii="Times New Roman" w:hAnsi="Times New Roman"/>
        <w:b w:val="0"/>
        <w:i w:val="1"/>
      </w:rPr>
    </w:lvl>
    <w:lvl w:ilvl="5">
      <w:start w:val="1"/>
      <w:numFmt w:val="decimal"/>
      <w:lvlRestart w:val="0"/>
      <w:suff w:val="tab"/>
      <w:lvlText w:val="%6."/>
      <w:lvlJc w:val="left"/>
      <w:pPr>
        <w:ind w:firstLine="0" w:left="1134"/>
      </w:pPr>
      <w:rPr>
        <w:sz w:val="20"/>
      </w:rPr>
    </w:lvl>
    <w:lvl w:ilvl="6">
      <w:start w:val="1"/>
      <w:numFmt w:val="lowerLetter"/>
      <w:suff w:val="tab"/>
      <w:lvlText w:val="(%7)"/>
      <w:lvlJc w:val="left"/>
      <w:pPr>
        <w:ind w:firstLine="567" w:left="1134"/>
        <w:tabs>
          <w:tab w:val="left" w:pos="1702" w:leader="none"/>
        </w:tabs>
      </w:pPr>
      <w:rPr>
        <w:b w:val="0"/>
        <w:i w:val="0"/>
        <w:color w:val="auto"/>
        <w:sz w:val="20"/>
      </w:rPr>
    </w:lvl>
    <w:lvl w:ilvl="7">
      <w:start w:val="1"/>
      <w:numFmt w:val="lowerRoman"/>
      <w:suff w:val="tab"/>
      <w:lvlText w:val="(%8)"/>
      <w:lvlJc w:val="left"/>
      <w:pPr>
        <w:ind w:firstLine="0" w:left="1701"/>
      </w:pPr>
      <w:rPr>
        <w:sz w:val="20"/>
      </w:rPr>
    </w:lvl>
    <w:lvl w:ilvl="8">
      <w:start w:val="1"/>
      <w:numFmt w:val="lowerLetter"/>
      <w:suff w:val="tab"/>
      <w:lvlText w:val="%9."/>
      <w:lvlJc w:val="left"/>
      <w:pPr>
        <w:ind w:firstLine="0" w:left="2268"/>
        <w:tabs>
          <w:tab w:val="left" w:pos="2268" w:leader="none"/>
        </w:tabs>
      </w:pPr>
      <w:rPr/>
    </w:lvl>
  </w:abstractNum>
  <w:abstractNum w:abstractNumId="29">
    <w:nsid w:val="686C3C2C"/>
    <w:multiLevelType w:val="hybrid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upperLetter"/>
      <w:suff w:val="tab"/>
      <w:lvlText w:val="%2."/>
      <w:lvlJc w:val="right"/>
      <w:pPr>
        <w:ind w:hanging="284" w:left="1135"/>
        <w:tabs>
          <w:tab w:val="left" w:pos="1135" w:leader="none"/>
        </w:tabs>
      </w:pPr>
      <w:rPr>
        <w:rFonts w:ascii="Times New Roman" w:hAnsi="Times New Roman"/>
        <w:b w:val="1"/>
        <w:i w:val="0"/>
        <w:sz w:val="24"/>
      </w:rPr>
    </w:lvl>
    <w:lvl w:ilvl="2">
      <w:start w:val="1"/>
      <w:numFmt w:val="decimal"/>
      <w:suff w:val="tab"/>
      <w:lvlText w:val="%3."/>
      <w:lvlJc w:val="right"/>
      <w:pPr>
        <w:ind w:hanging="284" w:left="1135"/>
        <w:tabs>
          <w:tab w:val="left" w:pos="1135" w:leader="none"/>
        </w:tabs>
      </w:pPr>
      <w:rPr>
        <w:rFonts w:ascii="Times New Roman" w:hAnsi="Times New Roman"/>
        <w:b w:val="1"/>
        <w:i w:val="0"/>
        <w:sz w:val="20"/>
      </w:rPr>
    </w:lvl>
    <w:lvl w:ilvl="3">
      <w:start w:val="1"/>
      <w:numFmt w:val="decimal"/>
      <w:lvlRestart w:val="0"/>
      <w:suff w:val="tab"/>
      <w:lvlText w:val="%4."/>
      <w:lvlJc w:val="left"/>
      <w:pPr>
        <w:ind w:firstLine="0" w:left="1135"/>
        <w:tabs>
          <w:tab w:val="left" w:pos="568" w:leader="none"/>
        </w:tabs>
      </w:pPr>
      <w:rPr>
        <w:rFonts w:ascii="Times New Roman" w:hAnsi="Times New Roman"/>
        <w:i w:val="0"/>
        <w:sz w:val="20"/>
      </w:rPr>
    </w:lvl>
    <w:lvl w:ilvl="4">
      <w:start w:val="1"/>
      <w:numFmt w:val="lowerLetter"/>
      <w:suff w:val="tab"/>
      <w:lvlText w:val="(%5)"/>
      <w:lvlJc w:val="left"/>
      <w:pPr>
        <w:ind w:firstLine="567" w:left="1135"/>
        <w:tabs>
          <w:tab w:val="left" w:pos="2269" w:leader="none"/>
        </w:tabs>
      </w:pPr>
      <w:rPr/>
    </w:lvl>
    <w:lvl w:ilvl="5">
      <w:start w:val="1"/>
      <w:numFmt w:val="lowerRoman"/>
      <w:suff w:val="tab"/>
      <w:lvlText w:val="(%6)"/>
      <w:lvlJc w:val="left"/>
      <w:pPr>
        <w:ind w:firstLine="0" w:left="1702"/>
        <w:tabs>
          <w:tab w:val="left" w:pos="2269" w:leader="none"/>
        </w:tabs>
      </w:pPr>
      <w:rPr/>
    </w:lvl>
    <w:lvl w:ilvl="6" w:tplc="6AE85D5A">
      <w:start w:val="1"/>
      <w:numFmt w:val="bullet"/>
      <w:suff w:val="tab"/>
      <w:lvlText w:val=""/>
      <w:lvlJc w:val="left"/>
      <w:pPr>
        <w:ind w:hanging="170" w:left="1702"/>
        <w:tabs>
          <w:tab w:val="left" w:pos="1702" w:leader="none"/>
        </w:tabs>
      </w:pPr>
      <w:rPr>
        <w:rFonts w:ascii="Symbol" w:hAnsi="Symbol"/>
        <w:b w:val="0"/>
        <w:i w:val="0"/>
        <w:color w:val="auto"/>
        <w:sz w:val="20"/>
      </w:rPr>
    </w:lvl>
    <w:lvl w:ilvl="7">
      <w:start w:val="1"/>
      <w:numFmt w:val="none"/>
      <w:suff w:val="tab"/>
      <w:lvlText w:val="%8[%3."/>
      <w:lvlJc w:val="left"/>
      <w:pPr>
        <w:ind w:firstLine="0" w:left="1135"/>
        <w:tabs>
          <w:tab w:val="left" w:pos="568" w:leader="none"/>
        </w:tabs>
      </w:pPr>
      <w:rPr/>
    </w:lvl>
    <w:lvl w:ilvl="8">
      <w:start w:val="1"/>
      <w:numFmt w:val="lowerRoman"/>
      <w:suff w:val="tab"/>
      <w:lvlText w:val="%9."/>
      <w:lvlJc w:val="left"/>
      <w:pPr>
        <w:ind w:hanging="363" w:left="4094"/>
        <w:tabs>
          <w:tab w:val="left" w:pos="4094" w:leader="none"/>
        </w:tabs>
      </w:pPr>
      <w:rPr/>
    </w:lvl>
  </w:abstractNum>
  <w:abstractNum w:abstractNumId="30">
    <w:nsid w:val="68862366"/>
    <w:multiLevelType w:val="hybridMultilevel"/>
    <w:lvl w:ilvl="0" w:tplc="10EFD7CE">
      <w:start w:val="1"/>
      <w:numFmt w:val="bullet"/>
      <w:suff w:val="tab"/>
      <w:lvlText w:val="•"/>
      <w:lvlJc w:val="left"/>
      <w:pPr>
        <w:ind w:hanging="170" w:left="2268"/>
        <w:tabs>
          <w:tab w:val="left" w:pos="2268" w:leader="none"/>
        </w:tabs>
      </w:pPr>
      <w:rPr>
        <w:rFonts w:ascii="Times New Roman" w:hAnsi="Times New Roman"/>
        <w:b w:val="0"/>
        <w:i w:val="0"/>
        <w:sz w:val="20"/>
      </w:rPr>
    </w:lvl>
    <w:lvl w:ilvl="1" w:tplc="03470807">
      <w:start w:val="1"/>
      <w:numFmt w:val="bullet"/>
      <w:suff w:val="tab"/>
      <w:lvlText w:val="o"/>
      <w:lvlJc w:val="left"/>
      <w:pPr>
        <w:ind w:hanging="360" w:left="1440"/>
        <w:tabs>
          <w:tab w:val="left" w:pos="1440" w:leader="none"/>
        </w:tabs>
      </w:pPr>
      <w:rPr>
        <w:rFonts w:ascii="Courier New" w:hAnsi="Courier New"/>
      </w:rPr>
    </w:lvl>
    <w:lvl w:ilvl="2" w:tplc="723495C2">
      <w:start w:val="1"/>
      <w:numFmt w:val="bullet"/>
      <w:suff w:val="tab"/>
      <w:lvlText w:val=""/>
      <w:lvlJc w:val="left"/>
      <w:pPr>
        <w:ind w:hanging="360" w:left="2160"/>
        <w:tabs>
          <w:tab w:val="left" w:pos="2160" w:leader="none"/>
        </w:tabs>
      </w:pPr>
      <w:rPr>
        <w:rFonts w:ascii="Wingdings" w:hAnsi="Wingdings"/>
      </w:rPr>
    </w:lvl>
    <w:lvl w:ilvl="3" w:tplc="62FA75CE">
      <w:start w:val="1"/>
      <w:numFmt w:val="bullet"/>
      <w:suff w:val="tab"/>
      <w:lvlText w:val=""/>
      <w:lvlJc w:val="left"/>
      <w:pPr>
        <w:ind w:hanging="360" w:left="2880"/>
        <w:tabs>
          <w:tab w:val="left" w:pos="2880" w:leader="none"/>
        </w:tabs>
      </w:pPr>
      <w:rPr>
        <w:rFonts w:ascii="Symbol" w:hAnsi="Symbol"/>
      </w:rPr>
    </w:lvl>
    <w:lvl w:ilvl="4" w:tplc="70E5D273">
      <w:start w:val="1"/>
      <w:numFmt w:val="bullet"/>
      <w:suff w:val="tab"/>
      <w:lvlText w:val="o"/>
      <w:lvlJc w:val="left"/>
      <w:pPr>
        <w:ind w:hanging="360" w:left="3600"/>
        <w:tabs>
          <w:tab w:val="left" w:pos="3600" w:leader="none"/>
        </w:tabs>
      </w:pPr>
      <w:rPr>
        <w:rFonts w:ascii="Courier New" w:hAnsi="Courier New"/>
      </w:rPr>
    </w:lvl>
    <w:lvl w:ilvl="5" w:tplc="78A7A1F1">
      <w:start w:val="1"/>
      <w:numFmt w:val="bullet"/>
      <w:suff w:val="tab"/>
      <w:lvlText w:val=""/>
      <w:lvlJc w:val="left"/>
      <w:pPr>
        <w:ind w:hanging="360" w:left="4320"/>
        <w:tabs>
          <w:tab w:val="left" w:pos="4320" w:leader="none"/>
        </w:tabs>
      </w:pPr>
      <w:rPr>
        <w:rFonts w:ascii="Wingdings" w:hAnsi="Wingdings"/>
      </w:rPr>
    </w:lvl>
    <w:lvl w:ilvl="6" w:tplc="3291AF03">
      <w:start w:val="1"/>
      <w:numFmt w:val="bullet"/>
      <w:suff w:val="tab"/>
      <w:lvlText w:val=""/>
      <w:lvlJc w:val="left"/>
      <w:pPr>
        <w:ind w:hanging="360" w:left="5040"/>
        <w:tabs>
          <w:tab w:val="left" w:pos="5040" w:leader="none"/>
        </w:tabs>
      </w:pPr>
      <w:rPr>
        <w:rFonts w:ascii="Symbol" w:hAnsi="Symbol"/>
      </w:rPr>
    </w:lvl>
    <w:lvl w:ilvl="7" w:tplc="5960B756">
      <w:start w:val="1"/>
      <w:numFmt w:val="bullet"/>
      <w:suff w:val="tab"/>
      <w:lvlText w:val="o"/>
      <w:lvlJc w:val="left"/>
      <w:pPr>
        <w:ind w:hanging="360" w:left="5760"/>
        <w:tabs>
          <w:tab w:val="left" w:pos="5760" w:leader="none"/>
        </w:tabs>
      </w:pPr>
      <w:rPr>
        <w:rFonts w:ascii="Courier New" w:hAnsi="Courier New"/>
      </w:rPr>
    </w:lvl>
    <w:lvl w:ilvl="8" w:tplc="3C455D12">
      <w:start w:val="1"/>
      <w:numFmt w:val="bullet"/>
      <w:suff w:val="tab"/>
      <w:lvlText w:val=""/>
      <w:lvlJc w:val="left"/>
      <w:pPr>
        <w:ind w:hanging="360" w:left="6480"/>
        <w:tabs>
          <w:tab w:val="left" w:pos="6480" w:leader="none"/>
        </w:tabs>
      </w:pPr>
      <w:rPr>
        <w:rFonts w:ascii="Wingdings" w:hAnsi="Wingdings"/>
      </w:rPr>
    </w:lvl>
  </w:abstractNum>
  <w:abstractNum w:abstractNumId="31">
    <w:nsid w:val="68AE3993"/>
    <w:multiLevelType w:val="multilevel"/>
    <w:lvl w:ilvl="0">
      <w:start w:val="1"/>
      <w:numFmt w:val="lowerLetter"/>
      <w:suff w:val="space"/>
      <w:lvlText w:val="%1  "/>
      <w:lvlJc w:val="left"/>
      <w:pPr>
        <w:ind w:firstLine="170" w:left="567"/>
      </w:pPr>
      <w:rPr>
        <w:i w:val="1"/>
        <w:sz w:val="18"/>
        <w:vertAlign w:val="superscript"/>
      </w:rPr>
    </w:lvl>
    <w:lvl w:ilvl="1">
      <w:start w:val="1"/>
      <w:numFmt w:val="lowerLetter"/>
      <w:suff w:val="tab"/>
      <w:lvlText w:val="%2."/>
      <w:lvlJc w:val="left"/>
      <w:pPr>
        <w:ind w:hanging="360" w:left="873"/>
      </w:pPr>
      <w:rPr/>
    </w:lvl>
    <w:lvl w:ilvl="2">
      <w:start w:val="1"/>
      <w:numFmt w:val="lowerRoman"/>
      <w:suff w:val="tab"/>
      <w:lvlText w:val="%3."/>
      <w:lvlJc w:val="right"/>
      <w:pPr>
        <w:ind w:hanging="180" w:left="1593"/>
      </w:pPr>
      <w:rPr/>
    </w:lvl>
    <w:lvl w:ilvl="3">
      <w:start w:val="1"/>
      <w:numFmt w:val="decimal"/>
      <w:suff w:val="tab"/>
      <w:lvlText w:val="%4."/>
      <w:lvlJc w:val="left"/>
      <w:pPr>
        <w:ind w:hanging="360" w:left="2313"/>
      </w:pPr>
      <w:rPr/>
    </w:lvl>
    <w:lvl w:ilvl="4">
      <w:start w:val="1"/>
      <w:numFmt w:val="lowerLetter"/>
      <w:suff w:val="tab"/>
      <w:lvlText w:val="%5."/>
      <w:lvlJc w:val="left"/>
      <w:pPr>
        <w:ind w:hanging="360" w:left="3033"/>
      </w:pPr>
      <w:rPr/>
    </w:lvl>
    <w:lvl w:ilvl="5">
      <w:start w:val="1"/>
      <w:numFmt w:val="lowerRoman"/>
      <w:suff w:val="tab"/>
      <w:lvlText w:val="%6."/>
      <w:lvlJc w:val="right"/>
      <w:pPr>
        <w:ind w:hanging="180" w:left="3753"/>
      </w:pPr>
      <w:rPr/>
    </w:lvl>
    <w:lvl w:ilvl="6">
      <w:start w:val="1"/>
      <w:numFmt w:val="decimal"/>
      <w:suff w:val="tab"/>
      <w:lvlText w:val="%7."/>
      <w:lvlJc w:val="left"/>
      <w:pPr>
        <w:ind w:hanging="360" w:left="4473"/>
      </w:pPr>
      <w:rPr/>
    </w:lvl>
    <w:lvl w:ilvl="7">
      <w:start w:val="1"/>
      <w:numFmt w:val="lowerLetter"/>
      <w:suff w:val="tab"/>
      <w:lvlText w:val="%8."/>
      <w:lvlJc w:val="left"/>
      <w:pPr>
        <w:ind w:hanging="360" w:left="5193"/>
      </w:pPr>
      <w:rPr/>
    </w:lvl>
    <w:lvl w:ilvl="8">
      <w:start w:val="1"/>
      <w:numFmt w:val="lowerRoman"/>
      <w:suff w:val="tab"/>
      <w:lvlText w:val="%9."/>
      <w:lvlJc w:val="right"/>
      <w:pPr>
        <w:ind w:hanging="180" w:left="5913"/>
      </w:pPr>
      <w:rPr/>
    </w:lvl>
  </w:abstractNum>
  <w:num w:numId="1">
    <w:abstractNumId w:val="14"/>
  </w:num>
  <w:num w:numId="2">
    <w:abstractNumId w:val="18"/>
  </w:num>
  <w:num w:numId="3">
    <w:abstractNumId w:val="21"/>
  </w:num>
  <w:num w:numId="4">
    <w:abstractNumId w:val="11"/>
  </w:num>
  <w:num w:numId="5">
    <w:abstractNumId w:val="10"/>
  </w:num>
  <w:num w:numId="6">
    <w:abstractNumId w:val="30"/>
  </w:num>
  <w:num w:numId="7">
    <w:abstractNumId w:val="20"/>
  </w:num>
  <w:num w:numId="8">
    <w:abstractNumId w:val="14"/>
  </w:num>
  <w:num w:numId="9">
    <w:abstractNumId w:val="14"/>
  </w:num>
  <w:num w:numId="10">
    <w:abstractNumId w:val="26"/>
  </w:num>
  <w:num w:numId="11">
    <w:abstractNumId w:val="14"/>
  </w:num>
  <w:num w:numId="12">
    <w:abstractNumId w:val="14"/>
  </w:num>
  <w:num w:numId="13">
    <w:abstractNumId w:val="14"/>
  </w:num>
  <w:num w:numId="14">
    <w:abstractNumId w:val="15"/>
  </w:num>
  <w:num w:numId="15">
    <w:abstractNumId w:val="13"/>
  </w:num>
  <w:num w:numId="16">
    <w:abstractNumId w:val="14"/>
  </w:num>
  <w:num w:numId="17">
    <w:abstractNumId w:val="31"/>
  </w:num>
  <w:num w:numId="18">
    <w:abstractNumId w:val="14"/>
  </w:num>
  <w:num w:numId="19">
    <w:abstractNumId w:val="14"/>
  </w:num>
  <w:num w:numId="20">
    <w:abstractNumId w:val="14"/>
  </w:num>
  <w:num w:numId="21">
    <w:abstractNumId w:val="14"/>
  </w:num>
  <w:num w:numId="22">
    <w:abstractNumId w:val="0"/>
  </w:num>
  <w:num w:numId="23">
    <w:abstractNumId w:val="2"/>
  </w:num>
  <w:num w:numId="24">
    <w:abstractNumId w:val="3"/>
  </w:num>
  <w:num w:numId="25">
    <w:abstractNumId w:val="4"/>
  </w:num>
  <w:num w:numId="26">
    <w:abstractNumId w:val="5"/>
  </w:num>
  <w:num w:numId="27">
    <w:abstractNumId w:val="1"/>
  </w:num>
  <w:num w:numId="28">
    <w:abstractNumId w:val="6"/>
  </w:num>
  <w:num w:numId="29">
    <w:abstractNumId w:val="7"/>
  </w:num>
  <w:num w:numId="30">
    <w:abstractNumId w:val="8"/>
  </w:num>
  <w:num w:numId="31">
    <w:abstractNumId w:val="9"/>
  </w:num>
  <w:num w:numId="32">
    <w:abstractNumId w:val="28"/>
  </w:num>
  <w:num w:numId="33">
    <w:abstractNumId w:val="29"/>
  </w:num>
  <w:num w:numId="34">
    <w:abstractNumId w:val="16"/>
  </w:num>
  <w:num w:numId="35">
    <w:abstractNumId w:val="25"/>
  </w:num>
  <w:num w:numId="36">
    <w:abstractNumId w:val="12"/>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suppressAutoHyphens w:val="1"/>
      <w:spacing w:lineRule="atLeast" w:line="240" w:beforeAutospacing="0" w:afterAutospacing="0"/>
    </w:pPr>
    <w:rPr>
      <w:sz w:val="22"/>
    </w:rPr>
  </w:style>
  <w:style w:type="paragraph" w:styleId="P1">
    <w:name w:val="endnote text"/>
    <w:next w:val="P0"/>
    <w:pPr/>
    <w:rPr>
      <w:sz w:val="22"/>
    </w:rPr>
  </w:style>
  <w:style w:type="paragraph" w:styleId="P2">
    <w:name w:val="Default"/>
    <w:next w:val="P0"/>
    <w:pPr/>
    <w:rPr>
      <w:color w:val="000000"/>
      <w:sz w:val="24"/>
    </w:rPr>
  </w:style>
  <w:style w:type="paragraph" w:styleId="P3">
    <w:name w:val="RegHead3"/>
    <w:next w:val="P50"/>
    <w:pPr>
      <w:numPr>
        <w:ilvl w:val="2"/>
        <w:numId w:val="14"/>
      </w:numPr>
      <w:spacing w:before="180" w:beforeAutospacing="0" w:afterAutospacing="0"/>
      <w:jc w:val="center"/>
    </w:pPr>
    <w:rPr>
      <w:sz w:val="22"/>
      <w:u w:val="single"/>
    </w:rPr>
  </w:style>
  <w:style w:type="paragraph" w:styleId="P4">
    <w:name w:val="Revision"/>
    <w:next w:val="P0"/>
    <w:hidden/>
    <w:pPr/>
    <w:rPr>
      <w:sz w:val="22"/>
    </w:rPr>
  </w:style>
  <w:style w:type="paragraph" w:styleId="P5">
    <w:name w:val="heading 1"/>
    <w:basedOn w:val="P0"/>
    <w:next w:val="P24"/>
    <w:qFormat/>
    <w:pPr>
      <w:ind w:left="1134"/>
      <w:outlineLvl w:val="0"/>
    </w:pPr>
    <w:rPr>
      <w:sz w:val="22"/>
    </w:rPr>
  </w:style>
  <w:style w:type="paragraph" w:styleId="P6">
    <w:name w:val="heading 2"/>
    <w:basedOn w:val="P0"/>
    <w:next w:val="P0"/>
    <w:qFormat/>
    <w:pPr>
      <w:keepNext w:val="1"/>
      <w:keepLines w:val="1"/>
      <w:spacing w:before="200" w:beforeAutospacing="0" w:afterAutospacing="0"/>
      <w:outlineLvl w:val="1"/>
    </w:pPr>
    <w:rPr>
      <w:rFonts w:ascii="Cambria" w:hAnsi="Cambria"/>
      <w:b w:val="1"/>
      <w:color w:val="4F81BD"/>
      <w:sz w:val="26"/>
    </w:rPr>
  </w:style>
  <w:style w:type="paragraph" w:styleId="P7">
    <w:name w:val="heading 4"/>
    <w:basedOn w:val="P0"/>
    <w:next w:val="P0"/>
    <w:qFormat/>
    <w:pPr>
      <w:keepNext w:val="1"/>
      <w:keepLines w:val="1"/>
      <w:spacing w:before="200" w:beforeAutospacing="0" w:afterAutospacing="0"/>
      <w:outlineLvl w:val="3"/>
    </w:pPr>
    <w:rPr>
      <w:rFonts w:ascii="Cambria" w:hAnsi="Cambria"/>
      <w:b w:val="1"/>
      <w:i w:val="1"/>
      <w:color w:val="4F81BD"/>
      <w:sz w:val="22"/>
    </w:rPr>
  </w:style>
  <w:style w:type="paragraph" w:styleId="P8">
    <w:name w:val="heading 5"/>
    <w:basedOn w:val="P0"/>
    <w:next w:val="P0"/>
    <w:qFormat/>
    <w:pPr>
      <w:keepNext w:val="1"/>
      <w:keepLines w:val="1"/>
      <w:spacing w:before="200" w:beforeAutospacing="0" w:afterAutospacing="0"/>
      <w:outlineLvl w:val="4"/>
    </w:pPr>
    <w:rPr>
      <w:rFonts w:ascii="Cambria" w:hAnsi="Cambria"/>
      <w:color w:val="243F60"/>
      <w:sz w:val="22"/>
    </w:rPr>
  </w:style>
  <w:style w:type="paragraph" w:styleId="P9">
    <w:name w:val="_ H __M_G"/>
    <w:basedOn w:val="P0"/>
    <w:next w:val="P0"/>
    <w:pPr>
      <w:keepNext w:val="1"/>
      <w:keepLines w:val="1"/>
      <w:tabs>
        <w:tab w:val="right" w:pos="851" w:leader="none"/>
      </w:tabs>
      <w:spacing w:lineRule="exact" w:line="360" w:before="240" w:after="240" w:beforeAutospacing="0" w:afterAutospacing="0"/>
      <w:ind w:hanging="1134" w:left="1134" w:right="1134"/>
    </w:pPr>
    <w:rPr>
      <w:b w:val="1"/>
      <w:sz w:val="34"/>
    </w:rPr>
  </w:style>
  <w:style w:type="paragraph" w:styleId="P10">
    <w:name w:val="_ H _Ch_G"/>
    <w:basedOn w:val="P0"/>
    <w:next w:val="P0"/>
    <w:pPr>
      <w:keepNext w:val="1"/>
      <w:keepLines w:val="1"/>
      <w:tabs>
        <w:tab w:val="right" w:pos="851" w:leader="none"/>
      </w:tabs>
      <w:spacing w:lineRule="exact" w:line="300" w:before="360" w:after="240" w:beforeAutospacing="0" w:afterAutospacing="0"/>
      <w:ind w:hanging="1134" w:left="1134" w:right="1134"/>
    </w:pPr>
    <w:rPr>
      <w:b w:val="1"/>
      <w:sz w:val="28"/>
    </w:rPr>
  </w:style>
  <w:style w:type="paragraph" w:styleId="P11">
    <w:name w:val="_ H_1_G"/>
    <w:basedOn w:val="P0"/>
    <w:next w:val="P0"/>
    <w:pPr>
      <w:keepNext w:val="1"/>
      <w:keepLines w:val="1"/>
      <w:spacing w:lineRule="exact" w:line="270" w:before="360" w:after="240" w:beforeAutospacing="0" w:afterAutospacing="0"/>
      <w:ind w:hanging="1134" w:left="1134" w:right="1134"/>
    </w:pPr>
    <w:rPr>
      <w:b w:val="1"/>
      <w:sz w:val="24"/>
    </w:rPr>
  </w:style>
  <w:style w:type="paragraph" w:styleId="P12">
    <w:name w:val="_ H_2/3_G"/>
    <w:basedOn w:val="P0"/>
    <w:next w:val="P0"/>
    <w:pPr>
      <w:keepNext w:val="1"/>
      <w:keepLines w:val="1"/>
      <w:tabs>
        <w:tab w:val="right" w:pos="851" w:leader="none"/>
      </w:tabs>
      <w:spacing w:lineRule="exact" w:line="240" w:before="240" w:after="120" w:beforeAutospacing="0" w:afterAutospacing="0"/>
      <w:ind w:hanging="1134" w:left="1134" w:right="1134"/>
    </w:pPr>
    <w:rPr>
      <w:b w:val="1"/>
      <w:sz w:val="22"/>
    </w:rPr>
  </w:style>
  <w:style w:type="paragraph" w:styleId="P13">
    <w:name w:val="_ H_4_G"/>
    <w:basedOn w:val="P0"/>
    <w:next w:val="P0"/>
    <w:pPr>
      <w:keepNext w:val="1"/>
      <w:keepLines w:val="1"/>
      <w:tabs>
        <w:tab w:val="right" w:pos="851" w:leader="none"/>
      </w:tabs>
      <w:spacing w:lineRule="exact" w:line="240" w:before="240" w:after="120" w:beforeAutospacing="0" w:afterAutospacing="0"/>
      <w:ind w:hanging="1134" w:left="1134" w:right="1134"/>
    </w:pPr>
    <w:rPr>
      <w:i w:val="1"/>
      <w:sz w:val="22"/>
    </w:rPr>
  </w:style>
  <w:style w:type="paragraph" w:styleId="P14">
    <w:name w:val="_ H_5/6_G"/>
    <w:basedOn w:val="P0"/>
    <w:next w:val="P0"/>
    <w:pPr>
      <w:keepNext w:val="1"/>
      <w:keepLines w:val="1"/>
      <w:tabs>
        <w:tab w:val="right" w:pos="851" w:leader="none"/>
      </w:tabs>
      <w:spacing w:lineRule="exact" w:line="240" w:before="240" w:after="120" w:beforeAutospacing="0" w:afterAutospacing="0"/>
      <w:ind w:hanging="1134" w:left="1134" w:right="1134"/>
    </w:pPr>
    <w:rPr>
      <w:sz w:val="22"/>
    </w:rPr>
  </w:style>
  <w:style w:type="paragraph" w:styleId="P15">
    <w:name w:val="_ Single Txt_G"/>
    <w:basedOn w:val="P0"/>
    <w:next w:val="P0"/>
    <w:pPr>
      <w:spacing w:after="120" w:beforeAutospacing="0" w:afterAutospacing="0"/>
      <w:ind w:left="1134" w:right="1134"/>
      <w:jc w:val="both"/>
    </w:pPr>
    <w:rPr>
      <w:sz w:val="22"/>
    </w:rPr>
  </w:style>
  <w:style w:type="paragraph" w:styleId="P16">
    <w:name w:val="__S_L_G"/>
    <w:basedOn w:val="P0"/>
    <w:next w:val="P0"/>
    <w:pPr>
      <w:keepNext w:val="1"/>
      <w:keepLines w:val="1"/>
      <w:spacing w:lineRule="exact" w:line="580" w:before="240" w:after="240" w:beforeAutospacing="0" w:afterAutospacing="0"/>
      <w:ind w:left="1134" w:right="1134"/>
    </w:pPr>
    <w:rPr>
      <w:b w:val="1"/>
      <w:sz w:val="56"/>
    </w:rPr>
  </w:style>
  <w:style w:type="paragraph" w:styleId="P17">
    <w:name w:val="__S_M_G"/>
    <w:basedOn w:val="P0"/>
    <w:next w:val="P0"/>
    <w:pPr>
      <w:keepNext w:val="1"/>
      <w:keepLines w:val="1"/>
      <w:spacing w:lineRule="exact" w:line="420" w:before="240" w:after="240" w:beforeAutospacing="0" w:afterAutospacing="0"/>
      <w:ind w:left="1134" w:right="1134"/>
    </w:pPr>
    <w:rPr>
      <w:b w:val="1"/>
      <w:sz w:val="40"/>
    </w:rPr>
  </w:style>
  <w:style w:type="paragraph" w:styleId="P18">
    <w:name w:val="__S_S_G"/>
    <w:basedOn w:val="P0"/>
    <w:next w:val="P0"/>
    <w:pPr>
      <w:keepNext w:val="1"/>
      <w:keepLines w:val="1"/>
      <w:spacing w:lineRule="exact" w:line="300" w:before="240" w:after="240" w:beforeAutospacing="0" w:afterAutospacing="0"/>
      <w:ind w:left="1134" w:right="1134"/>
    </w:pPr>
    <w:rPr>
      <w:b w:val="1"/>
      <w:sz w:val="28"/>
    </w:rPr>
  </w:style>
  <w:style w:type="paragraph" w:styleId="P19">
    <w:name w:val="__XLarge_G"/>
    <w:basedOn w:val="P0"/>
    <w:next w:val="P0"/>
    <w:pPr>
      <w:keepNext w:val="1"/>
      <w:keepLines w:val="1"/>
      <w:spacing w:lineRule="exact" w:line="420" w:before="240" w:after="240" w:beforeAutospacing="0" w:afterAutospacing="0"/>
      <w:ind w:left="1134" w:right="1134"/>
    </w:pPr>
    <w:rPr>
      <w:b w:val="1"/>
      <w:sz w:val="40"/>
    </w:rPr>
  </w:style>
  <w:style w:type="paragraph" w:styleId="P20">
    <w:name w:val="_Bullet 1_G"/>
    <w:basedOn w:val="P0"/>
    <w:next w:val="P0"/>
    <w:pPr>
      <w:numPr>
        <w:numId w:val="5"/>
      </w:numPr>
      <w:spacing w:after="120" w:beforeAutospacing="0" w:afterAutospacing="0"/>
      <w:ind w:right="1134"/>
      <w:jc w:val="both"/>
    </w:pPr>
    <w:rPr>
      <w:sz w:val="22"/>
    </w:rPr>
  </w:style>
  <w:style w:type="paragraph" w:styleId="P21">
    <w:name w:val="_Bullet 2_G"/>
    <w:basedOn w:val="P0"/>
    <w:next w:val="P0"/>
    <w:pPr>
      <w:numPr>
        <w:numId w:val="6"/>
      </w:numPr>
      <w:spacing w:after="120" w:beforeAutospacing="0" w:afterAutospacing="0"/>
      <w:ind w:right="1134"/>
      <w:jc w:val="both"/>
    </w:pPr>
    <w:rPr>
      <w:sz w:val="22"/>
    </w:rPr>
  </w:style>
  <w:style w:type="paragraph" w:styleId="P22">
    <w:name w:val="Anno _ H_CH_G"/>
    <w:basedOn w:val="P0"/>
    <w:next w:val="P23"/>
    <w:pPr>
      <w:keepNext w:val="1"/>
      <w:keepLines w:val="1"/>
      <w:numPr>
        <w:numId w:val="7"/>
      </w:numPr>
      <w:spacing w:lineRule="exact" w:line="300" w:before="360" w:after="240" w:beforeAutospacing="0" w:afterAutospacing="0"/>
      <w:ind w:right="1134"/>
    </w:pPr>
    <w:rPr>
      <w:b w:val="1"/>
      <w:sz w:val="28"/>
    </w:rPr>
  </w:style>
  <w:style w:type="paragraph" w:styleId="P23">
    <w:name w:val="Anno_ H_1_G"/>
    <w:basedOn w:val="P0"/>
    <w:next w:val="P24"/>
    <w:pPr>
      <w:keepNext w:val="1"/>
      <w:keepLines w:val="1"/>
      <w:numPr>
        <w:ilvl w:val="1"/>
        <w:numId w:val="7"/>
      </w:numPr>
      <w:spacing w:lineRule="exact" w:line="270" w:before="360" w:after="240" w:beforeAutospacing="0" w:afterAutospacing="0"/>
      <w:ind w:right="1134"/>
    </w:pPr>
    <w:rPr>
      <w:b w:val="1"/>
      <w:sz w:val="24"/>
    </w:rPr>
  </w:style>
  <w:style w:type="paragraph" w:styleId="P24">
    <w:name w:val="Anno_ H_2/3_G"/>
    <w:basedOn w:val="P0"/>
    <w:next w:val="P25"/>
    <w:pPr>
      <w:keepNext w:val="1"/>
      <w:keepLines w:val="1"/>
      <w:numPr>
        <w:ilvl w:val="2"/>
        <w:numId w:val="7"/>
      </w:numPr>
      <w:spacing w:lineRule="exact" w:line="240" w:before="240" w:after="120" w:beforeAutospacing="0" w:afterAutospacing="0"/>
      <w:ind w:right="1134"/>
    </w:pPr>
    <w:rPr>
      <w:sz w:val="22"/>
      <w:u w:val="single"/>
    </w:rPr>
  </w:style>
  <w:style w:type="paragraph" w:styleId="P25">
    <w:name w:val="Anno_ Single Txt_G"/>
    <w:basedOn w:val="P0"/>
    <w:next w:val="P0"/>
    <w:pPr>
      <w:numPr>
        <w:ilvl w:val="3"/>
        <w:numId w:val="7"/>
      </w:numPr>
      <w:spacing w:after="120" w:beforeAutospacing="0" w:afterAutospacing="0"/>
      <w:ind w:right="1134"/>
      <w:jc w:val="both"/>
    </w:pPr>
    <w:rPr>
      <w:sz w:val="22"/>
    </w:rPr>
  </w:style>
  <w:style w:type="paragraph" w:styleId="P26">
    <w:name w:val="footnote text"/>
    <w:basedOn w:val="P0"/>
    <w:next w:val="P0"/>
    <w:qFormat/>
    <w:pPr>
      <w:tabs>
        <w:tab w:val="right" w:pos="1021" w:leader="none"/>
      </w:tabs>
      <w:spacing w:lineRule="exact" w:line="220" w:beforeAutospacing="0" w:afterAutospacing="0"/>
      <w:ind w:hanging="1134" w:left="1134" w:right="1134"/>
    </w:pPr>
    <w:rPr>
      <w:sz w:val="18"/>
    </w:rPr>
  </w:style>
  <w:style w:type="paragraph" w:styleId="P27">
    <w:name w:val="footer"/>
    <w:basedOn w:val="P0"/>
    <w:next w:val="P0"/>
    <w:pPr/>
    <w:rPr>
      <w:sz w:val="16"/>
    </w:rPr>
  </w:style>
  <w:style w:type="paragraph" w:styleId="P28">
    <w:name w:val="Footnote Table"/>
    <w:basedOn w:val="P0"/>
    <w:next w:val="P0"/>
    <w:pPr>
      <w:spacing w:lineRule="auto" w:line="240" w:beforeAutospacing="0" w:afterAutospacing="0"/>
      <w:jc w:val="both"/>
    </w:pPr>
    <w:rPr>
      <w:sz w:val="18"/>
    </w:rPr>
  </w:style>
  <w:style w:type="paragraph" w:styleId="P29">
    <w:name w:val="header"/>
    <w:basedOn w:val="P0"/>
    <w:next w:val="P0"/>
    <w:pPr>
      <w:pBdr>
        <w:top w:val="none" w:sz="0" w:space="0" w:shadow="0" w:frame="0"/>
        <w:left w:val="none" w:sz="0" w:space="0" w:shadow="0" w:frame="0"/>
        <w:bottom w:val="single" w:sz="4" w:space="0" w:shadow="0" w:frame="0"/>
        <w:right w:val="none" w:sz="0" w:space="0" w:shadow="0" w:frame="0"/>
      </w:pBdr>
    </w:pPr>
    <w:rPr>
      <w:b w:val="1"/>
      <w:sz w:val="18"/>
    </w:rPr>
  </w:style>
  <w:style w:type="paragraph" w:styleId="P30">
    <w:name w:val="Reg_H__Ch_G"/>
    <w:basedOn w:val="P0"/>
    <w:next w:val="P31"/>
    <w:pPr>
      <w:keepNext w:val="1"/>
      <w:keepLines w:val="1"/>
      <w:numPr>
        <w:numId w:val="8"/>
      </w:numPr>
      <w:spacing w:lineRule="exact" w:line="300" w:before="360" w:after="240" w:beforeAutospacing="0" w:afterAutospacing="0"/>
      <w:ind w:right="1134"/>
    </w:pPr>
    <w:rPr>
      <w:b w:val="1"/>
      <w:sz w:val="28"/>
    </w:rPr>
  </w:style>
  <w:style w:type="paragraph" w:styleId="P31">
    <w:name w:val="Reg_H_1_G"/>
    <w:basedOn w:val="P0"/>
    <w:next w:val="P32"/>
    <w:pPr>
      <w:keepNext w:val="1"/>
      <w:keepLines w:val="1"/>
      <w:numPr>
        <w:ilvl w:val="1"/>
        <w:numId w:val="8"/>
      </w:numPr>
      <w:spacing w:lineRule="exact" w:line="270" w:before="360" w:after="240" w:beforeAutospacing="0" w:afterAutospacing="0"/>
      <w:ind w:right="1134"/>
    </w:pPr>
    <w:rPr>
      <w:b w:val="1"/>
      <w:sz w:val="24"/>
    </w:rPr>
  </w:style>
  <w:style w:type="paragraph" w:styleId="P32">
    <w:name w:val="Reg_H_2/3_G"/>
    <w:basedOn w:val="P0"/>
    <w:next w:val="P53"/>
    <w:pPr>
      <w:keepNext w:val="1"/>
      <w:keepLines w:val="1"/>
      <w:numPr>
        <w:ilvl w:val="2"/>
        <w:numId w:val="8"/>
      </w:numPr>
      <w:spacing w:lineRule="exact" w:line="240" w:before="240" w:after="120" w:beforeAutospacing="0" w:afterAutospacing="0"/>
      <w:ind w:right="1134"/>
    </w:pPr>
    <w:rPr>
      <w:b w:val="1"/>
      <w:sz w:val="22"/>
    </w:rPr>
  </w:style>
  <w:style w:type="paragraph" w:styleId="P33">
    <w:name w:val="Reg_Single Txt_G"/>
    <w:basedOn w:val="P0"/>
    <w:next w:val="P0"/>
    <w:pPr>
      <w:numPr>
        <w:ilvl w:val="5"/>
        <w:numId w:val="8"/>
      </w:numPr>
      <w:tabs>
        <w:tab w:val="left" w:pos="1701" w:leader="none"/>
      </w:tabs>
      <w:spacing w:after="120" w:beforeAutospacing="0" w:afterAutospacing="0"/>
      <w:ind w:right="1134"/>
      <w:jc w:val="both"/>
    </w:pPr>
    <w:rPr>
      <w:sz w:val="22"/>
    </w:rPr>
  </w:style>
  <w:style w:type="paragraph" w:styleId="P34">
    <w:name w:val="toc 1"/>
    <w:basedOn w:val="P0"/>
    <w:next w:val="P0"/>
    <w:pPr>
      <w:tabs>
        <w:tab w:val="right" w:pos="851" w:leader="none"/>
        <w:tab w:val="left" w:pos="1134" w:leader="none"/>
        <w:tab w:val="left" w:pos="1559" w:leader="none"/>
        <w:tab w:val="left" w:pos="1985" w:leader="none"/>
        <w:tab w:val="left" w:pos="7655" w:leader="dot"/>
        <w:tab w:val="right" w:pos="8930" w:leader="none"/>
        <w:tab w:val="right" w:pos="9639" w:leader="none"/>
      </w:tabs>
      <w:spacing w:after="120" w:beforeAutospacing="0" w:afterAutospacing="0"/>
    </w:pPr>
    <w:rPr>
      <w:sz w:val="22"/>
    </w:rPr>
  </w:style>
  <w:style w:type="paragraph" w:styleId="P35">
    <w:name w:val="toc 2"/>
    <w:basedOn w:val="P0"/>
    <w:next w:val="P0"/>
    <w:pPr>
      <w:tabs>
        <w:tab w:val="right" w:pos="851" w:leader="none"/>
        <w:tab w:val="left" w:pos="1134" w:leader="none"/>
        <w:tab w:val="left" w:pos="1559" w:leader="none"/>
        <w:tab w:val="left" w:pos="1985" w:leader="none"/>
        <w:tab w:val="left" w:pos="7655" w:leader="dot"/>
        <w:tab w:val="right" w:pos="8930" w:leader="none"/>
        <w:tab w:val="right" w:pos="9639" w:leader="none"/>
      </w:tabs>
      <w:spacing w:after="120" w:beforeAutospacing="0" w:afterAutospacing="0"/>
    </w:pPr>
    <w:rPr>
      <w:sz w:val="22"/>
    </w:rPr>
  </w:style>
  <w:style w:type="paragraph" w:styleId="P36">
    <w:name w:val="toc 3"/>
    <w:basedOn w:val="P0"/>
    <w:next w:val="P0"/>
    <w:pPr>
      <w:tabs>
        <w:tab w:val="right" w:pos="851" w:leader="none"/>
        <w:tab w:val="left" w:pos="1134" w:leader="none"/>
        <w:tab w:val="left" w:pos="1559" w:leader="none"/>
        <w:tab w:val="left" w:pos="1985" w:leader="none"/>
        <w:tab w:val="left" w:pos="7655" w:leader="dot"/>
        <w:tab w:val="right" w:pos="8930" w:leader="none"/>
        <w:tab w:val="right" w:pos="9639" w:leader="none"/>
      </w:tabs>
      <w:spacing w:after="120" w:beforeAutospacing="0" w:afterAutospacing="0"/>
    </w:pPr>
    <w:rPr>
      <w:sz w:val="22"/>
    </w:rPr>
  </w:style>
  <w:style w:type="paragraph" w:styleId="P37">
    <w:name w:val="Balloon Text"/>
    <w:basedOn w:val="P0"/>
    <w:next w:val="P0"/>
    <w:pPr>
      <w:spacing w:lineRule="auto" w:line="240" w:beforeAutospacing="0" w:afterAutospacing="0"/>
    </w:pPr>
    <w:rPr>
      <w:rFonts w:ascii="Tahoma" w:hAnsi="Tahoma"/>
      <w:sz w:val="16"/>
    </w:rPr>
  </w:style>
  <w:style w:type="paragraph" w:styleId="P38">
    <w:name w:val="List Paragraph"/>
    <w:basedOn w:val="P0"/>
    <w:next w:val="P0"/>
    <w:qFormat/>
    <w:pPr>
      <w:ind w:left="720"/>
      <w:contextualSpacing w:val="1"/>
    </w:pPr>
    <w:rPr>
      <w:sz w:val="22"/>
    </w:rPr>
  </w:style>
  <w:style w:type="paragraph" w:styleId="P39">
    <w:name w:val="Atxt_Hdgs"/>
    <w:basedOn w:val="P0"/>
    <w:next w:val="P0"/>
    <w:pPr>
      <w:suppressAutoHyphens w:val="0"/>
      <w:spacing w:lineRule="auto" w:line="240" w:beforeAutospacing="0" w:afterAutospacing="0"/>
      <w:jc w:val="center"/>
    </w:pPr>
    <w:rPr>
      <w:sz w:val="24"/>
    </w:rPr>
  </w:style>
  <w:style w:type="paragraph" w:styleId="P40">
    <w:name w:val="caption"/>
    <w:basedOn w:val="P0"/>
    <w:next w:val="P0"/>
    <w:qFormat/>
    <w:pPr/>
    <w:rPr>
      <w:b w:val="1"/>
      <w:sz w:val="22"/>
    </w:rPr>
  </w:style>
  <w:style w:type="paragraph" w:styleId="P41">
    <w:name w:val="toc 4"/>
    <w:basedOn w:val="P0"/>
    <w:next w:val="P0"/>
    <w:pPr>
      <w:ind w:left="600"/>
    </w:pPr>
    <w:rPr>
      <w:sz w:val="22"/>
    </w:rPr>
  </w:style>
  <w:style w:type="paragraph" w:styleId="P42">
    <w:name w:val="toc 5"/>
    <w:basedOn w:val="P0"/>
    <w:next w:val="P0"/>
    <w:pPr>
      <w:ind w:left="800"/>
    </w:pPr>
    <w:rPr>
      <w:sz w:val="22"/>
    </w:rPr>
  </w:style>
  <w:style w:type="paragraph" w:styleId="P43">
    <w:name w:val="toc 6"/>
    <w:basedOn w:val="P0"/>
    <w:next w:val="P0"/>
    <w:pPr>
      <w:ind w:left="1000"/>
    </w:pPr>
    <w:rPr>
      <w:sz w:val="22"/>
    </w:rPr>
  </w:style>
  <w:style w:type="paragraph" w:styleId="P44">
    <w:name w:val="toc 7"/>
    <w:basedOn w:val="P0"/>
    <w:next w:val="P0"/>
    <w:pPr>
      <w:ind w:left="1200"/>
    </w:pPr>
    <w:rPr>
      <w:sz w:val="22"/>
    </w:rPr>
  </w:style>
  <w:style w:type="paragraph" w:styleId="P45">
    <w:name w:val="toc 8"/>
    <w:basedOn w:val="P0"/>
    <w:next w:val="P0"/>
    <w:pPr>
      <w:ind w:left="1400"/>
    </w:pPr>
    <w:rPr>
      <w:sz w:val="22"/>
    </w:rPr>
  </w:style>
  <w:style w:type="paragraph" w:styleId="P46">
    <w:name w:val="toc 9"/>
    <w:basedOn w:val="P0"/>
    <w:next w:val="P0"/>
    <w:pPr>
      <w:ind w:left="1600"/>
    </w:pPr>
    <w:rPr>
      <w:sz w:val="22"/>
    </w:rPr>
  </w:style>
  <w:style w:type="paragraph" w:styleId="P47">
    <w:name w:val="SDMTable&amp;BoxParaNotNumbered"/>
    <w:basedOn w:val="P0"/>
    <w:next w:val="P0"/>
    <w:qFormat/>
    <w:pPr>
      <w:suppressAutoHyphens w:val="0"/>
      <w:spacing w:lineRule="auto" w:line="240" w:beforeAutospacing="0" w:afterAutospacing="0"/>
    </w:pPr>
    <w:rPr>
      <w:rFonts w:ascii="Arial" w:hAnsi="Arial"/>
      <w:sz w:val="22"/>
    </w:rPr>
  </w:style>
  <w:style w:type="paragraph" w:styleId="P48">
    <w:name w:val="RegHead1"/>
    <w:basedOn w:val="P0"/>
    <w:next w:val="P49"/>
    <w:pPr>
      <w:keepNext w:val="1"/>
      <w:numPr>
        <w:numId w:val="14"/>
      </w:numPr>
      <w:suppressAutoHyphens w:val="0"/>
      <w:spacing w:lineRule="auto" w:line="240" w:before="180" w:beforeAutospacing="0" w:afterAutospacing="0"/>
      <w:jc w:val="center"/>
    </w:pPr>
    <w:rPr>
      <w:b w:val="1"/>
      <w:caps w:val="1"/>
      <w:sz w:val="22"/>
    </w:rPr>
  </w:style>
  <w:style w:type="paragraph" w:styleId="P49">
    <w:name w:val="RegHead2"/>
    <w:basedOn w:val="P0"/>
    <w:next w:val="P3"/>
    <w:pPr>
      <w:keepNext w:val="1"/>
      <w:numPr>
        <w:ilvl w:val="1"/>
        <w:numId w:val="14"/>
      </w:numPr>
      <w:suppressAutoHyphens w:val="0"/>
      <w:spacing w:lineRule="auto" w:line="240" w:before="180" w:beforeAutospacing="0" w:afterAutospacing="0"/>
      <w:jc w:val="center"/>
    </w:pPr>
    <w:rPr>
      <w:b w:val="1"/>
      <w:sz w:val="22"/>
      <w:u w:val="single"/>
    </w:rPr>
  </w:style>
  <w:style w:type="paragraph" w:styleId="P50">
    <w:name w:val="RegPara"/>
    <w:basedOn w:val="P0"/>
    <w:next w:val="P0"/>
    <w:pPr>
      <w:numPr>
        <w:ilvl w:val="3"/>
        <w:numId w:val="14"/>
      </w:numPr>
      <w:suppressAutoHyphens w:val="0"/>
      <w:spacing w:lineRule="auto" w:line="240" w:before="180" w:beforeAutospacing="0" w:afterAutospacing="0"/>
    </w:pPr>
    <w:rPr>
      <w:sz w:val="22"/>
    </w:rPr>
  </w:style>
  <w:style w:type="paragraph" w:styleId="P51">
    <w:name w:val="annotation text"/>
    <w:basedOn w:val="P0"/>
    <w:next w:val="P0"/>
    <w:pPr>
      <w:suppressAutoHyphens w:val="0"/>
      <w:spacing w:lineRule="auto" w:line="240" w:beforeAutospacing="0" w:afterAutospacing="0"/>
    </w:pPr>
    <w:rPr>
      <w:sz w:val="22"/>
    </w:rPr>
  </w:style>
  <w:style w:type="paragraph" w:styleId="P52">
    <w:name w:val="TableFootnote"/>
    <w:basedOn w:val="P28"/>
    <w:next w:val="P0"/>
    <w:qFormat/>
    <w:pPr>
      <w:spacing w:before="60" w:beforeAutospacing="0" w:afterAutospacing="0"/>
      <w:ind w:firstLine="170" w:left="1134" w:right="1134"/>
      <w:contextualSpacing w:val="1"/>
      <w:jc w:val="left"/>
    </w:pPr>
    <w:rPr>
      <w:sz w:val="22"/>
    </w:rPr>
  </w:style>
  <w:style w:type="paragraph" w:styleId="P53">
    <w:name w:val="Reg_H_4_G"/>
    <w:basedOn w:val="P32"/>
    <w:next w:val="P60"/>
    <w:qFormat/>
    <w:pPr>
      <w:numPr>
        <w:ilvl w:val="3"/>
        <w:numId w:val="8"/>
      </w:numPr>
    </w:pPr>
    <w:rPr>
      <w:sz w:val="22"/>
    </w:rPr>
  </w:style>
  <w:style w:type="paragraph" w:styleId="P54">
    <w:name w:val="Reg_Single Txt_G2"/>
    <w:basedOn w:val="P33"/>
    <w:next w:val="P0"/>
    <w:qFormat/>
    <w:pPr>
      <w:numPr>
        <w:ilvl w:val="6"/>
        <w:numId w:val="8"/>
      </w:numPr>
      <w:tabs>
        <w:tab w:val="clear" w:pos="1702" w:leader="none"/>
      </w:tabs>
    </w:pPr>
    <w:rPr>
      <w:sz w:val="22"/>
    </w:rPr>
  </w:style>
  <w:style w:type="paragraph" w:styleId="P55">
    <w:name w:val="Reg_Single Txt_G3"/>
    <w:basedOn w:val="P33"/>
    <w:next w:val="P0"/>
    <w:qFormat/>
    <w:pPr>
      <w:numPr>
        <w:ilvl w:val="7"/>
        <w:numId w:val="8"/>
      </w:numPr>
    </w:pPr>
    <w:rPr>
      <w:sz w:val="22"/>
    </w:rPr>
  </w:style>
  <w:style w:type="paragraph" w:styleId="P56">
    <w:name w:val="FC1"/>
    <w:basedOn w:val="P33"/>
    <w:next w:val="P0"/>
    <w:qFormat/>
    <w:pPr>
      <w:numPr>
        <w:numId w:val="0"/>
      </w:numPr>
      <w:ind w:left="1134"/>
      <w:jc w:val="left"/>
    </w:pPr>
    <w:rPr>
      <w:sz w:val="22"/>
    </w:rPr>
  </w:style>
  <w:style w:type="paragraph" w:styleId="P57">
    <w:name w:val="List Paragraph for Annexes"/>
    <w:basedOn w:val="P38"/>
    <w:next w:val="P0"/>
    <w:qFormat/>
    <w:pPr>
      <w:spacing w:lineRule="exact" w:line="240" w:before="120" w:after="120" w:beforeAutospacing="0" w:afterAutospacing="0"/>
      <w:contextualSpacing w:val="0"/>
    </w:pPr>
    <w:rPr>
      <w:sz w:val="22"/>
    </w:rPr>
  </w:style>
  <w:style w:type="paragraph" w:styleId="P58">
    <w:name w:val="annotation subject"/>
    <w:basedOn w:val="P51"/>
    <w:next w:val="P51"/>
    <w:pPr/>
    <w:rPr>
      <w:b w:val="1"/>
      <w:sz w:val="22"/>
    </w:rPr>
  </w:style>
  <w:style w:type="paragraph" w:styleId="P59">
    <w:name w:val="SourcesFootnote"/>
    <w:basedOn w:val="P52"/>
    <w:next w:val="P0"/>
    <w:qFormat/>
    <w:pPr/>
    <w:rPr>
      <w:i w:val="1"/>
      <w:sz w:val="22"/>
    </w:rPr>
  </w:style>
  <w:style w:type="paragraph" w:styleId="P60">
    <w:name w:val="Reg_H_5_G"/>
    <w:basedOn w:val="P53"/>
    <w:next w:val="P0"/>
    <w:qFormat/>
    <w:pPr>
      <w:numPr>
        <w:ilvl w:val="4"/>
        <w:numId w:val="8"/>
      </w:numPr>
    </w:pPr>
    <w:rPr>
      <w:b w:val="0"/>
      <w:i w:val="1"/>
      <w:sz w:val="22"/>
    </w:rPr>
  </w:style>
  <w:style w:type="paragraph" w:styleId="P61">
    <w:name w:val="FC2"/>
    <w:basedOn w:val="P56"/>
    <w:next w:val="P0"/>
    <w:qFormat/>
    <w:pPr>
      <w:keepNext w:val="1"/>
      <w:numPr>
        <w:numId w:val="0"/>
      </w:numPr>
    </w:pPr>
    <w:rPr>
      <w:sz w:val="22"/>
    </w:rPr>
  </w:style>
  <w:style w:type="character" w:styleId="C0" w:default="1">
    <w:name w:val="Default Paragraph Font"/>
    <w:semiHidden/>
    <w:rPr>
      <w:sz w:val="22"/>
    </w:rPr>
  </w:style>
  <w:style w:type="character" w:styleId="C1">
    <w:name w:val="Line Number"/>
    <w:basedOn w:val="C0"/>
    <w:semiHidden/>
    <w:rPr/>
  </w:style>
  <w:style w:type="character" w:styleId="C2">
    <w:name w:val="Hyperlink"/>
    <w:rPr>
      <w:color w:val="0000FF"/>
      <w:u w:val="single"/>
    </w:rPr>
  </w:style>
  <w:style w:type="character" w:styleId="C3">
    <w:name w:val="footnote reference"/>
    <w:qFormat/>
    <w:rPr>
      <w:rFonts w:ascii="Times New Roman" w:hAnsi="Times New Roman"/>
      <w:sz w:val="18"/>
      <w:vertAlign w:val="superscript"/>
    </w:rPr>
  </w:style>
  <w:style w:type="character" w:styleId="C4">
    <w:name w:val="endnote reference"/>
    <w:rPr>
      <w:rFonts w:ascii="Times New Roman" w:hAnsi="Times New Roman"/>
      <w:sz w:val="18"/>
      <w:vertAlign w:val="superscript"/>
    </w:rPr>
  </w:style>
  <w:style w:type="character" w:styleId="C5">
    <w:name w:val="page number"/>
    <w:rPr>
      <w:rFonts w:ascii="Times New Roman" w:hAnsi="Times New Roman"/>
      <w:b w:val="1"/>
      <w:sz w:val="18"/>
    </w:rPr>
  </w:style>
  <w:style w:type="character" w:styleId="C6">
    <w:name w:val="Balloon Text Char"/>
    <w:rPr>
      <w:rFonts w:ascii="Tahoma" w:hAnsi="Tahoma"/>
      <w:sz w:val="16"/>
    </w:rPr>
  </w:style>
  <w:style w:type="character" w:styleId="C7">
    <w:name w:val="Heading 2 Char"/>
    <w:rPr>
      <w:rFonts w:ascii="Cambria" w:hAnsi="Cambria"/>
      <w:b w:val="1"/>
      <w:color w:val="4F81BD"/>
      <w:sz w:val="26"/>
    </w:rPr>
  </w:style>
  <w:style w:type="character" w:styleId="C8">
    <w:name w:val="Heading 4 Char"/>
    <w:rPr>
      <w:rFonts w:ascii="Cambria" w:hAnsi="Cambria"/>
      <w:b w:val="1"/>
      <w:i w:val="1"/>
      <w:color w:val="4F81BD"/>
    </w:rPr>
  </w:style>
  <w:style w:type="character" w:styleId="C9">
    <w:name w:val="Heading 5 Char"/>
    <w:rPr>
      <w:rFonts w:ascii="Cambria" w:hAnsi="Cambria"/>
      <w:color w:val="243F60"/>
    </w:rPr>
  </w:style>
  <w:style w:type="character" w:styleId="C10">
    <w:name w:val="Footnote Text Char"/>
    <w:rPr>
      <w:sz w:val="18"/>
    </w:rPr>
  </w:style>
  <w:style w:type="character" w:styleId="C11">
    <w:name w:val="Footer Char"/>
    <w:rPr>
      <w:sz w:val="16"/>
    </w:rPr>
  </w:style>
  <w:style w:type="character" w:styleId="C12">
    <w:name w:val="Header Char"/>
    <w:rPr>
      <w:b w:val="1"/>
      <w:sz w:val="18"/>
    </w:rPr>
  </w:style>
  <w:style w:type="character" w:styleId="C13">
    <w:name w:val="Reg_Single Txt_G Char"/>
    <w:rPr/>
  </w:style>
  <w:style w:type="character" w:styleId="C14">
    <w:name w:val="annotation reference"/>
    <w:rPr>
      <w:sz w:val="16"/>
    </w:rPr>
  </w:style>
  <w:style w:type="character" w:styleId="C15">
    <w:name w:val="Comment Text Char"/>
    <w:rPr/>
  </w:style>
  <w:style w:type="character" w:styleId="C16">
    <w:name w:val="Comment Subject Char"/>
    <w:rPr>
      <w:b w:val="1"/>
    </w:rPr>
  </w:style>
  <w:style w:type="character" w:styleId="C17">
    <w:name w:val="_ Single Txt_G Char"/>
    <w:rPr/>
  </w:style>
  <w:style w:type="character" w:styleId="C18">
    <w:name w:val="_ H_1_G Char"/>
    <w:rPr>
      <w:b w:val="1"/>
      <w:sz w:val="24"/>
    </w:rPr>
  </w:style>
  <w:style w:type="character" w:styleId="C19">
    <w:name w:val="FollowedHyperlink"/>
    <w:rPr>
      <w:color w:val="800080"/>
      <w:u w:val="single"/>
    </w:rPr>
  </w:style>
  <w:style w:type="character" w:styleId="C20">
    <w:name w:val="Mention"/>
    <w:basedOn w:val="C0"/>
    <w:rPr>
      <w:color w:val="2B579A"/>
      <w:shd w:val="clear" w:color="auto" w:fill="E6E6E6"/>
    </w:rPr>
  </w:style>
  <w:style w:type="table" w:styleId="T0" w:default="1">
    <w:name w:val="Normal Table"/>
    <w:rPr>
      <w:sz w:val="22"/>
    </w:rPr>
    <w:tblPr>
      <w:tblInd w:w="0" w:type="dxa"/>
      <w:tblCellMar>
        <w:top w:w="0" w:type="dxa"/>
        <w:left w:w="108" w:type="dxa"/>
        <w:bottom w:w="0" w:type="dxa"/>
        <w:right w:w="108" w:type="dxa"/>
      </w:tblCellMar>
    </w:tblPr>
    <w:trPr/>
    <w:tcPr/>
  </w:style>
  <w:style w:type="table" w:styleId="T1">
    <w:name w:val="Table Simple 1"/>
    <w:basedOn w:val="T0"/>
    <w:rPr>
      <w:sz w:val="22"/>
    </w:rPr>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rPr>
      <w:sz w:val="22"/>
    </w:rPr>
    <w:tblPr>
      <w:tblInd w:w="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 w:type="numbering" w:styleId="N0">
    <w:name w:val="FCCC_Box_footnote"/>
    <w:pPr>
      <w:numPr>
        <w:numId w:val="2"/>
      </w:numPr>
    </w:pPr>
  </w:style>
  <w:style w:type="numbering" w:styleId="N1">
    <w:name w:val="FCCC Textbox footnote"/>
    <w:pPr>
      <w:numPr>
        <w:numId w:val="3"/>
      </w:numPr>
    </w:pPr>
  </w:style>
  <w:style w:type="numbering" w:styleId="N2">
    <w:name w:val="Figure Footnote"/>
    <w:pPr>
      <w:numPr>
        <w:numId w:val="4"/>
      </w:numPr>
    </w:p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6" Type="http://schemas.openxmlformats.org/officeDocument/2006/relationships/header" Target="header6.xml"/><Relationship Id="RelFtr10" Type="http://schemas.openxmlformats.org/officeDocument/2006/relationships/footer" Target="footer10.xml"/><Relationship Id="RelStyle1" Type="http://schemas.openxmlformats.org/officeDocument/2006/relationships/styles" Target="styles.xml"/><Relationship Id="RelHdr14" Type="http://schemas.openxmlformats.org/officeDocument/2006/relationships/header" Target="header14.xml"/><Relationship Id="Relimage2" Type="http://schemas.openxmlformats.org/officeDocument/2006/relationships/image" Target="/media/image2.png"/><Relationship Id="RelFtr6" Type="http://schemas.openxmlformats.org/officeDocument/2006/relationships/footer" Target="footer6.xml"/><Relationship Id="RelFnt1" Type="http://schemas.openxmlformats.org/officeDocument/2006/relationships/footnotes" Target="footnotes.xml"/><Relationship Id="RelSettings1" Type="http://schemas.openxmlformats.org/officeDocument/2006/relationships/settings" Target="settings.xml"/><Relationship Id="Relimage1" Type="http://schemas.openxmlformats.org/officeDocument/2006/relationships/image" Target="/media/image1.emf"/><Relationship Id="RelHdr4" Type="http://schemas.openxmlformats.org/officeDocument/2006/relationships/header" Target="header4.xml"/><Relationship Id="RelHdr9" Type="http://schemas.openxmlformats.org/officeDocument/2006/relationships/header" Target="header9.xml"/><Relationship Id="RelHdr13" Type="http://schemas.openxmlformats.org/officeDocument/2006/relationships/header" Target="header13.xml"/><Relationship Id="RelHdr18" Type="http://schemas.openxmlformats.org/officeDocument/2006/relationships/header" Target="header18.xml"/><Relationship Id="RelFtr1" Type="http://schemas.openxmlformats.org/officeDocument/2006/relationships/footer" Target="footer1.xml"/><Relationship Id="rId2" Type="http://schemas.openxmlformats.org/officeDocument/2006/relationships/customXml" Target="../customXml/item2.xml"/><Relationship Id="RelHdr8" Type="http://schemas.openxmlformats.org/officeDocument/2006/relationships/header" Target="header8.xml"/><Relationship Id="RelHdr17" Type="http://schemas.openxmlformats.org/officeDocument/2006/relationships/header" Target="header17.xml"/><Relationship Id="RelFtr5" Type="http://schemas.openxmlformats.org/officeDocument/2006/relationships/footer" Target="footer5.xml"/><Relationship Id="RelTheme1" Type="http://schemas.openxmlformats.org/officeDocument/2006/relationships/theme" Target="theme/theme1.xml"/><Relationship Id="rId1" Type="http://schemas.openxmlformats.org/officeDocument/2006/relationships/customXml" Target="../customXml/item1.xml"/><Relationship Id="RelHdr3" Type="http://schemas.openxmlformats.org/officeDocument/2006/relationships/header" Target="header3.xml"/><Relationship Id="RelHdr12" Type="http://schemas.openxmlformats.org/officeDocument/2006/relationships/header" Target="header12.xml"/><Relationship Id="RelFtr4" Type="http://schemas.openxmlformats.org/officeDocument/2006/relationships/footer" Target="footer4.xml"/><Relationship Id="RelFtr9" Type="http://schemas.openxmlformats.org/officeDocument/2006/relationships/footer" Target="footer9.xml"/><Relationship Id="RelFtr12" Type="http://schemas.openxmlformats.org/officeDocument/2006/relationships/footer" Target="footer12.xml"/><Relationship Id="RelHdr2" Type="http://schemas.openxmlformats.org/officeDocument/2006/relationships/header" Target="header2.xml"/><Relationship Id="RelHdr7" Type="http://schemas.openxmlformats.org/officeDocument/2006/relationships/header" Target="header7.xml"/><Relationship Id="RelHdr11" Type="http://schemas.openxmlformats.org/officeDocument/2006/relationships/header" Target="header11.xml"/><Relationship Id="RelHdr16" Type="http://schemas.openxmlformats.org/officeDocument/2006/relationships/header" Target="header16.xml"/><Relationship Id="RelFtr11" Type="http://schemas.openxmlformats.org/officeDocument/2006/relationships/footer" Target="footer11.xml"/><Relationship Id="RelFtr3" Type="http://schemas.openxmlformats.org/officeDocument/2006/relationships/footer" Target="footer3.xml"/><Relationship Id="RelFtr8" Type="http://schemas.openxmlformats.org/officeDocument/2006/relationships/footer" Target="footer8.xml"/><Relationship Id="RelHdr10" Type="http://schemas.openxmlformats.org/officeDocument/2006/relationships/header" Target="header10.xml"/><Relationship Id="RelHdr15" Type="http://schemas.openxmlformats.org/officeDocument/2006/relationships/header" Target="header15.xml"/><Relationship Id="RelFtr7" Type="http://schemas.openxmlformats.org/officeDocument/2006/relationships/footer" Target="footer7.xml"/><Relationship Id="RelNum1" Type="http://schemas.openxmlformats.org/officeDocument/2006/relationships/numbering" Target="numbering.xml"/><Relationship Id="RelHdr5" Type="http://schemas.openxmlformats.org/officeDocument/2006/relationships/header" Target="header5.xml"/><Relationship Id="RelFtr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3FC05F-3CF4-4A74-BA76-D8AA0FD8627A}"/>
</file>

<file path=customXml/itemProps2.xml><?xml version="1.0" encoding="utf-8"?>
<ds:datastoreItem xmlns:ds="http://schemas.openxmlformats.org/officeDocument/2006/customXml" ds:itemID="{4D8F38B2-C56B-429F-A178-A24B3B6ED393}"/>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category>UNFCCC Template 2017</cp:category>
  <dc:creator>UNFCCC</dc:creator>
  <dcterms:created xsi:type="dcterms:W3CDTF">2019-03-15T17:24:00Z</dcterms:created>
  <cp:lastModifiedBy>Joaquim Barris</cp:lastModifiedBy>
  <cp:lastPrinted>2019-01-07T09:56:00Z</cp:lastPrinted>
  <dcterms:modified xsi:type="dcterms:W3CDTF">2020-07-24T08:16:19Z</dcterms:modified>
  <cp:revision>6</cp:revision>
  <dc:title>Report of the Conference of the Parties serving as the meeting of the Parties to the Kyoto Protocol on its fourteenth session, held in Katowice from 3 to 14 December 2018. Note by the secretariat. Addendum.</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0x01010093B27815B4C26448A2AC74C6D94E050B</vt:lpwstr>
  </property>
  <property fmtid="{D5CDD505-2E9C-101B-9397-08002B2CF9AE}" pid="3" name="Bodies">
    <vt:lpwstr>10;#CMP|38118d30-6ed6-42bf-9f20-9c3046d01012</vt:lpwstr>
  </property>
  <property fmtid="{D5CDD505-2E9C-101B-9397-08002B2CF9AE}" pid="4" name="Order">
    <vt:r8>6100</vt:r8>
  </property>
  <property fmtid="{D5CDD505-2E9C-101B-9397-08002B2CF9AE}" pid="5" name="UNFC3CoreFunction">
    <vt:lpwstr/>
  </property>
  <property fmtid="{D5CDD505-2E9C-101B-9397-08002B2CF9AE}" pid="6" name="UNFC3CoreCountry">
    <vt:lpwstr/>
  </property>
  <property fmtid="{D5CDD505-2E9C-101B-9397-08002B2CF9AE}" pid="7" name="UNFC3CoreSensitivity">
    <vt:lpwstr/>
  </property>
  <property fmtid="{D5CDD505-2E9C-101B-9397-08002B2CF9AE}" pid="8" name="docSymbol1">
    <vt:lpwstr>FCCC/KP/CMP/2017/7/Add.1</vt:lpwstr>
  </property>
  <property fmtid="{D5CDD505-2E9C-101B-9397-08002B2CF9AE}" pid="9" name="docSymbol2">
    <vt:lpwstr/>
  </property>
  <property fmtid="{D5CDD505-2E9C-101B-9397-08002B2CF9AE}" pid="10" name="templateVersion">
    <vt:lpwstr>v.July2017</vt:lpwstr>
  </property>
  <property fmtid="{D5CDD505-2E9C-101B-9397-08002B2CF9AE}" pid="11" name="AuthorIds_UIVersion_512">
    <vt:lpwstr>25</vt:lpwstr>
  </property>
</Properties>
</file>